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footer2.xml" ContentType="application/vnd.openxmlformats-officedocument.wordprocessingml.footer+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E2A85D" w14:textId="2E1F164C" w:rsidR="00F76E53" w:rsidRPr="008F1E62" w:rsidRDefault="00826F94" w:rsidP="00F76E53">
      <w:pPr>
        <w:spacing w:before="240" w:after="240" w:line="240" w:lineRule="auto"/>
        <w:rPr>
          <w:rFonts w:cstheme="majorBidi"/>
          <w:b/>
        </w:rPr>
      </w:pPr>
      <w:r w:rsidRPr="008F1E62">
        <w:rPr>
          <w:rFonts w:cstheme="majorBidi"/>
          <w:b/>
          <w:noProof/>
          <w:sz w:val="32"/>
          <w:szCs w:val="32"/>
        </w:rPr>
        <w:drawing>
          <wp:anchor distT="0" distB="0" distL="114300" distR="114300" simplePos="0" relativeHeight="251658240" behindDoc="0" locked="0" layoutInCell="1" allowOverlap="1" wp14:anchorId="393C1E01" wp14:editId="4D754511">
            <wp:simplePos x="0" y="0"/>
            <wp:positionH relativeFrom="margin">
              <wp:align>center</wp:align>
            </wp:positionH>
            <wp:positionV relativeFrom="margin">
              <wp:align>center</wp:align>
            </wp:positionV>
            <wp:extent cx="7543597" cy="1067054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sc_draf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597" cy="10670540"/>
                    </a:xfrm>
                    <a:prstGeom prst="rect">
                      <a:avLst/>
                    </a:prstGeom>
                  </pic:spPr>
                </pic:pic>
              </a:graphicData>
            </a:graphic>
            <wp14:sizeRelH relativeFrom="page">
              <wp14:pctWidth>0</wp14:pctWidth>
            </wp14:sizeRelH>
            <wp14:sizeRelV relativeFrom="page">
              <wp14:pctHeight>0</wp14:pctHeight>
            </wp14:sizeRelV>
          </wp:anchor>
        </w:drawing>
      </w:r>
    </w:p>
    <w:p w14:paraId="7261D0B9" w14:textId="6A8CB991" w:rsidR="00F76E53" w:rsidRPr="008F1E62" w:rsidRDefault="00F76E53" w:rsidP="00F76E53">
      <w:pPr>
        <w:spacing w:before="240" w:after="240" w:line="240" w:lineRule="auto"/>
        <w:rPr>
          <w:rFonts w:cstheme="majorBidi"/>
          <w:b/>
        </w:rPr>
      </w:pPr>
    </w:p>
    <w:p w14:paraId="2D913A5A" w14:textId="77777777" w:rsidR="00F76E53" w:rsidRPr="008F1E62" w:rsidRDefault="00F76E53" w:rsidP="00F76E53">
      <w:pPr>
        <w:spacing w:before="240" w:after="240" w:line="240" w:lineRule="auto"/>
        <w:rPr>
          <w:rFonts w:cstheme="majorBidi"/>
          <w:b/>
        </w:rPr>
      </w:pPr>
    </w:p>
    <w:p w14:paraId="37784CF6" w14:textId="77777777" w:rsidR="00F76E53" w:rsidRPr="008F1E62" w:rsidRDefault="00F76E53" w:rsidP="00F76E53">
      <w:pPr>
        <w:spacing w:before="240" w:after="240" w:line="240" w:lineRule="auto"/>
        <w:rPr>
          <w:rFonts w:cstheme="majorBidi"/>
          <w:b/>
        </w:rPr>
      </w:pPr>
    </w:p>
    <w:p w14:paraId="1D2D5109" w14:textId="77715282" w:rsidR="00826F94" w:rsidRDefault="00F76E53">
      <w:pPr>
        <w:spacing w:after="160" w:line="259" w:lineRule="auto"/>
        <w:jc w:val="left"/>
        <w:rPr>
          <w:rFonts w:cstheme="majorBidi"/>
          <w:b/>
          <w:sz w:val="32"/>
          <w:szCs w:val="32"/>
        </w:rPr>
      </w:pPr>
      <w:r w:rsidRPr="008F1E62">
        <w:rPr>
          <w:rFonts w:cstheme="majorBidi"/>
          <w:b/>
          <w:sz w:val="32"/>
          <w:szCs w:val="32"/>
        </w:rPr>
        <w:br w:type="page"/>
      </w:r>
      <w:bookmarkStart w:id="0" w:name="_Hlk484112808"/>
      <w:bookmarkEnd w:id="0"/>
      <w:r w:rsidR="00826F94">
        <w:rPr>
          <w:rFonts w:cstheme="majorBidi"/>
          <w:b/>
          <w:sz w:val="32"/>
          <w:szCs w:val="32"/>
        </w:rPr>
        <w:lastRenderedPageBreak/>
        <w:br w:type="page"/>
      </w:r>
    </w:p>
    <w:p w14:paraId="19AE2D24" w14:textId="77777777" w:rsidR="00F76E53" w:rsidRPr="008F1E62" w:rsidRDefault="00F76E53" w:rsidP="00F76E53">
      <w:pPr>
        <w:spacing w:after="160" w:line="259" w:lineRule="auto"/>
        <w:jc w:val="left"/>
        <w:rPr>
          <w:rFonts w:cstheme="majorBidi"/>
          <w:b/>
          <w:sz w:val="32"/>
          <w:szCs w:val="32"/>
        </w:rPr>
      </w:pPr>
    </w:p>
    <w:p w14:paraId="6E8A8DAC" w14:textId="77777777" w:rsidR="00F76E53" w:rsidRPr="008F1E62" w:rsidRDefault="00F76E53" w:rsidP="00F76E53">
      <w:pPr>
        <w:autoSpaceDE w:val="0"/>
        <w:autoSpaceDN w:val="0"/>
        <w:adjustRightInd w:val="0"/>
        <w:spacing w:after="0" w:line="240" w:lineRule="auto"/>
        <w:rPr>
          <w:rFonts w:ascii="Arial" w:hAnsi="Arial" w:cs="Arial"/>
          <w:b/>
          <w:bCs/>
          <w:color w:val="000000"/>
        </w:rPr>
      </w:pPr>
    </w:p>
    <w:p w14:paraId="546A03A8" w14:textId="77777777" w:rsidR="00F76E53" w:rsidRPr="008F1E62" w:rsidRDefault="00F76E53" w:rsidP="00F76E53">
      <w:pPr>
        <w:spacing w:after="0" w:line="240" w:lineRule="auto"/>
        <w:rPr>
          <w:rFonts w:ascii="Arial" w:eastAsia="Times New Roman" w:hAnsi="Arial" w:cs="Arial"/>
          <w:color w:val="000000"/>
          <w:sz w:val="20"/>
          <w:szCs w:val="20"/>
        </w:rPr>
      </w:pPr>
    </w:p>
    <w:p w14:paraId="021B2DC2" w14:textId="77777777" w:rsidR="00F76E53" w:rsidRPr="008F1E62" w:rsidRDefault="00F76E53" w:rsidP="00F76E53">
      <w:pPr>
        <w:spacing w:after="0" w:line="240" w:lineRule="auto"/>
        <w:rPr>
          <w:rFonts w:ascii="Century Gothic" w:eastAsia="Times New Roman" w:hAnsi="Century Gothic" w:cs="Arial"/>
          <w:b/>
          <w:color w:val="000000"/>
          <w:szCs w:val="24"/>
        </w:rPr>
      </w:pPr>
      <w:r w:rsidRPr="008F1E62">
        <w:rPr>
          <w:rFonts w:ascii="Century Gothic" w:eastAsia="Times New Roman" w:hAnsi="Century Gothic" w:cs="Arial"/>
          <w:b/>
          <w:color w:val="000000"/>
          <w:szCs w:val="24"/>
        </w:rPr>
        <w:t xml:space="preserve">Report No: </w:t>
      </w:r>
    </w:p>
    <w:p w14:paraId="67B72A44" w14:textId="77777777" w:rsidR="00F76E53" w:rsidRPr="008F1E62" w:rsidRDefault="00F76E53" w:rsidP="00F76E53">
      <w:pPr>
        <w:spacing w:after="0" w:line="240" w:lineRule="auto"/>
        <w:rPr>
          <w:rFonts w:ascii="Arial" w:eastAsia="Times New Roman" w:hAnsi="Arial" w:cs="Arial"/>
          <w:color w:val="000000"/>
          <w:sz w:val="20"/>
          <w:szCs w:val="20"/>
        </w:rPr>
      </w:pPr>
    </w:p>
    <w:p w14:paraId="78DD54C9" w14:textId="77777777" w:rsidR="00F76E53" w:rsidRPr="008F1E62" w:rsidRDefault="00F76E53" w:rsidP="00F76E53">
      <w:pPr>
        <w:widowControl w:val="0"/>
        <w:autoSpaceDE w:val="0"/>
        <w:autoSpaceDN w:val="0"/>
        <w:adjustRightInd w:val="0"/>
        <w:spacing w:before="400" w:after="300" w:line="240" w:lineRule="auto"/>
        <w:ind w:right="72"/>
        <w:rPr>
          <w:rFonts w:ascii="Century Gothic" w:eastAsia="Times New Roman" w:hAnsi="Century Gothic" w:cs="Times New Roman"/>
          <w:b/>
          <w:color w:val="91BE3A"/>
          <w:szCs w:val="24"/>
        </w:rPr>
      </w:pPr>
    </w:p>
    <w:p w14:paraId="5E0A8AF2" w14:textId="517737DE" w:rsidR="00F76E53" w:rsidRPr="008F1E62" w:rsidRDefault="003479A6" w:rsidP="00F76E53">
      <w:pPr>
        <w:widowControl w:val="0"/>
        <w:autoSpaceDE w:val="0"/>
        <w:autoSpaceDN w:val="0"/>
        <w:adjustRightInd w:val="0"/>
        <w:spacing w:before="400" w:after="300" w:line="240" w:lineRule="auto"/>
        <w:ind w:right="72"/>
        <w:rPr>
          <w:rFonts w:ascii="Century Gothic" w:eastAsia="Times New Roman" w:hAnsi="Century Gothic" w:cs="Times New Roman"/>
          <w:b/>
          <w:color w:val="91BE3A"/>
          <w:szCs w:val="24"/>
        </w:rPr>
      </w:pPr>
      <w:r>
        <w:rPr>
          <w:rFonts w:cstheme="majorBidi"/>
          <w:b/>
          <w:noProof/>
          <w:sz w:val="32"/>
          <w:szCs w:val="32"/>
        </w:rPr>
        <w:drawing>
          <wp:anchor distT="0" distB="0" distL="114300" distR="114300" simplePos="0" relativeHeight="251658245" behindDoc="0" locked="0" layoutInCell="1" allowOverlap="1" wp14:anchorId="72FAE109" wp14:editId="031E49B6">
            <wp:simplePos x="0" y="0"/>
            <wp:positionH relativeFrom="column">
              <wp:posOffset>-11365</wp:posOffset>
            </wp:positionH>
            <wp:positionV relativeFrom="paragraph">
              <wp:posOffset>422341</wp:posOffset>
            </wp:positionV>
            <wp:extent cx="3030798" cy="598747"/>
            <wp:effectExtent l="0" t="0" r="0" b="0"/>
            <wp:wrapNone/>
            <wp:docPr id="36" name="Picture 36" descr="G:\World Bank\Work\CFRR\Designs\Logos\CFRR Logos\World Bank Logos\Governance\grayscale\png\WBG-Governance-Horizontal-grayscale-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World Bank\Work\CFRR\Designs\Logos\CFRR Logos\World Bank Logos\Governance\grayscale\png\WBG-Governance-Horizontal-grayscale-hig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798" cy="5987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13D5B" w14:textId="07C0CB8F" w:rsidR="00F76E53" w:rsidRPr="008F1E62" w:rsidRDefault="00F76E53" w:rsidP="00F76E53">
      <w:pPr>
        <w:widowControl w:val="0"/>
        <w:autoSpaceDE w:val="0"/>
        <w:autoSpaceDN w:val="0"/>
        <w:adjustRightInd w:val="0"/>
        <w:spacing w:before="400" w:after="300" w:line="240" w:lineRule="auto"/>
        <w:ind w:right="72"/>
        <w:rPr>
          <w:rFonts w:ascii="Century Gothic" w:eastAsia="Times New Roman" w:hAnsi="Century Gothic" w:cs="Times New Roman"/>
          <w:b/>
          <w:color w:val="91BE3A"/>
          <w:szCs w:val="24"/>
        </w:rPr>
      </w:pPr>
    </w:p>
    <w:p w14:paraId="5A1BA4EC" w14:textId="08F90F1E" w:rsidR="00F76E53" w:rsidRPr="008F1E62" w:rsidRDefault="00F76E53" w:rsidP="00F76E53">
      <w:pPr>
        <w:widowControl w:val="0"/>
        <w:autoSpaceDE w:val="0"/>
        <w:autoSpaceDN w:val="0"/>
        <w:adjustRightInd w:val="0"/>
        <w:spacing w:before="400" w:after="300" w:line="240" w:lineRule="auto"/>
        <w:ind w:right="72"/>
        <w:rPr>
          <w:rFonts w:ascii="Century Gothic" w:eastAsia="Times New Roman" w:hAnsi="Century Gothic" w:cs="Times New Roman"/>
          <w:b/>
          <w:color w:val="91BE3A"/>
          <w:szCs w:val="24"/>
        </w:rPr>
      </w:pPr>
    </w:p>
    <w:p w14:paraId="7192DBE8" w14:textId="77777777" w:rsidR="00F76E53" w:rsidRPr="008F1E62" w:rsidRDefault="00F76E53" w:rsidP="00F76E53">
      <w:pPr>
        <w:widowControl w:val="0"/>
        <w:autoSpaceDE w:val="0"/>
        <w:autoSpaceDN w:val="0"/>
        <w:adjustRightInd w:val="0"/>
        <w:spacing w:before="400" w:after="300" w:line="240" w:lineRule="auto"/>
        <w:ind w:right="72"/>
        <w:rPr>
          <w:rFonts w:ascii="Century Gothic" w:eastAsia="Times New Roman" w:hAnsi="Century Gothic" w:cs="Times New Roman"/>
          <w:b/>
          <w:color w:val="00AB51"/>
          <w:szCs w:val="24"/>
        </w:rPr>
      </w:pPr>
      <w:r w:rsidRPr="008F1E62">
        <w:rPr>
          <w:rFonts w:ascii="Century Gothic" w:eastAsia="Times New Roman" w:hAnsi="Century Gothic" w:cs="Times New Roman"/>
          <w:b/>
          <w:color w:val="00AB51"/>
          <w:szCs w:val="24"/>
        </w:rPr>
        <w:t>Standard Disclaimer:</w:t>
      </w:r>
    </w:p>
    <w:p w14:paraId="2A0B3BE2" w14:textId="77777777" w:rsidR="00F76E53" w:rsidRPr="008F1E62" w:rsidRDefault="00F76E53" w:rsidP="00F76E53">
      <w:pPr>
        <w:widowControl w:val="0"/>
        <w:autoSpaceDE w:val="0"/>
        <w:autoSpaceDN w:val="0"/>
        <w:adjustRightInd w:val="0"/>
        <w:spacing w:afterLines="100" w:after="240"/>
        <w:rPr>
          <w:rFonts w:eastAsia="Times New Roman" w:cs="Arial"/>
          <w:color w:val="86878B"/>
          <w:szCs w:val="24"/>
        </w:rPr>
      </w:pPr>
      <w:r w:rsidRPr="008F1E62">
        <w:rPr>
          <w:rFonts w:eastAsia="Times New Roman" w:cs="Arial"/>
          <w:color w:val="86878B"/>
          <w:szCs w:val="24"/>
        </w:rPr>
        <w:t>This volume is a product of the staff of the International Bank for Reconstruction and Development/ The World Bank. The findings, interpretations, and conclusions expressed in this paper do not necessarily reflect the views of the Executive Directors of The World Bank or the governments they represent. The World Bank does not guarantee the accuracy of the data included in this work. The boundaries, colors, denominations, and other information shown on any map in this work do not imply any judgment on the part of The World Bank concerning the legal status of any territory or the endorsement or acceptance of such boundaries.</w:t>
      </w:r>
    </w:p>
    <w:p w14:paraId="0C051676" w14:textId="77777777" w:rsidR="00F76E53" w:rsidRPr="008F1E62" w:rsidRDefault="00F76E53" w:rsidP="00F76E53">
      <w:pPr>
        <w:spacing w:after="0" w:line="240" w:lineRule="auto"/>
        <w:rPr>
          <w:rFonts w:ascii="Arial" w:eastAsia="Times New Roman" w:hAnsi="Arial" w:cs="Arial"/>
          <w:color w:val="000000"/>
          <w:sz w:val="18"/>
          <w:szCs w:val="18"/>
        </w:rPr>
      </w:pPr>
    </w:p>
    <w:p w14:paraId="3A3B59AD" w14:textId="77777777" w:rsidR="00F76E53" w:rsidRPr="008F1E62" w:rsidRDefault="00F76E53" w:rsidP="00F76E53">
      <w:pPr>
        <w:widowControl w:val="0"/>
        <w:autoSpaceDE w:val="0"/>
        <w:autoSpaceDN w:val="0"/>
        <w:adjustRightInd w:val="0"/>
        <w:spacing w:before="400" w:after="300" w:line="240" w:lineRule="auto"/>
        <w:ind w:right="72"/>
        <w:rPr>
          <w:rFonts w:ascii="Century Gothic" w:eastAsia="Times New Roman" w:hAnsi="Century Gothic" w:cs="Times New Roman"/>
          <w:b/>
          <w:color w:val="00AB51"/>
          <w:szCs w:val="24"/>
        </w:rPr>
      </w:pPr>
      <w:r w:rsidRPr="008F1E62">
        <w:rPr>
          <w:rFonts w:ascii="Century Gothic" w:eastAsia="Times New Roman" w:hAnsi="Century Gothic" w:cs="Times New Roman"/>
          <w:b/>
          <w:color w:val="00AB51"/>
          <w:szCs w:val="24"/>
        </w:rPr>
        <w:t>Copyright Statement:</w:t>
      </w:r>
    </w:p>
    <w:p w14:paraId="11EC0D27" w14:textId="77777777" w:rsidR="00F76E53" w:rsidRPr="008F1E62" w:rsidRDefault="00F76E53" w:rsidP="00F76E53">
      <w:pPr>
        <w:widowControl w:val="0"/>
        <w:autoSpaceDE w:val="0"/>
        <w:autoSpaceDN w:val="0"/>
        <w:adjustRightInd w:val="0"/>
        <w:spacing w:afterLines="100" w:after="240"/>
        <w:rPr>
          <w:rFonts w:eastAsia="Times New Roman" w:cs="Times New Roman"/>
          <w:color w:val="86878B"/>
          <w:szCs w:val="24"/>
        </w:rPr>
      </w:pPr>
      <w:r w:rsidRPr="008F1E62">
        <w:rPr>
          <w:rFonts w:eastAsia="Times New Roman" w:cs="Arial"/>
          <w:color w:val="86878B"/>
          <w:szCs w:val="24"/>
        </w:rPr>
        <w:t xml:space="preserve">The material in this publication is copyrighted. Copying and/or transmitting portions or </w:t>
      </w:r>
      <w:proofErr w:type="gramStart"/>
      <w:r w:rsidRPr="008F1E62">
        <w:rPr>
          <w:rFonts w:eastAsia="Times New Roman" w:cs="Arial"/>
          <w:color w:val="86878B"/>
          <w:szCs w:val="24"/>
        </w:rPr>
        <w:t>all of</w:t>
      </w:r>
      <w:proofErr w:type="gramEnd"/>
      <w:r w:rsidRPr="008F1E62">
        <w:rPr>
          <w:rFonts w:eastAsia="Times New Roman" w:cs="Arial"/>
          <w:color w:val="86878B"/>
          <w:szCs w:val="24"/>
        </w:rPr>
        <w:t xml:space="preserve"> this work without permission may be a violation of applicable law. The International Bank for Reconstruction and Development/ The World Bank encourages dissemination of its work and will normally grant permission to reproduce portions of the work promptly.</w:t>
      </w:r>
    </w:p>
    <w:p w14:paraId="27C159B3" w14:textId="77777777" w:rsidR="00F76E53" w:rsidRPr="008F1E62" w:rsidRDefault="00F76E53" w:rsidP="00F76E53">
      <w:pPr>
        <w:spacing w:afterLines="100" w:after="240"/>
        <w:rPr>
          <w:rFonts w:eastAsia="Times New Roman" w:cs="Arial"/>
          <w:color w:val="86878B"/>
          <w:szCs w:val="24"/>
        </w:rPr>
      </w:pPr>
      <w:r w:rsidRPr="008F1E62">
        <w:rPr>
          <w:rFonts w:eastAsia="Times New Roman" w:cs="Arial"/>
          <w:color w:val="86878B"/>
          <w:szCs w:val="24"/>
        </w:rPr>
        <w:t>For permission to photocopy or reprint any part of this work, please send a request with complete information to the Copyright Clearance Center, Inc., 222 Rosewood Drive, Danvers, MA 01923, USA, telephone 978-750-8400, fax 978-750-4470, http://www.copyright.com/.</w:t>
      </w:r>
    </w:p>
    <w:p w14:paraId="3F9AFB46" w14:textId="77777777" w:rsidR="00F76E53" w:rsidRPr="008F1E62" w:rsidRDefault="00F76E53" w:rsidP="00F76E53">
      <w:pPr>
        <w:spacing w:before="240" w:after="240"/>
        <w:rPr>
          <w:rFonts w:cstheme="majorBidi"/>
          <w:b/>
          <w:szCs w:val="24"/>
        </w:rPr>
      </w:pPr>
      <w:r w:rsidRPr="008F1E62">
        <w:rPr>
          <w:rFonts w:eastAsia="Times New Roman" w:cs="Arial"/>
          <w:color w:val="86878B"/>
          <w:szCs w:val="24"/>
        </w:rPr>
        <w:t xml:space="preserve">All other queries on rights and licenses, including subsidiary rights, should be addressed to the Office of the Publisher, The World Bank, 1818 H Street NW, Washington, DC 20433, USA, fax 202-522-2422, e-mail </w:t>
      </w:r>
      <w:hyperlink r:id="rId10" w:history="1">
        <w:r w:rsidRPr="008F1E62">
          <w:rPr>
            <w:rFonts w:eastAsia="Times New Roman" w:cs="Arial"/>
            <w:color w:val="86878B"/>
            <w:szCs w:val="24"/>
            <w:u w:val="single"/>
          </w:rPr>
          <w:t>pubrights@worldbank.org.</w:t>
        </w:r>
      </w:hyperlink>
    </w:p>
    <w:p w14:paraId="37A67EB4" w14:textId="77777777" w:rsidR="00F76E53" w:rsidRPr="008F1E62" w:rsidRDefault="00F76E53" w:rsidP="00F76E53">
      <w:pPr>
        <w:tabs>
          <w:tab w:val="left" w:pos="3600"/>
        </w:tabs>
        <w:spacing w:before="240" w:after="240" w:line="240" w:lineRule="auto"/>
        <w:rPr>
          <w:rFonts w:cstheme="majorBidi"/>
          <w:b/>
        </w:rPr>
        <w:sectPr w:rsidR="00F76E53" w:rsidRPr="008F1E62" w:rsidSect="0002662F">
          <w:headerReference w:type="default" r:id="rId11"/>
          <w:type w:val="nextColumn"/>
          <w:pgSz w:w="11906" w:h="16838" w:code="9"/>
          <w:pgMar w:top="1440" w:right="1440" w:bottom="1440" w:left="1440" w:header="720" w:footer="720" w:gutter="0"/>
          <w:cols w:space="720"/>
          <w:docGrid w:linePitch="360"/>
        </w:sectPr>
      </w:pPr>
    </w:p>
    <w:p w14:paraId="095783CE" w14:textId="77777777" w:rsidR="00F76E53" w:rsidRPr="008F1E62" w:rsidRDefault="00F76E53" w:rsidP="00F76E53">
      <w:pPr>
        <w:keepNext/>
        <w:pBdr>
          <w:bottom w:val="single" w:sz="12" w:space="1" w:color="00AB51"/>
        </w:pBdr>
        <w:spacing w:after="60"/>
        <w:outlineLvl w:val="0"/>
        <w:rPr>
          <w:rFonts w:ascii="Century Gothic" w:eastAsia="MS Gothic" w:hAnsi="Century Gothic"/>
          <w:b/>
          <w:bCs/>
          <w:caps/>
          <w:color w:val="00AB51"/>
          <w:kern w:val="32"/>
          <w:sz w:val="32"/>
          <w:szCs w:val="32"/>
        </w:rPr>
      </w:pPr>
      <w:bookmarkStart w:id="1" w:name="_Toc401670136"/>
      <w:bookmarkStart w:id="2" w:name="_Toc401755847"/>
      <w:bookmarkStart w:id="3" w:name="_Toc426498154"/>
      <w:bookmarkStart w:id="4" w:name="_Toc428387703"/>
      <w:bookmarkStart w:id="5" w:name="_Toc428388163"/>
      <w:bookmarkStart w:id="6" w:name="_Toc429484239"/>
      <w:bookmarkStart w:id="7" w:name="_Toc484288535"/>
      <w:bookmarkStart w:id="8" w:name="_Toc484288886"/>
      <w:bookmarkStart w:id="9" w:name="_Toc484289004"/>
      <w:bookmarkStart w:id="10" w:name="_Toc484289227"/>
      <w:bookmarkStart w:id="11" w:name="_Toc488511378"/>
      <w:bookmarkStart w:id="12" w:name="_Toc488522556"/>
      <w:bookmarkStart w:id="13" w:name="_Toc494412067"/>
      <w:bookmarkStart w:id="14" w:name="_Toc494412221"/>
      <w:bookmarkStart w:id="15" w:name="_Toc494413759"/>
      <w:bookmarkStart w:id="16" w:name="_Toc494737787"/>
      <w:bookmarkStart w:id="17" w:name="_Toc499825570"/>
      <w:r w:rsidRPr="008F1E62">
        <w:rPr>
          <w:rFonts w:ascii="Century Gothic" w:eastAsia="MS Gothic" w:hAnsi="Century Gothic"/>
          <w:b/>
          <w:bCs/>
          <w:caps/>
          <w:color w:val="00AB51"/>
          <w:kern w:val="32"/>
          <w:sz w:val="32"/>
          <w:szCs w:val="32"/>
        </w:rPr>
        <w:t>Contents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7D682317" w14:textId="77777777" w:rsidR="00F76E53" w:rsidRPr="008F1E62" w:rsidRDefault="00F76E53" w:rsidP="00F76E53">
      <w:pPr>
        <w:spacing w:after="0" w:line="240" w:lineRule="auto"/>
      </w:pPr>
    </w:p>
    <w:p w14:paraId="66CB6460" w14:textId="3DFC44FE" w:rsidR="003E72E8" w:rsidRPr="005B3FA1" w:rsidRDefault="00F76E53" w:rsidP="005B3FA1">
      <w:pPr>
        <w:pStyle w:val="TOC1"/>
        <w:rPr>
          <w:rFonts w:eastAsiaTheme="minorEastAsia"/>
          <w:b w:val="0"/>
          <w:caps w:val="0"/>
          <w:color w:val="auto"/>
          <w:kern w:val="0"/>
        </w:rPr>
      </w:pPr>
      <w:r w:rsidRPr="003E72E8">
        <w:rPr>
          <w:rFonts w:cstheme="minorHAnsi"/>
        </w:rPr>
        <w:fldChar w:fldCharType="begin"/>
      </w:r>
      <w:r w:rsidRPr="003E72E8">
        <w:rPr>
          <w:rFonts w:cstheme="minorHAnsi"/>
        </w:rPr>
        <w:instrText xml:space="preserve"> TOC \o "1-2" \h \z \u </w:instrText>
      </w:r>
      <w:r w:rsidRPr="003E72E8">
        <w:rPr>
          <w:rFonts w:cstheme="minorHAnsi"/>
        </w:rPr>
        <w:fldChar w:fldCharType="separate"/>
      </w:r>
      <w:hyperlink w:anchor="_Toc499825571" w:history="1">
        <w:r w:rsidR="003E72E8" w:rsidRPr="005B3FA1">
          <w:rPr>
            <w:rStyle w:val="Hyperlink"/>
            <w:b w:val="0"/>
            <w:caps w:val="0"/>
            <w:color w:val="auto"/>
          </w:rPr>
          <w:t>Abbreviations and Acronyms</w:t>
        </w:r>
        <w:r w:rsidR="003E72E8" w:rsidRPr="005B3FA1">
          <w:rPr>
            <w:b w:val="0"/>
            <w:caps w:val="0"/>
            <w:webHidden/>
            <w:color w:val="auto"/>
          </w:rPr>
          <w:tab/>
        </w:r>
        <w:r w:rsidR="003E72E8" w:rsidRPr="005B3FA1">
          <w:rPr>
            <w:b w:val="0"/>
            <w:caps w:val="0"/>
            <w:webHidden/>
            <w:color w:val="auto"/>
          </w:rPr>
          <w:fldChar w:fldCharType="begin"/>
        </w:r>
        <w:r w:rsidR="003E72E8" w:rsidRPr="005B3FA1">
          <w:rPr>
            <w:b w:val="0"/>
            <w:caps w:val="0"/>
            <w:webHidden/>
            <w:color w:val="auto"/>
          </w:rPr>
          <w:instrText xml:space="preserve"> PAGEREF _Toc499825571 \h </w:instrText>
        </w:r>
        <w:r w:rsidR="003E72E8" w:rsidRPr="005B3FA1">
          <w:rPr>
            <w:b w:val="0"/>
            <w:caps w:val="0"/>
            <w:webHidden/>
            <w:color w:val="auto"/>
          </w:rPr>
        </w:r>
        <w:r w:rsidR="003E72E8" w:rsidRPr="005B3FA1">
          <w:rPr>
            <w:b w:val="0"/>
            <w:caps w:val="0"/>
            <w:webHidden/>
            <w:color w:val="auto"/>
          </w:rPr>
          <w:fldChar w:fldCharType="separate"/>
        </w:r>
        <w:r w:rsidR="004310EC">
          <w:rPr>
            <w:b w:val="0"/>
            <w:caps w:val="0"/>
            <w:webHidden/>
            <w:color w:val="auto"/>
          </w:rPr>
          <w:t>iii</w:t>
        </w:r>
        <w:r w:rsidR="003E72E8" w:rsidRPr="005B3FA1">
          <w:rPr>
            <w:b w:val="0"/>
            <w:caps w:val="0"/>
            <w:webHidden/>
            <w:color w:val="auto"/>
          </w:rPr>
          <w:fldChar w:fldCharType="end"/>
        </w:r>
      </w:hyperlink>
    </w:p>
    <w:p w14:paraId="23D6B608" w14:textId="369821BD" w:rsidR="003E72E8" w:rsidRPr="005B3FA1" w:rsidRDefault="004310EC" w:rsidP="005B3FA1">
      <w:pPr>
        <w:pStyle w:val="TOC1"/>
        <w:rPr>
          <w:rFonts w:eastAsiaTheme="minorEastAsia"/>
          <w:b w:val="0"/>
          <w:caps w:val="0"/>
          <w:color w:val="auto"/>
          <w:kern w:val="0"/>
        </w:rPr>
      </w:pPr>
      <w:hyperlink w:anchor="_Toc499825572" w:history="1">
        <w:r w:rsidR="003E72E8" w:rsidRPr="005B3FA1">
          <w:rPr>
            <w:rStyle w:val="Hyperlink"/>
            <w:b w:val="0"/>
            <w:caps w:val="0"/>
            <w:color w:val="auto"/>
          </w:rPr>
          <w:t>Preface</w:t>
        </w:r>
        <w:r w:rsidR="003E72E8" w:rsidRPr="005B3FA1">
          <w:rPr>
            <w:b w:val="0"/>
            <w:caps w:val="0"/>
            <w:webHidden/>
            <w:color w:val="auto"/>
          </w:rPr>
          <w:tab/>
        </w:r>
        <w:r w:rsidR="003E72E8" w:rsidRPr="005B3FA1">
          <w:rPr>
            <w:b w:val="0"/>
            <w:caps w:val="0"/>
            <w:webHidden/>
            <w:color w:val="auto"/>
          </w:rPr>
          <w:fldChar w:fldCharType="begin"/>
        </w:r>
        <w:r w:rsidR="003E72E8" w:rsidRPr="005B3FA1">
          <w:rPr>
            <w:b w:val="0"/>
            <w:caps w:val="0"/>
            <w:webHidden/>
            <w:color w:val="auto"/>
          </w:rPr>
          <w:instrText xml:space="preserve"> PAGEREF _Toc499825572 \h </w:instrText>
        </w:r>
        <w:r w:rsidR="003E72E8" w:rsidRPr="005B3FA1">
          <w:rPr>
            <w:b w:val="0"/>
            <w:caps w:val="0"/>
            <w:webHidden/>
            <w:color w:val="auto"/>
          </w:rPr>
        </w:r>
        <w:r w:rsidR="003E72E8" w:rsidRPr="005B3FA1">
          <w:rPr>
            <w:b w:val="0"/>
            <w:caps w:val="0"/>
            <w:webHidden/>
            <w:color w:val="auto"/>
          </w:rPr>
          <w:fldChar w:fldCharType="separate"/>
        </w:r>
        <w:r>
          <w:rPr>
            <w:b w:val="0"/>
            <w:caps w:val="0"/>
            <w:webHidden/>
            <w:color w:val="auto"/>
          </w:rPr>
          <w:t>v</w:t>
        </w:r>
        <w:r w:rsidR="003E72E8" w:rsidRPr="005B3FA1">
          <w:rPr>
            <w:b w:val="0"/>
            <w:caps w:val="0"/>
            <w:webHidden/>
            <w:color w:val="auto"/>
          </w:rPr>
          <w:fldChar w:fldCharType="end"/>
        </w:r>
      </w:hyperlink>
    </w:p>
    <w:p w14:paraId="7F120DBF" w14:textId="5E94D166" w:rsidR="003E72E8" w:rsidRPr="005B3FA1" w:rsidRDefault="004310EC" w:rsidP="005B3FA1">
      <w:pPr>
        <w:pStyle w:val="TOC1"/>
        <w:rPr>
          <w:rFonts w:eastAsiaTheme="minorEastAsia"/>
          <w:b w:val="0"/>
          <w:caps w:val="0"/>
          <w:color w:val="auto"/>
          <w:kern w:val="0"/>
        </w:rPr>
      </w:pPr>
      <w:hyperlink w:anchor="_Toc499825573" w:history="1">
        <w:r w:rsidR="003E72E8" w:rsidRPr="005B3FA1">
          <w:rPr>
            <w:rStyle w:val="Hyperlink"/>
            <w:b w:val="0"/>
            <w:caps w:val="0"/>
            <w:color w:val="auto"/>
          </w:rPr>
          <w:t>Acknowledgements</w:t>
        </w:r>
        <w:r w:rsidR="003E72E8" w:rsidRPr="005B3FA1">
          <w:rPr>
            <w:b w:val="0"/>
            <w:caps w:val="0"/>
            <w:webHidden/>
            <w:color w:val="auto"/>
          </w:rPr>
          <w:tab/>
        </w:r>
        <w:r w:rsidR="003E72E8" w:rsidRPr="005B3FA1">
          <w:rPr>
            <w:b w:val="0"/>
            <w:caps w:val="0"/>
            <w:webHidden/>
            <w:color w:val="auto"/>
          </w:rPr>
          <w:fldChar w:fldCharType="begin"/>
        </w:r>
        <w:r w:rsidR="003E72E8" w:rsidRPr="005B3FA1">
          <w:rPr>
            <w:b w:val="0"/>
            <w:caps w:val="0"/>
            <w:webHidden/>
            <w:color w:val="auto"/>
          </w:rPr>
          <w:instrText xml:space="preserve"> PAGEREF _Toc499825573 \h </w:instrText>
        </w:r>
        <w:r w:rsidR="003E72E8" w:rsidRPr="005B3FA1">
          <w:rPr>
            <w:b w:val="0"/>
            <w:caps w:val="0"/>
            <w:webHidden/>
            <w:color w:val="auto"/>
          </w:rPr>
        </w:r>
        <w:r w:rsidR="003E72E8" w:rsidRPr="005B3FA1">
          <w:rPr>
            <w:b w:val="0"/>
            <w:caps w:val="0"/>
            <w:webHidden/>
            <w:color w:val="auto"/>
          </w:rPr>
          <w:fldChar w:fldCharType="separate"/>
        </w:r>
        <w:r>
          <w:rPr>
            <w:b w:val="0"/>
            <w:caps w:val="0"/>
            <w:webHidden/>
            <w:color w:val="auto"/>
          </w:rPr>
          <w:t>vi</w:t>
        </w:r>
        <w:r w:rsidR="003E72E8" w:rsidRPr="005B3FA1">
          <w:rPr>
            <w:b w:val="0"/>
            <w:caps w:val="0"/>
            <w:webHidden/>
            <w:color w:val="auto"/>
          </w:rPr>
          <w:fldChar w:fldCharType="end"/>
        </w:r>
      </w:hyperlink>
    </w:p>
    <w:p w14:paraId="72A6451B" w14:textId="35C5E5C1" w:rsidR="003E72E8" w:rsidRPr="005B3FA1" w:rsidRDefault="004310EC" w:rsidP="005B3FA1">
      <w:pPr>
        <w:pStyle w:val="TOC1"/>
        <w:rPr>
          <w:rStyle w:val="Hyperlink"/>
          <w:b w:val="0"/>
          <w:caps w:val="0"/>
          <w:color w:val="auto"/>
        </w:rPr>
      </w:pPr>
      <w:hyperlink w:anchor="_Toc499825574" w:history="1">
        <w:r w:rsidR="003E72E8" w:rsidRPr="005B3FA1">
          <w:rPr>
            <w:rStyle w:val="Hyperlink"/>
            <w:b w:val="0"/>
            <w:caps w:val="0"/>
            <w:color w:val="auto"/>
          </w:rPr>
          <w:t>Executive Summary</w:t>
        </w:r>
        <w:r w:rsidR="003E72E8" w:rsidRPr="005B3FA1">
          <w:rPr>
            <w:b w:val="0"/>
            <w:caps w:val="0"/>
            <w:webHidden/>
            <w:color w:val="auto"/>
          </w:rPr>
          <w:tab/>
        </w:r>
        <w:r w:rsidR="003E72E8" w:rsidRPr="005B3FA1">
          <w:rPr>
            <w:b w:val="0"/>
            <w:caps w:val="0"/>
            <w:webHidden/>
            <w:color w:val="auto"/>
          </w:rPr>
          <w:fldChar w:fldCharType="begin"/>
        </w:r>
        <w:r w:rsidR="003E72E8" w:rsidRPr="005B3FA1">
          <w:rPr>
            <w:b w:val="0"/>
            <w:caps w:val="0"/>
            <w:webHidden/>
            <w:color w:val="auto"/>
          </w:rPr>
          <w:instrText xml:space="preserve"> PAGEREF _Toc499825574 \h </w:instrText>
        </w:r>
        <w:r w:rsidR="003E72E8" w:rsidRPr="005B3FA1">
          <w:rPr>
            <w:b w:val="0"/>
            <w:caps w:val="0"/>
            <w:webHidden/>
            <w:color w:val="auto"/>
          </w:rPr>
        </w:r>
        <w:r w:rsidR="003E72E8" w:rsidRPr="005B3FA1">
          <w:rPr>
            <w:b w:val="0"/>
            <w:caps w:val="0"/>
            <w:webHidden/>
            <w:color w:val="auto"/>
          </w:rPr>
          <w:fldChar w:fldCharType="separate"/>
        </w:r>
        <w:r>
          <w:rPr>
            <w:b w:val="0"/>
            <w:caps w:val="0"/>
            <w:webHidden/>
            <w:color w:val="auto"/>
          </w:rPr>
          <w:t>vii</w:t>
        </w:r>
        <w:r w:rsidR="003E72E8" w:rsidRPr="005B3FA1">
          <w:rPr>
            <w:b w:val="0"/>
            <w:caps w:val="0"/>
            <w:webHidden/>
            <w:color w:val="auto"/>
          </w:rPr>
          <w:fldChar w:fldCharType="end"/>
        </w:r>
      </w:hyperlink>
    </w:p>
    <w:p w14:paraId="545AA609" w14:textId="40BCCA91" w:rsidR="003E72E8" w:rsidRPr="003E72E8" w:rsidRDefault="003E72E8" w:rsidP="003E72E8">
      <w:pPr>
        <w:spacing w:after="0"/>
      </w:pPr>
    </w:p>
    <w:p w14:paraId="25B40115" w14:textId="77777777" w:rsidR="003E72E8" w:rsidRPr="003E72E8" w:rsidRDefault="003E72E8" w:rsidP="003E72E8">
      <w:pPr>
        <w:spacing w:after="0"/>
      </w:pPr>
    </w:p>
    <w:p w14:paraId="6FB60C39" w14:textId="5A35FE80" w:rsidR="003E72E8" w:rsidRPr="005B3FA1" w:rsidRDefault="004310EC" w:rsidP="005B3FA1">
      <w:pPr>
        <w:pStyle w:val="TOC1"/>
        <w:rPr>
          <w:rFonts w:eastAsiaTheme="minorEastAsia"/>
          <w:kern w:val="0"/>
        </w:rPr>
      </w:pPr>
      <w:hyperlink w:anchor="_Toc499825575" w:history="1">
        <w:r w:rsidR="003E72E8" w:rsidRPr="005B3FA1">
          <w:rPr>
            <w:rStyle w:val="Hyperlink"/>
            <w:color w:val="4472C4"/>
          </w:rPr>
          <w:t>I. INTRODUCTION</w:t>
        </w:r>
        <w:r w:rsidR="003E72E8" w:rsidRPr="005B3FA1">
          <w:rPr>
            <w:webHidden/>
          </w:rPr>
          <w:tab/>
        </w:r>
        <w:r w:rsidR="003E72E8" w:rsidRPr="005B3FA1">
          <w:rPr>
            <w:webHidden/>
          </w:rPr>
          <w:fldChar w:fldCharType="begin"/>
        </w:r>
        <w:r w:rsidR="003E72E8" w:rsidRPr="005B3FA1">
          <w:rPr>
            <w:webHidden/>
          </w:rPr>
          <w:instrText xml:space="preserve"> PAGEREF _Toc499825575 \h </w:instrText>
        </w:r>
        <w:r w:rsidR="003E72E8" w:rsidRPr="005B3FA1">
          <w:rPr>
            <w:webHidden/>
          </w:rPr>
        </w:r>
        <w:r w:rsidR="003E72E8" w:rsidRPr="005B3FA1">
          <w:rPr>
            <w:webHidden/>
          </w:rPr>
          <w:fldChar w:fldCharType="separate"/>
        </w:r>
        <w:r>
          <w:rPr>
            <w:webHidden/>
          </w:rPr>
          <w:t>1</w:t>
        </w:r>
        <w:r w:rsidR="003E72E8" w:rsidRPr="005B3FA1">
          <w:rPr>
            <w:webHidden/>
          </w:rPr>
          <w:fldChar w:fldCharType="end"/>
        </w:r>
      </w:hyperlink>
    </w:p>
    <w:p w14:paraId="35FFEACE" w14:textId="6CA01134" w:rsidR="003E72E8" w:rsidRPr="003E72E8" w:rsidRDefault="004310EC">
      <w:pPr>
        <w:pStyle w:val="TOC2"/>
        <w:rPr>
          <w:rFonts w:eastAsiaTheme="minorEastAsia"/>
          <w:noProof/>
        </w:rPr>
      </w:pPr>
      <w:hyperlink w:anchor="_Toc499825576" w:history="1">
        <w:r w:rsidR="003E72E8" w:rsidRPr="003E72E8">
          <w:rPr>
            <w:rStyle w:val="Hyperlink"/>
            <w:noProof/>
          </w:rPr>
          <w:t>Country Background</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_Toc499825576 \h </w:instrText>
        </w:r>
        <w:r w:rsidR="003E72E8" w:rsidRPr="003E72E8">
          <w:rPr>
            <w:noProof/>
            <w:webHidden/>
          </w:rPr>
        </w:r>
        <w:r w:rsidR="003E72E8" w:rsidRPr="003E72E8">
          <w:rPr>
            <w:noProof/>
            <w:webHidden/>
          </w:rPr>
          <w:fldChar w:fldCharType="separate"/>
        </w:r>
        <w:r>
          <w:rPr>
            <w:noProof/>
            <w:webHidden/>
          </w:rPr>
          <w:t>1</w:t>
        </w:r>
        <w:r w:rsidR="003E72E8" w:rsidRPr="003E72E8">
          <w:rPr>
            <w:noProof/>
            <w:webHidden/>
          </w:rPr>
          <w:fldChar w:fldCharType="end"/>
        </w:r>
      </w:hyperlink>
    </w:p>
    <w:p w14:paraId="35DFC3AB" w14:textId="293A6DA9" w:rsidR="003E72E8" w:rsidRPr="003E72E8" w:rsidRDefault="004310EC">
      <w:pPr>
        <w:pStyle w:val="TOC2"/>
        <w:rPr>
          <w:rFonts w:eastAsiaTheme="minorEastAsia"/>
          <w:noProof/>
        </w:rPr>
      </w:pPr>
      <w:hyperlink w:anchor="_Toc499825577" w:history="1">
        <w:r w:rsidR="003E72E8" w:rsidRPr="003E72E8">
          <w:rPr>
            <w:rStyle w:val="Hyperlink"/>
            <w:noProof/>
          </w:rPr>
          <w:t>Approach</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_Toc499825577 \h </w:instrText>
        </w:r>
        <w:r w:rsidR="003E72E8" w:rsidRPr="003E72E8">
          <w:rPr>
            <w:noProof/>
            <w:webHidden/>
          </w:rPr>
        </w:r>
        <w:r w:rsidR="003E72E8" w:rsidRPr="003E72E8">
          <w:rPr>
            <w:noProof/>
            <w:webHidden/>
          </w:rPr>
          <w:fldChar w:fldCharType="separate"/>
        </w:r>
        <w:r>
          <w:rPr>
            <w:noProof/>
            <w:webHidden/>
          </w:rPr>
          <w:t>1</w:t>
        </w:r>
        <w:r w:rsidR="003E72E8" w:rsidRPr="003E72E8">
          <w:rPr>
            <w:noProof/>
            <w:webHidden/>
          </w:rPr>
          <w:fldChar w:fldCharType="end"/>
        </w:r>
      </w:hyperlink>
    </w:p>
    <w:p w14:paraId="64624100" w14:textId="77429A3C" w:rsidR="003E72E8" w:rsidRPr="003E72E8" w:rsidRDefault="004310EC">
      <w:pPr>
        <w:pStyle w:val="TOC2"/>
        <w:rPr>
          <w:rFonts w:eastAsiaTheme="minorEastAsia"/>
          <w:noProof/>
        </w:rPr>
      </w:pPr>
      <w:hyperlink w:anchor="_Toc499825578" w:history="1">
        <w:r w:rsidR="003E72E8" w:rsidRPr="003E72E8">
          <w:rPr>
            <w:rStyle w:val="Hyperlink"/>
            <w:noProof/>
          </w:rPr>
          <w:t>Economic Context</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_Toc499825578 \h </w:instrText>
        </w:r>
        <w:r w:rsidR="003E72E8" w:rsidRPr="003E72E8">
          <w:rPr>
            <w:noProof/>
            <w:webHidden/>
          </w:rPr>
        </w:r>
        <w:r w:rsidR="003E72E8" w:rsidRPr="003E72E8">
          <w:rPr>
            <w:noProof/>
            <w:webHidden/>
          </w:rPr>
          <w:fldChar w:fldCharType="separate"/>
        </w:r>
        <w:r>
          <w:rPr>
            <w:noProof/>
            <w:webHidden/>
          </w:rPr>
          <w:t>2</w:t>
        </w:r>
        <w:r w:rsidR="003E72E8" w:rsidRPr="003E72E8">
          <w:rPr>
            <w:noProof/>
            <w:webHidden/>
          </w:rPr>
          <w:fldChar w:fldCharType="end"/>
        </w:r>
      </w:hyperlink>
    </w:p>
    <w:p w14:paraId="28647A96" w14:textId="66B8CFFD" w:rsidR="003E72E8" w:rsidRPr="003E72E8" w:rsidRDefault="004310EC">
      <w:pPr>
        <w:pStyle w:val="TOC2"/>
        <w:rPr>
          <w:rFonts w:eastAsiaTheme="minorEastAsia"/>
          <w:noProof/>
        </w:rPr>
      </w:pPr>
      <w:hyperlink w:anchor="_Toc499825579" w:history="1">
        <w:r w:rsidR="003E72E8" w:rsidRPr="003E72E8">
          <w:rPr>
            <w:rStyle w:val="Hyperlink"/>
            <w:noProof/>
          </w:rPr>
          <w:t>Corporate and Financial Sector</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_Toc499825579 \h </w:instrText>
        </w:r>
        <w:r w:rsidR="003E72E8" w:rsidRPr="003E72E8">
          <w:rPr>
            <w:noProof/>
            <w:webHidden/>
          </w:rPr>
        </w:r>
        <w:r w:rsidR="003E72E8" w:rsidRPr="003E72E8">
          <w:rPr>
            <w:noProof/>
            <w:webHidden/>
          </w:rPr>
          <w:fldChar w:fldCharType="separate"/>
        </w:r>
        <w:r>
          <w:rPr>
            <w:noProof/>
            <w:webHidden/>
          </w:rPr>
          <w:t>4</w:t>
        </w:r>
        <w:r w:rsidR="003E72E8" w:rsidRPr="003E72E8">
          <w:rPr>
            <w:noProof/>
            <w:webHidden/>
          </w:rPr>
          <w:fldChar w:fldCharType="end"/>
        </w:r>
      </w:hyperlink>
    </w:p>
    <w:p w14:paraId="31BFA150" w14:textId="1281E6FF" w:rsidR="003E72E8" w:rsidRPr="003E72E8" w:rsidRDefault="004310EC">
      <w:pPr>
        <w:pStyle w:val="TOC2"/>
        <w:rPr>
          <w:rStyle w:val="Hyperlink"/>
          <w:noProof/>
        </w:rPr>
      </w:pPr>
      <w:hyperlink w:anchor="_Toc499825580" w:history="1">
        <w:r w:rsidR="003E72E8" w:rsidRPr="003E72E8">
          <w:rPr>
            <w:rStyle w:val="Hyperlink"/>
            <w:noProof/>
          </w:rPr>
          <w:t>Linkage of the Assessment to the Philippines’ Development Agenda</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_Toc499825580 \h </w:instrText>
        </w:r>
        <w:r w:rsidR="003E72E8" w:rsidRPr="003E72E8">
          <w:rPr>
            <w:noProof/>
            <w:webHidden/>
          </w:rPr>
        </w:r>
        <w:r w:rsidR="003E72E8" w:rsidRPr="003E72E8">
          <w:rPr>
            <w:noProof/>
            <w:webHidden/>
          </w:rPr>
          <w:fldChar w:fldCharType="separate"/>
        </w:r>
        <w:r>
          <w:rPr>
            <w:noProof/>
            <w:webHidden/>
          </w:rPr>
          <w:t>10</w:t>
        </w:r>
        <w:r w:rsidR="003E72E8" w:rsidRPr="003E72E8">
          <w:rPr>
            <w:noProof/>
            <w:webHidden/>
          </w:rPr>
          <w:fldChar w:fldCharType="end"/>
        </w:r>
      </w:hyperlink>
    </w:p>
    <w:p w14:paraId="7EBCC30C" w14:textId="77777777" w:rsidR="003E72E8" w:rsidRPr="003E72E8" w:rsidRDefault="003E72E8" w:rsidP="003E72E8">
      <w:pPr>
        <w:spacing w:after="0"/>
      </w:pPr>
    </w:p>
    <w:p w14:paraId="1F9C4538" w14:textId="16878625" w:rsidR="003E72E8" w:rsidRPr="005B3FA1" w:rsidRDefault="004310EC" w:rsidP="005B3FA1">
      <w:pPr>
        <w:pStyle w:val="TOC1"/>
        <w:rPr>
          <w:rFonts w:eastAsiaTheme="minorEastAsia"/>
          <w:kern w:val="0"/>
        </w:rPr>
      </w:pPr>
      <w:hyperlink w:anchor="_Toc499825581" w:history="1">
        <w:r w:rsidR="003E72E8" w:rsidRPr="005B3FA1">
          <w:rPr>
            <w:rStyle w:val="Hyperlink"/>
            <w:color w:val="4472C4"/>
          </w:rPr>
          <w:t>II. ASSESSMENT</w:t>
        </w:r>
        <w:r w:rsidR="003E72E8" w:rsidRPr="005B3FA1">
          <w:rPr>
            <w:webHidden/>
          </w:rPr>
          <w:tab/>
        </w:r>
        <w:r w:rsidR="003E72E8" w:rsidRPr="005B3FA1">
          <w:rPr>
            <w:webHidden/>
          </w:rPr>
          <w:fldChar w:fldCharType="begin"/>
        </w:r>
        <w:r w:rsidR="003E72E8" w:rsidRPr="005B3FA1">
          <w:rPr>
            <w:webHidden/>
          </w:rPr>
          <w:instrText xml:space="preserve"> PAGEREF _Toc499825581 \h </w:instrText>
        </w:r>
        <w:r w:rsidR="003E72E8" w:rsidRPr="005B3FA1">
          <w:rPr>
            <w:webHidden/>
          </w:rPr>
        </w:r>
        <w:r w:rsidR="003E72E8" w:rsidRPr="005B3FA1">
          <w:rPr>
            <w:webHidden/>
          </w:rPr>
          <w:fldChar w:fldCharType="separate"/>
        </w:r>
        <w:r>
          <w:rPr>
            <w:webHidden/>
          </w:rPr>
          <w:t>12</w:t>
        </w:r>
        <w:r w:rsidR="003E72E8" w:rsidRPr="005B3FA1">
          <w:rPr>
            <w:webHidden/>
          </w:rPr>
          <w:fldChar w:fldCharType="end"/>
        </w:r>
      </w:hyperlink>
    </w:p>
    <w:p w14:paraId="49182FF0" w14:textId="6240382A" w:rsidR="003E72E8" w:rsidRPr="003E72E8" w:rsidRDefault="004310EC">
      <w:pPr>
        <w:pStyle w:val="TOC2"/>
        <w:rPr>
          <w:rFonts w:eastAsiaTheme="minorEastAsia"/>
          <w:noProof/>
        </w:rPr>
      </w:pPr>
      <w:hyperlink w:anchor="_Toc499825582" w:history="1">
        <w:r w:rsidR="003E72E8" w:rsidRPr="003E72E8">
          <w:rPr>
            <w:rStyle w:val="Hyperlink"/>
            <w:noProof/>
          </w:rPr>
          <w:t>A&amp;A Standards</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_Toc499825582 \h </w:instrText>
        </w:r>
        <w:r w:rsidR="003E72E8" w:rsidRPr="003E72E8">
          <w:rPr>
            <w:noProof/>
            <w:webHidden/>
          </w:rPr>
        </w:r>
        <w:r w:rsidR="003E72E8" w:rsidRPr="003E72E8">
          <w:rPr>
            <w:noProof/>
            <w:webHidden/>
          </w:rPr>
          <w:fldChar w:fldCharType="separate"/>
        </w:r>
        <w:r>
          <w:rPr>
            <w:noProof/>
            <w:webHidden/>
          </w:rPr>
          <w:t>12</w:t>
        </w:r>
        <w:r w:rsidR="003E72E8" w:rsidRPr="003E72E8">
          <w:rPr>
            <w:noProof/>
            <w:webHidden/>
          </w:rPr>
          <w:fldChar w:fldCharType="end"/>
        </w:r>
      </w:hyperlink>
    </w:p>
    <w:p w14:paraId="3FF3E5AD" w14:textId="22602A8D" w:rsidR="003E72E8" w:rsidRPr="003E72E8" w:rsidRDefault="004310EC">
      <w:pPr>
        <w:pStyle w:val="TOC2"/>
        <w:rPr>
          <w:rFonts w:eastAsiaTheme="minorEastAsia"/>
          <w:noProof/>
        </w:rPr>
      </w:pPr>
      <w:hyperlink w:anchor="_Toc499825583" w:history="1">
        <w:r w:rsidR="003E72E8" w:rsidRPr="003E72E8">
          <w:rPr>
            <w:rStyle w:val="Hyperlink"/>
            <w:noProof/>
          </w:rPr>
          <w:t>Institutional Framework for Corporate Financial Reporting</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_Toc499825583 \h </w:instrText>
        </w:r>
        <w:r w:rsidR="003E72E8" w:rsidRPr="003E72E8">
          <w:rPr>
            <w:noProof/>
            <w:webHidden/>
          </w:rPr>
        </w:r>
        <w:r w:rsidR="003E72E8" w:rsidRPr="003E72E8">
          <w:rPr>
            <w:noProof/>
            <w:webHidden/>
          </w:rPr>
          <w:fldChar w:fldCharType="separate"/>
        </w:r>
        <w:r>
          <w:rPr>
            <w:noProof/>
            <w:webHidden/>
          </w:rPr>
          <w:t>13</w:t>
        </w:r>
        <w:r w:rsidR="003E72E8" w:rsidRPr="003E72E8">
          <w:rPr>
            <w:noProof/>
            <w:webHidden/>
          </w:rPr>
          <w:fldChar w:fldCharType="end"/>
        </w:r>
      </w:hyperlink>
    </w:p>
    <w:p w14:paraId="0ABEEF60" w14:textId="52E78F19" w:rsidR="003E72E8" w:rsidRPr="003E72E8" w:rsidRDefault="004310EC">
      <w:pPr>
        <w:pStyle w:val="TOC2"/>
        <w:rPr>
          <w:rStyle w:val="Hyperlink"/>
          <w:noProof/>
        </w:rPr>
      </w:pPr>
      <w:hyperlink w:anchor="_Toc499825584" w:history="1">
        <w:r w:rsidR="003E72E8" w:rsidRPr="003E72E8">
          <w:rPr>
            <w:rStyle w:val="Hyperlink"/>
            <w:noProof/>
          </w:rPr>
          <w:t>Observed Reporting Practices and Perceptions</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_Toc499825584 \h </w:instrText>
        </w:r>
        <w:r w:rsidR="003E72E8" w:rsidRPr="003E72E8">
          <w:rPr>
            <w:noProof/>
            <w:webHidden/>
          </w:rPr>
        </w:r>
        <w:r w:rsidR="003E72E8" w:rsidRPr="003E72E8">
          <w:rPr>
            <w:noProof/>
            <w:webHidden/>
          </w:rPr>
          <w:fldChar w:fldCharType="separate"/>
        </w:r>
        <w:r>
          <w:rPr>
            <w:noProof/>
            <w:webHidden/>
          </w:rPr>
          <w:t>53</w:t>
        </w:r>
        <w:r w:rsidR="003E72E8" w:rsidRPr="003E72E8">
          <w:rPr>
            <w:noProof/>
            <w:webHidden/>
          </w:rPr>
          <w:fldChar w:fldCharType="end"/>
        </w:r>
      </w:hyperlink>
    </w:p>
    <w:p w14:paraId="253A3494" w14:textId="77777777" w:rsidR="003E72E8" w:rsidRPr="003E72E8" w:rsidRDefault="003E72E8" w:rsidP="003E72E8">
      <w:pPr>
        <w:spacing w:after="0"/>
      </w:pPr>
    </w:p>
    <w:p w14:paraId="59F1DAF7" w14:textId="24E48601" w:rsidR="003E72E8" w:rsidRPr="005B3FA1" w:rsidRDefault="004310EC" w:rsidP="005B3FA1">
      <w:pPr>
        <w:pStyle w:val="TOC1"/>
        <w:rPr>
          <w:rStyle w:val="Hyperlink"/>
          <w:color w:val="4472C4"/>
        </w:rPr>
      </w:pPr>
      <w:hyperlink w:anchor="_Toc499825585" w:history="1">
        <w:r w:rsidR="003E72E8" w:rsidRPr="005B3FA1">
          <w:rPr>
            <w:rStyle w:val="Hyperlink"/>
            <w:color w:val="4472C4"/>
          </w:rPr>
          <w:t>III. Status of Policy Recommendations of ROSC A&amp;A 2006</w:t>
        </w:r>
        <w:r w:rsidR="003E72E8" w:rsidRPr="005B3FA1">
          <w:rPr>
            <w:webHidden/>
          </w:rPr>
          <w:tab/>
        </w:r>
        <w:r w:rsidR="003E72E8" w:rsidRPr="005B3FA1">
          <w:rPr>
            <w:webHidden/>
          </w:rPr>
          <w:fldChar w:fldCharType="begin"/>
        </w:r>
        <w:r w:rsidR="003E72E8" w:rsidRPr="005B3FA1">
          <w:rPr>
            <w:webHidden/>
          </w:rPr>
          <w:instrText xml:space="preserve"> PAGEREF _Toc499825585 \h </w:instrText>
        </w:r>
        <w:r w:rsidR="003E72E8" w:rsidRPr="005B3FA1">
          <w:rPr>
            <w:webHidden/>
          </w:rPr>
        </w:r>
        <w:r w:rsidR="003E72E8" w:rsidRPr="005B3FA1">
          <w:rPr>
            <w:webHidden/>
          </w:rPr>
          <w:fldChar w:fldCharType="separate"/>
        </w:r>
        <w:r>
          <w:rPr>
            <w:webHidden/>
          </w:rPr>
          <w:t>56</w:t>
        </w:r>
        <w:r w:rsidR="003E72E8" w:rsidRPr="005B3FA1">
          <w:rPr>
            <w:webHidden/>
          </w:rPr>
          <w:fldChar w:fldCharType="end"/>
        </w:r>
      </w:hyperlink>
    </w:p>
    <w:p w14:paraId="25D7974C" w14:textId="77777777" w:rsidR="003E72E8" w:rsidRPr="003E72E8" w:rsidRDefault="003E72E8" w:rsidP="003E72E8">
      <w:pPr>
        <w:spacing w:after="0"/>
      </w:pPr>
    </w:p>
    <w:p w14:paraId="2E6A0C33" w14:textId="7F71B463" w:rsidR="003E72E8" w:rsidRPr="005B3FA1" w:rsidRDefault="004310EC" w:rsidP="005B3FA1">
      <w:pPr>
        <w:pStyle w:val="TOC1"/>
        <w:rPr>
          <w:rStyle w:val="Hyperlink"/>
          <w:color w:val="4472C4"/>
        </w:rPr>
      </w:pPr>
      <w:hyperlink w:anchor="_Toc499825586" w:history="1">
        <w:r w:rsidR="003E72E8" w:rsidRPr="005B3FA1">
          <w:rPr>
            <w:rStyle w:val="Hyperlink"/>
            <w:color w:val="4472C4"/>
          </w:rPr>
          <w:t>IV. Key Findings and Areas for Consideration</w:t>
        </w:r>
        <w:r w:rsidR="003E72E8" w:rsidRPr="005B3FA1">
          <w:rPr>
            <w:webHidden/>
          </w:rPr>
          <w:tab/>
        </w:r>
        <w:r w:rsidR="003E72E8" w:rsidRPr="005B3FA1">
          <w:rPr>
            <w:webHidden/>
          </w:rPr>
          <w:fldChar w:fldCharType="begin"/>
        </w:r>
        <w:r w:rsidR="003E72E8" w:rsidRPr="005B3FA1">
          <w:rPr>
            <w:webHidden/>
          </w:rPr>
          <w:instrText xml:space="preserve"> PAGEREF _Toc499825586 \h </w:instrText>
        </w:r>
        <w:r w:rsidR="003E72E8" w:rsidRPr="005B3FA1">
          <w:rPr>
            <w:webHidden/>
          </w:rPr>
        </w:r>
        <w:r w:rsidR="003E72E8" w:rsidRPr="005B3FA1">
          <w:rPr>
            <w:webHidden/>
          </w:rPr>
          <w:fldChar w:fldCharType="separate"/>
        </w:r>
        <w:r>
          <w:rPr>
            <w:webHidden/>
          </w:rPr>
          <w:t>58</w:t>
        </w:r>
        <w:r w:rsidR="003E72E8" w:rsidRPr="005B3FA1">
          <w:rPr>
            <w:webHidden/>
          </w:rPr>
          <w:fldChar w:fldCharType="end"/>
        </w:r>
      </w:hyperlink>
    </w:p>
    <w:p w14:paraId="05ACB600" w14:textId="7392CD6E" w:rsidR="003E72E8" w:rsidRPr="003E72E8" w:rsidRDefault="003E72E8" w:rsidP="003E72E8">
      <w:pPr>
        <w:spacing w:after="0"/>
      </w:pPr>
    </w:p>
    <w:p w14:paraId="61DFF8E8" w14:textId="77777777" w:rsidR="003E72E8" w:rsidRPr="003E72E8" w:rsidRDefault="003E72E8" w:rsidP="003E72E8">
      <w:pPr>
        <w:spacing w:after="0"/>
      </w:pPr>
    </w:p>
    <w:p w14:paraId="3562CB88" w14:textId="6235AB5A" w:rsidR="003E72E8" w:rsidRDefault="004310EC" w:rsidP="005B3FA1">
      <w:pPr>
        <w:pStyle w:val="TOC1"/>
        <w:rPr>
          <w:rStyle w:val="Hyperlink"/>
          <w:b w:val="0"/>
          <w:color w:val="auto"/>
        </w:rPr>
      </w:pPr>
      <w:hyperlink w:anchor="_Toc499825587" w:history="1">
        <w:r w:rsidR="003E72E8" w:rsidRPr="005B7B21">
          <w:rPr>
            <w:rStyle w:val="Hyperlink"/>
            <w:b w:val="0"/>
            <w:color w:val="auto"/>
          </w:rPr>
          <w:t>ANNEX 1: Summary of Progress on ROSC 2006 Recommendations</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_Toc499825587 \h </w:instrText>
        </w:r>
        <w:r w:rsidR="003E72E8" w:rsidRPr="005B7B21">
          <w:rPr>
            <w:b w:val="0"/>
            <w:webHidden/>
            <w:color w:val="auto"/>
          </w:rPr>
        </w:r>
        <w:r w:rsidR="003E72E8" w:rsidRPr="005B7B21">
          <w:rPr>
            <w:b w:val="0"/>
            <w:webHidden/>
            <w:color w:val="auto"/>
          </w:rPr>
          <w:fldChar w:fldCharType="separate"/>
        </w:r>
        <w:r>
          <w:rPr>
            <w:b w:val="0"/>
            <w:webHidden/>
            <w:color w:val="auto"/>
          </w:rPr>
          <w:t>66</w:t>
        </w:r>
        <w:r w:rsidR="003E72E8" w:rsidRPr="005B7B21">
          <w:rPr>
            <w:b w:val="0"/>
            <w:webHidden/>
            <w:color w:val="auto"/>
          </w:rPr>
          <w:fldChar w:fldCharType="end"/>
        </w:r>
      </w:hyperlink>
    </w:p>
    <w:p w14:paraId="374EE7B0" w14:textId="77777777" w:rsidR="007F582E" w:rsidRPr="007F582E" w:rsidRDefault="007F582E" w:rsidP="007F582E">
      <w:pPr>
        <w:spacing w:after="0"/>
      </w:pPr>
    </w:p>
    <w:p w14:paraId="2A26F36E" w14:textId="2F541DDD" w:rsidR="003E72E8" w:rsidRDefault="004310EC" w:rsidP="005B3FA1">
      <w:pPr>
        <w:pStyle w:val="TOC1"/>
        <w:rPr>
          <w:rStyle w:val="Hyperlink"/>
          <w:b w:val="0"/>
          <w:color w:val="auto"/>
        </w:rPr>
      </w:pPr>
      <w:hyperlink w:anchor="_Toc499825588" w:history="1">
        <w:r w:rsidR="003E72E8" w:rsidRPr="005B7B21">
          <w:rPr>
            <w:rStyle w:val="Hyperlink"/>
            <w:b w:val="0"/>
            <w:color w:val="auto"/>
          </w:rPr>
          <w:t>ANNEX 2: Independent Audit Oversight Structures within ASEAN</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_Toc499825588 \h </w:instrText>
        </w:r>
        <w:r w:rsidR="003E72E8" w:rsidRPr="005B7B21">
          <w:rPr>
            <w:b w:val="0"/>
            <w:webHidden/>
            <w:color w:val="auto"/>
          </w:rPr>
        </w:r>
        <w:r w:rsidR="003E72E8" w:rsidRPr="005B7B21">
          <w:rPr>
            <w:b w:val="0"/>
            <w:webHidden/>
            <w:color w:val="auto"/>
          </w:rPr>
          <w:fldChar w:fldCharType="separate"/>
        </w:r>
        <w:r>
          <w:rPr>
            <w:b w:val="0"/>
            <w:webHidden/>
            <w:color w:val="auto"/>
          </w:rPr>
          <w:t>68</w:t>
        </w:r>
        <w:r w:rsidR="003E72E8" w:rsidRPr="005B7B21">
          <w:rPr>
            <w:b w:val="0"/>
            <w:webHidden/>
            <w:color w:val="auto"/>
          </w:rPr>
          <w:fldChar w:fldCharType="end"/>
        </w:r>
      </w:hyperlink>
    </w:p>
    <w:p w14:paraId="7B82706F" w14:textId="77777777" w:rsidR="007F582E" w:rsidRPr="007F582E" w:rsidRDefault="007F582E" w:rsidP="007F582E">
      <w:pPr>
        <w:spacing w:after="0"/>
      </w:pPr>
    </w:p>
    <w:p w14:paraId="33558054" w14:textId="2EB5CC17" w:rsidR="003E72E8" w:rsidRPr="005B7B21" w:rsidRDefault="004310EC" w:rsidP="005B3FA1">
      <w:pPr>
        <w:pStyle w:val="TOC1"/>
        <w:rPr>
          <w:rFonts w:eastAsiaTheme="minorEastAsia"/>
          <w:b w:val="0"/>
          <w:color w:val="auto"/>
          <w:kern w:val="0"/>
        </w:rPr>
      </w:pPr>
      <w:hyperlink w:anchor="_Toc499825589" w:history="1">
        <w:r w:rsidR="003E72E8" w:rsidRPr="005B7B21">
          <w:rPr>
            <w:rStyle w:val="Hyperlink"/>
            <w:b w:val="0"/>
            <w:color w:val="auto"/>
          </w:rPr>
          <w:t>ANNEX 3: Significant Factors for the Efficient Functioning of Audit Oversight</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_Toc499825589 \h </w:instrText>
        </w:r>
        <w:r w:rsidR="003E72E8" w:rsidRPr="005B7B21">
          <w:rPr>
            <w:b w:val="0"/>
            <w:webHidden/>
            <w:color w:val="auto"/>
          </w:rPr>
        </w:r>
        <w:r w:rsidR="003E72E8" w:rsidRPr="005B7B21">
          <w:rPr>
            <w:b w:val="0"/>
            <w:webHidden/>
            <w:color w:val="auto"/>
          </w:rPr>
          <w:fldChar w:fldCharType="separate"/>
        </w:r>
        <w:r>
          <w:rPr>
            <w:b w:val="0"/>
            <w:webHidden/>
            <w:color w:val="auto"/>
          </w:rPr>
          <w:t>71</w:t>
        </w:r>
        <w:r w:rsidR="003E72E8" w:rsidRPr="005B7B21">
          <w:rPr>
            <w:b w:val="0"/>
            <w:webHidden/>
            <w:color w:val="auto"/>
          </w:rPr>
          <w:fldChar w:fldCharType="end"/>
        </w:r>
      </w:hyperlink>
    </w:p>
    <w:p w14:paraId="7228E749" w14:textId="6FDE2328" w:rsidR="003E72E8" w:rsidRPr="005B7B21" w:rsidRDefault="004310EC">
      <w:pPr>
        <w:pStyle w:val="TOC2"/>
        <w:rPr>
          <w:rFonts w:eastAsiaTheme="minorEastAsia"/>
          <w:noProof/>
        </w:rPr>
      </w:pPr>
      <w:hyperlink w:anchor="_Toc499825590" w:history="1">
        <w:r w:rsidR="003E72E8" w:rsidRPr="005B7B21">
          <w:rPr>
            <w:rStyle w:val="Hyperlink"/>
            <w:noProof/>
            <w:color w:val="auto"/>
          </w:rPr>
          <w:t>IFIAR Core Principles for Independent Audit Regulators</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_Toc499825590 \h </w:instrText>
        </w:r>
        <w:r w:rsidR="003E72E8" w:rsidRPr="005B7B21">
          <w:rPr>
            <w:noProof/>
            <w:webHidden/>
          </w:rPr>
        </w:r>
        <w:r w:rsidR="003E72E8" w:rsidRPr="005B7B21">
          <w:rPr>
            <w:noProof/>
            <w:webHidden/>
          </w:rPr>
          <w:fldChar w:fldCharType="separate"/>
        </w:r>
        <w:r>
          <w:rPr>
            <w:noProof/>
            <w:webHidden/>
          </w:rPr>
          <w:t>71</w:t>
        </w:r>
        <w:r w:rsidR="003E72E8" w:rsidRPr="005B7B21">
          <w:rPr>
            <w:noProof/>
            <w:webHidden/>
          </w:rPr>
          <w:fldChar w:fldCharType="end"/>
        </w:r>
      </w:hyperlink>
    </w:p>
    <w:p w14:paraId="263DD461" w14:textId="34DE60CD" w:rsidR="003E72E8" w:rsidRDefault="004310EC">
      <w:pPr>
        <w:pStyle w:val="TOC2"/>
        <w:rPr>
          <w:rStyle w:val="Hyperlink"/>
          <w:noProof/>
          <w:color w:val="auto"/>
        </w:rPr>
      </w:pPr>
      <w:hyperlink w:anchor="_Toc499825591" w:history="1">
        <w:r w:rsidR="003E72E8" w:rsidRPr="005B7B21">
          <w:rPr>
            <w:rStyle w:val="Hyperlink"/>
            <w:noProof/>
            <w:color w:val="auto"/>
          </w:rPr>
          <w:t>International Professional Requirements of IFAC</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_Toc499825591 \h </w:instrText>
        </w:r>
        <w:r w:rsidR="003E72E8" w:rsidRPr="005B7B21">
          <w:rPr>
            <w:noProof/>
            <w:webHidden/>
          </w:rPr>
        </w:r>
        <w:r w:rsidR="003E72E8" w:rsidRPr="005B7B21">
          <w:rPr>
            <w:noProof/>
            <w:webHidden/>
          </w:rPr>
          <w:fldChar w:fldCharType="separate"/>
        </w:r>
        <w:r>
          <w:rPr>
            <w:noProof/>
            <w:webHidden/>
          </w:rPr>
          <w:t>72</w:t>
        </w:r>
        <w:r w:rsidR="003E72E8" w:rsidRPr="005B7B21">
          <w:rPr>
            <w:noProof/>
            <w:webHidden/>
          </w:rPr>
          <w:fldChar w:fldCharType="end"/>
        </w:r>
      </w:hyperlink>
    </w:p>
    <w:p w14:paraId="6D5C2B9B" w14:textId="77777777" w:rsidR="007F582E" w:rsidRPr="007F582E" w:rsidRDefault="007F582E" w:rsidP="007F582E">
      <w:pPr>
        <w:spacing w:after="0"/>
      </w:pPr>
    </w:p>
    <w:p w14:paraId="2D0966A1" w14:textId="3F9F696B" w:rsidR="003E72E8" w:rsidRPr="005B7B21" w:rsidRDefault="004310EC" w:rsidP="005B3FA1">
      <w:pPr>
        <w:pStyle w:val="TOC1"/>
        <w:rPr>
          <w:rFonts w:eastAsiaTheme="minorEastAsia"/>
          <w:b w:val="0"/>
          <w:color w:val="auto"/>
          <w:kern w:val="0"/>
        </w:rPr>
      </w:pPr>
      <w:hyperlink w:anchor="_Toc499825592" w:history="1">
        <w:r w:rsidR="003E72E8" w:rsidRPr="005B7B21">
          <w:rPr>
            <w:rStyle w:val="Hyperlink"/>
            <w:b w:val="0"/>
            <w:color w:val="auto"/>
          </w:rPr>
          <w:t>ANNEX 4: Required Audited Financial Statements by Agency</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_Toc499825592 \h </w:instrText>
        </w:r>
        <w:r w:rsidR="003E72E8" w:rsidRPr="005B7B21">
          <w:rPr>
            <w:b w:val="0"/>
            <w:webHidden/>
            <w:color w:val="auto"/>
          </w:rPr>
        </w:r>
        <w:r w:rsidR="003E72E8" w:rsidRPr="005B7B21">
          <w:rPr>
            <w:b w:val="0"/>
            <w:webHidden/>
            <w:color w:val="auto"/>
          </w:rPr>
          <w:fldChar w:fldCharType="separate"/>
        </w:r>
        <w:r>
          <w:rPr>
            <w:b w:val="0"/>
            <w:webHidden/>
            <w:color w:val="auto"/>
          </w:rPr>
          <w:t>73</w:t>
        </w:r>
        <w:r w:rsidR="003E72E8" w:rsidRPr="005B7B21">
          <w:rPr>
            <w:b w:val="0"/>
            <w:webHidden/>
            <w:color w:val="auto"/>
          </w:rPr>
          <w:fldChar w:fldCharType="end"/>
        </w:r>
      </w:hyperlink>
    </w:p>
    <w:p w14:paraId="5CB2FCB6" w14:textId="38FD8D02" w:rsidR="003E72E8" w:rsidRPr="005B7B21" w:rsidRDefault="004310EC">
      <w:pPr>
        <w:pStyle w:val="TOC2"/>
        <w:rPr>
          <w:rFonts w:eastAsiaTheme="minorEastAsia"/>
          <w:noProof/>
        </w:rPr>
      </w:pPr>
      <w:hyperlink w:anchor="_Toc499825593" w:history="1">
        <w:r w:rsidR="003E72E8" w:rsidRPr="005B7B21">
          <w:rPr>
            <w:rStyle w:val="Hyperlink"/>
            <w:noProof/>
            <w:color w:val="auto"/>
          </w:rPr>
          <w:t>Bureau of Internal Revenue Audit Requirements</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_Toc499825593 \h </w:instrText>
        </w:r>
        <w:r w:rsidR="003E72E8" w:rsidRPr="005B7B21">
          <w:rPr>
            <w:noProof/>
            <w:webHidden/>
          </w:rPr>
        </w:r>
        <w:r w:rsidR="003E72E8" w:rsidRPr="005B7B21">
          <w:rPr>
            <w:noProof/>
            <w:webHidden/>
          </w:rPr>
          <w:fldChar w:fldCharType="separate"/>
        </w:r>
        <w:r>
          <w:rPr>
            <w:noProof/>
            <w:webHidden/>
          </w:rPr>
          <w:t>73</w:t>
        </w:r>
        <w:r w:rsidR="003E72E8" w:rsidRPr="005B7B21">
          <w:rPr>
            <w:noProof/>
            <w:webHidden/>
          </w:rPr>
          <w:fldChar w:fldCharType="end"/>
        </w:r>
      </w:hyperlink>
    </w:p>
    <w:p w14:paraId="5995C43B" w14:textId="02B4D224" w:rsidR="003E72E8" w:rsidRPr="005B7B21" w:rsidRDefault="004310EC">
      <w:pPr>
        <w:pStyle w:val="TOC2"/>
        <w:rPr>
          <w:rFonts w:eastAsiaTheme="minorEastAsia"/>
          <w:noProof/>
        </w:rPr>
      </w:pPr>
      <w:hyperlink w:anchor="_Toc499825594" w:history="1">
        <w:r w:rsidR="003E72E8" w:rsidRPr="005B7B21">
          <w:rPr>
            <w:rStyle w:val="Hyperlink"/>
            <w:noProof/>
            <w:color w:val="auto"/>
          </w:rPr>
          <w:t>Publicly Accountable Entities (including listed companies) Audit Requirements</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_Toc499825594 \h </w:instrText>
        </w:r>
        <w:r w:rsidR="003E72E8" w:rsidRPr="005B7B21">
          <w:rPr>
            <w:noProof/>
            <w:webHidden/>
          </w:rPr>
        </w:r>
        <w:r w:rsidR="003E72E8" w:rsidRPr="005B7B21">
          <w:rPr>
            <w:noProof/>
            <w:webHidden/>
          </w:rPr>
          <w:fldChar w:fldCharType="separate"/>
        </w:r>
        <w:r>
          <w:rPr>
            <w:noProof/>
            <w:webHidden/>
          </w:rPr>
          <w:t>73</w:t>
        </w:r>
        <w:r w:rsidR="003E72E8" w:rsidRPr="005B7B21">
          <w:rPr>
            <w:noProof/>
            <w:webHidden/>
          </w:rPr>
          <w:fldChar w:fldCharType="end"/>
        </w:r>
      </w:hyperlink>
    </w:p>
    <w:p w14:paraId="6195FDC6" w14:textId="6CA0FAC2" w:rsidR="003E72E8" w:rsidRPr="005B7B21" w:rsidRDefault="004310EC">
      <w:pPr>
        <w:pStyle w:val="TOC2"/>
        <w:rPr>
          <w:rFonts w:eastAsiaTheme="minorEastAsia"/>
          <w:noProof/>
        </w:rPr>
      </w:pPr>
      <w:hyperlink w:anchor="_Toc499825595" w:history="1">
        <w:r w:rsidR="003E72E8" w:rsidRPr="005B7B21">
          <w:rPr>
            <w:rStyle w:val="Hyperlink"/>
            <w:noProof/>
            <w:color w:val="auto"/>
          </w:rPr>
          <w:t>Bank Audit Requirements</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_Toc499825595 \h </w:instrText>
        </w:r>
        <w:r w:rsidR="003E72E8" w:rsidRPr="005B7B21">
          <w:rPr>
            <w:noProof/>
            <w:webHidden/>
          </w:rPr>
        </w:r>
        <w:r w:rsidR="003E72E8" w:rsidRPr="005B7B21">
          <w:rPr>
            <w:noProof/>
            <w:webHidden/>
          </w:rPr>
          <w:fldChar w:fldCharType="separate"/>
        </w:r>
        <w:r>
          <w:rPr>
            <w:noProof/>
            <w:webHidden/>
          </w:rPr>
          <w:t>74</w:t>
        </w:r>
        <w:r w:rsidR="003E72E8" w:rsidRPr="005B7B21">
          <w:rPr>
            <w:noProof/>
            <w:webHidden/>
          </w:rPr>
          <w:fldChar w:fldCharType="end"/>
        </w:r>
      </w:hyperlink>
    </w:p>
    <w:p w14:paraId="523575D0" w14:textId="600944DB" w:rsidR="003E72E8" w:rsidRDefault="004310EC">
      <w:pPr>
        <w:pStyle w:val="TOC2"/>
        <w:rPr>
          <w:rStyle w:val="Hyperlink"/>
          <w:noProof/>
          <w:color w:val="auto"/>
        </w:rPr>
      </w:pPr>
      <w:hyperlink w:anchor="_Toc499825596" w:history="1">
        <w:r w:rsidR="003E72E8" w:rsidRPr="005B7B21">
          <w:rPr>
            <w:rStyle w:val="Hyperlink"/>
            <w:noProof/>
            <w:color w:val="auto"/>
          </w:rPr>
          <w:t>Insurance Audit Requirements</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_Toc499825596 \h </w:instrText>
        </w:r>
        <w:r w:rsidR="003E72E8" w:rsidRPr="005B7B21">
          <w:rPr>
            <w:noProof/>
            <w:webHidden/>
          </w:rPr>
        </w:r>
        <w:r w:rsidR="003E72E8" w:rsidRPr="005B7B21">
          <w:rPr>
            <w:noProof/>
            <w:webHidden/>
          </w:rPr>
          <w:fldChar w:fldCharType="separate"/>
        </w:r>
        <w:r>
          <w:rPr>
            <w:noProof/>
            <w:webHidden/>
          </w:rPr>
          <w:t>75</w:t>
        </w:r>
        <w:r w:rsidR="003E72E8" w:rsidRPr="005B7B21">
          <w:rPr>
            <w:noProof/>
            <w:webHidden/>
          </w:rPr>
          <w:fldChar w:fldCharType="end"/>
        </w:r>
      </w:hyperlink>
    </w:p>
    <w:p w14:paraId="07F6F465" w14:textId="77777777" w:rsidR="007F582E" w:rsidRPr="007F582E" w:rsidRDefault="007F582E" w:rsidP="007F582E">
      <w:pPr>
        <w:spacing w:after="0"/>
      </w:pPr>
    </w:p>
    <w:p w14:paraId="67F58114" w14:textId="3CE01A1B" w:rsidR="003E72E8" w:rsidRPr="005B7B21" w:rsidRDefault="004310EC" w:rsidP="005B3FA1">
      <w:pPr>
        <w:pStyle w:val="TOC1"/>
        <w:rPr>
          <w:rFonts w:eastAsiaTheme="minorEastAsia"/>
          <w:b w:val="0"/>
          <w:color w:val="auto"/>
          <w:kern w:val="0"/>
        </w:rPr>
      </w:pPr>
      <w:hyperlink w:anchor="_Toc499825597" w:history="1">
        <w:r w:rsidR="003E72E8" w:rsidRPr="005B7B21">
          <w:rPr>
            <w:rStyle w:val="Hyperlink"/>
            <w:b w:val="0"/>
            <w:color w:val="auto"/>
          </w:rPr>
          <w:t>ANNEX 5: RELATED LAWS FOR Accreditation of External Auditors</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_Toc499825597 \h </w:instrText>
        </w:r>
        <w:r w:rsidR="003E72E8" w:rsidRPr="005B7B21">
          <w:rPr>
            <w:b w:val="0"/>
            <w:webHidden/>
            <w:color w:val="auto"/>
          </w:rPr>
        </w:r>
        <w:r w:rsidR="003E72E8" w:rsidRPr="005B7B21">
          <w:rPr>
            <w:b w:val="0"/>
            <w:webHidden/>
            <w:color w:val="auto"/>
          </w:rPr>
          <w:fldChar w:fldCharType="separate"/>
        </w:r>
        <w:r>
          <w:rPr>
            <w:b w:val="0"/>
            <w:webHidden/>
            <w:color w:val="auto"/>
          </w:rPr>
          <w:t>76</w:t>
        </w:r>
        <w:r w:rsidR="003E72E8" w:rsidRPr="005B7B21">
          <w:rPr>
            <w:b w:val="0"/>
            <w:webHidden/>
            <w:color w:val="auto"/>
          </w:rPr>
          <w:fldChar w:fldCharType="end"/>
        </w:r>
      </w:hyperlink>
    </w:p>
    <w:p w14:paraId="5065D845" w14:textId="17508E46" w:rsidR="003E72E8" w:rsidRPr="005B7B21" w:rsidRDefault="004310EC">
      <w:pPr>
        <w:pStyle w:val="TOC2"/>
        <w:rPr>
          <w:rFonts w:eastAsiaTheme="minorEastAsia"/>
          <w:noProof/>
        </w:rPr>
      </w:pPr>
      <w:hyperlink w:anchor="_Toc499825598" w:history="1">
        <w:r w:rsidR="003E72E8" w:rsidRPr="005B7B21">
          <w:rPr>
            <w:rStyle w:val="Hyperlink"/>
            <w:noProof/>
            <w:color w:val="auto"/>
          </w:rPr>
          <w:t>Board of Accountancy</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_Toc499825598 \h </w:instrText>
        </w:r>
        <w:r w:rsidR="003E72E8" w:rsidRPr="005B7B21">
          <w:rPr>
            <w:noProof/>
            <w:webHidden/>
          </w:rPr>
        </w:r>
        <w:r w:rsidR="003E72E8" w:rsidRPr="005B7B21">
          <w:rPr>
            <w:noProof/>
            <w:webHidden/>
          </w:rPr>
          <w:fldChar w:fldCharType="separate"/>
        </w:r>
        <w:r>
          <w:rPr>
            <w:noProof/>
            <w:webHidden/>
          </w:rPr>
          <w:t>76</w:t>
        </w:r>
        <w:r w:rsidR="003E72E8" w:rsidRPr="005B7B21">
          <w:rPr>
            <w:noProof/>
            <w:webHidden/>
          </w:rPr>
          <w:fldChar w:fldCharType="end"/>
        </w:r>
      </w:hyperlink>
    </w:p>
    <w:p w14:paraId="6E26C081" w14:textId="1D2D7FD1" w:rsidR="003E72E8" w:rsidRPr="005B7B21" w:rsidRDefault="004310EC">
      <w:pPr>
        <w:pStyle w:val="TOC2"/>
        <w:rPr>
          <w:rFonts w:eastAsiaTheme="minorEastAsia"/>
          <w:noProof/>
        </w:rPr>
      </w:pPr>
      <w:hyperlink w:anchor="_Toc499825599" w:history="1">
        <w:r w:rsidR="003E72E8" w:rsidRPr="005B7B21">
          <w:rPr>
            <w:rStyle w:val="Hyperlink"/>
            <w:noProof/>
            <w:color w:val="auto"/>
          </w:rPr>
          <w:t>Bureau of Internal Revenue</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_Toc499825599 \h </w:instrText>
        </w:r>
        <w:r w:rsidR="003E72E8" w:rsidRPr="005B7B21">
          <w:rPr>
            <w:noProof/>
            <w:webHidden/>
          </w:rPr>
        </w:r>
        <w:r w:rsidR="003E72E8" w:rsidRPr="005B7B21">
          <w:rPr>
            <w:noProof/>
            <w:webHidden/>
          </w:rPr>
          <w:fldChar w:fldCharType="separate"/>
        </w:r>
        <w:r>
          <w:rPr>
            <w:noProof/>
            <w:webHidden/>
          </w:rPr>
          <w:t>76</w:t>
        </w:r>
        <w:r w:rsidR="003E72E8" w:rsidRPr="005B7B21">
          <w:rPr>
            <w:noProof/>
            <w:webHidden/>
          </w:rPr>
          <w:fldChar w:fldCharType="end"/>
        </w:r>
      </w:hyperlink>
    </w:p>
    <w:p w14:paraId="5FB41537" w14:textId="467E649F" w:rsidR="003E72E8" w:rsidRPr="005B7B21" w:rsidRDefault="004310EC">
      <w:pPr>
        <w:pStyle w:val="TOC2"/>
        <w:rPr>
          <w:rFonts w:eastAsiaTheme="minorEastAsia"/>
          <w:noProof/>
        </w:rPr>
      </w:pPr>
      <w:hyperlink w:anchor="_Toc499825600" w:history="1">
        <w:r w:rsidR="003E72E8" w:rsidRPr="005B7B21">
          <w:rPr>
            <w:rStyle w:val="Hyperlink"/>
            <w:noProof/>
            <w:color w:val="auto"/>
          </w:rPr>
          <w:t>Securities and Exchange Commission</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_Toc499825600 \h </w:instrText>
        </w:r>
        <w:r w:rsidR="003E72E8" w:rsidRPr="005B7B21">
          <w:rPr>
            <w:noProof/>
            <w:webHidden/>
          </w:rPr>
        </w:r>
        <w:r w:rsidR="003E72E8" w:rsidRPr="005B7B21">
          <w:rPr>
            <w:noProof/>
            <w:webHidden/>
          </w:rPr>
          <w:fldChar w:fldCharType="separate"/>
        </w:r>
        <w:r>
          <w:rPr>
            <w:noProof/>
            <w:webHidden/>
          </w:rPr>
          <w:t>76</w:t>
        </w:r>
        <w:r w:rsidR="003E72E8" w:rsidRPr="005B7B21">
          <w:rPr>
            <w:noProof/>
            <w:webHidden/>
          </w:rPr>
          <w:fldChar w:fldCharType="end"/>
        </w:r>
      </w:hyperlink>
    </w:p>
    <w:p w14:paraId="1A9EBEAB" w14:textId="2C74D6CB" w:rsidR="003E72E8" w:rsidRPr="005B7B21" w:rsidRDefault="004310EC">
      <w:pPr>
        <w:pStyle w:val="TOC2"/>
        <w:rPr>
          <w:rFonts w:eastAsiaTheme="minorEastAsia"/>
          <w:noProof/>
        </w:rPr>
      </w:pPr>
      <w:hyperlink w:anchor="_Toc499825601" w:history="1">
        <w:r w:rsidR="003E72E8" w:rsidRPr="005B7B21">
          <w:rPr>
            <w:rStyle w:val="Hyperlink"/>
            <w:noProof/>
            <w:color w:val="auto"/>
          </w:rPr>
          <w:t>Bangko Sentral ng Pilipinas</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_Toc499825601 \h </w:instrText>
        </w:r>
        <w:r w:rsidR="003E72E8" w:rsidRPr="005B7B21">
          <w:rPr>
            <w:noProof/>
            <w:webHidden/>
          </w:rPr>
        </w:r>
        <w:r w:rsidR="003E72E8" w:rsidRPr="005B7B21">
          <w:rPr>
            <w:noProof/>
            <w:webHidden/>
          </w:rPr>
          <w:fldChar w:fldCharType="separate"/>
        </w:r>
        <w:r>
          <w:rPr>
            <w:noProof/>
            <w:webHidden/>
          </w:rPr>
          <w:t>77</w:t>
        </w:r>
        <w:r w:rsidR="003E72E8" w:rsidRPr="005B7B21">
          <w:rPr>
            <w:noProof/>
            <w:webHidden/>
          </w:rPr>
          <w:fldChar w:fldCharType="end"/>
        </w:r>
      </w:hyperlink>
    </w:p>
    <w:p w14:paraId="570557DF" w14:textId="386373B8" w:rsidR="003E72E8" w:rsidRPr="005B7B21" w:rsidRDefault="004310EC">
      <w:pPr>
        <w:pStyle w:val="TOC2"/>
        <w:rPr>
          <w:rFonts w:eastAsiaTheme="minorEastAsia"/>
          <w:noProof/>
        </w:rPr>
      </w:pPr>
      <w:hyperlink w:anchor="_Toc499825602" w:history="1">
        <w:r w:rsidR="003E72E8" w:rsidRPr="005B7B21">
          <w:rPr>
            <w:rStyle w:val="Hyperlink"/>
            <w:noProof/>
            <w:color w:val="auto"/>
          </w:rPr>
          <w:t>Insurance Commission</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_Toc499825602 \h </w:instrText>
        </w:r>
        <w:r w:rsidR="003E72E8" w:rsidRPr="005B7B21">
          <w:rPr>
            <w:noProof/>
            <w:webHidden/>
          </w:rPr>
        </w:r>
        <w:r w:rsidR="003E72E8" w:rsidRPr="005B7B21">
          <w:rPr>
            <w:noProof/>
            <w:webHidden/>
          </w:rPr>
          <w:fldChar w:fldCharType="separate"/>
        </w:r>
        <w:r>
          <w:rPr>
            <w:noProof/>
            <w:webHidden/>
          </w:rPr>
          <w:t>77</w:t>
        </w:r>
        <w:r w:rsidR="003E72E8" w:rsidRPr="005B7B21">
          <w:rPr>
            <w:noProof/>
            <w:webHidden/>
          </w:rPr>
          <w:fldChar w:fldCharType="end"/>
        </w:r>
      </w:hyperlink>
    </w:p>
    <w:p w14:paraId="0308F73B" w14:textId="76596393" w:rsidR="003E72E8" w:rsidRDefault="004310EC">
      <w:pPr>
        <w:pStyle w:val="TOC2"/>
        <w:rPr>
          <w:rStyle w:val="Hyperlink"/>
          <w:noProof/>
          <w:color w:val="auto"/>
        </w:rPr>
      </w:pPr>
      <w:hyperlink w:anchor="_Toc499825603" w:history="1">
        <w:r w:rsidR="003E72E8" w:rsidRPr="005B7B21">
          <w:rPr>
            <w:rStyle w:val="Hyperlink"/>
            <w:noProof/>
            <w:color w:val="auto"/>
          </w:rPr>
          <w:t>Cooperative Development Authority</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_Toc499825603 \h </w:instrText>
        </w:r>
        <w:r w:rsidR="003E72E8" w:rsidRPr="005B7B21">
          <w:rPr>
            <w:noProof/>
            <w:webHidden/>
          </w:rPr>
        </w:r>
        <w:r w:rsidR="003E72E8" w:rsidRPr="005B7B21">
          <w:rPr>
            <w:noProof/>
            <w:webHidden/>
          </w:rPr>
          <w:fldChar w:fldCharType="separate"/>
        </w:r>
        <w:r>
          <w:rPr>
            <w:noProof/>
            <w:webHidden/>
          </w:rPr>
          <w:t>77</w:t>
        </w:r>
        <w:r w:rsidR="003E72E8" w:rsidRPr="005B7B21">
          <w:rPr>
            <w:noProof/>
            <w:webHidden/>
          </w:rPr>
          <w:fldChar w:fldCharType="end"/>
        </w:r>
      </w:hyperlink>
    </w:p>
    <w:p w14:paraId="5DB1E53B" w14:textId="77777777" w:rsidR="007F582E" w:rsidRPr="007F582E" w:rsidRDefault="007F582E" w:rsidP="007F582E">
      <w:pPr>
        <w:spacing w:after="0"/>
      </w:pPr>
    </w:p>
    <w:p w14:paraId="0A015785" w14:textId="6DA0FAEB" w:rsidR="003E72E8" w:rsidRDefault="004310EC" w:rsidP="005B3FA1">
      <w:pPr>
        <w:pStyle w:val="TOC1"/>
        <w:rPr>
          <w:rStyle w:val="Hyperlink"/>
          <w:b w:val="0"/>
          <w:color w:val="auto"/>
        </w:rPr>
      </w:pPr>
      <w:hyperlink w:anchor="_Toc499825604" w:history="1">
        <w:r w:rsidR="003E72E8" w:rsidRPr="005B7B21">
          <w:rPr>
            <w:rStyle w:val="Hyperlink"/>
            <w:b w:val="0"/>
            <w:color w:val="auto"/>
          </w:rPr>
          <w:t>ANNEX 6: Auditor Accreditation Requirements of Various Agencies</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_Toc499825604 \h </w:instrText>
        </w:r>
        <w:r w:rsidR="003E72E8" w:rsidRPr="005B7B21">
          <w:rPr>
            <w:b w:val="0"/>
            <w:webHidden/>
            <w:color w:val="auto"/>
          </w:rPr>
        </w:r>
        <w:r w:rsidR="003E72E8" w:rsidRPr="005B7B21">
          <w:rPr>
            <w:b w:val="0"/>
            <w:webHidden/>
            <w:color w:val="auto"/>
          </w:rPr>
          <w:fldChar w:fldCharType="separate"/>
        </w:r>
        <w:r>
          <w:rPr>
            <w:b w:val="0"/>
            <w:webHidden/>
            <w:color w:val="auto"/>
          </w:rPr>
          <w:t>78</w:t>
        </w:r>
        <w:r w:rsidR="003E72E8" w:rsidRPr="005B7B21">
          <w:rPr>
            <w:b w:val="0"/>
            <w:webHidden/>
            <w:color w:val="auto"/>
          </w:rPr>
          <w:fldChar w:fldCharType="end"/>
        </w:r>
      </w:hyperlink>
    </w:p>
    <w:p w14:paraId="2198D87E" w14:textId="77777777" w:rsidR="007F582E" w:rsidRPr="007F582E" w:rsidRDefault="007F582E" w:rsidP="007F582E">
      <w:pPr>
        <w:spacing w:after="0"/>
      </w:pPr>
    </w:p>
    <w:p w14:paraId="70874EED" w14:textId="1670B699" w:rsidR="003E72E8" w:rsidRPr="005B7B21" w:rsidRDefault="004310EC" w:rsidP="005B3FA1">
      <w:pPr>
        <w:pStyle w:val="TOC1"/>
        <w:rPr>
          <w:rFonts w:eastAsiaTheme="minorEastAsia"/>
          <w:b w:val="0"/>
          <w:color w:val="auto"/>
          <w:kern w:val="0"/>
        </w:rPr>
      </w:pPr>
      <w:hyperlink w:anchor="_Toc499825605" w:history="1">
        <w:r w:rsidR="003E72E8" w:rsidRPr="005B7B21">
          <w:rPr>
            <w:rStyle w:val="Hyperlink"/>
            <w:b w:val="0"/>
            <w:color w:val="auto"/>
          </w:rPr>
          <w:t>ANNEX 7: Enforcement Measures and Actions by Regulators over Auditors</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_Toc499825605 \h </w:instrText>
        </w:r>
        <w:r w:rsidR="003E72E8" w:rsidRPr="005B7B21">
          <w:rPr>
            <w:b w:val="0"/>
            <w:webHidden/>
            <w:color w:val="auto"/>
          </w:rPr>
        </w:r>
        <w:r w:rsidR="003E72E8" w:rsidRPr="005B7B21">
          <w:rPr>
            <w:b w:val="0"/>
            <w:webHidden/>
            <w:color w:val="auto"/>
          </w:rPr>
          <w:fldChar w:fldCharType="separate"/>
        </w:r>
        <w:r>
          <w:rPr>
            <w:b w:val="0"/>
            <w:webHidden/>
            <w:color w:val="auto"/>
          </w:rPr>
          <w:t>82</w:t>
        </w:r>
        <w:r w:rsidR="003E72E8" w:rsidRPr="005B7B21">
          <w:rPr>
            <w:b w:val="0"/>
            <w:webHidden/>
            <w:color w:val="auto"/>
          </w:rPr>
          <w:fldChar w:fldCharType="end"/>
        </w:r>
      </w:hyperlink>
    </w:p>
    <w:p w14:paraId="11EBC11E" w14:textId="5FD79337" w:rsidR="003E72E8" w:rsidRPr="005B7B21" w:rsidRDefault="004310EC">
      <w:pPr>
        <w:pStyle w:val="TOC2"/>
        <w:rPr>
          <w:rFonts w:eastAsiaTheme="minorEastAsia"/>
          <w:noProof/>
        </w:rPr>
      </w:pPr>
      <w:hyperlink w:anchor="_Toc499825606" w:history="1">
        <w:r w:rsidR="003E72E8" w:rsidRPr="005B7B21">
          <w:rPr>
            <w:rStyle w:val="Hyperlink"/>
            <w:noProof/>
            <w:color w:val="auto"/>
          </w:rPr>
          <w:t>Securities and Exchange Commission</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_Toc499825606 \h </w:instrText>
        </w:r>
        <w:r w:rsidR="003E72E8" w:rsidRPr="005B7B21">
          <w:rPr>
            <w:noProof/>
            <w:webHidden/>
          </w:rPr>
        </w:r>
        <w:r w:rsidR="003E72E8" w:rsidRPr="005B7B21">
          <w:rPr>
            <w:noProof/>
            <w:webHidden/>
          </w:rPr>
          <w:fldChar w:fldCharType="separate"/>
        </w:r>
        <w:r>
          <w:rPr>
            <w:noProof/>
            <w:webHidden/>
          </w:rPr>
          <w:t>82</w:t>
        </w:r>
        <w:r w:rsidR="003E72E8" w:rsidRPr="005B7B21">
          <w:rPr>
            <w:noProof/>
            <w:webHidden/>
          </w:rPr>
          <w:fldChar w:fldCharType="end"/>
        </w:r>
      </w:hyperlink>
    </w:p>
    <w:p w14:paraId="1C5C5D2A" w14:textId="2967C02F" w:rsidR="003E72E8" w:rsidRPr="005B7B21" w:rsidRDefault="004310EC">
      <w:pPr>
        <w:pStyle w:val="TOC2"/>
        <w:rPr>
          <w:rFonts w:eastAsiaTheme="minorEastAsia"/>
          <w:noProof/>
        </w:rPr>
      </w:pPr>
      <w:hyperlink w:anchor="_Toc499825607" w:history="1">
        <w:r w:rsidR="003E72E8" w:rsidRPr="005B7B21">
          <w:rPr>
            <w:rStyle w:val="Hyperlink"/>
            <w:noProof/>
            <w:color w:val="auto"/>
          </w:rPr>
          <w:t>Bangko Sentral ng Pilipinas</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_Toc499825607 \h </w:instrText>
        </w:r>
        <w:r w:rsidR="003E72E8" w:rsidRPr="005B7B21">
          <w:rPr>
            <w:noProof/>
            <w:webHidden/>
          </w:rPr>
        </w:r>
        <w:r w:rsidR="003E72E8" w:rsidRPr="005B7B21">
          <w:rPr>
            <w:noProof/>
            <w:webHidden/>
          </w:rPr>
          <w:fldChar w:fldCharType="separate"/>
        </w:r>
        <w:r>
          <w:rPr>
            <w:noProof/>
            <w:webHidden/>
          </w:rPr>
          <w:t>82</w:t>
        </w:r>
        <w:r w:rsidR="003E72E8" w:rsidRPr="005B7B21">
          <w:rPr>
            <w:noProof/>
            <w:webHidden/>
          </w:rPr>
          <w:fldChar w:fldCharType="end"/>
        </w:r>
      </w:hyperlink>
    </w:p>
    <w:p w14:paraId="1E6ECFC1" w14:textId="3FCAFE71" w:rsidR="003E72E8" w:rsidRPr="005B7B21" w:rsidRDefault="004310EC">
      <w:pPr>
        <w:pStyle w:val="TOC2"/>
        <w:rPr>
          <w:rFonts w:eastAsiaTheme="minorEastAsia"/>
          <w:noProof/>
        </w:rPr>
      </w:pPr>
      <w:hyperlink w:anchor="_Toc499825608" w:history="1">
        <w:r w:rsidR="003E72E8" w:rsidRPr="005B7B21">
          <w:rPr>
            <w:rStyle w:val="Hyperlink"/>
            <w:noProof/>
            <w:color w:val="auto"/>
          </w:rPr>
          <w:t>Insurance Commission</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_Toc499825608 \h </w:instrText>
        </w:r>
        <w:r w:rsidR="003E72E8" w:rsidRPr="005B7B21">
          <w:rPr>
            <w:noProof/>
            <w:webHidden/>
          </w:rPr>
        </w:r>
        <w:r w:rsidR="003E72E8" w:rsidRPr="005B7B21">
          <w:rPr>
            <w:noProof/>
            <w:webHidden/>
          </w:rPr>
          <w:fldChar w:fldCharType="separate"/>
        </w:r>
        <w:r>
          <w:rPr>
            <w:noProof/>
            <w:webHidden/>
          </w:rPr>
          <w:t>82</w:t>
        </w:r>
        <w:r w:rsidR="003E72E8" w:rsidRPr="005B7B21">
          <w:rPr>
            <w:noProof/>
            <w:webHidden/>
          </w:rPr>
          <w:fldChar w:fldCharType="end"/>
        </w:r>
      </w:hyperlink>
    </w:p>
    <w:p w14:paraId="1C24DB22" w14:textId="53567801" w:rsidR="003E72E8" w:rsidRDefault="004310EC">
      <w:pPr>
        <w:pStyle w:val="TOC2"/>
        <w:rPr>
          <w:rStyle w:val="Hyperlink"/>
          <w:noProof/>
          <w:color w:val="auto"/>
        </w:rPr>
      </w:pPr>
      <w:hyperlink w:anchor="_Toc499825609" w:history="1">
        <w:r w:rsidR="003E72E8" w:rsidRPr="005B7B21">
          <w:rPr>
            <w:rStyle w:val="Hyperlink"/>
            <w:noProof/>
            <w:color w:val="auto"/>
          </w:rPr>
          <w:t>Professional Regulation Commission / Board of Accountancy</w:t>
        </w:r>
        <w:r w:rsidR="003E72E8" w:rsidRPr="005B7B21">
          <w:rPr>
            <w:noProof/>
            <w:webHidden/>
          </w:rPr>
          <w:tab/>
        </w:r>
        <w:r w:rsidR="003E72E8" w:rsidRPr="005B7B21">
          <w:rPr>
            <w:noProof/>
            <w:webHidden/>
          </w:rPr>
          <w:fldChar w:fldCharType="begin"/>
        </w:r>
        <w:r w:rsidR="003E72E8" w:rsidRPr="005B7B21">
          <w:rPr>
            <w:noProof/>
            <w:webHidden/>
          </w:rPr>
          <w:instrText xml:space="preserve"> PAGEREF _Toc499825609 \h </w:instrText>
        </w:r>
        <w:r w:rsidR="003E72E8" w:rsidRPr="005B7B21">
          <w:rPr>
            <w:noProof/>
            <w:webHidden/>
          </w:rPr>
        </w:r>
        <w:r w:rsidR="003E72E8" w:rsidRPr="005B7B21">
          <w:rPr>
            <w:noProof/>
            <w:webHidden/>
          </w:rPr>
          <w:fldChar w:fldCharType="separate"/>
        </w:r>
        <w:r>
          <w:rPr>
            <w:noProof/>
            <w:webHidden/>
          </w:rPr>
          <w:t>83</w:t>
        </w:r>
        <w:r w:rsidR="003E72E8" w:rsidRPr="005B7B21">
          <w:rPr>
            <w:noProof/>
            <w:webHidden/>
          </w:rPr>
          <w:fldChar w:fldCharType="end"/>
        </w:r>
      </w:hyperlink>
    </w:p>
    <w:p w14:paraId="09F80E66" w14:textId="77777777" w:rsidR="007F582E" w:rsidRPr="007F582E" w:rsidRDefault="007F582E" w:rsidP="007F582E">
      <w:pPr>
        <w:spacing w:after="0"/>
      </w:pPr>
    </w:p>
    <w:p w14:paraId="4CF76DC9" w14:textId="2B18CB41" w:rsidR="003E72E8" w:rsidRDefault="004310EC" w:rsidP="005B3FA1">
      <w:pPr>
        <w:pStyle w:val="TOC1"/>
        <w:rPr>
          <w:rStyle w:val="Hyperlink"/>
          <w:b w:val="0"/>
          <w:color w:val="auto"/>
        </w:rPr>
      </w:pPr>
      <w:hyperlink w:anchor="_Toc499825610" w:history="1">
        <w:r w:rsidR="003E72E8" w:rsidRPr="005B7B21">
          <w:rPr>
            <w:rStyle w:val="Hyperlink"/>
            <w:b w:val="0"/>
            <w:color w:val="auto"/>
          </w:rPr>
          <w:t>ANNEX 8: Envisioned Two-Tier Certification Process</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_Toc499825610 \h </w:instrText>
        </w:r>
        <w:r w:rsidR="003E72E8" w:rsidRPr="005B7B21">
          <w:rPr>
            <w:b w:val="0"/>
            <w:webHidden/>
            <w:color w:val="auto"/>
          </w:rPr>
        </w:r>
        <w:r w:rsidR="003E72E8" w:rsidRPr="005B7B21">
          <w:rPr>
            <w:b w:val="0"/>
            <w:webHidden/>
            <w:color w:val="auto"/>
          </w:rPr>
          <w:fldChar w:fldCharType="separate"/>
        </w:r>
        <w:r>
          <w:rPr>
            <w:b w:val="0"/>
            <w:webHidden/>
            <w:color w:val="auto"/>
          </w:rPr>
          <w:t>84</w:t>
        </w:r>
        <w:r w:rsidR="003E72E8" w:rsidRPr="005B7B21">
          <w:rPr>
            <w:b w:val="0"/>
            <w:webHidden/>
            <w:color w:val="auto"/>
          </w:rPr>
          <w:fldChar w:fldCharType="end"/>
        </w:r>
      </w:hyperlink>
    </w:p>
    <w:p w14:paraId="4C07DC4A" w14:textId="77777777" w:rsidR="007F582E" w:rsidRPr="007F582E" w:rsidRDefault="007F582E" w:rsidP="007F582E">
      <w:pPr>
        <w:spacing w:after="0"/>
      </w:pPr>
    </w:p>
    <w:p w14:paraId="4B3B87F8" w14:textId="61C96337" w:rsidR="003E72E8" w:rsidRPr="005B7B21" w:rsidRDefault="004310EC" w:rsidP="005B3FA1">
      <w:pPr>
        <w:pStyle w:val="TOC1"/>
        <w:rPr>
          <w:rFonts w:eastAsiaTheme="minorEastAsia"/>
          <w:b w:val="0"/>
          <w:color w:val="auto"/>
          <w:kern w:val="0"/>
        </w:rPr>
      </w:pPr>
      <w:hyperlink w:anchor="_Toc499825611" w:history="1">
        <w:r w:rsidR="003E72E8" w:rsidRPr="005B7B21">
          <w:rPr>
            <w:rStyle w:val="Hyperlink"/>
            <w:b w:val="0"/>
            <w:color w:val="auto"/>
          </w:rPr>
          <w:t>ANNEX 9: Geomapping of CPAs in Public Practice Education, Commerce and Industry</w:t>
        </w:r>
        <w:r w:rsidR="003E72E8" w:rsidRPr="005B7B21">
          <w:rPr>
            <w:b w:val="0"/>
            <w:webHidden/>
            <w:color w:val="auto"/>
          </w:rPr>
          <w:tab/>
        </w:r>
        <w:r w:rsidR="003E72E8" w:rsidRPr="005B7B21">
          <w:rPr>
            <w:b w:val="0"/>
            <w:webHidden/>
            <w:color w:val="auto"/>
          </w:rPr>
          <w:fldChar w:fldCharType="begin"/>
        </w:r>
        <w:r w:rsidR="003E72E8" w:rsidRPr="005B7B21">
          <w:rPr>
            <w:b w:val="0"/>
            <w:webHidden/>
            <w:color w:val="auto"/>
          </w:rPr>
          <w:instrText xml:space="preserve"> PAGEREF _Toc499825611 \h </w:instrText>
        </w:r>
        <w:r w:rsidR="003E72E8" w:rsidRPr="005B7B21">
          <w:rPr>
            <w:b w:val="0"/>
            <w:webHidden/>
            <w:color w:val="auto"/>
          </w:rPr>
        </w:r>
        <w:r w:rsidR="003E72E8" w:rsidRPr="005B7B21">
          <w:rPr>
            <w:b w:val="0"/>
            <w:webHidden/>
            <w:color w:val="auto"/>
          </w:rPr>
          <w:fldChar w:fldCharType="separate"/>
        </w:r>
        <w:r>
          <w:rPr>
            <w:b w:val="0"/>
            <w:webHidden/>
            <w:color w:val="auto"/>
          </w:rPr>
          <w:t>86</w:t>
        </w:r>
        <w:r w:rsidR="003E72E8" w:rsidRPr="005B7B21">
          <w:rPr>
            <w:b w:val="0"/>
            <w:webHidden/>
            <w:color w:val="auto"/>
          </w:rPr>
          <w:fldChar w:fldCharType="end"/>
        </w:r>
      </w:hyperlink>
    </w:p>
    <w:p w14:paraId="45DC07AA" w14:textId="6597DE68" w:rsidR="003E72E8" w:rsidRPr="003E72E8" w:rsidRDefault="004310EC">
      <w:pPr>
        <w:pStyle w:val="TOC2"/>
        <w:rPr>
          <w:rFonts w:eastAsiaTheme="minorEastAsia"/>
          <w:noProof/>
        </w:rPr>
      </w:pPr>
      <w:hyperlink w:anchor="_Toc499825612" w:history="1">
        <w:r w:rsidR="003E72E8" w:rsidRPr="003E72E8">
          <w:rPr>
            <w:rStyle w:val="Hyperlink"/>
            <w:noProof/>
          </w:rPr>
          <w:t>A.</w:t>
        </w:r>
        <w:r w:rsidR="003E72E8" w:rsidRPr="003E72E8">
          <w:rPr>
            <w:rFonts w:eastAsiaTheme="minorEastAsia"/>
            <w:noProof/>
          </w:rPr>
          <w:tab/>
        </w:r>
        <w:r w:rsidR="003E72E8" w:rsidRPr="003E72E8">
          <w:rPr>
            <w:rStyle w:val="Hyperlink"/>
            <w:rFonts w:eastAsia="MS Gothic"/>
            <w:noProof/>
          </w:rPr>
          <w:t>Enterprise to Auditor Ratio For Entities Required to Submit Audited Financial Statements to the Bureau of Internal Revenue</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_Toc499825612 \h </w:instrText>
        </w:r>
        <w:r w:rsidR="003E72E8" w:rsidRPr="003E72E8">
          <w:rPr>
            <w:noProof/>
            <w:webHidden/>
          </w:rPr>
        </w:r>
        <w:r w:rsidR="003E72E8" w:rsidRPr="003E72E8">
          <w:rPr>
            <w:noProof/>
            <w:webHidden/>
          </w:rPr>
          <w:fldChar w:fldCharType="separate"/>
        </w:r>
        <w:r>
          <w:rPr>
            <w:noProof/>
            <w:webHidden/>
          </w:rPr>
          <w:t>86</w:t>
        </w:r>
        <w:r w:rsidR="003E72E8" w:rsidRPr="003E72E8">
          <w:rPr>
            <w:noProof/>
            <w:webHidden/>
          </w:rPr>
          <w:fldChar w:fldCharType="end"/>
        </w:r>
      </w:hyperlink>
    </w:p>
    <w:p w14:paraId="251EE50B" w14:textId="361B5823" w:rsidR="003E72E8" w:rsidRPr="003E72E8" w:rsidRDefault="004310EC">
      <w:pPr>
        <w:pStyle w:val="TOC2"/>
        <w:rPr>
          <w:rFonts w:eastAsiaTheme="minorEastAsia"/>
          <w:noProof/>
        </w:rPr>
      </w:pPr>
      <w:hyperlink w:anchor="_Toc499825613" w:history="1">
        <w:r w:rsidR="003E72E8" w:rsidRPr="003E72E8">
          <w:rPr>
            <w:rStyle w:val="Hyperlink"/>
            <w:rFonts w:eastAsia="MS Gothic"/>
            <w:noProof/>
          </w:rPr>
          <w:t>B.</w:t>
        </w:r>
        <w:r w:rsidR="003E72E8" w:rsidRPr="003E72E8">
          <w:rPr>
            <w:rFonts w:eastAsiaTheme="minorEastAsia"/>
            <w:noProof/>
          </w:rPr>
          <w:tab/>
        </w:r>
        <w:r w:rsidR="003E72E8" w:rsidRPr="003E72E8">
          <w:rPr>
            <w:rStyle w:val="Hyperlink"/>
            <w:rFonts w:eastAsia="MS Gothic"/>
            <w:noProof/>
          </w:rPr>
          <w:t>Enterprise to Auditor Ratio For Entities Required to Submit Audited Financial Statements to the Securities and Exchange Commission</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_Toc499825613 \h </w:instrText>
        </w:r>
        <w:r w:rsidR="003E72E8" w:rsidRPr="003E72E8">
          <w:rPr>
            <w:noProof/>
            <w:webHidden/>
          </w:rPr>
        </w:r>
        <w:r w:rsidR="003E72E8" w:rsidRPr="003E72E8">
          <w:rPr>
            <w:noProof/>
            <w:webHidden/>
          </w:rPr>
          <w:fldChar w:fldCharType="separate"/>
        </w:r>
        <w:r>
          <w:rPr>
            <w:noProof/>
            <w:webHidden/>
          </w:rPr>
          <w:t>88</w:t>
        </w:r>
        <w:r w:rsidR="003E72E8" w:rsidRPr="003E72E8">
          <w:rPr>
            <w:noProof/>
            <w:webHidden/>
          </w:rPr>
          <w:fldChar w:fldCharType="end"/>
        </w:r>
      </w:hyperlink>
    </w:p>
    <w:p w14:paraId="2D459A22" w14:textId="7103084B" w:rsidR="003E72E8" w:rsidRPr="003E72E8" w:rsidRDefault="004310EC">
      <w:pPr>
        <w:pStyle w:val="TOC2"/>
        <w:rPr>
          <w:rFonts w:eastAsiaTheme="minorEastAsia"/>
          <w:noProof/>
        </w:rPr>
      </w:pPr>
      <w:hyperlink w:anchor="_Toc499825614" w:history="1">
        <w:r w:rsidR="003E72E8" w:rsidRPr="003E72E8">
          <w:rPr>
            <w:rStyle w:val="Hyperlink"/>
            <w:rFonts w:eastAsia="MS Gothic"/>
            <w:noProof/>
          </w:rPr>
          <w:t>C.</w:t>
        </w:r>
        <w:r w:rsidR="003E72E8" w:rsidRPr="003E72E8">
          <w:rPr>
            <w:rFonts w:eastAsiaTheme="minorEastAsia"/>
            <w:noProof/>
          </w:rPr>
          <w:tab/>
        </w:r>
        <w:r w:rsidR="003E72E8" w:rsidRPr="003E72E8">
          <w:rPr>
            <w:rStyle w:val="Hyperlink"/>
            <w:rFonts w:eastAsia="MS Gothic"/>
            <w:noProof/>
          </w:rPr>
          <w:t>Bangko Sentral ng Pilipinas Selected Auditors and Enterprises</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_Toc499825614 \h </w:instrText>
        </w:r>
        <w:r w:rsidR="003E72E8" w:rsidRPr="003E72E8">
          <w:rPr>
            <w:noProof/>
            <w:webHidden/>
          </w:rPr>
        </w:r>
        <w:r w:rsidR="003E72E8" w:rsidRPr="003E72E8">
          <w:rPr>
            <w:noProof/>
            <w:webHidden/>
          </w:rPr>
          <w:fldChar w:fldCharType="separate"/>
        </w:r>
        <w:r>
          <w:rPr>
            <w:noProof/>
            <w:webHidden/>
          </w:rPr>
          <w:t>90</w:t>
        </w:r>
        <w:r w:rsidR="003E72E8" w:rsidRPr="003E72E8">
          <w:rPr>
            <w:noProof/>
            <w:webHidden/>
          </w:rPr>
          <w:fldChar w:fldCharType="end"/>
        </w:r>
      </w:hyperlink>
    </w:p>
    <w:p w14:paraId="6236DA99" w14:textId="7AF04DC8" w:rsidR="003E72E8" w:rsidRPr="003E72E8" w:rsidRDefault="004310EC">
      <w:pPr>
        <w:pStyle w:val="TOC2"/>
        <w:rPr>
          <w:rFonts w:eastAsiaTheme="minorEastAsia"/>
          <w:noProof/>
        </w:rPr>
      </w:pPr>
      <w:hyperlink w:anchor="_Toc499825615" w:history="1">
        <w:r w:rsidR="003E72E8" w:rsidRPr="003E72E8">
          <w:rPr>
            <w:rStyle w:val="Hyperlink"/>
            <w:rFonts w:eastAsia="MS Gothic"/>
            <w:noProof/>
          </w:rPr>
          <w:t>D.</w:t>
        </w:r>
        <w:r w:rsidR="003E72E8" w:rsidRPr="003E72E8">
          <w:rPr>
            <w:rFonts w:eastAsiaTheme="minorEastAsia"/>
            <w:noProof/>
          </w:rPr>
          <w:tab/>
        </w:r>
        <w:r w:rsidR="003E72E8" w:rsidRPr="003E72E8">
          <w:rPr>
            <w:rStyle w:val="Hyperlink"/>
            <w:rFonts w:eastAsia="MS Gothic"/>
            <w:noProof/>
          </w:rPr>
          <w:t>Insurance Commission Accredited Auditors and Enterprises</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_Toc499825615 \h </w:instrText>
        </w:r>
        <w:r w:rsidR="003E72E8" w:rsidRPr="003E72E8">
          <w:rPr>
            <w:noProof/>
            <w:webHidden/>
          </w:rPr>
        </w:r>
        <w:r w:rsidR="003E72E8" w:rsidRPr="003E72E8">
          <w:rPr>
            <w:noProof/>
            <w:webHidden/>
          </w:rPr>
          <w:fldChar w:fldCharType="separate"/>
        </w:r>
        <w:r>
          <w:rPr>
            <w:noProof/>
            <w:webHidden/>
          </w:rPr>
          <w:t>92</w:t>
        </w:r>
        <w:r w:rsidR="003E72E8" w:rsidRPr="003E72E8">
          <w:rPr>
            <w:noProof/>
            <w:webHidden/>
          </w:rPr>
          <w:fldChar w:fldCharType="end"/>
        </w:r>
      </w:hyperlink>
    </w:p>
    <w:p w14:paraId="6D6D0E06" w14:textId="3C3C40D0" w:rsidR="003E72E8" w:rsidRPr="003E72E8" w:rsidRDefault="004310EC">
      <w:pPr>
        <w:pStyle w:val="TOC2"/>
        <w:rPr>
          <w:rFonts w:eastAsiaTheme="minorEastAsia"/>
          <w:noProof/>
        </w:rPr>
      </w:pPr>
      <w:hyperlink w:anchor="_Toc499825616" w:history="1">
        <w:r w:rsidR="003E72E8" w:rsidRPr="003E72E8">
          <w:rPr>
            <w:rStyle w:val="Hyperlink"/>
            <w:rFonts w:eastAsia="MS Gothic"/>
            <w:noProof/>
          </w:rPr>
          <w:t>E.</w:t>
        </w:r>
        <w:r w:rsidR="003E72E8" w:rsidRPr="003E72E8">
          <w:rPr>
            <w:rFonts w:eastAsiaTheme="minorEastAsia"/>
            <w:noProof/>
          </w:rPr>
          <w:tab/>
        </w:r>
        <w:r w:rsidR="003E72E8" w:rsidRPr="003E72E8">
          <w:rPr>
            <w:rStyle w:val="Hyperlink"/>
            <w:rFonts w:eastAsia="MS Gothic"/>
            <w:noProof/>
          </w:rPr>
          <w:t>Board of Accountancy – CPAs Accredited as Accounting Teachers</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_Toc499825616 \h </w:instrText>
        </w:r>
        <w:r w:rsidR="003E72E8" w:rsidRPr="003E72E8">
          <w:rPr>
            <w:noProof/>
            <w:webHidden/>
          </w:rPr>
        </w:r>
        <w:r w:rsidR="003E72E8" w:rsidRPr="003E72E8">
          <w:rPr>
            <w:noProof/>
            <w:webHidden/>
          </w:rPr>
          <w:fldChar w:fldCharType="separate"/>
        </w:r>
        <w:r>
          <w:rPr>
            <w:noProof/>
            <w:webHidden/>
          </w:rPr>
          <w:t>94</w:t>
        </w:r>
        <w:r w:rsidR="003E72E8" w:rsidRPr="003E72E8">
          <w:rPr>
            <w:noProof/>
            <w:webHidden/>
          </w:rPr>
          <w:fldChar w:fldCharType="end"/>
        </w:r>
      </w:hyperlink>
    </w:p>
    <w:p w14:paraId="0BBFF258" w14:textId="0663F4C1" w:rsidR="003E72E8" w:rsidRPr="003E72E8" w:rsidRDefault="004310EC">
      <w:pPr>
        <w:pStyle w:val="TOC2"/>
        <w:rPr>
          <w:rFonts w:eastAsiaTheme="minorEastAsia"/>
          <w:noProof/>
        </w:rPr>
      </w:pPr>
      <w:hyperlink w:anchor="_Toc499825617" w:history="1">
        <w:r w:rsidR="003E72E8" w:rsidRPr="003E72E8">
          <w:rPr>
            <w:rStyle w:val="Hyperlink"/>
            <w:rFonts w:eastAsia="MS Gothic"/>
            <w:noProof/>
          </w:rPr>
          <w:t>F.</w:t>
        </w:r>
        <w:r w:rsidR="003E72E8" w:rsidRPr="003E72E8">
          <w:rPr>
            <w:rFonts w:eastAsiaTheme="minorEastAsia"/>
            <w:noProof/>
          </w:rPr>
          <w:tab/>
        </w:r>
        <w:r w:rsidR="003E72E8" w:rsidRPr="003E72E8">
          <w:rPr>
            <w:rStyle w:val="Hyperlink"/>
            <w:rFonts w:eastAsia="MS Gothic"/>
            <w:noProof/>
          </w:rPr>
          <w:t>Board of Accountancy – CPAs Accredited in Commerce and Industry</w:t>
        </w:r>
        <w:r w:rsidR="003E72E8" w:rsidRPr="003E72E8">
          <w:rPr>
            <w:noProof/>
            <w:webHidden/>
          </w:rPr>
          <w:tab/>
        </w:r>
        <w:r w:rsidR="003E72E8" w:rsidRPr="003E72E8">
          <w:rPr>
            <w:noProof/>
            <w:webHidden/>
          </w:rPr>
          <w:fldChar w:fldCharType="begin"/>
        </w:r>
        <w:r w:rsidR="003E72E8" w:rsidRPr="003E72E8">
          <w:rPr>
            <w:noProof/>
            <w:webHidden/>
          </w:rPr>
          <w:instrText xml:space="preserve"> PAGEREF _Toc499825617 \h </w:instrText>
        </w:r>
        <w:r w:rsidR="003E72E8" w:rsidRPr="003E72E8">
          <w:rPr>
            <w:noProof/>
            <w:webHidden/>
          </w:rPr>
        </w:r>
        <w:r w:rsidR="003E72E8" w:rsidRPr="003E72E8">
          <w:rPr>
            <w:noProof/>
            <w:webHidden/>
          </w:rPr>
          <w:fldChar w:fldCharType="separate"/>
        </w:r>
        <w:r>
          <w:rPr>
            <w:noProof/>
            <w:webHidden/>
          </w:rPr>
          <w:t>96</w:t>
        </w:r>
        <w:r w:rsidR="003E72E8" w:rsidRPr="003E72E8">
          <w:rPr>
            <w:noProof/>
            <w:webHidden/>
          </w:rPr>
          <w:fldChar w:fldCharType="end"/>
        </w:r>
      </w:hyperlink>
    </w:p>
    <w:p w14:paraId="63A927CD" w14:textId="2C45B219" w:rsidR="00F76E53" w:rsidRPr="00942796" w:rsidRDefault="00F76E53" w:rsidP="00296BE3">
      <w:pPr>
        <w:spacing w:after="100"/>
        <w:rPr>
          <w:rFonts w:eastAsia="Times New Roman" w:cstheme="majorBidi"/>
          <w:b/>
          <w:bCs/>
          <w:caps/>
        </w:rPr>
      </w:pPr>
      <w:r w:rsidRPr="003E72E8">
        <w:rPr>
          <w:rFonts w:cstheme="minorHAnsi"/>
        </w:rPr>
        <w:fldChar w:fldCharType="end"/>
      </w:r>
      <w:r w:rsidRPr="00942796">
        <w:rPr>
          <w:rFonts w:cstheme="majorBidi"/>
        </w:rPr>
        <w:br w:type="page"/>
      </w:r>
    </w:p>
    <w:p w14:paraId="6B68D97B" w14:textId="77777777" w:rsidR="00F76E53" w:rsidRPr="008F1E62" w:rsidRDefault="00F76E53" w:rsidP="00CE7665">
      <w:pPr>
        <w:pStyle w:val="Heading1"/>
        <w:pBdr>
          <w:bottom w:val="single" w:sz="12" w:space="1" w:color="00AB51"/>
        </w:pBdr>
        <w:spacing w:after="60" w:line="276" w:lineRule="auto"/>
        <w:ind w:right="26"/>
        <w:rPr>
          <w:rFonts w:ascii="Century Gothic" w:eastAsia="MS Gothic" w:hAnsi="Century Gothic"/>
          <w:color w:val="00AB51"/>
          <w:sz w:val="32"/>
          <w:szCs w:val="32"/>
          <w:lang w:val="en-US"/>
        </w:rPr>
      </w:pPr>
      <w:bookmarkStart w:id="18" w:name="_Toc429484240"/>
      <w:bookmarkStart w:id="19" w:name="_Toc499825571"/>
      <w:bookmarkStart w:id="20" w:name="_Toc459103024"/>
      <w:r w:rsidRPr="008F1E62">
        <w:rPr>
          <w:rFonts w:ascii="Century Gothic" w:eastAsia="MS Gothic" w:hAnsi="Century Gothic"/>
          <w:color w:val="00AB51"/>
          <w:sz w:val="32"/>
          <w:szCs w:val="32"/>
          <w:lang w:val="en-US"/>
        </w:rPr>
        <w:t>Abbreviations and Acronyms</w:t>
      </w:r>
      <w:bookmarkEnd w:id="18"/>
      <w:bookmarkEnd w:id="19"/>
    </w:p>
    <w:p w14:paraId="306C471C" w14:textId="77777777" w:rsidR="00F76E53" w:rsidRPr="0002662F" w:rsidRDefault="00F76E53" w:rsidP="00F76E53">
      <w:pPr>
        <w:spacing w:after="0"/>
        <w:rPr>
          <w:color w:val="00AB51"/>
          <w:sz w:val="2"/>
          <w:szCs w:val="2"/>
        </w:rPr>
      </w:pPr>
    </w:p>
    <w:tbl>
      <w:tblPr>
        <w:tblStyle w:val="ListTable5Dark-Accent6"/>
        <w:tblW w:w="5000" w:type="pct"/>
        <w:jc w:val="center"/>
        <w:tblCellSpacing w:w="36"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CellMar>
          <w:top w:w="22" w:type="dxa"/>
          <w:left w:w="115" w:type="dxa"/>
          <w:bottom w:w="22" w:type="dxa"/>
          <w:right w:w="115" w:type="dxa"/>
        </w:tblCellMar>
        <w:tblLook w:val="04A0" w:firstRow="1" w:lastRow="0" w:firstColumn="1" w:lastColumn="0" w:noHBand="0" w:noVBand="1"/>
      </w:tblPr>
      <w:tblGrid>
        <w:gridCol w:w="1276"/>
        <w:gridCol w:w="7750"/>
      </w:tblGrid>
      <w:tr w:rsidR="00B23EED" w:rsidRPr="0002662F" w14:paraId="5FCB3388" w14:textId="77777777" w:rsidTr="0002662F">
        <w:trPr>
          <w:cnfStyle w:val="100000000000" w:firstRow="1" w:lastRow="0" w:firstColumn="0" w:lastColumn="0" w:oddVBand="0" w:evenVBand="0" w:oddHBand="0" w:evenHBand="0" w:firstRowFirstColumn="0" w:firstRowLastColumn="0" w:lastRowFirstColumn="0" w:lastRowLastColumn="0"/>
          <w:trHeight w:val="23"/>
          <w:tblCellSpacing w:w="36" w:type="dxa"/>
          <w:jc w:val="center"/>
        </w:trPr>
        <w:tc>
          <w:tcPr>
            <w:cnfStyle w:val="001000000100" w:firstRow="0" w:lastRow="0" w:firstColumn="1" w:lastColumn="0" w:oddVBand="0" w:evenVBand="0" w:oddHBand="0" w:evenHBand="0" w:firstRowFirstColumn="1" w:firstRowLastColumn="0" w:lastRowFirstColumn="0" w:lastRowLastColumn="0"/>
            <w:tcW w:w="648" w:type="pct"/>
            <w:tcBorders>
              <w:top w:val="nil"/>
            </w:tcBorders>
            <w:shd w:val="clear" w:color="auto" w:fill="C6E8D7"/>
          </w:tcPr>
          <w:bookmarkEnd w:id="20"/>
          <w:p w14:paraId="44F0C7BA" w14:textId="77777777" w:rsidR="00F76E53" w:rsidRPr="0002662F" w:rsidRDefault="00F76E53" w:rsidP="0002662F">
            <w:pPr>
              <w:spacing w:after="0" w:line="240" w:lineRule="auto"/>
              <w:rPr>
                <w:b w:val="0"/>
                <w:color w:val="auto"/>
              </w:rPr>
            </w:pPr>
            <w:r w:rsidRPr="0002662F">
              <w:rPr>
                <w:color w:val="auto"/>
              </w:rPr>
              <w:t>AASC</w:t>
            </w:r>
          </w:p>
        </w:tc>
        <w:tc>
          <w:tcPr>
            <w:tcW w:w="4236" w:type="pct"/>
            <w:tcBorders>
              <w:top w:val="nil"/>
            </w:tcBorders>
            <w:shd w:val="clear" w:color="auto" w:fill="C6E8D7"/>
          </w:tcPr>
          <w:p w14:paraId="642AFA24" w14:textId="77777777" w:rsidR="00F76E53" w:rsidRPr="0002662F" w:rsidRDefault="00F76E53" w:rsidP="0002662F">
            <w:pPr>
              <w:spacing w:after="0" w:line="240" w:lineRule="auto"/>
              <w:cnfStyle w:val="100000000000" w:firstRow="1" w:lastRow="0" w:firstColumn="0" w:lastColumn="0" w:oddVBand="0" w:evenVBand="0" w:oddHBand="0" w:evenHBand="0" w:firstRowFirstColumn="0" w:firstRowLastColumn="0" w:lastRowFirstColumn="0" w:lastRowLastColumn="0"/>
              <w:rPr>
                <w:b w:val="0"/>
                <w:color w:val="auto"/>
              </w:rPr>
            </w:pPr>
            <w:r w:rsidRPr="0002662F">
              <w:rPr>
                <w:b w:val="0"/>
                <w:color w:val="auto"/>
              </w:rPr>
              <w:t>Auditing and Assurance Standards Council</w:t>
            </w:r>
          </w:p>
        </w:tc>
      </w:tr>
      <w:tr w:rsidR="00B23EED" w:rsidRPr="0002662F" w14:paraId="43C5E5DE"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184DD4C" w14:textId="77777777" w:rsidR="00B02006" w:rsidRPr="0002662F" w:rsidRDefault="00B02006" w:rsidP="0002662F">
            <w:pPr>
              <w:spacing w:after="0" w:line="240" w:lineRule="auto"/>
              <w:rPr>
                <w:b w:val="0"/>
                <w:color w:val="auto"/>
              </w:rPr>
            </w:pPr>
            <w:r w:rsidRPr="0002662F">
              <w:rPr>
                <w:color w:val="auto"/>
              </w:rPr>
              <w:t>A&amp;A</w:t>
            </w:r>
          </w:p>
        </w:tc>
        <w:tc>
          <w:tcPr>
            <w:tcW w:w="4236" w:type="pct"/>
            <w:shd w:val="clear" w:color="auto" w:fill="C6E8D7"/>
          </w:tcPr>
          <w:p w14:paraId="312A6DE0" w14:textId="77777777" w:rsidR="00B02006" w:rsidRPr="0002662F" w:rsidRDefault="00B02006"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Accounting and Auditing</w:t>
            </w:r>
          </w:p>
        </w:tc>
      </w:tr>
      <w:tr w:rsidR="00B23EED" w:rsidRPr="0002662F" w14:paraId="31F0668E"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A105808" w14:textId="77777777" w:rsidR="00F76E53" w:rsidRPr="0002662F" w:rsidRDefault="00242443" w:rsidP="0002662F">
            <w:pPr>
              <w:spacing w:after="0" w:line="240" w:lineRule="auto"/>
              <w:rPr>
                <w:b w:val="0"/>
                <w:color w:val="auto"/>
              </w:rPr>
            </w:pPr>
            <w:r w:rsidRPr="0002662F">
              <w:rPr>
                <w:color w:val="auto"/>
              </w:rPr>
              <w:t>ACRA</w:t>
            </w:r>
            <w:r w:rsidRPr="0002662F" w:rsidDel="000930C8">
              <w:rPr>
                <w:color w:val="auto"/>
              </w:rPr>
              <w:t xml:space="preserve"> </w:t>
            </w:r>
          </w:p>
        </w:tc>
        <w:tc>
          <w:tcPr>
            <w:tcW w:w="4236" w:type="pct"/>
            <w:shd w:val="clear" w:color="auto" w:fill="C6E8D7"/>
          </w:tcPr>
          <w:p w14:paraId="000DF158" w14:textId="77777777" w:rsidR="00F76E53" w:rsidRPr="0002662F" w:rsidRDefault="0024244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Accounting and Corporate Regulatory Authority of Singapore</w:t>
            </w:r>
          </w:p>
        </w:tc>
      </w:tr>
      <w:tr w:rsidR="00B23EED" w:rsidRPr="0002662F" w14:paraId="7C604B99"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6E9B2828" w14:textId="77777777" w:rsidR="00F76E53" w:rsidRPr="0002662F" w:rsidRDefault="00242443" w:rsidP="0002662F">
            <w:pPr>
              <w:spacing w:after="0" w:line="240" w:lineRule="auto"/>
              <w:rPr>
                <w:b w:val="0"/>
                <w:color w:val="auto"/>
              </w:rPr>
            </w:pPr>
            <w:r w:rsidRPr="0002662F">
              <w:rPr>
                <w:color w:val="auto"/>
              </w:rPr>
              <w:t>AFA</w:t>
            </w:r>
          </w:p>
        </w:tc>
        <w:tc>
          <w:tcPr>
            <w:tcW w:w="4236" w:type="pct"/>
            <w:shd w:val="clear" w:color="auto" w:fill="C6E8D7"/>
          </w:tcPr>
          <w:p w14:paraId="51607473" w14:textId="77777777" w:rsidR="00F76E53" w:rsidRPr="0002662F" w:rsidRDefault="0024244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 xml:space="preserve">ASEAN Federation of Accountants </w:t>
            </w:r>
          </w:p>
        </w:tc>
      </w:tr>
      <w:tr w:rsidR="00B23EED" w:rsidRPr="0002662F" w14:paraId="6DDCBC17"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5411509" w14:textId="77777777" w:rsidR="00F76E53" w:rsidRPr="0002662F" w:rsidRDefault="00242443" w:rsidP="0002662F">
            <w:pPr>
              <w:spacing w:after="0" w:line="240" w:lineRule="auto"/>
              <w:rPr>
                <w:b w:val="0"/>
                <w:color w:val="auto"/>
              </w:rPr>
            </w:pPr>
            <w:r w:rsidRPr="0002662F">
              <w:rPr>
                <w:color w:val="auto"/>
              </w:rPr>
              <w:t>ASEAN</w:t>
            </w:r>
            <w:r w:rsidRPr="0002662F" w:rsidDel="00B02006">
              <w:rPr>
                <w:color w:val="auto"/>
              </w:rPr>
              <w:t xml:space="preserve"> </w:t>
            </w:r>
          </w:p>
        </w:tc>
        <w:tc>
          <w:tcPr>
            <w:tcW w:w="4236" w:type="pct"/>
            <w:shd w:val="clear" w:color="auto" w:fill="C6E8D7"/>
          </w:tcPr>
          <w:p w14:paraId="7CD0B5D6" w14:textId="77777777" w:rsidR="00F76E53" w:rsidRPr="0002662F" w:rsidRDefault="0024244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Association of South East Asian Nations</w:t>
            </w:r>
          </w:p>
        </w:tc>
      </w:tr>
      <w:tr w:rsidR="00B23EED" w:rsidRPr="0002662F" w14:paraId="24649023"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828A72E" w14:textId="77777777" w:rsidR="00F76E53" w:rsidRPr="0002662F" w:rsidRDefault="00F76E53" w:rsidP="0002662F">
            <w:pPr>
              <w:spacing w:after="0" w:line="240" w:lineRule="auto"/>
              <w:rPr>
                <w:b w:val="0"/>
                <w:color w:val="auto"/>
              </w:rPr>
            </w:pPr>
            <w:r w:rsidRPr="0002662F">
              <w:rPr>
                <w:color w:val="auto"/>
              </w:rPr>
              <w:t>BIR</w:t>
            </w:r>
          </w:p>
        </w:tc>
        <w:tc>
          <w:tcPr>
            <w:tcW w:w="4236" w:type="pct"/>
            <w:shd w:val="clear" w:color="auto" w:fill="C6E8D7"/>
          </w:tcPr>
          <w:p w14:paraId="5AA26E0B"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Bureau of Internal Revenue</w:t>
            </w:r>
          </w:p>
        </w:tc>
      </w:tr>
      <w:tr w:rsidR="00B23EED" w:rsidRPr="0002662F" w14:paraId="3536AFF4"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0FA5705" w14:textId="77777777" w:rsidR="00F76E53" w:rsidRPr="0002662F" w:rsidRDefault="00F76E53" w:rsidP="0002662F">
            <w:pPr>
              <w:spacing w:after="0" w:line="240" w:lineRule="auto"/>
              <w:rPr>
                <w:b w:val="0"/>
                <w:color w:val="auto"/>
              </w:rPr>
            </w:pPr>
            <w:r w:rsidRPr="0002662F">
              <w:rPr>
                <w:color w:val="auto"/>
              </w:rPr>
              <w:t>BOA</w:t>
            </w:r>
          </w:p>
        </w:tc>
        <w:tc>
          <w:tcPr>
            <w:tcW w:w="4236" w:type="pct"/>
            <w:shd w:val="clear" w:color="auto" w:fill="C6E8D7"/>
          </w:tcPr>
          <w:p w14:paraId="5EE93F85"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Board of Accountancy</w:t>
            </w:r>
          </w:p>
        </w:tc>
      </w:tr>
      <w:tr w:rsidR="00B23EED" w:rsidRPr="0002662F" w14:paraId="5B01E05B"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0E08E6EE" w14:textId="77777777" w:rsidR="00242443" w:rsidRPr="0002662F" w:rsidRDefault="00242443" w:rsidP="0002662F">
            <w:pPr>
              <w:spacing w:after="0" w:line="240" w:lineRule="auto"/>
              <w:rPr>
                <w:b w:val="0"/>
                <w:color w:val="auto"/>
              </w:rPr>
            </w:pPr>
            <w:r w:rsidRPr="0002662F">
              <w:rPr>
                <w:color w:val="auto"/>
              </w:rPr>
              <w:t>BSFIs</w:t>
            </w:r>
          </w:p>
        </w:tc>
        <w:tc>
          <w:tcPr>
            <w:tcW w:w="4236" w:type="pct"/>
            <w:shd w:val="clear" w:color="auto" w:fill="C6E8D7"/>
          </w:tcPr>
          <w:p w14:paraId="068FF049" w14:textId="77777777" w:rsidR="00242443" w:rsidRPr="0002662F" w:rsidRDefault="0024244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BSP-Supervised Financial Institutions</w:t>
            </w:r>
          </w:p>
        </w:tc>
      </w:tr>
      <w:tr w:rsidR="00B23EED" w:rsidRPr="0002662F" w14:paraId="5A324930"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7208F9F8" w14:textId="77777777" w:rsidR="00F76E53" w:rsidRPr="0002662F" w:rsidRDefault="00F76E53" w:rsidP="0002662F">
            <w:pPr>
              <w:spacing w:after="0" w:line="240" w:lineRule="auto"/>
              <w:rPr>
                <w:b w:val="0"/>
                <w:color w:val="auto"/>
              </w:rPr>
            </w:pPr>
            <w:r w:rsidRPr="0002662F">
              <w:rPr>
                <w:color w:val="auto"/>
              </w:rPr>
              <w:t>BSP</w:t>
            </w:r>
          </w:p>
        </w:tc>
        <w:tc>
          <w:tcPr>
            <w:tcW w:w="4236" w:type="pct"/>
            <w:shd w:val="clear" w:color="auto" w:fill="C6E8D7"/>
          </w:tcPr>
          <w:p w14:paraId="5D6A830C" w14:textId="49AC05CF"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proofErr w:type="spellStart"/>
            <w:r w:rsidRPr="0002662F">
              <w:rPr>
                <w:color w:val="auto"/>
              </w:rPr>
              <w:t>Bangko</w:t>
            </w:r>
            <w:proofErr w:type="spellEnd"/>
            <w:r w:rsidRPr="0002662F">
              <w:rPr>
                <w:color w:val="auto"/>
              </w:rPr>
              <w:t xml:space="preserve"> </w:t>
            </w:r>
            <w:proofErr w:type="spellStart"/>
            <w:r w:rsidRPr="0002662F">
              <w:rPr>
                <w:color w:val="auto"/>
              </w:rPr>
              <w:t>Sentral</w:t>
            </w:r>
            <w:proofErr w:type="spellEnd"/>
            <w:r w:rsidRPr="0002662F">
              <w:rPr>
                <w:color w:val="auto"/>
              </w:rPr>
              <w:t xml:space="preserve"> ng </w:t>
            </w:r>
            <w:proofErr w:type="spellStart"/>
            <w:r w:rsidRPr="0002662F">
              <w:rPr>
                <w:color w:val="auto"/>
              </w:rPr>
              <w:t>Pilipinas</w:t>
            </w:r>
            <w:proofErr w:type="spellEnd"/>
            <w:r w:rsidR="00D905E6" w:rsidRPr="0002662F">
              <w:rPr>
                <w:color w:val="auto"/>
              </w:rPr>
              <w:t xml:space="preserve"> –Central Bank</w:t>
            </w:r>
            <w:r w:rsidR="00A020E7" w:rsidRPr="0002662F">
              <w:rPr>
                <w:color w:val="auto"/>
              </w:rPr>
              <w:t xml:space="preserve"> of the Philippines</w:t>
            </w:r>
          </w:p>
        </w:tc>
      </w:tr>
      <w:tr w:rsidR="00B23EED" w:rsidRPr="0002662F" w14:paraId="3DB3660A"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62E8A82" w14:textId="77777777" w:rsidR="00AA180D" w:rsidRPr="0002662F" w:rsidRDefault="00AA180D" w:rsidP="0002662F">
            <w:pPr>
              <w:spacing w:after="0" w:line="240" w:lineRule="auto"/>
              <w:rPr>
                <w:b w:val="0"/>
                <w:color w:val="auto"/>
              </w:rPr>
            </w:pPr>
            <w:r w:rsidRPr="0002662F">
              <w:rPr>
                <w:color w:val="auto"/>
              </w:rPr>
              <w:t>CDA</w:t>
            </w:r>
          </w:p>
        </w:tc>
        <w:tc>
          <w:tcPr>
            <w:tcW w:w="4236" w:type="pct"/>
            <w:shd w:val="clear" w:color="auto" w:fill="C6E8D7"/>
          </w:tcPr>
          <w:p w14:paraId="52846F6C" w14:textId="77777777" w:rsidR="00AA180D" w:rsidRPr="0002662F" w:rsidRDefault="00AA180D"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 xml:space="preserve">Cooperative Development Authority </w:t>
            </w:r>
          </w:p>
        </w:tc>
      </w:tr>
      <w:tr w:rsidR="00B23EED" w:rsidRPr="0002662F" w14:paraId="28EB8AF1"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65E6560" w14:textId="77777777" w:rsidR="00F76E53" w:rsidRPr="0002662F" w:rsidRDefault="00F76E53" w:rsidP="0002662F">
            <w:pPr>
              <w:spacing w:after="0" w:line="240" w:lineRule="auto"/>
              <w:rPr>
                <w:b w:val="0"/>
                <w:color w:val="auto"/>
              </w:rPr>
            </w:pPr>
            <w:r w:rsidRPr="0002662F">
              <w:rPr>
                <w:color w:val="auto"/>
              </w:rPr>
              <w:t>CHED</w:t>
            </w:r>
          </w:p>
        </w:tc>
        <w:tc>
          <w:tcPr>
            <w:tcW w:w="4236" w:type="pct"/>
            <w:shd w:val="clear" w:color="auto" w:fill="C6E8D7"/>
          </w:tcPr>
          <w:p w14:paraId="0E63E241"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Commission on Higher Education</w:t>
            </w:r>
          </w:p>
        </w:tc>
      </w:tr>
      <w:tr w:rsidR="00B23EED" w:rsidRPr="0002662F" w14:paraId="58CD4AB8"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6F3E0349" w14:textId="77777777" w:rsidR="00F76E53" w:rsidRPr="0002662F" w:rsidRDefault="00F76E53" w:rsidP="0002662F">
            <w:pPr>
              <w:spacing w:after="0" w:line="240" w:lineRule="auto"/>
              <w:rPr>
                <w:b w:val="0"/>
                <w:color w:val="auto"/>
              </w:rPr>
            </w:pPr>
            <w:r w:rsidRPr="0002662F">
              <w:rPr>
                <w:color w:val="auto"/>
              </w:rPr>
              <w:t>COA</w:t>
            </w:r>
          </w:p>
        </w:tc>
        <w:tc>
          <w:tcPr>
            <w:tcW w:w="4236" w:type="pct"/>
            <w:shd w:val="clear" w:color="auto" w:fill="C6E8D7"/>
          </w:tcPr>
          <w:p w14:paraId="3910E927"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Commission on Audit</w:t>
            </w:r>
          </w:p>
        </w:tc>
      </w:tr>
      <w:tr w:rsidR="00B23EED" w:rsidRPr="0002662F" w14:paraId="2FEC1D63"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6B84E9B" w14:textId="77777777" w:rsidR="00F76E53" w:rsidRPr="0002662F" w:rsidRDefault="00F76E53" w:rsidP="0002662F">
            <w:pPr>
              <w:spacing w:after="0" w:line="240" w:lineRule="auto"/>
              <w:rPr>
                <w:b w:val="0"/>
                <w:color w:val="auto"/>
              </w:rPr>
            </w:pPr>
            <w:r w:rsidRPr="0002662F">
              <w:rPr>
                <w:color w:val="auto"/>
              </w:rPr>
              <w:t>CPA</w:t>
            </w:r>
          </w:p>
        </w:tc>
        <w:tc>
          <w:tcPr>
            <w:tcW w:w="4236" w:type="pct"/>
            <w:shd w:val="clear" w:color="auto" w:fill="C6E8D7"/>
          </w:tcPr>
          <w:p w14:paraId="77AC815F"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Certified Public Accountant</w:t>
            </w:r>
          </w:p>
        </w:tc>
      </w:tr>
      <w:tr w:rsidR="00B23EED" w:rsidRPr="0002662F" w14:paraId="21510E1D"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0302CD2" w14:textId="77777777" w:rsidR="00F76E53" w:rsidRPr="0002662F" w:rsidRDefault="00F76E53" w:rsidP="0002662F">
            <w:pPr>
              <w:spacing w:after="0" w:line="240" w:lineRule="auto"/>
              <w:rPr>
                <w:b w:val="0"/>
                <w:color w:val="auto"/>
              </w:rPr>
            </w:pPr>
            <w:r w:rsidRPr="0002662F">
              <w:rPr>
                <w:color w:val="auto"/>
              </w:rPr>
              <w:t>CPD</w:t>
            </w:r>
          </w:p>
        </w:tc>
        <w:tc>
          <w:tcPr>
            <w:tcW w:w="4236" w:type="pct"/>
            <w:shd w:val="clear" w:color="auto" w:fill="C6E8D7"/>
          </w:tcPr>
          <w:p w14:paraId="23341D34"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Continuing Professional Development</w:t>
            </w:r>
          </w:p>
        </w:tc>
      </w:tr>
      <w:tr w:rsidR="00B23EED" w:rsidRPr="0002662F" w14:paraId="6DD202AF"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D97272E" w14:textId="77777777" w:rsidR="00F76E53" w:rsidRPr="0002662F" w:rsidRDefault="00F76E53" w:rsidP="0002662F">
            <w:pPr>
              <w:spacing w:after="0" w:line="240" w:lineRule="auto"/>
              <w:rPr>
                <w:b w:val="0"/>
                <w:color w:val="auto"/>
              </w:rPr>
            </w:pPr>
            <w:r w:rsidRPr="0002662F">
              <w:rPr>
                <w:color w:val="auto"/>
              </w:rPr>
              <w:t>DOF</w:t>
            </w:r>
          </w:p>
        </w:tc>
        <w:tc>
          <w:tcPr>
            <w:tcW w:w="4236" w:type="pct"/>
            <w:shd w:val="clear" w:color="auto" w:fill="C6E8D7"/>
          </w:tcPr>
          <w:p w14:paraId="6AC6F5D6"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Department of Finance</w:t>
            </w:r>
          </w:p>
        </w:tc>
      </w:tr>
      <w:tr w:rsidR="00B23EED" w:rsidRPr="0002662F" w14:paraId="206A61FB"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CBDDBCD" w14:textId="77777777" w:rsidR="00F76E53" w:rsidRPr="0002662F" w:rsidRDefault="00F76E53" w:rsidP="0002662F">
            <w:pPr>
              <w:spacing w:after="0" w:line="240" w:lineRule="auto"/>
              <w:rPr>
                <w:b w:val="0"/>
                <w:color w:val="auto"/>
              </w:rPr>
            </w:pPr>
            <w:r w:rsidRPr="0002662F">
              <w:rPr>
                <w:color w:val="auto"/>
              </w:rPr>
              <w:t>FDI</w:t>
            </w:r>
          </w:p>
        </w:tc>
        <w:tc>
          <w:tcPr>
            <w:tcW w:w="4236" w:type="pct"/>
            <w:shd w:val="clear" w:color="auto" w:fill="C6E8D7"/>
          </w:tcPr>
          <w:p w14:paraId="0AA6146D"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Foreign Direct Investment</w:t>
            </w:r>
          </w:p>
        </w:tc>
      </w:tr>
      <w:tr w:rsidR="00B23EED" w:rsidRPr="0002662F" w14:paraId="074BFD8C"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C3D9F7E" w14:textId="77777777" w:rsidR="00F76E53" w:rsidRPr="0002662F" w:rsidRDefault="00F76E53" w:rsidP="0002662F">
            <w:pPr>
              <w:spacing w:after="0" w:line="240" w:lineRule="auto"/>
              <w:rPr>
                <w:b w:val="0"/>
                <w:color w:val="auto"/>
              </w:rPr>
            </w:pPr>
            <w:r w:rsidRPr="0002662F">
              <w:rPr>
                <w:color w:val="auto"/>
              </w:rPr>
              <w:t>FRSC</w:t>
            </w:r>
          </w:p>
        </w:tc>
        <w:tc>
          <w:tcPr>
            <w:tcW w:w="4236" w:type="pct"/>
            <w:shd w:val="clear" w:color="auto" w:fill="C6E8D7"/>
          </w:tcPr>
          <w:p w14:paraId="531C7F49"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Financial Reporting Standards Council</w:t>
            </w:r>
          </w:p>
        </w:tc>
      </w:tr>
      <w:tr w:rsidR="00B23EED" w:rsidRPr="0002662F" w14:paraId="07506A33"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094A982A" w14:textId="77777777" w:rsidR="00F76E53" w:rsidRPr="0002662F" w:rsidRDefault="00AA180D" w:rsidP="0002662F">
            <w:pPr>
              <w:spacing w:after="0" w:line="240" w:lineRule="auto"/>
              <w:rPr>
                <w:b w:val="0"/>
                <w:color w:val="auto"/>
              </w:rPr>
            </w:pPr>
            <w:r w:rsidRPr="0002662F">
              <w:rPr>
                <w:color w:val="auto"/>
              </w:rPr>
              <w:t>FX</w:t>
            </w:r>
          </w:p>
        </w:tc>
        <w:tc>
          <w:tcPr>
            <w:tcW w:w="4236" w:type="pct"/>
            <w:shd w:val="clear" w:color="auto" w:fill="C6E8D7"/>
          </w:tcPr>
          <w:p w14:paraId="0DBC2E7F" w14:textId="77777777" w:rsidR="00F76E53" w:rsidRPr="0002662F" w:rsidRDefault="00AA180D"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 xml:space="preserve">Foreign Exchange </w:t>
            </w:r>
          </w:p>
        </w:tc>
      </w:tr>
      <w:tr w:rsidR="00B23EED" w:rsidRPr="0002662F" w14:paraId="0D661799"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306D283" w14:textId="77777777" w:rsidR="00F76E53" w:rsidRPr="0002662F" w:rsidRDefault="00F76E53" w:rsidP="0002662F">
            <w:pPr>
              <w:spacing w:after="0" w:line="240" w:lineRule="auto"/>
              <w:rPr>
                <w:b w:val="0"/>
                <w:color w:val="auto"/>
              </w:rPr>
            </w:pPr>
            <w:r w:rsidRPr="0002662F">
              <w:rPr>
                <w:color w:val="auto"/>
              </w:rPr>
              <w:t>FY</w:t>
            </w:r>
          </w:p>
        </w:tc>
        <w:tc>
          <w:tcPr>
            <w:tcW w:w="4236" w:type="pct"/>
            <w:shd w:val="clear" w:color="auto" w:fill="C6E8D7"/>
          </w:tcPr>
          <w:p w14:paraId="27C6B6F8"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Financial Year</w:t>
            </w:r>
          </w:p>
        </w:tc>
      </w:tr>
      <w:tr w:rsidR="00B23EED" w:rsidRPr="0002662F" w14:paraId="48886149"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0A3F158" w14:textId="77777777" w:rsidR="005F3718" w:rsidRPr="0002662F" w:rsidRDefault="005F3718" w:rsidP="0002662F">
            <w:pPr>
              <w:spacing w:after="0" w:line="240" w:lineRule="auto"/>
              <w:rPr>
                <w:b w:val="0"/>
                <w:color w:val="auto"/>
              </w:rPr>
            </w:pPr>
            <w:r w:rsidRPr="0002662F">
              <w:rPr>
                <w:color w:val="auto"/>
              </w:rPr>
              <w:t>GCE</w:t>
            </w:r>
          </w:p>
        </w:tc>
        <w:tc>
          <w:tcPr>
            <w:tcW w:w="4236" w:type="pct"/>
            <w:shd w:val="clear" w:color="auto" w:fill="C6E8D7"/>
          </w:tcPr>
          <w:p w14:paraId="4C6E8F9D" w14:textId="77777777" w:rsidR="005F3718" w:rsidRPr="0002662F" w:rsidRDefault="005F3718"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Government Corporate Entities</w:t>
            </w:r>
          </w:p>
        </w:tc>
      </w:tr>
      <w:tr w:rsidR="00B23EED" w:rsidRPr="0002662F" w14:paraId="3259F346"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30912E6" w14:textId="77777777" w:rsidR="00F76E53" w:rsidRPr="0002662F" w:rsidRDefault="00F76E53" w:rsidP="0002662F">
            <w:pPr>
              <w:spacing w:after="0" w:line="240" w:lineRule="auto"/>
              <w:rPr>
                <w:b w:val="0"/>
                <w:color w:val="auto"/>
              </w:rPr>
            </w:pPr>
            <w:r w:rsidRPr="0002662F">
              <w:rPr>
                <w:color w:val="auto"/>
              </w:rPr>
              <w:t>GCG</w:t>
            </w:r>
          </w:p>
        </w:tc>
        <w:tc>
          <w:tcPr>
            <w:tcW w:w="4236" w:type="pct"/>
            <w:shd w:val="clear" w:color="auto" w:fill="C6E8D7"/>
          </w:tcPr>
          <w:p w14:paraId="7E26D22D"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Governance Commission for GOCCs</w:t>
            </w:r>
          </w:p>
        </w:tc>
      </w:tr>
      <w:tr w:rsidR="00B23EED" w:rsidRPr="0002662F" w14:paraId="1671FEA9"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FD67FB3" w14:textId="77777777" w:rsidR="00F76E53" w:rsidRPr="0002662F" w:rsidRDefault="00F76E53" w:rsidP="0002662F">
            <w:pPr>
              <w:spacing w:after="0" w:line="240" w:lineRule="auto"/>
              <w:rPr>
                <w:b w:val="0"/>
                <w:color w:val="auto"/>
              </w:rPr>
            </w:pPr>
            <w:r w:rsidRPr="0002662F">
              <w:rPr>
                <w:color w:val="auto"/>
              </w:rPr>
              <w:t>GDP</w:t>
            </w:r>
          </w:p>
        </w:tc>
        <w:tc>
          <w:tcPr>
            <w:tcW w:w="4236" w:type="pct"/>
            <w:shd w:val="clear" w:color="auto" w:fill="C6E8D7"/>
          </w:tcPr>
          <w:p w14:paraId="22EDC381"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Gross Domestic Product</w:t>
            </w:r>
          </w:p>
        </w:tc>
      </w:tr>
      <w:tr w:rsidR="00B23EED" w:rsidRPr="0002662F" w14:paraId="4832850E"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E436838" w14:textId="77777777" w:rsidR="00F76E53" w:rsidRPr="0002662F" w:rsidRDefault="00F76E53" w:rsidP="0002662F">
            <w:pPr>
              <w:spacing w:after="0" w:line="240" w:lineRule="auto"/>
              <w:rPr>
                <w:b w:val="0"/>
                <w:color w:val="auto"/>
              </w:rPr>
            </w:pPr>
            <w:r w:rsidRPr="0002662F">
              <w:rPr>
                <w:color w:val="auto"/>
              </w:rPr>
              <w:t>GOCC</w:t>
            </w:r>
          </w:p>
        </w:tc>
        <w:tc>
          <w:tcPr>
            <w:tcW w:w="4236" w:type="pct"/>
            <w:shd w:val="clear" w:color="auto" w:fill="C6E8D7"/>
          </w:tcPr>
          <w:p w14:paraId="6B02097A" w14:textId="5E3E86D2"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 xml:space="preserve">Government Owned </w:t>
            </w:r>
            <w:r w:rsidR="00A020E7" w:rsidRPr="0002662F">
              <w:rPr>
                <w:color w:val="auto"/>
              </w:rPr>
              <w:t xml:space="preserve">and/or </w:t>
            </w:r>
            <w:r w:rsidRPr="0002662F">
              <w:rPr>
                <w:color w:val="auto"/>
              </w:rPr>
              <w:t>Controlled Corporation</w:t>
            </w:r>
          </w:p>
        </w:tc>
      </w:tr>
      <w:tr w:rsidR="00B23EED" w:rsidRPr="0002662F" w14:paraId="130A1C17"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5274E1D" w14:textId="77777777" w:rsidR="00F76E53" w:rsidRPr="0002662F" w:rsidRDefault="00F76E53" w:rsidP="0002662F">
            <w:pPr>
              <w:spacing w:after="0" w:line="240" w:lineRule="auto"/>
              <w:rPr>
                <w:b w:val="0"/>
                <w:color w:val="auto"/>
              </w:rPr>
            </w:pPr>
            <w:proofErr w:type="spellStart"/>
            <w:r w:rsidRPr="0002662F">
              <w:rPr>
                <w:color w:val="auto"/>
              </w:rPr>
              <w:t>GoP</w:t>
            </w:r>
            <w:proofErr w:type="spellEnd"/>
          </w:p>
        </w:tc>
        <w:tc>
          <w:tcPr>
            <w:tcW w:w="4236" w:type="pct"/>
            <w:shd w:val="clear" w:color="auto" w:fill="C6E8D7"/>
          </w:tcPr>
          <w:p w14:paraId="5FEC9B2E"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Government of the Philippines</w:t>
            </w:r>
          </w:p>
        </w:tc>
      </w:tr>
      <w:tr w:rsidR="00B23EED" w:rsidRPr="0002662F" w14:paraId="57016EB1"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05E452CF" w14:textId="77777777" w:rsidR="00F76E53" w:rsidRPr="0002662F" w:rsidRDefault="00AA180D" w:rsidP="0002662F">
            <w:pPr>
              <w:spacing w:after="0" w:line="240" w:lineRule="auto"/>
              <w:rPr>
                <w:b w:val="0"/>
                <w:color w:val="auto"/>
              </w:rPr>
            </w:pPr>
            <w:r w:rsidRPr="0002662F">
              <w:rPr>
                <w:color w:val="auto"/>
              </w:rPr>
              <w:t>HMO</w:t>
            </w:r>
            <w:r w:rsidRPr="0002662F" w:rsidDel="00F51A40">
              <w:rPr>
                <w:color w:val="auto"/>
              </w:rPr>
              <w:t xml:space="preserve"> </w:t>
            </w:r>
          </w:p>
        </w:tc>
        <w:tc>
          <w:tcPr>
            <w:tcW w:w="4236" w:type="pct"/>
            <w:shd w:val="clear" w:color="auto" w:fill="C6E8D7"/>
          </w:tcPr>
          <w:p w14:paraId="2349885F" w14:textId="77777777" w:rsidR="00F76E53" w:rsidRPr="0002662F" w:rsidRDefault="00AA180D"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bookmarkStart w:id="21" w:name="_Hlk493483329"/>
            <w:r w:rsidRPr="0002662F">
              <w:rPr>
                <w:color w:val="auto"/>
              </w:rPr>
              <w:t xml:space="preserve">Health Maintenance Organization </w:t>
            </w:r>
            <w:bookmarkEnd w:id="21"/>
          </w:p>
        </w:tc>
      </w:tr>
      <w:tr w:rsidR="00B23EED" w:rsidRPr="0002662F" w14:paraId="5ECB88FA"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6D004F65" w14:textId="77777777" w:rsidR="00F76E53" w:rsidRPr="0002662F" w:rsidRDefault="00F76E53" w:rsidP="0002662F">
            <w:pPr>
              <w:spacing w:after="0" w:line="240" w:lineRule="auto"/>
              <w:rPr>
                <w:b w:val="0"/>
                <w:color w:val="auto"/>
              </w:rPr>
            </w:pPr>
            <w:r w:rsidRPr="0002662F">
              <w:rPr>
                <w:color w:val="auto"/>
              </w:rPr>
              <w:t>IAS</w:t>
            </w:r>
          </w:p>
        </w:tc>
        <w:tc>
          <w:tcPr>
            <w:tcW w:w="4236" w:type="pct"/>
            <w:shd w:val="clear" w:color="auto" w:fill="C6E8D7"/>
          </w:tcPr>
          <w:p w14:paraId="3FF2C064"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International Accounting Standards</w:t>
            </w:r>
          </w:p>
        </w:tc>
      </w:tr>
      <w:tr w:rsidR="00B23EED" w:rsidRPr="0002662F" w14:paraId="42729EC1"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152D80E" w14:textId="77777777" w:rsidR="00F76E53" w:rsidRPr="0002662F" w:rsidRDefault="00F76E53" w:rsidP="0002662F">
            <w:pPr>
              <w:spacing w:after="0" w:line="240" w:lineRule="auto"/>
              <w:rPr>
                <w:b w:val="0"/>
                <w:color w:val="auto"/>
              </w:rPr>
            </w:pPr>
            <w:r w:rsidRPr="0002662F">
              <w:rPr>
                <w:color w:val="auto"/>
              </w:rPr>
              <w:t>IASB</w:t>
            </w:r>
          </w:p>
        </w:tc>
        <w:tc>
          <w:tcPr>
            <w:tcW w:w="4236" w:type="pct"/>
            <w:shd w:val="clear" w:color="auto" w:fill="C6E8D7"/>
          </w:tcPr>
          <w:p w14:paraId="223766E2"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International Accounting Standards Board</w:t>
            </w:r>
          </w:p>
        </w:tc>
      </w:tr>
      <w:tr w:rsidR="00B23EED" w:rsidRPr="0002662F" w14:paraId="01CA8744"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24123DC" w14:textId="77777777" w:rsidR="00F76E53" w:rsidRPr="0002662F" w:rsidRDefault="00F76E53" w:rsidP="0002662F">
            <w:pPr>
              <w:spacing w:after="0" w:line="240" w:lineRule="auto"/>
              <w:rPr>
                <w:b w:val="0"/>
                <w:color w:val="auto"/>
              </w:rPr>
            </w:pPr>
            <w:r w:rsidRPr="0002662F">
              <w:rPr>
                <w:color w:val="auto"/>
              </w:rPr>
              <w:t>IC</w:t>
            </w:r>
          </w:p>
        </w:tc>
        <w:tc>
          <w:tcPr>
            <w:tcW w:w="4236" w:type="pct"/>
            <w:shd w:val="clear" w:color="auto" w:fill="C6E8D7"/>
          </w:tcPr>
          <w:p w14:paraId="58098F47"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Insurance Commission</w:t>
            </w:r>
          </w:p>
        </w:tc>
      </w:tr>
      <w:tr w:rsidR="00B23EED" w:rsidRPr="0002662F" w14:paraId="58ACB300"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1B3E177" w14:textId="77777777" w:rsidR="00F76E53" w:rsidRPr="0002662F" w:rsidRDefault="00F76E53" w:rsidP="0002662F">
            <w:pPr>
              <w:spacing w:after="0" w:line="240" w:lineRule="auto"/>
              <w:rPr>
                <w:b w:val="0"/>
                <w:color w:val="auto"/>
              </w:rPr>
            </w:pPr>
            <w:r w:rsidRPr="0002662F">
              <w:rPr>
                <w:color w:val="auto"/>
              </w:rPr>
              <w:t>IES</w:t>
            </w:r>
          </w:p>
        </w:tc>
        <w:tc>
          <w:tcPr>
            <w:tcW w:w="4236" w:type="pct"/>
            <w:shd w:val="clear" w:color="auto" w:fill="C6E8D7"/>
          </w:tcPr>
          <w:p w14:paraId="7CDD810C"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IFAC Education Standard</w:t>
            </w:r>
          </w:p>
        </w:tc>
      </w:tr>
      <w:tr w:rsidR="00B23EED" w:rsidRPr="0002662F" w14:paraId="058AEEDB"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745BFAC3" w14:textId="77777777" w:rsidR="00F76E53" w:rsidRPr="0002662F" w:rsidRDefault="00F76E53" w:rsidP="0002662F">
            <w:pPr>
              <w:spacing w:after="0" w:line="240" w:lineRule="auto"/>
              <w:rPr>
                <w:b w:val="0"/>
                <w:color w:val="auto"/>
              </w:rPr>
            </w:pPr>
            <w:r w:rsidRPr="0002662F">
              <w:rPr>
                <w:color w:val="auto"/>
              </w:rPr>
              <w:t>IFAC</w:t>
            </w:r>
          </w:p>
        </w:tc>
        <w:tc>
          <w:tcPr>
            <w:tcW w:w="4236" w:type="pct"/>
            <w:shd w:val="clear" w:color="auto" w:fill="C6E8D7"/>
          </w:tcPr>
          <w:p w14:paraId="07AFFD09"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International Federation of Accountants</w:t>
            </w:r>
          </w:p>
        </w:tc>
      </w:tr>
      <w:tr w:rsidR="00B23EED" w:rsidRPr="0002662F" w14:paraId="52E16DAD"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DF9FDF5" w14:textId="77777777" w:rsidR="00F76E53" w:rsidRPr="0002662F" w:rsidRDefault="00F76E53" w:rsidP="0002662F">
            <w:pPr>
              <w:spacing w:after="0" w:line="240" w:lineRule="auto"/>
              <w:rPr>
                <w:b w:val="0"/>
                <w:color w:val="auto"/>
              </w:rPr>
            </w:pPr>
            <w:r w:rsidRPr="0002662F">
              <w:rPr>
                <w:color w:val="auto"/>
              </w:rPr>
              <w:t>IFIAR</w:t>
            </w:r>
          </w:p>
        </w:tc>
        <w:tc>
          <w:tcPr>
            <w:tcW w:w="4236" w:type="pct"/>
            <w:shd w:val="clear" w:color="auto" w:fill="C6E8D7"/>
          </w:tcPr>
          <w:p w14:paraId="3A9074E6" w14:textId="0118AE9D"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International Forum of Independent Audit Regulator</w:t>
            </w:r>
            <w:r w:rsidR="00A020E7" w:rsidRPr="0002662F">
              <w:rPr>
                <w:color w:val="auto"/>
              </w:rPr>
              <w:t>s</w:t>
            </w:r>
          </w:p>
        </w:tc>
      </w:tr>
      <w:tr w:rsidR="00B23EED" w:rsidRPr="0002662F" w14:paraId="42D629B0"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D3962AF" w14:textId="77777777" w:rsidR="00F76E53" w:rsidRPr="0002662F" w:rsidRDefault="00F76E53" w:rsidP="0002662F">
            <w:pPr>
              <w:spacing w:after="0" w:line="240" w:lineRule="auto"/>
              <w:rPr>
                <w:b w:val="0"/>
                <w:color w:val="auto"/>
              </w:rPr>
            </w:pPr>
            <w:r w:rsidRPr="0002662F">
              <w:rPr>
                <w:color w:val="auto"/>
              </w:rPr>
              <w:t>IFRIC</w:t>
            </w:r>
          </w:p>
        </w:tc>
        <w:tc>
          <w:tcPr>
            <w:tcW w:w="4236" w:type="pct"/>
            <w:shd w:val="clear" w:color="auto" w:fill="C6E8D7"/>
          </w:tcPr>
          <w:p w14:paraId="0D8BAF71"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IFRS Interpretations Committee</w:t>
            </w:r>
          </w:p>
        </w:tc>
      </w:tr>
      <w:tr w:rsidR="00B23EED" w:rsidRPr="0002662F" w14:paraId="67593F33"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D0A2226" w14:textId="77777777" w:rsidR="00F76E53" w:rsidRPr="0002662F" w:rsidRDefault="00F76E53" w:rsidP="0002662F">
            <w:pPr>
              <w:spacing w:after="0" w:line="240" w:lineRule="auto"/>
              <w:rPr>
                <w:b w:val="0"/>
                <w:color w:val="auto"/>
              </w:rPr>
            </w:pPr>
            <w:r w:rsidRPr="0002662F">
              <w:rPr>
                <w:color w:val="auto"/>
              </w:rPr>
              <w:t>IFRS</w:t>
            </w:r>
          </w:p>
        </w:tc>
        <w:tc>
          <w:tcPr>
            <w:tcW w:w="4236" w:type="pct"/>
            <w:shd w:val="clear" w:color="auto" w:fill="C6E8D7"/>
          </w:tcPr>
          <w:p w14:paraId="78CCE424"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International Financial Reporting Standards</w:t>
            </w:r>
          </w:p>
        </w:tc>
      </w:tr>
      <w:tr w:rsidR="00B23EED" w:rsidRPr="0002662F" w14:paraId="071D2DCF"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65DA66C2" w14:textId="77777777" w:rsidR="00F76E53" w:rsidRPr="0002662F" w:rsidRDefault="00F76E53" w:rsidP="0002662F">
            <w:pPr>
              <w:spacing w:after="0" w:line="240" w:lineRule="auto"/>
              <w:rPr>
                <w:b w:val="0"/>
                <w:color w:val="auto"/>
              </w:rPr>
            </w:pPr>
            <w:r w:rsidRPr="0002662F">
              <w:rPr>
                <w:color w:val="auto"/>
              </w:rPr>
              <w:t>IOSCO</w:t>
            </w:r>
          </w:p>
        </w:tc>
        <w:tc>
          <w:tcPr>
            <w:tcW w:w="4236" w:type="pct"/>
            <w:shd w:val="clear" w:color="auto" w:fill="C6E8D7"/>
          </w:tcPr>
          <w:p w14:paraId="06A51B83"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International Organization of Securities Commission</w:t>
            </w:r>
          </w:p>
        </w:tc>
      </w:tr>
      <w:tr w:rsidR="00B23EED" w:rsidRPr="0002662F" w14:paraId="70AFF24A"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0573210A" w14:textId="77777777" w:rsidR="00F76E53" w:rsidRPr="0002662F" w:rsidRDefault="00F76E53" w:rsidP="0002662F">
            <w:pPr>
              <w:spacing w:after="0" w:line="240" w:lineRule="auto"/>
              <w:rPr>
                <w:b w:val="0"/>
                <w:color w:val="auto"/>
              </w:rPr>
            </w:pPr>
            <w:r w:rsidRPr="0002662F">
              <w:rPr>
                <w:color w:val="auto"/>
              </w:rPr>
              <w:t>ISA</w:t>
            </w:r>
          </w:p>
        </w:tc>
        <w:tc>
          <w:tcPr>
            <w:tcW w:w="4236" w:type="pct"/>
            <w:shd w:val="clear" w:color="auto" w:fill="C6E8D7"/>
          </w:tcPr>
          <w:p w14:paraId="2CC73102"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International Standards on Auditing</w:t>
            </w:r>
          </w:p>
        </w:tc>
      </w:tr>
      <w:tr w:rsidR="00B23EED" w:rsidRPr="0002662F" w14:paraId="545AD1DB"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8EEF58C" w14:textId="77777777" w:rsidR="00F76E53" w:rsidRPr="0002662F" w:rsidRDefault="00242443" w:rsidP="0002662F">
            <w:pPr>
              <w:spacing w:after="0" w:line="240" w:lineRule="auto"/>
              <w:rPr>
                <w:b w:val="0"/>
                <w:color w:val="auto"/>
              </w:rPr>
            </w:pPr>
            <w:r w:rsidRPr="0002662F">
              <w:rPr>
                <w:color w:val="auto"/>
              </w:rPr>
              <w:t>LID</w:t>
            </w:r>
          </w:p>
        </w:tc>
        <w:tc>
          <w:tcPr>
            <w:tcW w:w="4236" w:type="pct"/>
            <w:shd w:val="clear" w:color="auto" w:fill="C6E8D7"/>
          </w:tcPr>
          <w:p w14:paraId="724ECEA7" w14:textId="77777777" w:rsidR="00F76E53" w:rsidRPr="0002662F" w:rsidRDefault="00B23FAD"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Legal and Investigation Division</w:t>
            </w:r>
            <w:r w:rsidR="00242443" w:rsidRPr="0002662F">
              <w:rPr>
                <w:color w:val="auto"/>
              </w:rPr>
              <w:t xml:space="preserve"> of PRC</w:t>
            </w:r>
            <w:r w:rsidRPr="0002662F">
              <w:rPr>
                <w:color w:val="auto"/>
              </w:rPr>
              <w:t xml:space="preserve"> </w:t>
            </w:r>
          </w:p>
        </w:tc>
      </w:tr>
      <w:tr w:rsidR="00B23EED" w:rsidRPr="0002662F" w14:paraId="137CB627" w14:textId="77777777" w:rsidTr="0002662F">
        <w:trPr>
          <w:trHeight w:val="31"/>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B319BB2" w14:textId="77777777" w:rsidR="00F76E53" w:rsidRPr="0002662F" w:rsidRDefault="00242443" w:rsidP="0002662F">
            <w:pPr>
              <w:spacing w:after="0" w:line="240" w:lineRule="auto"/>
              <w:rPr>
                <w:b w:val="0"/>
                <w:color w:val="auto"/>
              </w:rPr>
            </w:pPr>
            <w:r w:rsidRPr="0002662F">
              <w:rPr>
                <w:color w:val="auto"/>
              </w:rPr>
              <w:t xml:space="preserve">MC </w:t>
            </w:r>
          </w:p>
        </w:tc>
        <w:tc>
          <w:tcPr>
            <w:tcW w:w="4236" w:type="pct"/>
            <w:shd w:val="clear" w:color="auto" w:fill="C6E8D7"/>
          </w:tcPr>
          <w:p w14:paraId="792ECD08" w14:textId="77777777" w:rsidR="00F76E53" w:rsidRPr="0002662F" w:rsidRDefault="0024244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 xml:space="preserve">Memorandum Circular </w:t>
            </w:r>
          </w:p>
        </w:tc>
      </w:tr>
      <w:tr w:rsidR="00B23EED" w:rsidRPr="0002662F" w14:paraId="715EDD35"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264AE97" w14:textId="77777777" w:rsidR="00F76E53" w:rsidRPr="0002662F" w:rsidRDefault="00F76E53" w:rsidP="0002662F">
            <w:pPr>
              <w:spacing w:after="0" w:line="240" w:lineRule="auto"/>
              <w:rPr>
                <w:b w:val="0"/>
                <w:color w:val="auto"/>
              </w:rPr>
            </w:pPr>
            <w:r w:rsidRPr="0002662F">
              <w:rPr>
                <w:color w:val="auto"/>
              </w:rPr>
              <w:t>MSME</w:t>
            </w:r>
          </w:p>
        </w:tc>
        <w:tc>
          <w:tcPr>
            <w:tcW w:w="4236" w:type="pct"/>
            <w:shd w:val="clear" w:color="auto" w:fill="C6E8D7"/>
          </w:tcPr>
          <w:p w14:paraId="5B8AA814"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Micro, Small and Medium Sized Enterprises</w:t>
            </w:r>
          </w:p>
        </w:tc>
      </w:tr>
      <w:tr w:rsidR="00B23EED" w:rsidRPr="0002662F" w14:paraId="4EAB2E53"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F592134" w14:textId="77777777" w:rsidR="00242443" w:rsidRPr="0002662F" w:rsidRDefault="00242443" w:rsidP="0002662F">
            <w:pPr>
              <w:spacing w:after="0" w:line="240" w:lineRule="auto"/>
              <w:rPr>
                <w:b w:val="0"/>
                <w:color w:val="auto"/>
              </w:rPr>
            </w:pPr>
            <w:r w:rsidRPr="0002662F">
              <w:rPr>
                <w:color w:val="auto"/>
              </w:rPr>
              <w:t>NCBA</w:t>
            </w:r>
          </w:p>
        </w:tc>
        <w:tc>
          <w:tcPr>
            <w:tcW w:w="4236" w:type="pct"/>
            <w:shd w:val="clear" w:color="auto" w:fill="C6E8D7"/>
          </w:tcPr>
          <w:p w14:paraId="795BB7E8" w14:textId="77777777" w:rsidR="00242443" w:rsidRPr="0002662F" w:rsidRDefault="0024244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New Central Bank Act</w:t>
            </w:r>
          </w:p>
        </w:tc>
      </w:tr>
      <w:tr w:rsidR="00B23EED" w:rsidRPr="0002662F" w14:paraId="359B6E5F"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81D077D" w14:textId="77777777" w:rsidR="00242443" w:rsidRPr="0002662F" w:rsidRDefault="00242443" w:rsidP="0002662F">
            <w:pPr>
              <w:spacing w:after="0" w:line="240" w:lineRule="auto"/>
              <w:rPr>
                <w:b w:val="0"/>
                <w:color w:val="auto"/>
              </w:rPr>
            </w:pPr>
            <w:r w:rsidRPr="0002662F">
              <w:rPr>
                <w:color w:val="auto"/>
              </w:rPr>
              <w:t>NEA</w:t>
            </w:r>
          </w:p>
        </w:tc>
        <w:tc>
          <w:tcPr>
            <w:tcW w:w="4236" w:type="pct"/>
            <w:shd w:val="clear" w:color="auto" w:fill="C6E8D7"/>
          </w:tcPr>
          <w:p w14:paraId="2CB4F804" w14:textId="77777777" w:rsidR="00242443" w:rsidRPr="0002662F" w:rsidRDefault="0024244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 xml:space="preserve">National Electrification Administration </w:t>
            </w:r>
          </w:p>
        </w:tc>
      </w:tr>
      <w:tr w:rsidR="00B23EED" w:rsidRPr="0002662F" w14:paraId="40C99DCC"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6E5FFD7" w14:textId="77777777" w:rsidR="00F76E53" w:rsidRPr="0002662F" w:rsidRDefault="00F76E53" w:rsidP="0002662F">
            <w:pPr>
              <w:spacing w:after="0" w:line="240" w:lineRule="auto"/>
              <w:rPr>
                <w:b w:val="0"/>
                <w:color w:val="auto"/>
              </w:rPr>
            </w:pPr>
            <w:r w:rsidRPr="0002662F">
              <w:rPr>
                <w:color w:val="auto"/>
              </w:rPr>
              <w:t>OECD</w:t>
            </w:r>
          </w:p>
        </w:tc>
        <w:tc>
          <w:tcPr>
            <w:tcW w:w="4236" w:type="pct"/>
            <w:shd w:val="clear" w:color="auto" w:fill="C6E8D7"/>
          </w:tcPr>
          <w:p w14:paraId="60949FF7"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 xml:space="preserve">Organization for Economic Co-operation and Development </w:t>
            </w:r>
          </w:p>
        </w:tc>
      </w:tr>
      <w:tr w:rsidR="00B23EED" w:rsidRPr="0002662F" w14:paraId="55DDD6F3"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1B77780" w14:textId="77777777" w:rsidR="00A320F7" w:rsidRPr="0002662F" w:rsidRDefault="00A320F7" w:rsidP="0002662F">
            <w:pPr>
              <w:spacing w:after="0" w:line="240" w:lineRule="auto"/>
              <w:rPr>
                <w:b w:val="0"/>
                <w:color w:val="auto"/>
              </w:rPr>
            </w:pPr>
            <w:r w:rsidRPr="0002662F">
              <w:rPr>
                <w:color w:val="auto"/>
              </w:rPr>
              <w:t>PDP</w:t>
            </w:r>
          </w:p>
        </w:tc>
        <w:tc>
          <w:tcPr>
            <w:tcW w:w="4236" w:type="pct"/>
            <w:shd w:val="clear" w:color="auto" w:fill="C6E8D7"/>
          </w:tcPr>
          <w:p w14:paraId="46701B8D" w14:textId="77777777" w:rsidR="00A320F7" w:rsidRPr="0002662F" w:rsidRDefault="00A320F7"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Philippine Development Plan</w:t>
            </w:r>
          </w:p>
        </w:tc>
      </w:tr>
      <w:tr w:rsidR="00B23EED" w:rsidRPr="0002662F" w14:paraId="4BD490CA"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A8C033E" w14:textId="77777777" w:rsidR="00F76E53" w:rsidRPr="0002662F" w:rsidRDefault="00F76E53" w:rsidP="0002662F">
            <w:pPr>
              <w:spacing w:after="0" w:line="240" w:lineRule="auto"/>
              <w:rPr>
                <w:b w:val="0"/>
                <w:color w:val="auto"/>
              </w:rPr>
            </w:pPr>
            <w:proofErr w:type="spellStart"/>
            <w:r w:rsidRPr="0002662F">
              <w:rPr>
                <w:color w:val="auto"/>
              </w:rPr>
              <w:t>PDEx</w:t>
            </w:r>
            <w:proofErr w:type="spellEnd"/>
          </w:p>
        </w:tc>
        <w:tc>
          <w:tcPr>
            <w:tcW w:w="4236" w:type="pct"/>
            <w:shd w:val="clear" w:color="auto" w:fill="C6E8D7"/>
          </w:tcPr>
          <w:p w14:paraId="286528A2"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Philippine Dealing and Exchange Corporation</w:t>
            </w:r>
          </w:p>
        </w:tc>
      </w:tr>
      <w:tr w:rsidR="00B23EED" w:rsidRPr="0002662F" w14:paraId="2EE9DE60"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4C3693B" w14:textId="77777777" w:rsidR="00F76E53" w:rsidRPr="0002662F" w:rsidRDefault="00F76E53" w:rsidP="0002662F">
            <w:pPr>
              <w:spacing w:after="0" w:line="240" w:lineRule="auto"/>
              <w:rPr>
                <w:b w:val="0"/>
                <w:color w:val="auto"/>
              </w:rPr>
            </w:pPr>
            <w:r w:rsidRPr="0002662F">
              <w:rPr>
                <w:color w:val="auto"/>
              </w:rPr>
              <w:t>PFRS</w:t>
            </w:r>
          </w:p>
        </w:tc>
        <w:tc>
          <w:tcPr>
            <w:tcW w:w="4236" w:type="pct"/>
            <w:shd w:val="clear" w:color="auto" w:fill="C6E8D7"/>
          </w:tcPr>
          <w:p w14:paraId="47A8B9BA"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Philippine Financial Reporting Standards</w:t>
            </w:r>
          </w:p>
        </w:tc>
      </w:tr>
      <w:tr w:rsidR="00B23EED" w:rsidRPr="0002662F" w14:paraId="2DC0E043"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D04DF7E" w14:textId="77777777" w:rsidR="00F76E53" w:rsidRPr="0002662F" w:rsidRDefault="00F76E53" w:rsidP="0002662F">
            <w:pPr>
              <w:spacing w:after="0" w:line="240" w:lineRule="auto"/>
              <w:rPr>
                <w:b w:val="0"/>
                <w:color w:val="auto"/>
              </w:rPr>
            </w:pPr>
            <w:r w:rsidRPr="0002662F">
              <w:rPr>
                <w:color w:val="auto"/>
              </w:rPr>
              <w:t>PICPA</w:t>
            </w:r>
          </w:p>
        </w:tc>
        <w:tc>
          <w:tcPr>
            <w:tcW w:w="4236" w:type="pct"/>
            <w:shd w:val="clear" w:color="auto" w:fill="C6E8D7"/>
          </w:tcPr>
          <w:p w14:paraId="1EFEBDB7"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Philippine Institute of Certified Public Accountants</w:t>
            </w:r>
          </w:p>
        </w:tc>
      </w:tr>
      <w:tr w:rsidR="00B23EED" w:rsidRPr="0002662F" w14:paraId="7794FF71"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B682874" w14:textId="77777777" w:rsidR="00791CD2" w:rsidRPr="0002662F" w:rsidRDefault="00791CD2" w:rsidP="0002662F">
            <w:pPr>
              <w:spacing w:after="0" w:line="240" w:lineRule="auto"/>
              <w:rPr>
                <w:b w:val="0"/>
                <w:color w:val="auto"/>
              </w:rPr>
            </w:pPr>
            <w:r w:rsidRPr="0002662F">
              <w:rPr>
                <w:color w:val="auto"/>
              </w:rPr>
              <w:t>PIE</w:t>
            </w:r>
          </w:p>
        </w:tc>
        <w:tc>
          <w:tcPr>
            <w:tcW w:w="4236" w:type="pct"/>
            <w:shd w:val="clear" w:color="auto" w:fill="C6E8D7"/>
          </w:tcPr>
          <w:p w14:paraId="45E4DA3C" w14:textId="77777777" w:rsidR="00791CD2" w:rsidRPr="0002662F" w:rsidRDefault="00791CD2"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Public Interest Entity</w:t>
            </w:r>
          </w:p>
        </w:tc>
      </w:tr>
      <w:tr w:rsidR="00B23EED" w:rsidRPr="0002662F" w14:paraId="7071E7F2"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2A18957A" w14:textId="77777777" w:rsidR="00F76E53" w:rsidRPr="0002662F" w:rsidRDefault="00F76E53" w:rsidP="0002662F">
            <w:pPr>
              <w:spacing w:after="0" w:line="240" w:lineRule="auto"/>
              <w:rPr>
                <w:b w:val="0"/>
                <w:color w:val="auto"/>
              </w:rPr>
            </w:pPr>
            <w:r w:rsidRPr="0002662F">
              <w:rPr>
                <w:color w:val="auto"/>
              </w:rPr>
              <w:t>PPSAS</w:t>
            </w:r>
          </w:p>
        </w:tc>
        <w:tc>
          <w:tcPr>
            <w:tcW w:w="4236" w:type="pct"/>
            <w:shd w:val="clear" w:color="auto" w:fill="C6E8D7"/>
          </w:tcPr>
          <w:p w14:paraId="0C2B33E1"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 xml:space="preserve">Philippine </w:t>
            </w:r>
            <w:proofErr w:type="gramStart"/>
            <w:r w:rsidRPr="0002662F">
              <w:rPr>
                <w:color w:val="auto"/>
              </w:rPr>
              <w:t>Public Sector</w:t>
            </w:r>
            <w:proofErr w:type="gramEnd"/>
            <w:r w:rsidRPr="0002662F">
              <w:rPr>
                <w:color w:val="auto"/>
              </w:rPr>
              <w:t xml:space="preserve"> Accounting Standards</w:t>
            </w:r>
          </w:p>
        </w:tc>
      </w:tr>
      <w:tr w:rsidR="00B23EED" w:rsidRPr="0002662F" w14:paraId="0122E2C5"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CDC2B5E" w14:textId="77777777" w:rsidR="00F76E53" w:rsidRPr="0002662F" w:rsidRDefault="00F76E53" w:rsidP="0002662F">
            <w:pPr>
              <w:spacing w:after="0" w:line="240" w:lineRule="auto"/>
              <w:rPr>
                <w:b w:val="0"/>
                <w:color w:val="auto"/>
              </w:rPr>
            </w:pPr>
            <w:r w:rsidRPr="0002662F">
              <w:rPr>
                <w:color w:val="auto"/>
              </w:rPr>
              <w:t>PRC</w:t>
            </w:r>
          </w:p>
        </w:tc>
        <w:tc>
          <w:tcPr>
            <w:tcW w:w="4236" w:type="pct"/>
            <w:shd w:val="clear" w:color="auto" w:fill="C6E8D7"/>
          </w:tcPr>
          <w:p w14:paraId="0578AA1E"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Professional Regulation Commission</w:t>
            </w:r>
          </w:p>
        </w:tc>
      </w:tr>
      <w:tr w:rsidR="00B23EED" w:rsidRPr="0002662F" w14:paraId="0ED96D54"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26256F1" w14:textId="77777777" w:rsidR="00F76E53" w:rsidRPr="0002662F" w:rsidRDefault="00F76E53" w:rsidP="0002662F">
            <w:pPr>
              <w:spacing w:after="0" w:line="240" w:lineRule="auto"/>
              <w:rPr>
                <w:b w:val="0"/>
                <w:color w:val="auto"/>
              </w:rPr>
            </w:pPr>
            <w:r w:rsidRPr="0002662F">
              <w:rPr>
                <w:color w:val="auto"/>
              </w:rPr>
              <w:t>PSA</w:t>
            </w:r>
          </w:p>
        </w:tc>
        <w:tc>
          <w:tcPr>
            <w:tcW w:w="4236" w:type="pct"/>
            <w:shd w:val="clear" w:color="auto" w:fill="C6E8D7"/>
          </w:tcPr>
          <w:p w14:paraId="01AE17F3"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 xml:space="preserve">Philippine </w:t>
            </w:r>
            <w:r w:rsidR="00384BE5" w:rsidRPr="0002662F">
              <w:rPr>
                <w:color w:val="auto"/>
              </w:rPr>
              <w:t>Standards on Auditing</w:t>
            </w:r>
          </w:p>
        </w:tc>
      </w:tr>
      <w:tr w:rsidR="00B23EED" w:rsidRPr="0002662F" w14:paraId="665310B5"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643F982" w14:textId="77777777" w:rsidR="00F76E53" w:rsidRPr="0002662F" w:rsidRDefault="00F76E53" w:rsidP="0002662F">
            <w:pPr>
              <w:spacing w:after="0" w:line="240" w:lineRule="auto"/>
              <w:rPr>
                <w:b w:val="0"/>
                <w:color w:val="auto"/>
              </w:rPr>
            </w:pPr>
            <w:r w:rsidRPr="0002662F">
              <w:rPr>
                <w:color w:val="auto"/>
              </w:rPr>
              <w:t>PSE</w:t>
            </w:r>
          </w:p>
        </w:tc>
        <w:tc>
          <w:tcPr>
            <w:tcW w:w="4236" w:type="pct"/>
            <w:shd w:val="clear" w:color="auto" w:fill="C6E8D7"/>
          </w:tcPr>
          <w:p w14:paraId="38C7DC16"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Philippine Stock Exchange</w:t>
            </w:r>
          </w:p>
        </w:tc>
      </w:tr>
      <w:tr w:rsidR="00B23EED" w:rsidRPr="0002662F" w14:paraId="38D149B8"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BB4CBFE" w14:textId="77777777" w:rsidR="00F76E53" w:rsidRPr="0002662F" w:rsidRDefault="00F76E53" w:rsidP="0002662F">
            <w:pPr>
              <w:spacing w:after="0" w:line="240" w:lineRule="auto"/>
              <w:rPr>
                <w:b w:val="0"/>
                <w:color w:val="auto"/>
              </w:rPr>
            </w:pPr>
            <w:r w:rsidRPr="0002662F">
              <w:rPr>
                <w:color w:val="auto"/>
              </w:rPr>
              <w:t>PSQC</w:t>
            </w:r>
          </w:p>
        </w:tc>
        <w:tc>
          <w:tcPr>
            <w:tcW w:w="4236" w:type="pct"/>
            <w:shd w:val="clear" w:color="auto" w:fill="C6E8D7"/>
          </w:tcPr>
          <w:p w14:paraId="020299C2"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 xml:space="preserve">Philippine Standards on Quality Control </w:t>
            </w:r>
          </w:p>
        </w:tc>
      </w:tr>
      <w:tr w:rsidR="00B23EED" w:rsidRPr="0002662F" w14:paraId="75510C06"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5005F20F" w14:textId="77777777" w:rsidR="00D905E6" w:rsidRPr="0002662F" w:rsidRDefault="00D905E6" w:rsidP="0002662F">
            <w:pPr>
              <w:spacing w:after="0" w:line="240" w:lineRule="auto"/>
              <w:rPr>
                <w:b w:val="0"/>
                <w:color w:val="auto"/>
              </w:rPr>
            </w:pPr>
            <w:r w:rsidRPr="0002662F">
              <w:rPr>
                <w:color w:val="auto"/>
              </w:rPr>
              <w:t>PSRS</w:t>
            </w:r>
          </w:p>
        </w:tc>
        <w:tc>
          <w:tcPr>
            <w:tcW w:w="4236" w:type="pct"/>
            <w:shd w:val="clear" w:color="auto" w:fill="C6E8D7"/>
          </w:tcPr>
          <w:p w14:paraId="0F240E9B" w14:textId="77777777" w:rsidR="00D905E6" w:rsidRPr="0002662F" w:rsidRDefault="00D905E6"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Philippine Standard on Related Services</w:t>
            </w:r>
          </w:p>
        </w:tc>
      </w:tr>
      <w:tr w:rsidR="00B23EED" w:rsidRPr="0002662F" w14:paraId="612CCCD4"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1473977" w14:textId="77777777" w:rsidR="00F76E53" w:rsidRPr="0002662F" w:rsidRDefault="00F76E53" w:rsidP="0002662F">
            <w:pPr>
              <w:spacing w:after="0" w:line="240" w:lineRule="auto"/>
              <w:rPr>
                <w:b w:val="0"/>
                <w:color w:val="auto"/>
              </w:rPr>
            </w:pPr>
            <w:r w:rsidRPr="0002662F">
              <w:rPr>
                <w:color w:val="auto"/>
              </w:rPr>
              <w:t>QAR</w:t>
            </w:r>
          </w:p>
        </w:tc>
        <w:tc>
          <w:tcPr>
            <w:tcW w:w="4236" w:type="pct"/>
            <w:shd w:val="clear" w:color="auto" w:fill="C6E8D7"/>
          </w:tcPr>
          <w:p w14:paraId="64746AA9"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Quality Assurance Review</w:t>
            </w:r>
          </w:p>
        </w:tc>
      </w:tr>
      <w:tr w:rsidR="00B23EED" w:rsidRPr="0002662F" w14:paraId="7A2747DD"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0EBACF63" w14:textId="77777777" w:rsidR="00F76E53" w:rsidRPr="0002662F" w:rsidRDefault="00AA180D" w:rsidP="0002662F">
            <w:pPr>
              <w:spacing w:after="0" w:line="240" w:lineRule="auto"/>
              <w:rPr>
                <w:b w:val="0"/>
                <w:color w:val="auto"/>
              </w:rPr>
            </w:pPr>
            <w:r w:rsidRPr="0002662F">
              <w:rPr>
                <w:color w:val="auto"/>
              </w:rPr>
              <w:t>RA</w:t>
            </w:r>
            <w:r w:rsidRPr="0002662F" w:rsidDel="00F51A40">
              <w:rPr>
                <w:color w:val="auto"/>
              </w:rPr>
              <w:t xml:space="preserve"> </w:t>
            </w:r>
          </w:p>
        </w:tc>
        <w:tc>
          <w:tcPr>
            <w:tcW w:w="4236" w:type="pct"/>
            <w:shd w:val="clear" w:color="auto" w:fill="C6E8D7"/>
          </w:tcPr>
          <w:p w14:paraId="2FB2D1CC" w14:textId="77777777" w:rsidR="00F76E53" w:rsidRPr="0002662F" w:rsidRDefault="00AA180D"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 xml:space="preserve">Republic Act </w:t>
            </w:r>
          </w:p>
        </w:tc>
      </w:tr>
      <w:tr w:rsidR="00B23EED" w:rsidRPr="0002662F" w14:paraId="3AC721DC"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FFCD16F" w14:textId="77777777" w:rsidR="00F76E53" w:rsidRPr="0002662F" w:rsidRDefault="00F76E53" w:rsidP="0002662F">
            <w:pPr>
              <w:spacing w:after="0" w:line="240" w:lineRule="auto"/>
              <w:rPr>
                <w:b w:val="0"/>
                <w:color w:val="auto"/>
              </w:rPr>
            </w:pPr>
            <w:r w:rsidRPr="0002662F">
              <w:rPr>
                <w:color w:val="auto"/>
              </w:rPr>
              <w:t>ROSC</w:t>
            </w:r>
          </w:p>
        </w:tc>
        <w:tc>
          <w:tcPr>
            <w:tcW w:w="4236" w:type="pct"/>
            <w:shd w:val="clear" w:color="auto" w:fill="C6E8D7"/>
          </w:tcPr>
          <w:p w14:paraId="30FB7BBF"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Report on the Observance of Standards and Codes</w:t>
            </w:r>
          </w:p>
        </w:tc>
      </w:tr>
      <w:tr w:rsidR="00B23EED" w:rsidRPr="0002662F" w14:paraId="5AF5B37F"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046AB5BD" w14:textId="77777777" w:rsidR="00F76E53" w:rsidRPr="0002662F" w:rsidRDefault="00F76E53" w:rsidP="0002662F">
            <w:pPr>
              <w:spacing w:after="0" w:line="240" w:lineRule="auto"/>
              <w:rPr>
                <w:b w:val="0"/>
                <w:color w:val="auto"/>
              </w:rPr>
            </w:pPr>
            <w:r w:rsidRPr="0002662F">
              <w:rPr>
                <w:color w:val="auto"/>
              </w:rPr>
              <w:t>SEC</w:t>
            </w:r>
          </w:p>
        </w:tc>
        <w:tc>
          <w:tcPr>
            <w:tcW w:w="4236" w:type="pct"/>
            <w:shd w:val="clear" w:color="auto" w:fill="C6E8D7"/>
          </w:tcPr>
          <w:p w14:paraId="0CCACBB6"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 xml:space="preserve">Securities and Exchange Commission </w:t>
            </w:r>
          </w:p>
        </w:tc>
      </w:tr>
      <w:tr w:rsidR="00B23EED" w:rsidRPr="0002662F" w14:paraId="7A3348C7"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EF3F9B0" w14:textId="77777777" w:rsidR="00F76E53" w:rsidRPr="0002662F" w:rsidRDefault="00F76E53" w:rsidP="0002662F">
            <w:pPr>
              <w:spacing w:after="0" w:line="240" w:lineRule="auto"/>
              <w:rPr>
                <w:b w:val="0"/>
                <w:color w:val="auto"/>
              </w:rPr>
            </w:pPr>
            <w:r w:rsidRPr="0002662F">
              <w:rPr>
                <w:color w:val="auto"/>
              </w:rPr>
              <w:t>SME</w:t>
            </w:r>
          </w:p>
        </w:tc>
        <w:tc>
          <w:tcPr>
            <w:tcW w:w="4236" w:type="pct"/>
            <w:shd w:val="clear" w:color="auto" w:fill="C6E8D7"/>
          </w:tcPr>
          <w:p w14:paraId="10BE93A8"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Small and Medium Sized Enterprise</w:t>
            </w:r>
          </w:p>
        </w:tc>
      </w:tr>
      <w:tr w:rsidR="00B23EED" w:rsidRPr="0002662F" w14:paraId="09456476"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1C7BF5B4" w14:textId="77777777" w:rsidR="00F76E53" w:rsidRPr="0002662F" w:rsidRDefault="00F76E53" w:rsidP="0002662F">
            <w:pPr>
              <w:spacing w:after="0" w:line="240" w:lineRule="auto"/>
              <w:rPr>
                <w:b w:val="0"/>
                <w:color w:val="auto"/>
              </w:rPr>
            </w:pPr>
            <w:r w:rsidRPr="0002662F">
              <w:rPr>
                <w:color w:val="auto"/>
              </w:rPr>
              <w:t>SMO</w:t>
            </w:r>
          </w:p>
        </w:tc>
        <w:tc>
          <w:tcPr>
            <w:tcW w:w="4236" w:type="pct"/>
            <w:shd w:val="clear" w:color="auto" w:fill="C6E8D7"/>
          </w:tcPr>
          <w:p w14:paraId="5A8DB429"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Statement of Membership Obligation</w:t>
            </w:r>
          </w:p>
        </w:tc>
      </w:tr>
      <w:tr w:rsidR="00B23EED" w:rsidRPr="0002662F" w14:paraId="367A3DF0"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462BB4FF" w14:textId="77777777" w:rsidR="00F76E53" w:rsidRPr="0002662F" w:rsidRDefault="00F76E53" w:rsidP="0002662F">
            <w:pPr>
              <w:spacing w:after="0" w:line="240" w:lineRule="auto"/>
              <w:rPr>
                <w:b w:val="0"/>
                <w:color w:val="auto"/>
              </w:rPr>
            </w:pPr>
            <w:r w:rsidRPr="0002662F">
              <w:rPr>
                <w:color w:val="auto"/>
              </w:rPr>
              <w:t>SMP</w:t>
            </w:r>
          </w:p>
        </w:tc>
        <w:tc>
          <w:tcPr>
            <w:tcW w:w="4236" w:type="pct"/>
            <w:shd w:val="clear" w:color="auto" w:fill="C6E8D7"/>
          </w:tcPr>
          <w:p w14:paraId="15CB61F9" w14:textId="77777777" w:rsidR="00F76E53" w:rsidRPr="0002662F" w:rsidRDefault="00F76E53"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Small and Medium-size Practices</w:t>
            </w:r>
          </w:p>
        </w:tc>
      </w:tr>
      <w:tr w:rsidR="00B23EED" w:rsidRPr="0002662F" w14:paraId="1E5BB029"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0AA6E7AC" w14:textId="77777777" w:rsidR="00F76E53" w:rsidRPr="0002662F" w:rsidRDefault="00F76E53" w:rsidP="0002662F">
            <w:pPr>
              <w:spacing w:after="0" w:line="240" w:lineRule="auto"/>
              <w:rPr>
                <w:b w:val="0"/>
                <w:color w:val="auto"/>
              </w:rPr>
            </w:pPr>
            <w:r w:rsidRPr="0002662F">
              <w:rPr>
                <w:color w:val="auto"/>
              </w:rPr>
              <w:t>SOAR</w:t>
            </w:r>
          </w:p>
        </w:tc>
        <w:tc>
          <w:tcPr>
            <w:tcW w:w="4236" w:type="pct"/>
            <w:shd w:val="clear" w:color="auto" w:fill="C6E8D7"/>
          </w:tcPr>
          <w:p w14:paraId="40126FE6"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SEC Oversight Assurance Review</w:t>
            </w:r>
          </w:p>
        </w:tc>
      </w:tr>
      <w:tr w:rsidR="00B23EED" w:rsidRPr="0002662F" w14:paraId="47728968" w14:textId="77777777" w:rsidTr="0002662F">
        <w:trPr>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shd w:val="clear" w:color="auto" w:fill="C6E8D7"/>
          </w:tcPr>
          <w:p w14:paraId="3E81D40F" w14:textId="77777777" w:rsidR="00AA180D" w:rsidRPr="0002662F" w:rsidRDefault="00AA180D" w:rsidP="0002662F">
            <w:pPr>
              <w:spacing w:after="0" w:line="240" w:lineRule="auto"/>
              <w:rPr>
                <w:b w:val="0"/>
                <w:color w:val="auto"/>
              </w:rPr>
            </w:pPr>
            <w:r w:rsidRPr="0002662F">
              <w:rPr>
                <w:color w:val="auto"/>
              </w:rPr>
              <w:t>SRC</w:t>
            </w:r>
          </w:p>
        </w:tc>
        <w:tc>
          <w:tcPr>
            <w:tcW w:w="4236" w:type="pct"/>
            <w:shd w:val="clear" w:color="auto" w:fill="C6E8D7"/>
          </w:tcPr>
          <w:p w14:paraId="15B12203" w14:textId="77777777" w:rsidR="00AA180D" w:rsidRPr="0002662F" w:rsidRDefault="00AA180D" w:rsidP="0002662F">
            <w:pPr>
              <w:spacing w:after="0" w:line="240" w:lineRule="auto"/>
              <w:cnfStyle w:val="000000000000" w:firstRow="0" w:lastRow="0" w:firstColumn="0" w:lastColumn="0" w:oddVBand="0" w:evenVBand="0" w:oddHBand="0" w:evenHBand="0" w:firstRowFirstColumn="0" w:firstRowLastColumn="0" w:lastRowFirstColumn="0" w:lastRowLastColumn="0"/>
              <w:rPr>
                <w:color w:val="auto"/>
              </w:rPr>
            </w:pPr>
            <w:r w:rsidRPr="0002662F">
              <w:rPr>
                <w:color w:val="auto"/>
              </w:rPr>
              <w:t xml:space="preserve">Securities Regulation Code </w:t>
            </w:r>
          </w:p>
        </w:tc>
      </w:tr>
      <w:tr w:rsidR="00B23EED" w:rsidRPr="0002662F" w14:paraId="788AFE5B" w14:textId="77777777" w:rsidTr="0002662F">
        <w:trPr>
          <w:cnfStyle w:val="000000100000" w:firstRow="0" w:lastRow="0" w:firstColumn="0" w:lastColumn="0" w:oddVBand="0" w:evenVBand="0" w:oddHBand="1" w:evenHBand="0" w:firstRowFirstColumn="0" w:firstRowLastColumn="0" w:lastRowFirstColumn="0" w:lastRowLastColumn="0"/>
          <w:trHeight w:val="20"/>
          <w:tblCellSpacing w:w="36" w:type="dxa"/>
          <w:jc w:val="center"/>
        </w:trPr>
        <w:tc>
          <w:tcPr>
            <w:cnfStyle w:val="001000000000" w:firstRow="0" w:lastRow="0" w:firstColumn="1" w:lastColumn="0" w:oddVBand="0" w:evenVBand="0" w:oddHBand="0" w:evenHBand="0" w:firstRowFirstColumn="0" w:firstRowLastColumn="0" w:lastRowFirstColumn="0" w:lastRowLastColumn="0"/>
            <w:tcW w:w="648" w:type="pct"/>
            <w:tcBorders>
              <w:bottom w:val="nil"/>
            </w:tcBorders>
            <w:shd w:val="clear" w:color="auto" w:fill="C6E8D7"/>
          </w:tcPr>
          <w:p w14:paraId="100E3D17" w14:textId="77777777" w:rsidR="00F76E53" w:rsidRPr="0002662F" w:rsidRDefault="00F76E53" w:rsidP="0002662F">
            <w:pPr>
              <w:spacing w:after="0" w:line="240" w:lineRule="auto"/>
              <w:rPr>
                <w:b w:val="0"/>
                <w:color w:val="auto"/>
              </w:rPr>
            </w:pPr>
            <w:r w:rsidRPr="0002662F">
              <w:rPr>
                <w:color w:val="auto"/>
              </w:rPr>
              <w:t>SRO</w:t>
            </w:r>
          </w:p>
        </w:tc>
        <w:tc>
          <w:tcPr>
            <w:tcW w:w="4236" w:type="pct"/>
            <w:tcBorders>
              <w:bottom w:val="nil"/>
            </w:tcBorders>
            <w:shd w:val="clear" w:color="auto" w:fill="C6E8D7"/>
          </w:tcPr>
          <w:p w14:paraId="0D4A5AD3" w14:textId="77777777" w:rsidR="00F76E53" w:rsidRPr="0002662F" w:rsidRDefault="00F76E53" w:rsidP="0002662F">
            <w:pPr>
              <w:spacing w:after="0" w:line="240" w:lineRule="auto"/>
              <w:cnfStyle w:val="000000100000" w:firstRow="0" w:lastRow="0" w:firstColumn="0" w:lastColumn="0" w:oddVBand="0" w:evenVBand="0" w:oddHBand="1" w:evenHBand="0" w:firstRowFirstColumn="0" w:firstRowLastColumn="0" w:lastRowFirstColumn="0" w:lastRowLastColumn="0"/>
              <w:rPr>
                <w:color w:val="auto"/>
              </w:rPr>
            </w:pPr>
            <w:r w:rsidRPr="0002662F">
              <w:rPr>
                <w:color w:val="auto"/>
              </w:rPr>
              <w:t>Self-regulatory Organization</w:t>
            </w:r>
          </w:p>
        </w:tc>
      </w:tr>
    </w:tbl>
    <w:p w14:paraId="074CE19F" w14:textId="77777777" w:rsidR="00F76E53" w:rsidRPr="008F1E62" w:rsidRDefault="00F76E53" w:rsidP="0002662F">
      <w:pPr>
        <w:spacing w:after="0" w:line="240" w:lineRule="auto"/>
      </w:pPr>
    </w:p>
    <w:tbl>
      <w:tblPr>
        <w:tblStyle w:val="TableGrid"/>
        <w:tblW w:w="498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C8D90"/>
        <w:tblCellMar>
          <w:top w:w="115" w:type="dxa"/>
          <w:left w:w="115" w:type="dxa"/>
          <w:bottom w:w="115" w:type="dxa"/>
          <w:right w:w="115" w:type="dxa"/>
        </w:tblCellMar>
        <w:tblLook w:val="04A0" w:firstRow="1" w:lastRow="0" w:firstColumn="1" w:lastColumn="0" w:noHBand="0" w:noVBand="1"/>
      </w:tblPr>
      <w:tblGrid>
        <w:gridCol w:w="9001"/>
      </w:tblGrid>
      <w:tr w:rsidR="004C797E" w:rsidRPr="004C797E" w14:paraId="19449162" w14:textId="77777777" w:rsidTr="0002662F">
        <w:trPr>
          <w:jc w:val="center"/>
        </w:trPr>
        <w:tc>
          <w:tcPr>
            <w:tcW w:w="9000" w:type="dxa"/>
            <w:shd w:val="clear" w:color="auto" w:fill="385623" w:themeFill="accent6" w:themeFillShade="80"/>
          </w:tcPr>
          <w:p w14:paraId="70C8AD55" w14:textId="77777777" w:rsidR="004C797E" w:rsidRPr="004C797E" w:rsidRDefault="004C797E" w:rsidP="004C797E">
            <w:pPr>
              <w:spacing w:after="0"/>
              <w:jc w:val="center"/>
              <w:rPr>
                <w:b/>
                <w:color w:val="FFFFFF" w:themeColor="background1"/>
              </w:rPr>
            </w:pPr>
            <w:r w:rsidRPr="004C797E">
              <w:rPr>
                <w:b/>
                <w:color w:val="FFFFFF" w:themeColor="background1"/>
              </w:rPr>
              <w:t>CURRENCY UNIT: PHILIPPINE PESO</w:t>
            </w:r>
          </w:p>
          <w:p w14:paraId="0C46F57E" w14:textId="3930DC80" w:rsidR="004C797E" w:rsidRPr="004C797E" w:rsidRDefault="004C797E" w:rsidP="004C797E">
            <w:pPr>
              <w:spacing w:after="0"/>
              <w:jc w:val="center"/>
              <w:rPr>
                <w:b/>
                <w:color w:val="FFFFFF" w:themeColor="background1"/>
              </w:rPr>
            </w:pPr>
            <w:r w:rsidRPr="004C797E">
              <w:rPr>
                <w:b/>
                <w:color w:val="FFFFFF" w:themeColor="background1"/>
              </w:rPr>
              <w:t>PESO 49.80 = US$1.00 (EXCHANGE RATE AS OF MAY 30, 2017)</w:t>
            </w:r>
          </w:p>
        </w:tc>
      </w:tr>
    </w:tbl>
    <w:p w14:paraId="31D3A0BE" w14:textId="77777777" w:rsidR="004C797E" w:rsidRPr="004C797E" w:rsidRDefault="004C797E" w:rsidP="004C797E">
      <w:pPr>
        <w:sectPr w:rsidR="004C797E" w:rsidRPr="004C797E" w:rsidSect="0002662F">
          <w:headerReference w:type="default" r:id="rId12"/>
          <w:footerReference w:type="default" r:id="rId13"/>
          <w:type w:val="nextColumn"/>
          <w:pgSz w:w="11906" w:h="16838" w:code="9"/>
          <w:pgMar w:top="1440" w:right="1440" w:bottom="1440" w:left="1440" w:header="720" w:footer="720" w:gutter="0"/>
          <w:pgNumType w:fmt="lowerRoman" w:start="1"/>
          <w:cols w:space="720"/>
          <w:docGrid w:linePitch="360"/>
        </w:sectPr>
      </w:pPr>
    </w:p>
    <w:p w14:paraId="57494AF1" w14:textId="6767AA0B" w:rsidR="00F76E53" w:rsidRPr="0002662F" w:rsidRDefault="00F76E53" w:rsidP="00F76E53">
      <w:pPr>
        <w:spacing w:after="160" w:line="259" w:lineRule="auto"/>
        <w:jc w:val="left"/>
        <w:rPr>
          <w:rFonts w:eastAsia="Times New Roman" w:cs="Times New Roman"/>
          <w:b/>
          <w:bCs/>
          <w:caps/>
          <w:sz w:val="2"/>
          <w:szCs w:val="2"/>
        </w:rPr>
      </w:pPr>
    </w:p>
    <w:p w14:paraId="31CCF304" w14:textId="77777777" w:rsidR="00F76E53" w:rsidRPr="008F1E62" w:rsidRDefault="00F76E53" w:rsidP="00F76E53">
      <w:pPr>
        <w:pStyle w:val="Heading1"/>
        <w:pBdr>
          <w:bottom w:val="single" w:sz="12" w:space="1" w:color="00AB51"/>
        </w:pBdr>
        <w:spacing w:after="60" w:line="276" w:lineRule="auto"/>
        <w:rPr>
          <w:rFonts w:ascii="Century Gothic" w:eastAsia="MS Gothic" w:hAnsi="Century Gothic"/>
          <w:color w:val="00AB51"/>
          <w:sz w:val="32"/>
          <w:szCs w:val="32"/>
          <w:lang w:val="en-US"/>
        </w:rPr>
      </w:pPr>
      <w:bookmarkStart w:id="22" w:name="_Toc499825572"/>
      <w:r w:rsidRPr="008F1E62">
        <w:rPr>
          <w:rFonts w:ascii="Century Gothic" w:eastAsia="MS Gothic" w:hAnsi="Century Gothic"/>
          <w:color w:val="00AB51"/>
          <w:sz w:val="32"/>
          <w:szCs w:val="32"/>
          <w:lang w:val="en-US"/>
        </w:rPr>
        <w:t>Preface</w:t>
      </w:r>
      <w:bookmarkEnd w:id="22"/>
    </w:p>
    <w:p w14:paraId="1E93B6C6" w14:textId="77777777" w:rsidR="00F76E53" w:rsidRPr="008F1E62" w:rsidRDefault="00F76E53" w:rsidP="00F76E53">
      <w:pPr>
        <w:spacing w:after="0"/>
      </w:pPr>
    </w:p>
    <w:p w14:paraId="23D78700" w14:textId="77777777" w:rsidR="00F76E53" w:rsidRPr="008F1E62" w:rsidRDefault="00F76E53" w:rsidP="00F76E53">
      <w:r w:rsidRPr="008F1E62">
        <w:t>Reports on the Observance of Standards and Codes Accounting and Auditing (‘ROSC A&amp;A’) assess financial reporting and auditing standards, institutions and practices in participating countries. These reports form part of a joint initiative implemented by the World Bank and the International Monetary Fund to review the quality of implementation of internationally recognized standards and principles in 12</w:t>
      </w:r>
      <w:r w:rsidRPr="008F1E62">
        <w:rPr>
          <w:rStyle w:val="FootnoteReference"/>
        </w:rPr>
        <w:footnoteReference w:id="2"/>
      </w:r>
      <w:r w:rsidRPr="008F1E62">
        <w:t xml:space="preserve"> key areas (‘the ROSC program’) with a view to promoting financial and economic stability.</w:t>
      </w:r>
    </w:p>
    <w:p w14:paraId="1E62BFE7" w14:textId="77777777" w:rsidR="00F76E53" w:rsidRPr="008F1E62" w:rsidRDefault="00F76E53" w:rsidP="00F76E53">
      <w:r w:rsidRPr="008F1E62">
        <w:t>This report provides an assessment of financial reporting and auditing requirements and practices within the corporate sector</w:t>
      </w:r>
      <w:r w:rsidRPr="008F1E62">
        <w:rPr>
          <w:rStyle w:val="FootnoteReference"/>
          <w:rFonts w:cstheme="majorBidi"/>
        </w:rPr>
        <w:footnoteReference w:id="3"/>
      </w:r>
      <w:r w:rsidRPr="008F1E62">
        <w:t xml:space="preserve"> in the Philippines and sets forth areas for consideration for improving the institutional environment for A&amp;A. The ROSC A&amp;A used international benchmarks of good practice governing financial reporting and auditing in the assessment, including International Financial Reporting Standards (IFRS) and International Standards on Auditing (ISA). This report updates an earlier assessment which was published in 2006 and was undertaken following a formal request from the Government of the Philippines. </w:t>
      </w:r>
    </w:p>
    <w:p w14:paraId="3872354C" w14:textId="77777777" w:rsidR="00075781" w:rsidRDefault="00075781" w:rsidP="00F76E53">
      <w:pPr>
        <w:spacing w:line="240" w:lineRule="auto"/>
        <w:rPr>
          <w:rFonts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C8D90"/>
        <w:tblCellMar>
          <w:top w:w="115" w:type="dxa"/>
          <w:left w:w="115" w:type="dxa"/>
          <w:bottom w:w="115" w:type="dxa"/>
          <w:right w:w="115" w:type="dxa"/>
        </w:tblCellMar>
        <w:tblLook w:val="04A0" w:firstRow="1" w:lastRow="0" w:firstColumn="1" w:lastColumn="0" w:noHBand="0" w:noVBand="1"/>
      </w:tblPr>
      <w:tblGrid>
        <w:gridCol w:w="9016"/>
      </w:tblGrid>
      <w:tr w:rsidR="00075781" w:rsidRPr="004C797E" w14:paraId="23AC0DB7" w14:textId="77777777" w:rsidTr="00A020E7">
        <w:tc>
          <w:tcPr>
            <w:tcW w:w="9016" w:type="dxa"/>
            <w:shd w:val="clear" w:color="auto" w:fill="8C8D90"/>
          </w:tcPr>
          <w:p w14:paraId="4BBEE945" w14:textId="77777777" w:rsidR="00075781" w:rsidRDefault="00075781" w:rsidP="00A020E7">
            <w:pPr>
              <w:spacing w:after="0"/>
              <w:jc w:val="center"/>
              <w:rPr>
                <w:b/>
                <w:color w:val="FFFFFF" w:themeColor="background1"/>
                <w:sz w:val="40"/>
              </w:rPr>
            </w:pPr>
            <w:r>
              <w:rPr>
                <w:b/>
                <w:color w:val="FFFFFF" w:themeColor="background1"/>
                <w:sz w:val="40"/>
              </w:rPr>
              <w:t>This report is</w:t>
            </w:r>
          </w:p>
          <w:p w14:paraId="7607C8B7" w14:textId="77777777" w:rsidR="00075781" w:rsidRPr="004C797E" w:rsidRDefault="00075781" w:rsidP="00A020E7">
            <w:pPr>
              <w:spacing w:after="0"/>
              <w:jc w:val="center"/>
              <w:rPr>
                <w:b/>
                <w:color w:val="FFFFFF" w:themeColor="background1"/>
              </w:rPr>
            </w:pPr>
            <w:r w:rsidRPr="00075781">
              <w:rPr>
                <w:b/>
                <w:color w:val="FFFFFF" w:themeColor="background1"/>
                <w:sz w:val="40"/>
              </w:rPr>
              <w:t>CONFIDENTIAL</w:t>
            </w:r>
          </w:p>
        </w:tc>
      </w:tr>
    </w:tbl>
    <w:p w14:paraId="4D68BD89" w14:textId="6ECFE432" w:rsidR="00F76E53" w:rsidRPr="008F1E62" w:rsidRDefault="00F76E53" w:rsidP="00F76E53">
      <w:pPr>
        <w:spacing w:line="240" w:lineRule="auto"/>
        <w:rPr>
          <w:rFonts w:cstheme="majorBidi"/>
        </w:rPr>
      </w:pPr>
      <w:r w:rsidRPr="008F1E62">
        <w:rPr>
          <w:rFonts w:cstheme="majorBidi"/>
        </w:rPr>
        <w:br w:type="page"/>
      </w:r>
    </w:p>
    <w:p w14:paraId="463C0896" w14:textId="77777777" w:rsidR="00F76E53" w:rsidRPr="008F1E62" w:rsidRDefault="00F76E53" w:rsidP="00F76E53">
      <w:pPr>
        <w:pStyle w:val="Heading1"/>
        <w:pBdr>
          <w:bottom w:val="single" w:sz="12" w:space="1" w:color="00AB51"/>
        </w:pBdr>
        <w:spacing w:after="60" w:line="276" w:lineRule="auto"/>
        <w:rPr>
          <w:rFonts w:ascii="Century Gothic" w:eastAsia="MS Gothic" w:hAnsi="Century Gothic"/>
          <w:color w:val="00AB51"/>
          <w:sz w:val="32"/>
          <w:szCs w:val="32"/>
          <w:lang w:val="en-US"/>
        </w:rPr>
      </w:pPr>
      <w:bookmarkStart w:id="23" w:name="_Toc471317006"/>
      <w:bookmarkStart w:id="24" w:name="_Toc499825573"/>
      <w:r w:rsidRPr="008F1E62">
        <w:rPr>
          <w:rFonts w:ascii="Century Gothic" w:eastAsia="MS Gothic" w:hAnsi="Century Gothic"/>
          <w:color w:val="00AB51"/>
          <w:sz w:val="32"/>
          <w:szCs w:val="32"/>
          <w:lang w:val="en-US"/>
        </w:rPr>
        <w:t>Acknowledgements</w:t>
      </w:r>
      <w:bookmarkEnd w:id="23"/>
      <w:bookmarkEnd w:id="24"/>
    </w:p>
    <w:p w14:paraId="082237D7" w14:textId="77777777" w:rsidR="00F76E53" w:rsidRPr="008F1E62" w:rsidRDefault="00F76E53" w:rsidP="00F76E53">
      <w:pPr>
        <w:spacing w:after="0"/>
      </w:pPr>
    </w:p>
    <w:p w14:paraId="23C4E250" w14:textId="77777777" w:rsidR="00F76E53" w:rsidRPr="008F1E62" w:rsidRDefault="00F76E53" w:rsidP="00F76E53">
      <w:r w:rsidRPr="008F1E62">
        <w:t xml:space="preserve">The Report on the Observance of Standards and Codes, Accounting and Auditing (ROSC A&amp;A) was conducted at the request of the Government of </w:t>
      </w:r>
      <w:r w:rsidR="00786B3D">
        <w:t xml:space="preserve">the </w:t>
      </w:r>
      <w:r w:rsidRPr="008F1E62">
        <w:t xml:space="preserve">Philippines, from October 2016 to May 2017. All findings reflect this period of the review and some stated future events may have occurred by publication date. The World Bank team was led by Bonnie Ann Sirois (Senior Financial Management Specialist) and Aisha Lanette de Guzman (Financial Management Specialist), and included Alfred Jean-Marie Borgonovo (Senior Financial Management Specialist), Nataliya Mylenko (Senior Financial Sector Specialist), IFRS Consultants Michael J. Wells and Ana </w:t>
      </w:r>
      <w:proofErr w:type="spellStart"/>
      <w:r w:rsidRPr="008F1E62">
        <w:t>Czarnieka</w:t>
      </w:r>
      <w:proofErr w:type="spellEnd"/>
      <w:r w:rsidR="00170EC0">
        <w:t>,</w:t>
      </w:r>
      <w:r w:rsidRPr="008F1E62">
        <w:t xml:space="preserve"> and </w:t>
      </w:r>
      <w:r w:rsidR="00170EC0" w:rsidRPr="008F1E62">
        <w:t xml:space="preserve">local </w:t>
      </w:r>
      <w:r w:rsidRPr="008F1E62">
        <w:t>Consultants Edson Joseph Guido, Mohammad Zidni Marohombsar</w:t>
      </w:r>
      <w:r w:rsidR="00170EC0">
        <w:t>,</w:t>
      </w:r>
      <w:r w:rsidRPr="008F1E62">
        <w:t xml:space="preserve"> and Mark Allister Robis.</w:t>
      </w:r>
    </w:p>
    <w:p w14:paraId="532ADB2C" w14:textId="77777777" w:rsidR="00F76E53" w:rsidRPr="008F1E62" w:rsidRDefault="00F76E53" w:rsidP="00F76E53">
      <w:r w:rsidRPr="008F1E62">
        <w:t xml:space="preserve">The review was conducted through a participatory process involving the World Bank Country Office Manila and various in-country stakeholders, including the Department of Finance, Board of Accountancy, Securities and Exchange Commission, </w:t>
      </w:r>
      <w:proofErr w:type="spellStart"/>
      <w:r w:rsidRPr="008F1E62">
        <w:t>Bangko</w:t>
      </w:r>
      <w:proofErr w:type="spellEnd"/>
      <w:r w:rsidRPr="008F1E62">
        <w:t xml:space="preserve"> </w:t>
      </w:r>
      <w:proofErr w:type="spellStart"/>
      <w:r w:rsidRPr="008F1E62">
        <w:t>Sentral</w:t>
      </w:r>
      <w:proofErr w:type="spellEnd"/>
      <w:r w:rsidRPr="008F1E62">
        <w:t xml:space="preserve"> ng </w:t>
      </w:r>
      <w:proofErr w:type="spellStart"/>
      <w:r w:rsidRPr="008F1E62">
        <w:t>Pilipinas</w:t>
      </w:r>
      <w:proofErr w:type="spellEnd"/>
      <w:r w:rsidRPr="008F1E62">
        <w:t xml:space="preserve">, Insurance Commission, Bureau of Internal Revenue, Philippine Institute of Certified Public Accountants, Professional Regulation Commission, Commission on Higher Education, auditing firms, academia, and other business communities, as well as development partner </w:t>
      </w:r>
      <w:proofErr w:type="spellStart"/>
      <w:r w:rsidRPr="008F1E62">
        <w:t>USAid</w:t>
      </w:r>
      <w:proofErr w:type="spellEnd"/>
      <w:r w:rsidRPr="008F1E62">
        <w:t>. The ROSC A&amp;A team particularly would like to thank the ROSC steering committee team members led by U</w:t>
      </w:r>
      <w:r w:rsidR="00AD727B">
        <w:t>nder</w:t>
      </w:r>
      <w:r w:rsidRPr="008F1E62">
        <w:t>sec</w:t>
      </w:r>
      <w:r w:rsidR="00AD727B">
        <w:t>retary</w:t>
      </w:r>
      <w:r w:rsidRPr="008F1E62">
        <w:t xml:space="preserve"> Antonette Tionko, for the strong leadership of this initiative within Government. </w:t>
      </w:r>
    </w:p>
    <w:p w14:paraId="2E270519" w14:textId="77777777" w:rsidR="00F76E53" w:rsidRPr="008F1E62" w:rsidRDefault="00F76E53" w:rsidP="00F76E53">
      <w:r w:rsidRPr="008F1E62">
        <w:t xml:space="preserve">The team also gratefully acknowledges Mara Warwick (Country Director for </w:t>
      </w:r>
      <w:r w:rsidR="00EA1336">
        <w:t xml:space="preserve">the </w:t>
      </w:r>
      <w:r w:rsidRPr="008F1E62">
        <w:t>Philippines), Birgit Hansl (Practice Leader for Governance), Roberto Tarallo and Fily Sissoko (F</w:t>
      </w:r>
      <w:r w:rsidR="00FE3F5C">
        <w:t xml:space="preserve">inancial </w:t>
      </w:r>
      <w:r w:rsidRPr="008F1E62">
        <w:t>A</w:t>
      </w:r>
      <w:r w:rsidR="00FE3F5C">
        <w:t xml:space="preserve">ccountability and </w:t>
      </w:r>
      <w:r w:rsidRPr="008F1E62">
        <w:t>R</w:t>
      </w:r>
      <w:r w:rsidR="00FE3F5C">
        <w:t>eporting</w:t>
      </w:r>
      <w:r w:rsidRPr="008F1E62">
        <w:t xml:space="preserve"> Practice Managers, Governance East Asia and the Pacific) and Jarett Decker (Head of </w:t>
      </w:r>
      <w:r w:rsidR="0011540D">
        <w:t xml:space="preserve">the World Bank </w:t>
      </w:r>
      <w:r w:rsidRPr="008F1E62">
        <w:t>C</w:t>
      </w:r>
      <w:r w:rsidR="0011540D">
        <w:t xml:space="preserve">entre for </w:t>
      </w:r>
      <w:r w:rsidRPr="008F1E62">
        <w:t>F</w:t>
      </w:r>
      <w:r w:rsidR="0011540D">
        <w:t xml:space="preserve">inancial </w:t>
      </w:r>
      <w:r w:rsidRPr="008F1E62">
        <w:t>R</w:t>
      </w:r>
      <w:r w:rsidR="0011540D">
        <w:t xml:space="preserve">eporting </w:t>
      </w:r>
      <w:r w:rsidRPr="008F1E62">
        <w:t>R</w:t>
      </w:r>
      <w:r w:rsidR="0011540D">
        <w:t>eform</w:t>
      </w:r>
      <w:r w:rsidRPr="008F1E62">
        <w:t>), for their guidance and support.</w:t>
      </w:r>
    </w:p>
    <w:p w14:paraId="29FB48F4" w14:textId="77777777" w:rsidR="00F76E53" w:rsidRPr="008F1E62" w:rsidRDefault="00F76E53" w:rsidP="00F76E53">
      <w:r w:rsidRPr="008F1E62">
        <w:t xml:space="preserve">The report also benefited from the comments of </w:t>
      </w:r>
      <w:r w:rsidR="00500B0A">
        <w:t xml:space="preserve">World Bank </w:t>
      </w:r>
      <w:r w:rsidRPr="008F1E62">
        <w:t xml:space="preserve">peer reviewers:  Qurat ul Ain Hadi (Financial Management Specialist), Christopher Robert Fabling (Senior Financial Management Specialist), and Henri Fortin (Lead Financial Management Specialist). </w:t>
      </w:r>
    </w:p>
    <w:p w14:paraId="282A8D50" w14:textId="77777777" w:rsidR="00F76E53" w:rsidRPr="008F1E62" w:rsidRDefault="00F76E53" w:rsidP="00F76E53">
      <w:pPr>
        <w:spacing w:before="240" w:after="240" w:line="240" w:lineRule="auto"/>
        <w:rPr>
          <w:rFonts w:cstheme="majorBidi"/>
        </w:rPr>
      </w:pPr>
      <w:r w:rsidRPr="008F1E62">
        <w:rPr>
          <w:rFonts w:cstheme="majorBidi"/>
        </w:rPr>
        <w:br w:type="page"/>
      </w:r>
    </w:p>
    <w:p w14:paraId="037BF348" w14:textId="77777777" w:rsidR="00F76E53" w:rsidRPr="008F1E62" w:rsidRDefault="00F76E53" w:rsidP="00F76E53">
      <w:pPr>
        <w:pStyle w:val="Heading1"/>
        <w:pBdr>
          <w:bottom w:val="single" w:sz="12" w:space="1" w:color="00AB51"/>
        </w:pBdr>
        <w:spacing w:after="60" w:line="276" w:lineRule="auto"/>
        <w:rPr>
          <w:rFonts w:ascii="Century Gothic" w:eastAsia="MS Gothic" w:hAnsi="Century Gothic"/>
          <w:color w:val="00AB51"/>
          <w:sz w:val="32"/>
          <w:szCs w:val="32"/>
          <w:lang w:val="en-US"/>
        </w:rPr>
      </w:pPr>
      <w:bookmarkStart w:id="25" w:name="_Toc499825574"/>
      <w:r w:rsidRPr="008F1E62">
        <w:rPr>
          <w:rFonts w:ascii="Century Gothic" w:eastAsia="MS Gothic" w:hAnsi="Century Gothic"/>
          <w:color w:val="00AB51"/>
          <w:sz w:val="32"/>
          <w:szCs w:val="32"/>
          <w:lang w:val="en-US"/>
        </w:rPr>
        <w:t>Executive Summary</w:t>
      </w:r>
      <w:bookmarkEnd w:id="25"/>
    </w:p>
    <w:p w14:paraId="4530D3FE" w14:textId="77777777" w:rsidR="00F76E53" w:rsidRPr="008F1E62" w:rsidRDefault="00F76E53" w:rsidP="00F76E53">
      <w:pPr>
        <w:spacing w:after="0"/>
      </w:pPr>
    </w:p>
    <w:p w14:paraId="7D419202" w14:textId="77777777" w:rsidR="00F76E53" w:rsidRPr="008F1E62" w:rsidRDefault="00F76E53" w:rsidP="00F76E53">
      <w:r w:rsidRPr="008F1E62">
        <w:t>The Government of the Philippines (</w:t>
      </w:r>
      <w:proofErr w:type="spellStart"/>
      <w:r w:rsidRPr="008F1E62">
        <w:t>GoP</w:t>
      </w:r>
      <w:proofErr w:type="spellEnd"/>
      <w:r w:rsidRPr="008F1E62">
        <w:t>) has taken steps to sustain</w:t>
      </w:r>
      <w:r w:rsidRPr="008F1E62">
        <w:rPr>
          <w:b/>
        </w:rPr>
        <w:t xml:space="preserve"> </w:t>
      </w:r>
      <w:r w:rsidRPr="008F1E62">
        <w:t xml:space="preserve">the inclusive pattern of recent growth and has endeavored towards reforms that facilitate private investment. </w:t>
      </w:r>
      <w:r w:rsidRPr="008F1E62">
        <w:rPr>
          <w:rFonts w:cstheme="minorHAnsi"/>
        </w:rPr>
        <w:t>In February 2017, the Philippine Development Plan (PDP) 2017-2022 was approved, laying out the new administration’s policy goals over the next six years</w:t>
      </w:r>
      <w:r w:rsidRPr="008F1E62">
        <w:t xml:space="preserve"> and its objective of enabling the Philippines to become an upper-middle-income country by 2022</w:t>
      </w:r>
      <w:r w:rsidRPr="008F1E62">
        <w:rPr>
          <w:rFonts w:cstheme="minorHAnsi"/>
        </w:rPr>
        <w:t xml:space="preserve">. With the passage of the PDP, the government has committed itself to policies that promote equitable tax reform, enhanced market competition, and improvements in the ease of doing business in the context of a sustainable buildup of public infrastructure investment and increased spending on social services.  </w:t>
      </w:r>
      <w:r w:rsidRPr="008F1E62">
        <w:rPr>
          <w:rFonts w:cs="Arial"/>
          <w:color w:val="000000" w:themeColor="text1"/>
        </w:rPr>
        <w:t xml:space="preserve">The Philippines economy has remained resilient to global headwinds, as robust domestic demand pushed the </w:t>
      </w:r>
      <w:r w:rsidRPr="008F1E62">
        <w:t>Gross Domestic Product</w:t>
      </w:r>
      <w:r w:rsidRPr="008F1E62">
        <w:rPr>
          <w:rFonts w:cs="Arial"/>
          <w:color w:val="000000" w:themeColor="text1"/>
        </w:rPr>
        <w:t xml:space="preserve"> (GDP) growth rate to 6.8 percent, year-on-year. </w:t>
      </w:r>
    </w:p>
    <w:p w14:paraId="578B55A7" w14:textId="77777777" w:rsidR="00F76E53" w:rsidRPr="008F1E62" w:rsidRDefault="00F76E53" w:rsidP="00F76E53">
      <w:pPr>
        <w:rPr>
          <w:rFonts w:ascii="Calibri" w:eastAsia="Calibri" w:hAnsi="Calibri" w:cs="Times New Roman"/>
        </w:rPr>
      </w:pPr>
      <w:r w:rsidRPr="008F1E62">
        <w:t xml:space="preserve">To support the pace of reform, the </w:t>
      </w:r>
      <w:proofErr w:type="spellStart"/>
      <w:r w:rsidRPr="008F1E62">
        <w:t>GoP</w:t>
      </w:r>
      <w:proofErr w:type="spellEnd"/>
      <w:r w:rsidRPr="008F1E62">
        <w:t xml:space="preserve"> sought the World Bank’s assistance to provide an up to date assessment </w:t>
      </w:r>
      <w:r w:rsidR="0024691F" w:rsidRPr="008F1E62">
        <w:t>of</w:t>
      </w:r>
      <w:r w:rsidRPr="008F1E62">
        <w:t xml:space="preserve"> the Report on the Observance of Standards and Codes, Accounting and Auditing (ROSC A&amp;A). Adopting measures to strengthen the accounting and auditing (A&amp;A) environment will allow the </w:t>
      </w:r>
      <w:proofErr w:type="spellStart"/>
      <w:r w:rsidRPr="008F1E62">
        <w:t>GoP</w:t>
      </w:r>
      <w:proofErr w:type="spellEnd"/>
      <w:r w:rsidRPr="008F1E62">
        <w:t xml:space="preserve"> to make significant progress in the reform agenda embarked on by the government in support of the PDP. </w:t>
      </w:r>
      <w:r w:rsidRPr="008F1E62">
        <w:rPr>
          <w:rFonts w:ascii="Calibri" w:eastAsia="Calibri" w:hAnsi="Calibri" w:cs="Times New Roman"/>
        </w:rPr>
        <w:t>The ROSC A&amp;A 2.0 assessment focuses on three pillars—A&amp;A standard analysis with reference to international benchmarks, institutional framework including institutional capacity</w:t>
      </w:r>
      <w:r w:rsidR="00FE3F5C">
        <w:rPr>
          <w:rFonts w:ascii="Calibri" w:eastAsia="Calibri" w:hAnsi="Calibri" w:cs="Times New Roman"/>
        </w:rPr>
        <w:t>,</w:t>
      </w:r>
      <w:r w:rsidRPr="008F1E62">
        <w:rPr>
          <w:rFonts w:ascii="Calibri" w:eastAsia="Calibri" w:hAnsi="Calibri" w:cs="Times New Roman"/>
        </w:rPr>
        <w:t xml:space="preserve"> monitoring and enforcement</w:t>
      </w:r>
      <w:r w:rsidR="00FE3F5C">
        <w:rPr>
          <w:rFonts w:ascii="Calibri" w:eastAsia="Calibri" w:hAnsi="Calibri" w:cs="Times New Roman"/>
        </w:rPr>
        <w:t>,</w:t>
      </w:r>
      <w:r w:rsidRPr="008F1E62">
        <w:rPr>
          <w:rFonts w:ascii="Calibri" w:eastAsia="Calibri" w:hAnsi="Calibri" w:cs="Times New Roman"/>
        </w:rPr>
        <w:t xml:space="preserve"> and analysis of A&amp;A standards as designed and practiced. The outcomes of the assessment directly contribute to the Government’s reform agenda to improve capital market performance, governance of Government Owned and Controlled Corporations (GOCCs), and micro, small</w:t>
      </w:r>
      <w:r w:rsidR="000C6096">
        <w:rPr>
          <w:rFonts w:ascii="Calibri" w:eastAsia="Calibri" w:hAnsi="Calibri" w:cs="Times New Roman"/>
        </w:rPr>
        <w:t>,</w:t>
      </w:r>
      <w:r w:rsidRPr="008F1E62">
        <w:rPr>
          <w:rFonts w:ascii="Calibri" w:eastAsia="Calibri" w:hAnsi="Calibri" w:cs="Times New Roman"/>
        </w:rPr>
        <w:t xml:space="preserve"> and medium-sized enterprise (MSME) sector development. The study is particularly relevant to </w:t>
      </w:r>
      <w:r w:rsidR="00D82424" w:rsidRPr="008F1E62">
        <w:rPr>
          <w:rFonts w:ascii="Calibri" w:eastAsia="Calibri" w:hAnsi="Calibri" w:cs="Times New Roman"/>
        </w:rPr>
        <w:t>the World Bank Group’s</w:t>
      </w:r>
      <w:r w:rsidR="007A03FC">
        <w:rPr>
          <w:rFonts w:ascii="Calibri" w:eastAsia="Calibri" w:hAnsi="Calibri" w:cs="Times New Roman"/>
        </w:rPr>
        <w:t xml:space="preserve"> financial year</w:t>
      </w:r>
      <w:r w:rsidR="00D82424" w:rsidRPr="008F1E62">
        <w:rPr>
          <w:rFonts w:ascii="Calibri" w:eastAsia="Calibri" w:hAnsi="Calibri" w:cs="Times New Roman"/>
        </w:rPr>
        <w:t xml:space="preserve"> </w:t>
      </w:r>
      <w:r w:rsidR="007A03FC">
        <w:rPr>
          <w:rFonts w:ascii="Calibri" w:eastAsia="Calibri" w:hAnsi="Calibri" w:cs="Times New Roman"/>
        </w:rPr>
        <w:t>(</w:t>
      </w:r>
      <w:r w:rsidR="00D82424" w:rsidRPr="008F1E62">
        <w:rPr>
          <w:rFonts w:ascii="Calibri" w:eastAsia="Calibri" w:hAnsi="Calibri" w:cs="Times New Roman"/>
        </w:rPr>
        <w:t>FY</w:t>
      </w:r>
      <w:r w:rsidR="007A03FC">
        <w:rPr>
          <w:rFonts w:ascii="Calibri" w:eastAsia="Calibri" w:hAnsi="Calibri" w:cs="Times New Roman"/>
        </w:rPr>
        <w:t xml:space="preserve">) </w:t>
      </w:r>
      <w:r w:rsidR="00D82424" w:rsidRPr="008F1E62">
        <w:rPr>
          <w:rFonts w:ascii="Calibri" w:eastAsia="Calibri" w:hAnsi="Calibri" w:cs="Times New Roman"/>
        </w:rPr>
        <w:t>2015–18</w:t>
      </w:r>
      <w:r w:rsidRPr="008F1E62">
        <w:rPr>
          <w:rFonts w:ascii="Calibri" w:eastAsia="Calibri" w:hAnsi="Calibri" w:cs="Times New Roman"/>
        </w:rPr>
        <w:t xml:space="preserve"> Country Partnership Strategy </w:t>
      </w:r>
      <w:r w:rsidR="00D82424" w:rsidRPr="008F1E62">
        <w:t xml:space="preserve">for the Philippines </w:t>
      </w:r>
      <w:r w:rsidRPr="008F1E62">
        <w:rPr>
          <w:rFonts w:ascii="Calibri" w:eastAsia="Calibri" w:hAnsi="Calibri" w:cs="Times New Roman"/>
        </w:rPr>
        <w:t xml:space="preserve">and provides actionable recommendations to the World Bank Group and other donors to support </w:t>
      </w:r>
      <w:r w:rsidR="00823C53">
        <w:rPr>
          <w:rFonts w:ascii="Calibri" w:eastAsia="Calibri" w:hAnsi="Calibri" w:cs="Times New Roman"/>
        </w:rPr>
        <w:t xml:space="preserve">the </w:t>
      </w:r>
      <w:proofErr w:type="spellStart"/>
      <w:r w:rsidRPr="008F1E62">
        <w:rPr>
          <w:rFonts w:ascii="Calibri" w:eastAsia="Calibri" w:hAnsi="Calibri" w:cs="Times New Roman"/>
        </w:rPr>
        <w:t>GoP</w:t>
      </w:r>
      <w:proofErr w:type="spellEnd"/>
      <w:r w:rsidRPr="008F1E62">
        <w:rPr>
          <w:rFonts w:ascii="Calibri" w:eastAsia="Calibri" w:hAnsi="Calibri" w:cs="Times New Roman"/>
        </w:rPr>
        <w:t xml:space="preserve"> in its reform plan. </w:t>
      </w:r>
    </w:p>
    <w:p w14:paraId="1761DC7C" w14:textId="77777777" w:rsidR="00F76E53" w:rsidRPr="008F1E62" w:rsidRDefault="00F76E53" w:rsidP="00F76E53">
      <w:r w:rsidRPr="008F1E62">
        <w:rPr>
          <w:rFonts w:ascii="Calibri" w:eastAsia="Calibri" w:hAnsi="Calibri" w:cs="Times New Roman"/>
        </w:rPr>
        <w:t xml:space="preserve">The main actors responsible for the policy reforms are the key regulators and stakeholders – Department of Finance (DOF), </w:t>
      </w:r>
      <w:r w:rsidRPr="008F1E62">
        <w:t>Securities and Exchange Commission</w:t>
      </w:r>
      <w:r w:rsidRPr="008F1E62">
        <w:rPr>
          <w:rFonts w:ascii="Calibri" w:eastAsia="Calibri" w:hAnsi="Calibri" w:cs="Times New Roman"/>
        </w:rPr>
        <w:t xml:space="preserve"> (SEC), Board of Accountancy (BOA), Bureau of Internal Revenue (BIR), </w:t>
      </w:r>
      <w:proofErr w:type="spellStart"/>
      <w:r w:rsidRPr="008F1E62">
        <w:rPr>
          <w:rFonts w:ascii="Calibri" w:eastAsia="Calibri" w:hAnsi="Calibri" w:cs="Times New Roman"/>
        </w:rPr>
        <w:t>Bangko</w:t>
      </w:r>
      <w:proofErr w:type="spellEnd"/>
      <w:r w:rsidRPr="008F1E62">
        <w:rPr>
          <w:rFonts w:ascii="Calibri" w:eastAsia="Calibri" w:hAnsi="Calibri" w:cs="Times New Roman"/>
        </w:rPr>
        <w:t xml:space="preserve"> </w:t>
      </w:r>
      <w:proofErr w:type="spellStart"/>
      <w:r w:rsidRPr="008F1E62">
        <w:rPr>
          <w:rFonts w:ascii="Calibri" w:eastAsia="Calibri" w:hAnsi="Calibri" w:cs="Times New Roman"/>
        </w:rPr>
        <w:t>Sentral</w:t>
      </w:r>
      <w:proofErr w:type="spellEnd"/>
      <w:r w:rsidRPr="008F1E62">
        <w:rPr>
          <w:rFonts w:ascii="Calibri" w:eastAsia="Calibri" w:hAnsi="Calibri" w:cs="Times New Roman"/>
        </w:rPr>
        <w:t xml:space="preserve"> ng </w:t>
      </w:r>
      <w:proofErr w:type="spellStart"/>
      <w:r w:rsidRPr="008F1E62">
        <w:rPr>
          <w:rFonts w:ascii="Calibri" w:eastAsia="Calibri" w:hAnsi="Calibri" w:cs="Times New Roman"/>
        </w:rPr>
        <w:t>Pilipinas</w:t>
      </w:r>
      <w:proofErr w:type="spellEnd"/>
      <w:r w:rsidRPr="008F1E62">
        <w:rPr>
          <w:rFonts w:ascii="Calibri" w:eastAsia="Calibri" w:hAnsi="Calibri" w:cs="Times New Roman"/>
        </w:rPr>
        <w:t xml:space="preserve"> (BSP), Insurance Commission (IC), Professional Regulation Commission (PRC), Commission on Higher Education (CHED)</w:t>
      </w:r>
      <w:r w:rsidRPr="008F1E62">
        <w:t xml:space="preserve"> and</w:t>
      </w:r>
      <w:r w:rsidRPr="008F1E62">
        <w:rPr>
          <w:rFonts w:ascii="Calibri" w:eastAsia="Calibri" w:hAnsi="Calibri" w:cs="Times New Roman"/>
        </w:rPr>
        <w:t xml:space="preserve"> the Philippine Institute of Certified Public Accountants (PICPA)</w:t>
      </w:r>
      <w:r w:rsidRPr="008F1E62">
        <w:t xml:space="preserve">. </w:t>
      </w:r>
    </w:p>
    <w:p w14:paraId="20543B58" w14:textId="77777777" w:rsidR="00F76E53" w:rsidRPr="008F1E62" w:rsidRDefault="00F76E53" w:rsidP="0077686B">
      <w:pPr>
        <w:pStyle w:val="Heading3"/>
      </w:pPr>
      <w:r w:rsidRPr="008F1E62">
        <w:t>Overview of Accounting and Auditing Environment</w:t>
      </w:r>
    </w:p>
    <w:p w14:paraId="5A755E95" w14:textId="77777777" w:rsidR="00F76E53" w:rsidRPr="008F1E62" w:rsidRDefault="00F76E53" w:rsidP="00F76E53">
      <w:r w:rsidRPr="008F1E62">
        <w:t>The Philippines has a comprehensive accounting and auditing framework, established standards, and mature institutions to support its sophisticated capital market structure and well developed financial sector. The profession</w:t>
      </w:r>
      <w:r w:rsidR="00661662">
        <w:t>,</w:t>
      </w:r>
      <w:r w:rsidRPr="008F1E62">
        <w:t xml:space="preserve"> concentrated in highly urbanized areas</w:t>
      </w:r>
      <w:r w:rsidR="00661662">
        <w:t>,</w:t>
      </w:r>
      <w:r w:rsidRPr="008F1E62">
        <w:t xml:space="preserve"> is well developed and demonstrates a considerable degree of technical expertise, sophisticated use of technology, and awareness of current issues and trends.   National accounting and auditing standards are substantially equivalent to international principles and many elements of international good practice are in place to foster reliable and efficient corporate financial reporting.  One notable exception exists, however, with respect to the underlying legal framework necessary to enable an independent system of oversight over the quality of audits.  Such a system is a critical element of a financial framework supporting a developed capital market such as that of the Philippines, and provides a level of assurance over the integrity of financial information which is necessary to attract investment and enhance regional and global market competition.  Further, such a system is a requirement of the Mutual Recognition Agreement of </w:t>
      </w:r>
      <w:r w:rsidR="00CF7A36" w:rsidRPr="008F1E62">
        <w:t>the Association of South East Asian Nations (</w:t>
      </w:r>
      <w:r w:rsidRPr="008F1E62">
        <w:t>ASEAN</w:t>
      </w:r>
      <w:r w:rsidR="00CF7A36" w:rsidRPr="008F1E62">
        <w:t>)</w:t>
      </w:r>
      <w:r w:rsidRPr="008F1E62">
        <w:t xml:space="preserve">, and the Philippines </w:t>
      </w:r>
      <w:proofErr w:type="gramStart"/>
      <w:r w:rsidRPr="008F1E62">
        <w:t>lags behind</w:t>
      </w:r>
      <w:proofErr w:type="gramEnd"/>
      <w:r w:rsidRPr="008F1E62">
        <w:t xml:space="preserve"> its peers</w:t>
      </w:r>
      <w:r w:rsidRPr="008F1E62">
        <w:rPr>
          <w:rStyle w:val="FootnoteReference"/>
        </w:rPr>
        <w:footnoteReference w:id="4"/>
      </w:r>
      <w:r w:rsidR="00D72BEC" w:rsidRPr="008F1E62">
        <w:t xml:space="preserve"> in this regard.</w:t>
      </w:r>
      <w:r w:rsidRPr="008F1E62">
        <w:t xml:space="preserve">  </w:t>
      </w:r>
    </w:p>
    <w:p w14:paraId="63BA5C22" w14:textId="77777777" w:rsidR="00F76E53" w:rsidRPr="008F1E62" w:rsidRDefault="00F76E53" w:rsidP="00F76E53">
      <w:r w:rsidRPr="008F1E62">
        <w:t xml:space="preserve">Stakeholders in the Philippines are aware of the need to establish an independent system of oversight over the quality of audits, and have proposed revisions to the legal framework to achieve this goal.  There is a need for greater coordination of efforts, however, to ensure proper alignment of proposed legislation and that critical elements relating to legal powers and authority, appropriateness of staffing and funding, and cooperation among regulators exists. </w:t>
      </w:r>
    </w:p>
    <w:p w14:paraId="7F6D74AA" w14:textId="35867C1B" w:rsidR="00F76E53" w:rsidRPr="008F1E62" w:rsidRDefault="00F76E53" w:rsidP="00F76E53">
      <w:r w:rsidRPr="008F1E62">
        <w:t>Several other challenges remain in the</w:t>
      </w:r>
      <w:r w:rsidR="00191DEC">
        <w:t xml:space="preserve"> country</w:t>
      </w:r>
      <w:r w:rsidR="00191DEC" w:rsidRPr="008F1E62">
        <w:t xml:space="preserve"> </w:t>
      </w:r>
      <w:r w:rsidRPr="008F1E62">
        <w:t>particularly in</w:t>
      </w:r>
      <w:r w:rsidR="00FE3F5C">
        <w:t>:</w:t>
      </w:r>
      <w:r w:rsidRPr="008F1E62">
        <w:t xml:space="preserve"> </w:t>
      </w:r>
      <w:r w:rsidR="00191DEC">
        <w:t>rationalizing</w:t>
      </w:r>
      <w:r w:rsidRPr="008F1E62">
        <w:t xml:space="preserve"> regulatory requirements and increasing support for </w:t>
      </w:r>
      <w:r w:rsidR="00CF7A36" w:rsidRPr="008F1E62">
        <w:t>small and medium-sized practitioners (</w:t>
      </w:r>
      <w:r w:rsidRPr="008F1E62">
        <w:t>SMPs</w:t>
      </w:r>
      <w:r w:rsidR="00CF7A36" w:rsidRPr="008F1E62">
        <w:t>)</w:t>
      </w:r>
      <w:r w:rsidRPr="008F1E62">
        <w:t xml:space="preserve"> and MSMEs, especially those located outside the Metro Manila Region</w:t>
      </w:r>
      <w:r w:rsidR="00835686">
        <w:t>;</w:t>
      </w:r>
      <w:r w:rsidRPr="008F1E62">
        <w:t xml:space="preserve"> increasing the statutory audit threshold</w:t>
      </w:r>
      <w:r w:rsidR="00B156CB">
        <w:t>;</w:t>
      </w:r>
      <w:r w:rsidRPr="008F1E62">
        <w:t xml:space="preserve"> and improving transparency and accountability of GOCCs. The key recommendations and related challenges are presented below.  Detailed policy recommendations with responsible parties and time frames for implementation are presented in section IV of the report.</w:t>
      </w:r>
      <w:r w:rsidRPr="008F1E62">
        <w:rPr>
          <w:b/>
          <w:bCs/>
        </w:rPr>
        <w:t xml:space="preserve"> </w:t>
      </w:r>
      <w:r w:rsidRPr="008F1E62">
        <w:t>The findings and policy reforms in the report are meant to contribute to the development of the country action plan.</w:t>
      </w:r>
      <w:r w:rsidRPr="008F1E62" w:rsidDel="00E643CD">
        <w:rPr>
          <w:bCs/>
        </w:rPr>
        <w:t xml:space="preserve"> </w:t>
      </w:r>
      <w:r w:rsidRPr="008F1E62">
        <w:t xml:space="preserve">The World Bank and other development partners can provide support to </w:t>
      </w:r>
      <w:r w:rsidR="00D11F04">
        <w:t xml:space="preserve">the </w:t>
      </w:r>
      <w:r w:rsidRPr="008F1E62">
        <w:t xml:space="preserve">Philippines as it addresses these issues. </w:t>
      </w:r>
    </w:p>
    <w:p w14:paraId="2521A8AD" w14:textId="77777777" w:rsidR="00F76E53" w:rsidRPr="008F1E62" w:rsidRDefault="00F76E53" w:rsidP="0077686B">
      <w:pPr>
        <w:pStyle w:val="Heading3"/>
      </w:pPr>
      <w:r w:rsidRPr="008F1E62">
        <w:t>Key Recommendations and Related Challenges</w:t>
      </w:r>
    </w:p>
    <w:p w14:paraId="1750C5B3" w14:textId="77777777" w:rsidR="00F76E53" w:rsidRPr="008F1E62" w:rsidRDefault="00F76E53" w:rsidP="00F76E53">
      <w:pPr>
        <w:pStyle w:val="Heading4"/>
      </w:pPr>
      <w:r w:rsidRPr="008F1E62">
        <w:t>Measures to Enhance Market Competition</w:t>
      </w:r>
    </w:p>
    <w:p w14:paraId="10BD1722" w14:textId="77777777" w:rsidR="00F76E53" w:rsidRPr="008F1E62" w:rsidRDefault="00F76E53" w:rsidP="00F76E53">
      <w:pPr>
        <w:rPr>
          <w:rFonts w:cs="Calibri"/>
        </w:rPr>
      </w:pPr>
      <w:r w:rsidRPr="008F1E62">
        <w:rPr>
          <w:b/>
        </w:rPr>
        <w:t>An independent, comprehensive system of audit quality assurance with risk based inspections and an enabling legal framework is a critical missing element of the Philippines’ developed capital market structure</w:t>
      </w:r>
      <w:r w:rsidRPr="008F1E62">
        <w:t>.   Such a system would enhance investors’ confidence and boost capital market performance.</w:t>
      </w:r>
      <w:r w:rsidRPr="008F1E62">
        <w:rPr>
          <w:b/>
        </w:rPr>
        <w:t xml:space="preserve"> </w:t>
      </w:r>
      <w:r w:rsidRPr="008F1E62">
        <w:rPr>
          <w:rFonts w:cs="Calibri"/>
        </w:rPr>
        <w:t xml:space="preserve">This encourages more investment and lending, thereby contributing to increased private sector growth and development.  </w:t>
      </w:r>
      <w:r w:rsidRPr="008F1E62">
        <w:t>Auditors are critical gatekeepers to help assure the reliability of corporate financial reporting released to the public, so a system of oversight for auditors to assure the quality of their work and adherence to ethical standards plays a central role in fostering financial transparency in the private sector.</w:t>
      </w:r>
      <w:r w:rsidRPr="008F1E62">
        <w:rPr>
          <w:b/>
        </w:rPr>
        <w:t xml:space="preserve"> </w:t>
      </w:r>
      <w:r w:rsidRPr="008F1E62">
        <w:rPr>
          <w:rFonts w:cs="Calibri"/>
        </w:rPr>
        <w:t xml:space="preserve"> Experience has shown that the audit profession cannot adequately regulate itself, in part because auditors are asked to test and challenge the reporting of the companies that hire and pay them, resulting in an imperfect alignment of their incentives with the public interest they serve.  Consequently, an increasing number of countries, including most leading economies, have established independent audit oversight systems in line with international good practice and principles, having concluded that the benefits of doing so exceed the costs. A sound system of public audit oversight also serves to develop the profession. Several separate initiatives have been undertaken in the Philippines, in support of both the capital market and professional development. Although a level of collaboration among regulators exists, coordination across these initiatives remains fragmented and must be strengthened to achieve the most effective and efficient use of available resources and develop a comprehensive and cohesive system of oversight.</w:t>
      </w:r>
    </w:p>
    <w:p w14:paraId="412D222F" w14:textId="77777777" w:rsidR="00F76E53" w:rsidRPr="008F1E62" w:rsidRDefault="00F76E53" w:rsidP="00F76E53">
      <w:r w:rsidRPr="008F1E62">
        <w:rPr>
          <w:rFonts w:cs="Calibri"/>
          <w:b/>
        </w:rPr>
        <w:t xml:space="preserve">A reform of the legal framework is needed </w:t>
      </w:r>
      <w:proofErr w:type="gramStart"/>
      <w:r w:rsidRPr="008F1E62">
        <w:rPr>
          <w:rFonts w:cs="Calibri"/>
          <w:b/>
        </w:rPr>
        <w:t>in order to</w:t>
      </w:r>
      <w:proofErr w:type="gramEnd"/>
      <w:r w:rsidRPr="008F1E62">
        <w:rPr>
          <w:rFonts w:cs="Calibri"/>
          <w:b/>
        </w:rPr>
        <w:t xml:space="preserve"> achieve the establishment of an independent and effective legal regulatory function for oversight of audit quality assurance. </w:t>
      </w:r>
      <w:r w:rsidRPr="008F1E62">
        <w:t xml:space="preserve">The legal framework should include appropriate arrangements to insulate the oversight body from undue interference by practicing members of </w:t>
      </w:r>
      <w:r w:rsidR="00B9094E" w:rsidRPr="008F1E62">
        <w:t xml:space="preserve">the </w:t>
      </w:r>
      <w:r w:rsidRPr="008F1E62">
        <w:t>accountancy profession and other vested interest groups. Funding for the oversight body should be stable and sufficient. It is essential that the specialists who will carry out monitoring and enforcement activities on behalf of the oversight body are able to be remunerated at market rates that are commensurate to the skills required for audit quality assurance. This is especially critical for inspectors of PIE auditors.  With respect to MSME auditors, such a program should initially be developmental in nature and used as a tool to build capacity of SMPs. A dual system of audit quality oversight</w:t>
      </w:r>
      <w:r w:rsidRPr="008F1E62">
        <w:rPr>
          <w:rStyle w:val="FootnoteReference"/>
        </w:rPr>
        <w:footnoteReference w:id="5"/>
      </w:r>
      <w:r w:rsidRPr="008F1E62">
        <w:t xml:space="preserve"> has been proven to be effective in achieving each of these objectives, and such a system </w:t>
      </w:r>
      <w:r w:rsidR="00FE3F5C">
        <w:t xml:space="preserve">would be well suited to </w:t>
      </w:r>
      <w:r w:rsidRPr="008F1E62">
        <w:t>the Philippines</w:t>
      </w:r>
      <w:r w:rsidR="00FE3F5C">
        <w:t xml:space="preserve"> in this regard</w:t>
      </w:r>
      <w:r w:rsidRPr="008F1E62">
        <w:t>.</w:t>
      </w:r>
    </w:p>
    <w:p w14:paraId="7B852CB4" w14:textId="77777777" w:rsidR="00F76E53" w:rsidRPr="008F1E62" w:rsidRDefault="00F76E53" w:rsidP="00F76E53">
      <w:pPr>
        <w:pStyle w:val="Heading4"/>
        <w:rPr>
          <w:i/>
        </w:rPr>
      </w:pPr>
      <w:r w:rsidRPr="008F1E62">
        <w:t>Greater Transparency and Accountability by GOCCs to Enhance Service Delivery</w:t>
      </w:r>
    </w:p>
    <w:p w14:paraId="3F10E81B" w14:textId="77777777" w:rsidR="00F76E53" w:rsidRPr="008F1E62" w:rsidRDefault="00F76E53" w:rsidP="00F76E53">
      <w:pPr>
        <w:rPr>
          <w:rFonts w:cs="Arial"/>
        </w:rPr>
      </w:pPr>
      <w:r w:rsidRPr="008F1E62">
        <w:rPr>
          <w:b/>
        </w:rPr>
        <w:t xml:space="preserve">Improved corporate governance, financial reporting, and auditing practices in GOCCs will enable improved performance and reduced fiscal drain on the government’s scarce resources. </w:t>
      </w:r>
      <w:r w:rsidRPr="008F1E62">
        <w:t>Included in the reform agenda of the D</w:t>
      </w:r>
      <w:r w:rsidR="001C306F">
        <w:t>O</w:t>
      </w:r>
      <w:r w:rsidRPr="008F1E62">
        <w:t>F is the reform of GOCCs with</w:t>
      </w:r>
      <w:r w:rsidRPr="008F1E62">
        <w:rPr>
          <w:rFonts w:cs="Arial"/>
          <w:color w:val="1A1718"/>
        </w:rPr>
        <w:t xml:space="preserve"> the following objectives:  increasing the net contributions of GOCCs to the National Treasury; making the government corporate sector responsive to financial and fiscal reforms; and instilling public accountability and financial discipline in GOCCs.</w:t>
      </w:r>
      <w:r w:rsidRPr="008F1E62">
        <w:rPr>
          <w:rFonts w:cs="Arial"/>
          <w:b/>
        </w:rPr>
        <w:t xml:space="preserve"> </w:t>
      </w:r>
      <w:r w:rsidRPr="008F1E62">
        <w:rPr>
          <w:rFonts w:cs="Arial"/>
        </w:rPr>
        <w:t xml:space="preserve">All Government Business Enterprises were required to adopt </w:t>
      </w:r>
      <w:r w:rsidR="00A54340" w:rsidRPr="00A54340">
        <w:rPr>
          <w:rFonts w:cs="Arial"/>
        </w:rPr>
        <w:t xml:space="preserve">Philippine Financial Reporting Standards </w:t>
      </w:r>
      <w:r w:rsidR="00A54340">
        <w:rPr>
          <w:rFonts w:cs="Arial"/>
        </w:rPr>
        <w:t>(</w:t>
      </w:r>
      <w:r w:rsidRPr="008F1E62">
        <w:rPr>
          <w:rFonts w:cs="Arial"/>
        </w:rPr>
        <w:t>PFRS</w:t>
      </w:r>
      <w:r w:rsidR="00A54340">
        <w:rPr>
          <w:rFonts w:cs="Arial"/>
        </w:rPr>
        <w:t>)</w:t>
      </w:r>
      <w:r w:rsidRPr="008F1E62">
        <w:rPr>
          <w:rFonts w:cs="Arial"/>
        </w:rPr>
        <w:t xml:space="preserve"> </w:t>
      </w:r>
      <w:r w:rsidR="008C268A">
        <w:rPr>
          <w:rFonts w:cs="Arial"/>
        </w:rPr>
        <w:t xml:space="preserve">from the </w:t>
      </w:r>
      <w:r w:rsidRPr="008F1E62">
        <w:rPr>
          <w:rFonts w:cs="Arial"/>
        </w:rPr>
        <w:t xml:space="preserve">beginning </w:t>
      </w:r>
      <w:r w:rsidR="008C268A">
        <w:rPr>
          <w:rFonts w:cs="Arial"/>
        </w:rPr>
        <w:t>of</w:t>
      </w:r>
      <w:r w:rsidR="00C855B5">
        <w:rPr>
          <w:rFonts w:cs="Arial"/>
        </w:rPr>
        <w:t xml:space="preserve"> </w:t>
      </w:r>
      <w:r w:rsidR="00365614">
        <w:rPr>
          <w:rFonts w:cs="Arial"/>
        </w:rPr>
        <w:t>calendar year (</w:t>
      </w:r>
      <w:r w:rsidRPr="008F1E62">
        <w:rPr>
          <w:rFonts w:cs="Arial"/>
        </w:rPr>
        <w:t>CY</w:t>
      </w:r>
      <w:r w:rsidR="00365614">
        <w:rPr>
          <w:rFonts w:cs="Arial"/>
        </w:rPr>
        <w:t>)</w:t>
      </w:r>
      <w:r w:rsidRPr="008F1E62">
        <w:rPr>
          <w:rFonts w:cs="Arial"/>
        </w:rPr>
        <w:t xml:space="preserve"> 2016, yet </w:t>
      </w:r>
      <w:r w:rsidR="006E072F">
        <w:rPr>
          <w:rFonts w:cs="Arial"/>
        </w:rPr>
        <w:t xml:space="preserve">wide variations </w:t>
      </w:r>
      <w:r w:rsidR="00C15904">
        <w:rPr>
          <w:rFonts w:cs="Arial"/>
        </w:rPr>
        <w:t xml:space="preserve">continued </w:t>
      </w:r>
      <w:r w:rsidR="006E072F">
        <w:rPr>
          <w:rFonts w:cs="Arial"/>
        </w:rPr>
        <w:t xml:space="preserve">in </w:t>
      </w:r>
      <w:r w:rsidRPr="008F1E62">
        <w:t>the financial reporting frameworks applied in the preparation and presentation of financial statements through CY 2015.  T</w:t>
      </w:r>
      <w:r w:rsidRPr="008F1E62">
        <w:rPr>
          <w:rFonts w:cs="Arial"/>
        </w:rPr>
        <w:t xml:space="preserve">he absence of comprehensive transition planning by these entities </w:t>
      </w:r>
      <w:r w:rsidR="0079088C" w:rsidRPr="008F1E62">
        <w:rPr>
          <w:rFonts w:cs="Arial"/>
        </w:rPr>
        <w:t xml:space="preserve">indicates </w:t>
      </w:r>
      <w:r w:rsidRPr="008F1E62">
        <w:rPr>
          <w:rFonts w:cs="Arial"/>
        </w:rPr>
        <w:t>that successful transition to full compliance with PFRS will be difficult to achieve.</w:t>
      </w:r>
    </w:p>
    <w:p w14:paraId="06A5313F" w14:textId="77777777" w:rsidR="00F76E53" w:rsidRPr="008F1E62" w:rsidRDefault="00EF6D74" w:rsidP="00F76E53">
      <w:r w:rsidRPr="008F1E62">
        <w:rPr>
          <w:rFonts w:cs="Arial"/>
          <w:b/>
        </w:rPr>
        <w:t>O</w:t>
      </w:r>
      <w:r w:rsidR="00F76E53" w:rsidRPr="008F1E62">
        <w:rPr>
          <w:rFonts w:cs="Arial"/>
          <w:b/>
        </w:rPr>
        <w:t xml:space="preserve">nly 65% of the </w:t>
      </w:r>
      <w:r w:rsidR="00562D5A" w:rsidRPr="008F1E62">
        <w:rPr>
          <w:rFonts w:cs="Arial"/>
          <w:b/>
        </w:rPr>
        <w:t xml:space="preserve">total </w:t>
      </w:r>
      <w:r w:rsidR="00F76E53" w:rsidRPr="008F1E62">
        <w:rPr>
          <w:rFonts w:cs="Arial"/>
          <w:b/>
        </w:rPr>
        <w:t>financial reports of GOCCs were audited in 2015, and many repeat audit findings have been carried over from year to year without resolution</w:t>
      </w:r>
      <w:r w:rsidR="00562D5A" w:rsidRPr="008F1E62">
        <w:rPr>
          <w:rStyle w:val="FootnoteReference"/>
          <w:rFonts w:cs="Arial"/>
        </w:rPr>
        <w:footnoteReference w:id="6"/>
      </w:r>
      <w:r w:rsidR="00F76E53" w:rsidRPr="008F1E62">
        <w:rPr>
          <w:rFonts w:cs="Arial"/>
        </w:rPr>
        <w:t xml:space="preserve">. </w:t>
      </w:r>
      <w:r w:rsidR="00F76E53" w:rsidRPr="008F1E62" w:rsidDel="00632759">
        <w:rPr>
          <w:i/>
        </w:rPr>
        <w:t xml:space="preserve"> </w:t>
      </w:r>
      <w:r w:rsidR="0097762D" w:rsidRPr="008F1E62">
        <w:t>The timely availability of audited financial information and resolution of audit findings is necessary for effective monitoring, transparency and accountability of GOCCs.</w:t>
      </w:r>
      <w:r w:rsidR="0097762D">
        <w:t xml:space="preserve"> </w:t>
      </w:r>
      <w:r w:rsidR="00F76E53" w:rsidRPr="008F1E62">
        <w:t xml:space="preserve">The </w:t>
      </w:r>
      <w:r w:rsidR="009F4514" w:rsidRPr="009F4514">
        <w:t xml:space="preserve">Commission on Audit </w:t>
      </w:r>
      <w:r w:rsidR="009F4514">
        <w:t>(</w:t>
      </w:r>
      <w:r w:rsidR="00F76E53" w:rsidRPr="008F1E62">
        <w:t>COA</w:t>
      </w:r>
      <w:r w:rsidR="009F4514">
        <w:t>)</w:t>
      </w:r>
      <w:r w:rsidR="00F76E53" w:rsidRPr="008F1E62">
        <w:t xml:space="preserve">, which audits GOCCs, reported that </w:t>
      </w:r>
      <w:r w:rsidR="00F548F9" w:rsidRPr="008F1E62">
        <w:t xml:space="preserve">the submission of financial information </w:t>
      </w:r>
      <w:r w:rsidRPr="008F1E62">
        <w:t xml:space="preserve">by </w:t>
      </w:r>
      <w:r w:rsidRPr="00F51A40">
        <w:t>GOCCs for audit</w:t>
      </w:r>
      <w:r w:rsidR="003D191B" w:rsidRPr="00F51A40">
        <w:t>,</w:t>
      </w:r>
      <w:r w:rsidRPr="00F51A40">
        <w:t xml:space="preserve"> as well as staffing constraints</w:t>
      </w:r>
      <w:r w:rsidR="003D191B" w:rsidRPr="00F51A40">
        <w:t>,</w:t>
      </w:r>
      <w:r w:rsidRPr="00F51A40">
        <w:t xml:space="preserve"> are</w:t>
      </w:r>
      <w:r w:rsidR="00F76E53" w:rsidRPr="00F51A40">
        <w:t xml:space="preserve"> challenge</w:t>
      </w:r>
      <w:r w:rsidRPr="00F51A40">
        <w:t>s in the timely completion of audits</w:t>
      </w:r>
      <w:r w:rsidR="00F76E53" w:rsidRPr="00F51A40">
        <w:t xml:space="preserve">. </w:t>
      </w:r>
      <w:r w:rsidRPr="00F51A40">
        <w:t>As a result</w:t>
      </w:r>
      <w:r w:rsidR="00F76E53" w:rsidRPr="00F51A40">
        <w:t xml:space="preserve">, </w:t>
      </w:r>
      <w:r w:rsidR="00A407E9" w:rsidRPr="00F51A40">
        <w:t xml:space="preserve">only </w:t>
      </w:r>
      <w:r w:rsidR="00F76E53" w:rsidRPr="00F51A40">
        <w:t xml:space="preserve">monitoring information </w:t>
      </w:r>
      <w:r w:rsidR="00A407E9" w:rsidRPr="00F51A40">
        <w:t xml:space="preserve">for </w:t>
      </w:r>
      <w:r w:rsidR="00F76E53" w:rsidRPr="00F51A40">
        <w:t>2014 is disclosed on the G</w:t>
      </w:r>
      <w:r w:rsidR="00CF7A36" w:rsidRPr="00F51A40">
        <w:t xml:space="preserve">overnance </w:t>
      </w:r>
      <w:r w:rsidR="00F76E53" w:rsidRPr="00F51A40">
        <w:t>C</w:t>
      </w:r>
      <w:r w:rsidR="00CF7A36" w:rsidRPr="00F51A40">
        <w:t xml:space="preserve">ommission for </w:t>
      </w:r>
      <w:r w:rsidR="00F76E53" w:rsidRPr="00F51A40">
        <w:t>G</w:t>
      </w:r>
      <w:r w:rsidR="00CF7A36" w:rsidRPr="00F51A40">
        <w:t>OCCs’</w:t>
      </w:r>
      <w:r w:rsidR="00F76E53" w:rsidRPr="00F51A40">
        <w:t xml:space="preserve"> website. </w:t>
      </w:r>
    </w:p>
    <w:p w14:paraId="0A5F04C6" w14:textId="773F3C1D" w:rsidR="00F76E53" w:rsidRPr="008F1E62" w:rsidRDefault="00F76E53" w:rsidP="00F76E53">
      <w:pPr>
        <w:pStyle w:val="Heading4"/>
      </w:pPr>
      <w:r w:rsidRPr="008F1E62">
        <w:t>Facilitate Ease of Doing Business and More Efficient Tax Collection for Micro, Small and Medium</w:t>
      </w:r>
      <w:r w:rsidR="004D7319">
        <w:t xml:space="preserve"> Sized</w:t>
      </w:r>
      <w:r w:rsidRPr="008F1E62">
        <w:t xml:space="preserve"> Enterprises</w:t>
      </w:r>
    </w:p>
    <w:p w14:paraId="7A46CCF5" w14:textId="00195393" w:rsidR="00F76E53" w:rsidRPr="008F1E62" w:rsidRDefault="00F76E53" w:rsidP="00F76E53">
      <w:pPr>
        <w:rPr>
          <w:rFonts w:cs="Calibri"/>
        </w:rPr>
      </w:pPr>
      <w:r w:rsidRPr="008F1E62">
        <w:rPr>
          <w:rFonts w:cs="Calibri"/>
          <w:b/>
        </w:rPr>
        <w:t xml:space="preserve">The rationalization of statutory audit thresholds and </w:t>
      </w:r>
      <w:r w:rsidR="00B07D75">
        <w:rPr>
          <w:rFonts w:cs="Calibri"/>
          <w:b/>
        </w:rPr>
        <w:t xml:space="preserve">the </w:t>
      </w:r>
      <w:r w:rsidRPr="008F1E62">
        <w:rPr>
          <w:rFonts w:cs="Calibri"/>
          <w:b/>
        </w:rPr>
        <w:t xml:space="preserve">establishment of a </w:t>
      </w:r>
      <w:r w:rsidR="00FE3F5C">
        <w:rPr>
          <w:rFonts w:cs="Calibri"/>
          <w:b/>
        </w:rPr>
        <w:t xml:space="preserve">risk based </w:t>
      </w:r>
      <w:r w:rsidRPr="008F1E62">
        <w:rPr>
          <w:rFonts w:cs="Calibri"/>
          <w:b/>
        </w:rPr>
        <w:t>statutory audit exemption framework are key elements of the needed reform measures</w:t>
      </w:r>
      <w:r w:rsidR="00FE3F5C">
        <w:rPr>
          <w:rFonts w:cs="Calibri"/>
          <w:b/>
        </w:rPr>
        <w:t xml:space="preserve"> to promote </w:t>
      </w:r>
      <w:r w:rsidR="00FD5021">
        <w:rPr>
          <w:rFonts w:cs="Calibri"/>
          <w:b/>
        </w:rPr>
        <w:t>ease of doing business and more efficient tax collection for micro, small, and medium</w:t>
      </w:r>
      <w:r w:rsidR="004D7319">
        <w:rPr>
          <w:rFonts w:cs="Calibri"/>
          <w:b/>
        </w:rPr>
        <w:t xml:space="preserve"> sized</w:t>
      </w:r>
      <w:r w:rsidR="00FD5021">
        <w:rPr>
          <w:rFonts w:cs="Calibri"/>
          <w:b/>
        </w:rPr>
        <w:t xml:space="preserve"> enterp</w:t>
      </w:r>
      <w:r w:rsidR="00191DEC">
        <w:rPr>
          <w:rFonts w:cs="Calibri"/>
          <w:b/>
        </w:rPr>
        <w:t>r</w:t>
      </w:r>
      <w:r w:rsidR="00FD5021">
        <w:rPr>
          <w:rFonts w:cs="Calibri"/>
          <w:b/>
        </w:rPr>
        <w:t>ises</w:t>
      </w:r>
      <w:r w:rsidRPr="008F1E62">
        <w:rPr>
          <w:rFonts w:cs="Calibri"/>
          <w:b/>
        </w:rPr>
        <w:t xml:space="preserve">. </w:t>
      </w:r>
      <w:r w:rsidRPr="008F1E62">
        <w:rPr>
          <w:rFonts w:cs="Calibri"/>
        </w:rPr>
        <w:t xml:space="preserve"> </w:t>
      </w:r>
      <w:r w:rsidRPr="008F1E62">
        <w:t>The present framework is based on</w:t>
      </w:r>
      <w:r w:rsidR="0079088C" w:rsidRPr="008F1E62">
        <w:t xml:space="preserve"> a simplified</w:t>
      </w:r>
      <w:r w:rsidRPr="008F1E62">
        <w:t xml:space="preserve"> approach of nearly 100% audit coverage commonplace in nascent economies. Modernization of the statutory audit framework </w:t>
      </w:r>
      <w:r w:rsidR="0079088C" w:rsidRPr="008F1E62">
        <w:t xml:space="preserve">to </w:t>
      </w:r>
      <w:r w:rsidRPr="008F1E62">
        <w:t xml:space="preserve">incorporate a risk assessment appropriate to the size of the Philippines’ economy </w:t>
      </w:r>
      <w:r w:rsidR="0079088C" w:rsidRPr="008F1E62">
        <w:t xml:space="preserve">is needed </w:t>
      </w:r>
      <w:r w:rsidRPr="008F1E62">
        <w:t xml:space="preserve">to effectively target audit requirements. </w:t>
      </w:r>
      <w:r w:rsidR="0079088C" w:rsidRPr="008F1E62">
        <w:t>In developing the statutory audit exemption framework, alternate levels of assurance such as compiled and reviewed financial statements should be considered</w:t>
      </w:r>
      <w:r w:rsidR="00B91364">
        <w:t>,</w:t>
      </w:r>
      <w:r w:rsidR="0079088C" w:rsidRPr="008F1E62">
        <w:t xml:space="preserve"> and c</w:t>
      </w:r>
      <w:r w:rsidRPr="008F1E62">
        <w:t xml:space="preserve">urrent reporting thresholds for submission of audited financial statements should be raised significantly.  </w:t>
      </w:r>
      <w:r w:rsidRPr="008F1E62">
        <w:rPr>
          <w:rFonts w:cs="Calibri"/>
        </w:rPr>
        <w:t>Under the present structure, there are simply not enough auditors in the country to complete the required number of statutory audits in accordance with Philippine Standards on Auditing (PSA) and Philippines Statement on Quality Control (PSQC)</w:t>
      </w:r>
      <w:r w:rsidRPr="008F1E62">
        <w:rPr>
          <w:rFonts w:cs="Calibri"/>
          <w:vertAlign w:val="superscript"/>
        </w:rPr>
        <w:footnoteReference w:id="7"/>
      </w:r>
      <w:r w:rsidRPr="008F1E62">
        <w:rPr>
          <w:rFonts w:cs="Calibri"/>
        </w:rPr>
        <w:t xml:space="preserve">, and many micro and small companies subject to the statutory audit requirement cannot realistically afford a proper audit.  The result is a degeneration in audit quality which provides little assurance on the integrity of financial and tax reporting, and a significant burden on micro and small enterprises.  </w:t>
      </w:r>
      <w:r w:rsidRPr="008F1E62">
        <w:t>Likewise, a simplified financial reporting framework should be considered for small entities</w:t>
      </w:r>
      <w:r w:rsidRPr="008F1E62">
        <w:rPr>
          <w:rFonts w:ascii="Calibri" w:hAnsi="Calibri" w:cs="Times New Roman"/>
          <w:bCs/>
          <w:vertAlign w:val="superscript"/>
        </w:rPr>
        <w:footnoteReference w:id="8"/>
      </w:r>
      <w:r w:rsidRPr="008F1E62">
        <w:t>, as the costs of applying PFRS for SMEs often exceed the benefits for these entities.</w:t>
      </w:r>
    </w:p>
    <w:p w14:paraId="0931D994" w14:textId="77777777" w:rsidR="00F76E53" w:rsidRPr="008F1E62" w:rsidRDefault="00F76E53" w:rsidP="00F76E53">
      <w:pPr>
        <w:rPr>
          <w:b/>
        </w:rPr>
      </w:pPr>
      <w:r w:rsidRPr="008F1E62">
        <w:rPr>
          <w:b/>
        </w:rPr>
        <w:t xml:space="preserve">The current requirements governing compilation of financial reports are onerous and should be further reviewed to eliminate redundancies and undue burden to the MSMEs.  </w:t>
      </w:r>
      <w:r w:rsidRPr="008F1E62">
        <w:t xml:space="preserve">The present requirement that only </w:t>
      </w:r>
      <w:r w:rsidR="00CF7A36" w:rsidRPr="008F1E62">
        <w:t xml:space="preserve">Certified Public </w:t>
      </w:r>
      <w:r w:rsidR="00F74E31" w:rsidRPr="008F1E62">
        <w:t>Accountants</w:t>
      </w:r>
      <w:r w:rsidR="00CF7A36" w:rsidRPr="008F1E62">
        <w:t xml:space="preserve"> (</w:t>
      </w:r>
      <w:r w:rsidRPr="008F1E62">
        <w:t>CPAs</w:t>
      </w:r>
      <w:r w:rsidR="00CF7A36" w:rsidRPr="008F1E62">
        <w:t>)</w:t>
      </w:r>
      <w:r w:rsidRPr="008F1E62">
        <w:t xml:space="preserve"> may prepare internally compiled financial statements creates a significant financial and reporting burden to MSMEs.</w:t>
      </w:r>
      <w:r w:rsidR="00D70BB7" w:rsidRPr="008F1E62">
        <w:rPr>
          <w:rStyle w:val="FootnoteReference"/>
        </w:rPr>
        <w:footnoteReference w:id="9"/>
      </w:r>
      <w:r w:rsidRPr="008F1E62">
        <w:t xml:space="preserve"> Accounting Technicians who may act as in-house financial professionals for small and micro sized entities may be more appropriate to fill this need.  Furthermore, the Certificate of Compilation Services </w:t>
      </w:r>
      <w:r w:rsidR="00EF6D74" w:rsidRPr="008F1E62">
        <w:t xml:space="preserve">creates an additional reporting requirement </w:t>
      </w:r>
      <w:r w:rsidR="00CB4FB8" w:rsidRPr="008F1E62">
        <w:t>which is a reiteration of already existing</w:t>
      </w:r>
      <w:r w:rsidR="009A40BF" w:rsidRPr="008F1E62">
        <w:t xml:space="preserve"> </w:t>
      </w:r>
      <w:r w:rsidR="00CB4FB8" w:rsidRPr="008F1E62">
        <w:t xml:space="preserve">requirements </w:t>
      </w:r>
      <w:r w:rsidRPr="008F1E62">
        <w:t>and is not required by financial regulators.</w:t>
      </w:r>
    </w:p>
    <w:p w14:paraId="5874BEEF" w14:textId="77777777" w:rsidR="00F76E53" w:rsidRPr="008F1E62" w:rsidRDefault="009A40BF" w:rsidP="00F76E53">
      <w:pPr>
        <w:rPr>
          <w:rFonts w:cs="Arial"/>
        </w:rPr>
      </w:pPr>
      <w:r w:rsidRPr="008F1E62">
        <w:rPr>
          <w:rFonts w:cs="Arial"/>
          <w:b/>
        </w:rPr>
        <w:t>Further r</w:t>
      </w:r>
      <w:r w:rsidR="00F76E53" w:rsidRPr="008F1E62">
        <w:rPr>
          <w:rFonts w:cs="Arial"/>
          <w:b/>
        </w:rPr>
        <w:t>ationalize</w:t>
      </w:r>
      <w:r w:rsidR="00FD5021">
        <w:rPr>
          <w:rFonts w:cs="Arial"/>
          <w:b/>
        </w:rPr>
        <w:t xml:space="preserve"> the</w:t>
      </w:r>
      <w:r w:rsidR="00F76E53" w:rsidRPr="008F1E62">
        <w:rPr>
          <w:rFonts w:cs="Arial"/>
          <w:b/>
        </w:rPr>
        <w:t xml:space="preserve"> accreditation </w:t>
      </w:r>
      <w:r w:rsidR="00FD5021">
        <w:rPr>
          <w:rFonts w:cs="Arial"/>
          <w:b/>
        </w:rPr>
        <w:t>process</w:t>
      </w:r>
      <w:r w:rsidR="00FD5021" w:rsidRPr="008F1E62">
        <w:rPr>
          <w:rFonts w:cs="Arial"/>
          <w:b/>
        </w:rPr>
        <w:t xml:space="preserve"> </w:t>
      </w:r>
      <w:r w:rsidR="00F76E53" w:rsidRPr="008F1E62">
        <w:rPr>
          <w:rFonts w:cs="Arial"/>
          <w:b/>
        </w:rPr>
        <w:t>for CPAs in public practice</w:t>
      </w:r>
      <w:r w:rsidRPr="008F1E62">
        <w:rPr>
          <w:rFonts w:cs="Arial"/>
          <w:b/>
        </w:rPr>
        <w:t xml:space="preserve"> </w:t>
      </w:r>
      <w:proofErr w:type="gramStart"/>
      <w:r w:rsidRPr="008F1E62">
        <w:rPr>
          <w:rFonts w:cs="Arial"/>
          <w:b/>
        </w:rPr>
        <w:t>in order to</w:t>
      </w:r>
      <w:proofErr w:type="gramEnd"/>
      <w:r w:rsidRPr="008F1E62">
        <w:rPr>
          <w:rFonts w:cs="Arial"/>
          <w:b/>
        </w:rPr>
        <w:t xml:space="preserve"> enhance ease of doing business for practitioners</w:t>
      </w:r>
      <w:r w:rsidR="00F76E53" w:rsidRPr="008F1E62">
        <w:rPr>
          <w:rFonts w:cs="Arial"/>
          <w:b/>
        </w:rPr>
        <w:t xml:space="preserve">. </w:t>
      </w:r>
      <w:r w:rsidR="00F76E53" w:rsidRPr="008F1E62">
        <w:rPr>
          <w:rFonts w:cs="Arial"/>
        </w:rPr>
        <w:t xml:space="preserve">There are </w:t>
      </w:r>
      <w:proofErr w:type="gramStart"/>
      <w:r w:rsidR="00F76E53" w:rsidRPr="008F1E62">
        <w:rPr>
          <w:rFonts w:cs="Arial"/>
        </w:rPr>
        <w:t>a number of</w:t>
      </w:r>
      <w:proofErr w:type="gramEnd"/>
      <w:r w:rsidR="00F76E53" w:rsidRPr="008F1E62">
        <w:rPr>
          <w:rFonts w:cs="Arial"/>
        </w:rPr>
        <w:t xml:space="preserve"> registrations or accreditations for external auditors required by different regulatory agencies</w:t>
      </w:r>
      <w:r w:rsidR="00FD5021">
        <w:rPr>
          <w:rFonts w:cs="Arial"/>
        </w:rPr>
        <w:t>, each with their own application and renewal processes, deadlines, and documentation requirements</w:t>
      </w:r>
      <w:r w:rsidR="00F76E53" w:rsidRPr="008F1E62">
        <w:rPr>
          <w:rFonts w:cs="Arial"/>
        </w:rPr>
        <w:t xml:space="preserve">. </w:t>
      </w:r>
      <w:r w:rsidR="00FD5021">
        <w:rPr>
          <w:rFonts w:cs="Arial"/>
        </w:rPr>
        <w:t>While specific industry experience and education requirements will necessarily be unique for each regulated industry, a</w:t>
      </w:r>
      <w:r w:rsidR="00F76E53" w:rsidRPr="008F1E62">
        <w:rPr>
          <w:rFonts w:cs="Arial"/>
        </w:rPr>
        <w:t xml:space="preserve">n initiative to further simplify or harmonize accreditation </w:t>
      </w:r>
      <w:r w:rsidR="00FD5021">
        <w:rPr>
          <w:rFonts w:cs="Arial"/>
        </w:rPr>
        <w:t>processes</w:t>
      </w:r>
      <w:r w:rsidR="00FD5021" w:rsidRPr="008F1E62">
        <w:rPr>
          <w:rFonts w:cs="Arial"/>
        </w:rPr>
        <w:t xml:space="preserve"> </w:t>
      </w:r>
      <w:r w:rsidRPr="008F1E62">
        <w:rPr>
          <w:rFonts w:cs="Arial"/>
        </w:rPr>
        <w:t>to the extent possible</w:t>
      </w:r>
      <w:r w:rsidR="00FD5021">
        <w:rPr>
          <w:rFonts w:cs="Arial"/>
        </w:rPr>
        <w:t xml:space="preserve"> would e</w:t>
      </w:r>
      <w:r w:rsidR="00615DCA">
        <w:rPr>
          <w:rFonts w:cs="Arial"/>
        </w:rPr>
        <w:t>ase the administrative burden for</w:t>
      </w:r>
      <w:r w:rsidR="00FD5021">
        <w:rPr>
          <w:rFonts w:cs="Arial"/>
        </w:rPr>
        <w:t xml:space="preserve"> CPAs who maintain multiple accreditations.</w:t>
      </w:r>
    </w:p>
    <w:p w14:paraId="11CDAB32" w14:textId="77777777" w:rsidR="00F76E53" w:rsidRPr="008F1E62" w:rsidRDefault="00F76E53" w:rsidP="00F76E53">
      <w:r w:rsidRPr="008F1E62">
        <w:rPr>
          <w:b/>
        </w:rPr>
        <w:t>The skills and competencies of SMPs should be developed to better enable these practitioners to act in the capacity of business advisors to MSMEs and effectively fill the need for compliance services.</w:t>
      </w:r>
      <w:r w:rsidRPr="008F1E62">
        <w:t xml:space="preserve"> To manage their finances successfully and make sound business decisions to grow, MSMEs need solid financial information, analysis, and a seasoned perspective, in addition to the fundamental need to fulfil the financial information requirements of regulators and tax authorities. Access to financial capital is a common challenge faced by many MSMEs. It is important that MSMEs understand their financing options and the various business implications of each, as well as how to prepare financial proposals and make their case to financial service providers.  Professional accountants are the most common source of external advice for MSMEs, yet SMPs often lack the skills and competencies to fill this role. Access to quality </w:t>
      </w:r>
      <w:r w:rsidR="00A759B6" w:rsidRPr="008F1E62">
        <w:t xml:space="preserve">continuing professional development </w:t>
      </w:r>
      <w:r w:rsidR="00B13014" w:rsidRPr="008F1E62">
        <w:t>(</w:t>
      </w:r>
      <w:r w:rsidRPr="008F1E62">
        <w:t>CPD</w:t>
      </w:r>
      <w:r w:rsidR="00B13014" w:rsidRPr="008F1E62">
        <w:t>)</w:t>
      </w:r>
      <w:r w:rsidRPr="008F1E62">
        <w:t xml:space="preserve">, technical tools, and other resources are a challenge for those located outside the Metro Manila region. Additionally, SMPs should achieve more meaningful representation in various CPA organizations, and more significant involvement in adopting resolutions and implementing the rules and regulations relevant to the profession.   </w:t>
      </w:r>
    </w:p>
    <w:p w14:paraId="1A2D64E0" w14:textId="1AF1DBBE" w:rsidR="00F76E53" w:rsidRPr="008F1E62" w:rsidRDefault="00F76E53" w:rsidP="00F76E53">
      <w:r w:rsidRPr="008F1E62">
        <w:rPr>
          <w:b/>
        </w:rPr>
        <w:t>Efforts to raise the standards of accounting education throughout all regions need to be supported, both technically and financially.</w:t>
      </w:r>
      <w:r w:rsidRPr="008F1E62">
        <w:t xml:space="preserve">  A new framework for tertiary education of accountants and auditors is due to be implemented over the next few years, which will contribute to the next generation of accountants. At the undergraduate level, the revised model involves students being required to choose either one of four specializations offered, or the revised </w:t>
      </w:r>
      <w:r w:rsidR="00A57D52" w:rsidRPr="00A57D52">
        <w:t>B</w:t>
      </w:r>
      <w:r w:rsidR="00A57D52">
        <w:t xml:space="preserve">achelor of </w:t>
      </w:r>
      <w:r w:rsidR="00A57D52" w:rsidRPr="00A57D52">
        <w:t>Sc</w:t>
      </w:r>
      <w:r w:rsidR="00A57D52">
        <w:t>ience in</w:t>
      </w:r>
      <w:r w:rsidR="00A57D52" w:rsidRPr="00A57D52">
        <w:t xml:space="preserve"> </w:t>
      </w:r>
      <w:r w:rsidR="00A020E7" w:rsidRPr="00A57D52">
        <w:t>Accountancy</w:t>
      </w:r>
      <w:r w:rsidR="00A020E7" w:rsidRPr="00A57D52" w:rsidDel="00A57D52">
        <w:t xml:space="preserve"> </w:t>
      </w:r>
      <w:r w:rsidR="00A020E7" w:rsidRPr="008F1E62">
        <w:t>track</w:t>
      </w:r>
      <w:r w:rsidRPr="008F1E62">
        <w:t>.</w:t>
      </w:r>
      <w:r w:rsidRPr="008F1E62">
        <w:rPr>
          <w:b/>
        </w:rPr>
        <w:t xml:space="preserve"> </w:t>
      </w:r>
      <w:r w:rsidRPr="008F1E62">
        <w:t xml:space="preserve">These changes need to be further reviewed and carefully implemented, accompanied by a continued shift towards competency-based education, and </w:t>
      </w:r>
      <w:proofErr w:type="gramStart"/>
      <w:r w:rsidRPr="008F1E62">
        <w:t>taking into account</w:t>
      </w:r>
      <w:proofErr w:type="gramEnd"/>
      <w:r w:rsidRPr="008F1E62">
        <w:t xml:space="preserve"> local capacity and needs.</w:t>
      </w:r>
      <w:r w:rsidRPr="008F1E62">
        <w:rPr>
          <w:b/>
        </w:rPr>
        <w:t xml:space="preserve"> </w:t>
      </w:r>
      <w:r w:rsidRPr="008F1E62">
        <w:t xml:space="preserve">Considering an average CPA pass rate of 40% from 2010 to 2016, 68% of schools offering a Bachelor of Science in Accounting Program have a passing rate below the national average.  An accredited </w:t>
      </w:r>
      <w:r w:rsidR="00AB5E0E" w:rsidRPr="00AB5E0E">
        <w:t>BSc Accountancy</w:t>
      </w:r>
      <w:r w:rsidR="00AB5E0E" w:rsidRPr="00AB5E0E" w:rsidDel="00AB5E0E">
        <w:t xml:space="preserve"> </w:t>
      </w:r>
      <w:r w:rsidRPr="008F1E62">
        <w:t xml:space="preserve">Program is offered by over 100 public and around 500 private </w:t>
      </w:r>
      <w:r w:rsidR="004D7319">
        <w:t>i</w:t>
      </w:r>
      <w:r w:rsidRPr="008F1E62">
        <w:t xml:space="preserve">nstitutions. </w:t>
      </w:r>
    </w:p>
    <w:p w14:paraId="5A839255" w14:textId="77777777" w:rsidR="00F76E53" w:rsidRPr="008F1E62" w:rsidRDefault="00F76E53" w:rsidP="00F76E53">
      <w:r w:rsidRPr="008F1E62">
        <w:rPr>
          <w:b/>
        </w:rPr>
        <w:t>PICPA is an important and critical stakeholder that should have the resources and internal capacity to fully discharge its various roles.</w:t>
      </w:r>
      <w:r w:rsidRPr="008F1E62">
        <w:t xml:space="preserve"> These roles include supporting individual practitioners and firms throughout the country through the delivery of technical resources and CPD. CPD requirements recently shifted from a thematic approach to a competency-based approach.  The next step in the reform should involve simplifying the process of accreditation of CPD providers and </w:t>
      </w:r>
      <w:r w:rsidR="007E2654">
        <w:t>e</w:t>
      </w:r>
      <w:r w:rsidRPr="008F1E62">
        <w:t>nsuring accredited CPD offerings are aligned to sectoral needs.  The capacity of Accounting Technicians</w:t>
      </w:r>
      <w:r w:rsidR="007E2654">
        <w:t>,</w:t>
      </w:r>
      <w:r w:rsidRPr="008F1E62">
        <w:t xml:space="preserve"> who may act as in-house financial professionals for small and micro sized entities</w:t>
      </w:r>
      <w:r w:rsidR="007E2654">
        <w:t>,</w:t>
      </w:r>
      <w:r w:rsidRPr="008F1E62">
        <w:t xml:space="preserve"> </w:t>
      </w:r>
      <w:r w:rsidR="007E2654">
        <w:t>could</w:t>
      </w:r>
      <w:r w:rsidR="007E2654" w:rsidRPr="008F1E62">
        <w:t xml:space="preserve"> </w:t>
      </w:r>
      <w:r w:rsidRPr="008F1E62">
        <w:t>be strengthened by including a membership tier within PICPA which offers CPD, tools</w:t>
      </w:r>
      <w:r w:rsidR="007E2654">
        <w:t>,</w:t>
      </w:r>
      <w:r w:rsidRPr="008F1E62">
        <w:t xml:space="preserve"> and resources for Accounting Technicians.  In addition, PICPA should further evaluate the need for a viable career development path for women in the profession.</w:t>
      </w:r>
    </w:p>
    <w:p w14:paraId="0491A01F" w14:textId="77777777" w:rsidR="00F76E53" w:rsidRPr="008F1E62" w:rsidRDefault="00F76E53" w:rsidP="00F76E53">
      <w:pPr>
        <w:pStyle w:val="Heading4"/>
      </w:pPr>
      <w:r w:rsidRPr="008F1E62">
        <w:t>Perception and Use of Corporate Financial Reporting</w:t>
      </w:r>
    </w:p>
    <w:p w14:paraId="61B8858C" w14:textId="77777777" w:rsidR="00F76E53" w:rsidRPr="008F1E62" w:rsidRDefault="00F76E53" w:rsidP="00F76E53">
      <w:r w:rsidRPr="008F1E62">
        <w:rPr>
          <w:b/>
        </w:rPr>
        <w:t xml:space="preserve">Generally, economic decision-makers in the Philippines expressed a high degree of confidence in financial information reported by listed entities. </w:t>
      </w:r>
      <w:r w:rsidRPr="008F1E62">
        <w:t xml:space="preserve">These were perceived as high quality and useful for decision-making purposes and lending decisions. </w:t>
      </w:r>
      <w:r w:rsidR="00B13014" w:rsidRPr="008F1E62">
        <w:t>GOCC</w:t>
      </w:r>
      <w:r w:rsidRPr="008F1E62">
        <w:t xml:space="preserve"> and MSME financial reporting </w:t>
      </w:r>
      <w:proofErr w:type="gramStart"/>
      <w:r w:rsidRPr="008F1E62">
        <w:t>were seen as</w:t>
      </w:r>
      <w:proofErr w:type="gramEnd"/>
      <w:r w:rsidRPr="008F1E62">
        <w:t xml:space="preserve"> relatively less credible and useful. The financial statements of unlisted </w:t>
      </w:r>
      <w:r w:rsidR="00B13014" w:rsidRPr="008F1E62">
        <w:t>GOCCs</w:t>
      </w:r>
      <w:proofErr w:type="gramStart"/>
      <w:r w:rsidRPr="008F1E62">
        <w:t>, in particular, were</w:t>
      </w:r>
      <w:proofErr w:type="gramEnd"/>
      <w:r w:rsidRPr="008F1E62">
        <w:t xml:space="preserve"> considered less likely to provide a fair representation of the economic reality of the underlying transactions. A review of a sample of financial statements generally reaffirmed perceptions that financial reporting quality is correlated with entity size</w:t>
      </w:r>
      <w:r w:rsidR="00D45487">
        <w:t>,</w:t>
      </w:r>
      <w:r w:rsidRPr="008F1E62">
        <w:t xml:space="preserve"> and that </w:t>
      </w:r>
      <w:r w:rsidR="00CF5DB5">
        <w:t xml:space="preserve">the </w:t>
      </w:r>
      <w:r w:rsidRPr="008F1E62">
        <w:t>quali</w:t>
      </w:r>
      <w:r w:rsidR="00D82424" w:rsidRPr="008F1E62">
        <w:t>ty of financial reporting by GOCC</w:t>
      </w:r>
      <w:r w:rsidRPr="008F1E62">
        <w:t xml:space="preserve">s appears to be less satisfactory than </w:t>
      </w:r>
      <w:r w:rsidR="00C302D5">
        <w:t xml:space="preserve">by </w:t>
      </w:r>
      <w:r w:rsidRPr="008F1E62">
        <w:t>other forms of ownership.  Across all entities, disclosures related to judgments and estimates</w:t>
      </w:r>
      <w:r w:rsidR="004C027F">
        <w:t>,</w:t>
      </w:r>
      <w:r w:rsidRPr="008F1E62">
        <w:t xml:space="preserve"> required by a principle-based reporting framework</w:t>
      </w:r>
      <w:r w:rsidR="004C027F">
        <w:t>,</w:t>
      </w:r>
      <w:r w:rsidRPr="008F1E62">
        <w:t xml:space="preserve"> could be improved.</w:t>
      </w:r>
    </w:p>
    <w:p w14:paraId="7EE84637" w14:textId="77777777" w:rsidR="00F76E53" w:rsidRPr="008F1E62" w:rsidRDefault="00526ACD" w:rsidP="00F76E53">
      <w:pPr>
        <w:pStyle w:val="BodyText4"/>
        <w:spacing w:after="200" w:line="276" w:lineRule="auto"/>
        <w:rPr>
          <w:rFonts w:asciiTheme="minorHAnsi" w:hAnsiTheme="minorHAnsi" w:cstheme="minorHAnsi"/>
          <w:szCs w:val="24"/>
        </w:rPr>
      </w:pPr>
      <w:r w:rsidRPr="008F1E62">
        <w:rPr>
          <w:rFonts w:asciiTheme="minorHAnsi" w:hAnsiTheme="minorHAnsi" w:cstheme="minorHAnsi"/>
          <w:b/>
          <w:color w:val="333333"/>
          <w:szCs w:val="24"/>
        </w:rPr>
        <w:t xml:space="preserve">To enhance the annual reporting of PIEs, </w:t>
      </w:r>
      <w:r w:rsidRPr="008F1E62">
        <w:rPr>
          <w:rFonts w:asciiTheme="minorHAnsi" w:hAnsiTheme="minorHAnsi" w:cstheme="minorHAnsi"/>
          <w:b/>
          <w:iCs/>
          <w:szCs w:val="24"/>
        </w:rPr>
        <w:t>the Philippines should consider implementing an integrated reporting framework.</w:t>
      </w:r>
      <w:r w:rsidRPr="008F1E62">
        <w:rPr>
          <w:rFonts w:asciiTheme="minorHAnsi" w:hAnsiTheme="minorHAnsi" w:cstheme="minorHAnsi"/>
          <w:iCs/>
          <w:szCs w:val="24"/>
        </w:rPr>
        <w:t xml:space="preserve">  </w:t>
      </w:r>
      <w:r w:rsidR="00F76E53" w:rsidRPr="00484744">
        <w:rPr>
          <w:rFonts w:asciiTheme="minorHAnsi" w:hAnsiTheme="minorHAnsi" w:cstheme="minorHAnsi"/>
          <w:color w:val="000000"/>
          <w:szCs w:val="24"/>
        </w:rPr>
        <w:t>One of the more significant recent governance trends is the global shift to integrated reporting</w:t>
      </w:r>
      <w:r w:rsidRPr="00484744">
        <w:rPr>
          <w:rFonts w:asciiTheme="minorHAnsi" w:hAnsiTheme="minorHAnsi" w:cstheme="minorHAnsi"/>
          <w:color w:val="000000"/>
          <w:szCs w:val="24"/>
        </w:rPr>
        <w:t>, which</w:t>
      </w:r>
      <w:r w:rsidR="00F76E53" w:rsidRPr="00484744">
        <w:rPr>
          <w:rFonts w:asciiTheme="minorHAnsi" w:hAnsiTheme="minorHAnsi" w:cstheme="minorHAnsi"/>
          <w:color w:val="000000"/>
          <w:szCs w:val="24"/>
        </w:rPr>
        <w:t xml:space="preserve"> combines the most material elements of information currently contained in separate reports - such as financial, management commentary, governance and remuneration, and sustainability - into a single coherent whole.</w:t>
      </w:r>
      <w:r w:rsidR="00F76E53" w:rsidRPr="008F1E62">
        <w:rPr>
          <w:rFonts w:asciiTheme="minorHAnsi" w:hAnsiTheme="minorHAnsi" w:cstheme="minorHAnsi"/>
          <w:color w:val="333333"/>
          <w:szCs w:val="24"/>
        </w:rPr>
        <w:t xml:space="preserve">  </w:t>
      </w:r>
      <w:r w:rsidR="00F76E53" w:rsidRPr="008F1E62">
        <w:rPr>
          <w:rFonts w:asciiTheme="minorHAnsi" w:hAnsiTheme="minorHAnsi" w:cstheme="minorHAnsi"/>
          <w:color w:val="000000"/>
          <w:szCs w:val="24"/>
        </w:rPr>
        <w:t xml:space="preserve">The global financial crisis, persistent economic disparities, climate change, and evidence of corporate governance failures are just some of the issues that are raising the profile of corporate transparency among regulators, civil society bodies, and the </w:t>
      </w:r>
      <w:proofErr w:type="gramStart"/>
      <w:r w:rsidR="00F76E53" w:rsidRPr="008F1E62">
        <w:rPr>
          <w:rFonts w:asciiTheme="minorHAnsi" w:hAnsiTheme="minorHAnsi" w:cstheme="minorHAnsi"/>
          <w:color w:val="000000"/>
          <w:szCs w:val="24"/>
        </w:rPr>
        <w:t>general public</w:t>
      </w:r>
      <w:proofErr w:type="gramEnd"/>
      <w:r w:rsidR="00F76E53" w:rsidRPr="008F1E62">
        <w:rPr>
          <w:rStyle w:val="FootnoteReference"/>
          <w:rFonts w:asciiTheme="minorHAnsi" w:hAnsiTheme="minorHAnsi" w:cstheme="minorHAnsi"/>
          <w:color w:val="000000"/>
          <w:szCs w:val="24"/>
        </w:rPr>
        <w:footnoteReference w:id="10"/>
      </w:r>
      <w:r w:rsidR="00F76E53" w:rsidRPr="008F1E62">
        <w:rPr>
          <w:rFonts w:asciiTheme="minorHAnsi" w:hAnsiTheme="minorHAnsi" w:cstheme="minorHAnsi"/>
          <w:color w:val="000000"/>
          <w:szCs w:val="24"/>
        </w:rPr>
        <w:t xml:space="preserve">.  </w:t>
      </w:r>
      <w:r w:rsidR="00F76E53" w:rsidRPr="008F1E62">
        <w:rPr>
          <w:rFonts w:asciiTheme="minorHAnsi" w:hAnsiTheme="minorHAnsi" w:cstheme="minorHAnsi"/>
          <w:iCs/>
          <w:szCs w:val="24"/>
        </w:rPr>
        <w:t>Integrated Reporting brings together the material information about an organization’s strategy, governance, performance and prospects in a way that reflects the commercial, social</w:t>
      </w:r>
      <w:r w:rsidR="00844C7B">
        <w:rPr>
          <w:rFonts w:asciiTheme="minorHAnsi" w:hAnsiTheme="minorHAnsi" w:cstheme="minorHAnsi"/>
          <w:iCs/>
          <w:szCs w:val="24"/>
        </w:rPr>
        <w:t>,</w:t>
      </w:r>
      <w:r w:rsidR="00F76E53" w:rsidRPr="008F1E62">
        <w:rPr>
          <w:rFonts w:asciiTheme="minorHAnsi" w:hAnsiTheme="minorHAnsi" w:cstheme="minorHAnsi"/>
          <w:iCs/>
          <w:szCs w:val="24"/>
        </w:rPr>
        <w:t xml:space="preserve"> and environmental context within which it operates. It provides a clear and concise representation of how an organization demonstrates stewardship and how it creates value, now and in the future. </w:t>
      </w:r>
    </w:p>
    <w:p w14:paraId="2FDA9D93" w14:textId="77777777" w:rsidR="00F76E53" w:rsidRPr="008F1E62" w:rsidRDefault="00F76E53" w:rsidP="00F76E53">
      <w:pPr>
        <w:rPr>
          <w:rFonts w:cs="Calibri"/>
        </w:rPr>
      </w:pPr>
    </w:p>
    <w:p w14:paraId="70DBD1F6" w14:textId="77777777" w:rsidR="00F76E53" w:rsidRPr="008F1E62" w:rsidRDefault="00F76E53" w:rsidP="00F76E53"/>
    <w:p w14:paraId="3C12C819" w14:textId="77777777" w:rsidR="00F76E53" w:rsidRPr="008F1E62" w:rsidRDefault="00F76E53" w:rsidP="00F76E53">
      <w:pPr>
        <w:rPr>
          <w:caps/>
        </w:rPr>
        <w:sectPr w:rsidR="00F76E53" w:rsidRPr="008F1E62" w:rsidSect="0002662F">
          <w:headerReference w:type="default" r:id="rId14"/>
          <w:type w:val="nextColumn"/>
          <w:pgSz w:w="11906" w:h="16838" w:code="9"/>
          <w:pgMar w:top="1440" w:right="1440" w:bottom="1440" w:left="1440" w:header="720" w:footer="720" w:gutter="0"/>
          <w:pgNumType w:fmt="lowerRoman"/>
          <w:cols w:space="720"/>
          <w:docGrid w:linePitch="360"/>
        </w:sectPr>
      </w:pPr>
    </w:p>
    <w:p w14:paraId="37933921" w14:textId="77777777" w:rsidR="00F76E53" w:rsidRPr="008F1E62" w:rsidRDefault="00F76E53" w:rsidP="00F76E53">
      <w:pPr>
        <w:pStyle w:val="Heading1"/>
        <w:spacing w:after="60" w:line="276" w:lineRule="auto"/>
        <w:ind w:left="-360"/>
        <w:jc w:val="center"/>
        <w:rPr>
          <w:rFonts w:ascii="Century Gothic" w:eastAsia="MS Gothic" w:hAnsi="Century Gothic" w:cstheme="minorBidi"/>
          <w:caps w:val="0"/>
          <w:color w:val="00AB51"/>
          <w:kern w:val="32"/>
          <w:sz w:val="32"/>
          <w:szCs w:val="32"/>
          <w:lang w:val="en-US"/>
        </w:rPr>
      </w:pPr>
      <w:bookmarkStart w:id="26" w:name="_Toc499825575"/>
      <w:r w:rsidRPr="008F1E62">
        <w:rPr>
          <w:rFonts w:ascii="Century Gothic" w:eastAsia="MS Gothic" w:hAnsi="Century Gothic" w:cstheme="minorBidi"/>
          <w:caps w:val="0"/>
          <w:color w:val="00AB51"/>
          <w:kern w:val="32"/>
          <w:sz w:val="32"/>
          <w:szCs w:val="32"/>
          <w:lang w:val="en-US"/>
        </w:rPr>
        <w:t>I. INTRODUCTION</w:t>
      </w:r>
      <w:bookmarkEnd w:id="26"/>
    </w:p>
    <w:p w14:paraId="26037CDC" w14:textId="77777777" w:rsidR="00F76E53" w:rsidRPr="008F1E62" w:rsidRDefault="00F76E53" w:rsidP="00F76E53">
      <w:pPr>
        <w:pStyle w:val="Heading2"/>
        <w:spacing w:before="500"/>
        <w:ind w:left="547" w:hanging="547"/>
      </w:pPr>
      <w:bookmarkStart w:id="27" w:name="_Toc499825576"/>
      <w:r w:rsidRPr="008F1E62">
        <w:t>Country Background</w:t>
      </w:r>
      <w:bookmarkEnd w:id="27"/>
    </w:p>
    <w:p w14:paraId="6ED9BD8A" w14:textId="77777777" w:rsidR="00F76E53" w:rsidRPr="008F1E62" w:rsidRDefault="00F76E53" w:rsidP="00F76E53">
      <w:pPr>
        <w:pStyle w:val="BodyText4"/>
        <w:numPr>
          <w:ilvl w:val="0"/>
          <w:numId w:val="2"/>
        </w:numPr>
        <w:spacing w:after="200" w:line="276" w:lineRule="auto"/>
        <w:ind w:left="0" w:hanging="567"/>
        <w:rPr>
          <w:rFonts w:asciiTheme="minorHAnsi" w:hAnsiTheme="minorHAnsi" w:cs="Helv"/>
          <w:szCs w:val="24"/>
        </w:rPr>
      </w:pPr>
      <w:r w:rsidRPr="008F1E62">
        <w:rPr>
          <w:rFonts w:asciiTheme="minorHAnsi" w:hAnsiTheme="minorHAnsi"/>
          <w:b/>
          <w:bCs/>
          <w:szCs w:val="24"/>
        </w:rPr>
        <w:t xml:space="preserve">The Philippines is a lower </w:t>
      </w:r>
      <w:proofErr w:type="gramStart"/>
      <w:r w:rsidRPr="008F1E62">
        <w:rPr>
          <w:rFonts w:asciiTheme="minorHAnsi" w:hAnsiTheme="minorHAnsi"/>
          <w:b/>
          <w:bCs/>
          <w:szCs w:val="24"/>
        </w:rPr>
        <w:t>middle income</w:t>
      </w:r>
      <w:proofErr w:type="gramEnd"/>
      <w:r w:rsidRPr="008F1E62">
        <w:rPr>
          <w:rFonts w:asciiTheme="minorHAnsi" w:hAnsiTheme="minorHAnsi"/>
          <w:b/>
          <w:bCs/>
          <w:szCs w:val="24"/>
        </w:rPr>
        <w:t xml:space="preserve"> country with a population of about 100 million people.  In recent years, the Philippines has ranked among the world’s fastest-growing economies, with an annual real GDP growth rate averaging 4.5 percent since 2000.</w:t>
      </w:r>
      <w:r w:rsidRPr="008F1E62">
        <w:rPr>
          <w:rFonts w:asciiTheme="minorHAnsi" w:hAnsiTheme="minorHAnsi"/>
          <w:bCs/>
          <w:szCs w:val="24"/>
        </w:rPr>
        <w:t xml:space="preserve"> Like many other countries in the East Asia region, the Philippines has benefited from the rapid growth of the Chinese economy, which has expanded at an average growth rate of close to 10 percent since 2000, as well as regional and global trade integration and value-chain development. The </w:t>
      </w:r>
      <w:proofErr w:type="spellStart"/>
      <w:r w:rsidRPr="008F1E62">
        <w:rPr>
          <w:rFonts w:asciiTheme="minorHAnsi" w:hAnsiTheme="minorHAnsi"/>
          <w:bCs/>
          <w:szCs w:val="24"/>
        </w:rPr>
        <w:t>GoP</w:t>
      </w:r>
      <w:proofErr w:type="spellEnd"/>
      <w:r w:rsidRPr="008F1E62">
        <w:rPr>
          <w:rFonts w:asciiTheme="minorHAnsi" w:hAnsiTheme="minorHAnsi"/>
          <w:bCs/>
          <w:szCs w:val="24"/>
        </w:rPr>
        <w:t xml:space="preserve"> has taken steps to sustain the inclusive pattern of recent growth and has initiated reforms that facilitate private investment. In February 2017, the PDP 2017-2022 was approved, laying out the new administration’s policy goals over the next six years with the objective of enabling the Philippines to become an upper-middle-income country by 2022. With the passage of the PDP, the government has committed to policies that promote equitable tax reform, enhanced market competition, and improvements in the ease of doing business in the context of sustainable increase in public infrastructure investment and spending on social services.  </w:t>
      </w:r>
    </w:p>
    <w:tbl>
      <w:tblPr>
        <w:tblStyle w:val="TableGrid"/>
        <w:tblpPr w:leftFromText="180" w:rightFromText="180" w:vertAnchor="text" w:horzAnchor="margin" w:tblpXSpec="right" w:tblpY="1478"/>
        <w:tblOverlap w:val="never"/>
        <w:tblW w:w="0" w:type="auto"/>
        <w:jc w:val="right"/>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425"/>
      </w:tblGrid>
      <w:tr w:rsidR="006703AB" w14:paraId="56629DB6" w14:textId="77777777" w:rsidTr="004A1F83">
        <w:trPr>
          <w:jc w:val="right"/>
        </w:trPr>
        <w:tc>
          <w:tcPr>
            <w:tcW w:w="4338" w:type="dxa"/>
            <w:shd w:val="clear" w:color="auto" w:fill="4472C4"/>
            <w:vAlign w:val="center"/>
          </w:tcPr>
          <w:p w14:paraId="728E410E" w14:textId="730FB22F" w:rsidR="006703AB" w:rsidRPr="004A1F83" w:rsidRDefault="006703AB" w:rsidP="006703AB">
            <w:pPr>
              <w:pStyle w:val="BodyText4"/>
              <w:spacing w:line="276" w:lineRule="auto"/>
              <w:jc w:val="center"/>
              <w:rPr>
                <w:rFonts w:asciiTheme="minorHAnsi" w:hAnsiTheme="minorHAnsi"/>
                <w:b/>
                <w:color w:val="FFFFFF" w:themeColor="background1"/>
                <w:sz w:val="20"/>
              </w:rPr>
            </w:pPr>
            <w:r w:rsidRPr="004A1F83">
              <w:rPr>
                <w:rFonts w:asciiTheme="minorHAnsi" w:hAnsiTheme="minorHAnsi"/>
                <w:b/>
                <w:color w:val="FFFFFF" w:themeColor="background1"/>
                <w:sz w:val="20"/>
              </w:rPr>
              <w:t xml:space="preserve">Figure </w:t>
            </w:r>
            <w:r w:rsidRPr="004A1F83">
              <w:rPr>
                <w:rFonts w:asciiTheme="minorHAnsi" w:hAnsiTheme="minorHAnsi"/>
                <w:b/>
                <w:color w:val="FFFFFF" w:themeColor="background1"/>
                <w:sz w:val="20"/>
              </w:rPr>
              <w:fldChar w:fldCharType="begin"/>
            </w:r>
            <w:r w:rsidRPr="004A1F83">
              <w:rPr>
                <w:rFonts w:asciiTheme="minorHAnsi" w:hAnsiTheme="minorHAnsi"/>
                <w:b/>
                <w:color w:val="FFFFFF" w:themeColor="background1"/>
                <w:sz w:val="20"/>
              </w:rPr>
              <w:instrText xml:space="preserve"> SEQ Figure \* ARABIC </w:instrText>
            </w:r>
            <w:r w:rsidRPr="004A1F83">
              <w:rPr>
                <w:rFonts w:asciiTheme="minorHAnsi" w:hAnsiTheme="minorHAnsi"/>
                <w:b/>
                <w:color w:val="FFFFFF" w:themeColor="background1"/>
                <w:sz w:val="20"/>
              </w:rPr>
              <w:fldChar w:fldCharType="separate"/>
            </w:r>
            <w:r w:rsidR="004310EC">
              <w:rPr>
                <w:rFonts w:asciiTheme="minorHAnsi" w:hAnsiTheme="minorHAnsi"/>
                <w:b/>
                <w:noProof/>
                <w:color w:val="FFFFFF" w:themeColor="background1"/>
                <w:sz w:val="20"/>
              </w:rPr>
              <w:t>1</w:t>
            </w:r>
            <w:r w:rsidRPr="004A1F83">
              <w:rPr>
                <w:rFonts w:asciiTheme="minorHAnsi" w:hAnsiTheme="minorHAnsi"/>
                <w:b/>
                <w:color w:val="FFFFFF" w:themeColor="background1"/>
                <w:sz w:val="20"/>
              </w:rPr>
              <w:fldChar w:fldCharType="end"/>
            </w:r>
            <w:r w:rsidRPr="004A1F83">
              <w:rPr>
                <w:rFonts w:asciiTheme="minorHAnsi" w:hAnsiTheme="minorHAnsi"/>
                <w:b/>
                <w:color w:val="FFFFFF" w:themeColor="background1"/>
                <w:sz w:val="20"/>
              </w:rPr>
              <w:t>. ROSC 2.0 Assessment Methodology</w:t>
            </w:r>
          </w:p>
        </w:tc>
      </w:tr>
      <w:tr w:rsidR="006703AB" w14:paraId="32EB82B6" w14:textId="77777777" w:rsidTr="004A1F83">
        <w:trPr>
          <w:jc w:val="right"/>
        </w:trPr>
        <w:tc>
          <w:tcPr>
            <w:tcW w:w="4338" w:type="dxa"/>
            <w:shd w:val="clear" w:color="auto" w:fill="auto"/>
            <w:vAlign w:val="center"/>
          </w:tcPr>
          <w:p w14:paraId="2049310D" w14:textId="77777777" w:rsidR="006703AB" w:rsidRDefault="006703AB" w:rsidP="006703AB">
            <w:pPr>
              <w:pStyle w:val="BodyText4"/>
              <w:spacing w:line="276" w:lineRule="auto"/>
              <w:jc w:val="center"/>
              <w:rPr>
                <w:rFonts w:asciiTheme="minorHAnsi" w:hAnsiTheme="minorHAnsi"/>
                <w:b/>
              </w:rPr>
            </w:pPr>
            <w:r w:rsidRPr="008F1E62">
              <w:rPr>
                <w:rFonts w:asciiTheme="minorHAnsi" w:hAnsiTheme="minorHAnsi"/>
                <w:noProof/>
              </w:rPr>
              <w:drawing>
                <wp:inline distT="0" distB="0" distL="0" distR="0" wp14:anchorId="48842D92" wp14:editId="2F8542F4">
                  <wp:extent cx="2664225" cy="24866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12.pn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684810" cy="2505895"/>
                          </a:xfrm>
                          <a:prstGeom prst="rect">
                            <a:avLst/>
                          </a:prstGeom>
                          <a:ln>
                            <a:noFill/>
                          </a:ln>
                          <a:extLst>
                            <a:ext uri="{53640926-AAD7-44D8-BBD7-CCE9431645EC}">
                              <a14:shadowObscured xmlns:a14="http://schemas.microsoft.com/office/drawing/2010/main"/>
                            </a:ext>
                          </a:extLst>
                        </pic:spPr>
                      </pic:pic>
                    </a:graphicData>
                  </a:graphic>
                </wp:inline>
              </w:drawing>
            </w:r>
          </w:p>
        </w:tc>
      </w:tr>
      <w:tr w:rsidR="006703AB" w14:paraId="41BB4649" w14:textId="77777777" w:rsidTr="004A1F83">
        <w:trPr>
          <w:jc w:val="right"/>
        </w:trPr>
        <w:tc>
          <w:tcPr>
            <w:tcW w:w="4338" w:type="dxa"/>
            <w:shd w:val="clear" w:color="auto" w:fill="4472C4"/>
            <w:vAlign w:val="center"/>
          </w:tcPr>
          <w:p w14:paraId="1002426F" w14:textId="77777777" w:rsidR="006703AB" w:rsidRPr="00FA75F2" w:rsidRDefault="006703AB" w:rsidP="006703AB">
            <w:pPr>
              <w:pStyle w:val="BodyText4"/>
              <w:spacing w:line="276" w:lineRule="auto"/>
              <w:jc w:val="center"/>
              <w:rPr>
                <w:rFonts w:asciiTheme="minorHAnsi" w:hAnsiTheme="minorHAnsi"/>
                <w:noProof/>
                <w:sz w:val="10"/>
                <w:szCs w:val="10"/>
              </w:rPr>
            </w:pPr>
          </w:p>
        </w:tc>
      </w:tr>
    </w:tbl>
    <w:p w14:paraId="32494B1F" w14:textId="77777777" w:rsidR="00F76E53" w:rsidRPr="008F1E62" w:rsidRDefault="00F76E53" w:rsidP="00F76E53">
      <w:pPr>
        <w:pStyle w:val="Heading2"/>
        <w:ind w:left="547" w:hanging="547"/>
      </w:pPr>
      <w:bookmarkStart w:id="28" w:name="_Toc499825577"/>
      <w:r w:rsidRPr="008F1E62">
        <w:t>Approach</w:t>
      </w:r>
      <w:bookmarkEnd w:id="28"/>
    </w:p>
    <w:p w14:paraId="40D3C4FF" w14:textId="77777777" w:rsidR="00F76E53" w:rsidRPr="008F1E62" w:rsidRDefault="00615DCA" w:rsidP="00F76E53">
      <w:pPr>
        <w:pStyle w:val="BodyText4"/>
        <w:numPr>
          <w:ilvl w:val="0"/>
          <w:numId w:val="2"/>
        </w:numPr>
        <w:spacing w:after="200" w:line="276" w:lineRule="auto"/>
        <w:ind w:left="0" w:hanging="567"/>
        <w:rPr>
          <w:rFonts w:asciiTheme="minorHAnsi" w:hAnsiTheme="minorHAnsi"/>
        </w:rPr>
      </w:pPr>
      <w:r w:rsidRPr="00484744">
        <w:rPr>
          <w:rFonts w:asciiTheme="minorHAnsi" w:hAnsiTheme="minorHAnsi"/>
          <w:b/>
        </w:rPr>
        <w:t>The review focused on</w:t>
      </w:r>
      <w:r w:rsidRPr="00484744">
        <w:rPr>
          <w:b/>
        </w:rPr>
        <w:t xml:space="preserve"> </w:t>
      </w:r>
      <w:r w:rsidRPr="00484744">
        <w:rPr>
          <w:rFonts w:asciiTheme="minorHAnsi" w:hAnsiTheme="minorHAnsi"/>
          <w:b/>
        </w:rPr>
        <w:t>assessing the Philippines institutional framework underpinning A&amp;A practices in the regulated entities, the private sector including MSMEs, and in state-owned enterprises (GOCCs) and comparing it with international standards and good practice as outlined in Figure 1.</w:t>
      </w:r>
      <w:r w:rsidRPr="008F1E62">
        <w:rPr>
          <w:rFonts w:asciiTheme="minorHAnsi" w:hAnsiTheme="minorHAnsi"/>
        </w:rPr>
        <w:t xml:space="preserve"> </w:t>
      </w:r>
      <w:r>
        <w:rPr>
          <w:rFonts w:asciiTheme="minorHAnsi" w:hAnsiTheme="minorHAnsi"/>
        </w:rPr>
        <w:t xml:space="preserve"> </w:t>
      </w:r>
      <w:r w:rsidR="00F76E53" w:rsidRPr="008F1E62">
        <w:rPr>
          <w:rFonts w:asciiTheme="minorHAnsi" w:hAnsiTheme="minorHAnsi"/>
        </w:rPr>
        <w:t>The data and information used for the review were gathered from the revised ROSC A&amp;A 2.0 diagnostic questionnaire completed by</w:t>
      </w:r>
      <w:r w:rsidR="00F76E53" w:rsidRPr="008F1E62">
        <w:t xml:space="preserve"> </w:t>
      </w:r>
      <w:r w:rsidR="00F76E53" w:rsidRPr="008F1E62">
        <w:rPr>
          <w:rFonts w:asciiTheme="minorHAnsi" w:hAnsiTheme="minorHAnsi"/>
        </w:rPr>
        <w:t>stakeholders; by reviewing accountancy profession-related documents; and through interviews with many stakeholders</w:t>
      </w:r>
      <w:r w:rsidR="00F76E53" w:rsidRPr="008F1E62">
        <w:t xml:space="preserve"> </w:t>
      </w:r>
      <w:r w:rsidR="00F76E53" w:rsidRPr="008F1E62">
        <w:rPr>
          <w:rFonts w:asciiTheme="minorHAnsi" w:hAnsiTheme="minorHAnsi"/>
        </w:rPr>
        <w:t>from the government, regulatory and accountancy bodies, auditing firms, individual practitioners, public interest entities (PIEs), banks, insurance companies, MSMEs</w:t>
      </w:r>
      <w:r w:rsidR="00B044CF">
        <w:rPr>
          <w:rFonts w:asciiTheme="minorHAnsi" w:hAnsiTheme="minorHAnsi"/>
        </w:rPr>
        <w:t>,</w:t>
      </w:r>
      <w:r w:rsidR="00F76E53" w:rsidRPr="008F1E62">
        <w:rPr>
          <w:rFonts w:asciiTheme="minorHAnsi" w:hAnsiTheme="minorHAnsi"/>
        </w:rPr>
        <w:t xml:space="preserve"> and academia. </w:t>
      </w:r>
      <w:r w:rsidR="00F76E53" w:rsidRPr="008F1E62">
        <w:rPr>
          <w:rFonts w:ascii="Calibri" w:eastAsia="Calibri" w:hAnsi="Calibri"/>
        </w:rPr>
        <w:t>The outcomes of the assessment contribute toward the Government’s reform agenda and provide means of achieving the targets set for the Sustainable Development Goals.</w:t>
      </w:r>
      <w:r w:rsidRPr="00615DCA">
        <w:rPr>
          <w:rFonts w:asciiTheme="minorHAnsi" w:hAnsiTheme="minorHAnsi"/>
          <w:b/>
          <w:bCs/>
        </w:rPr>
        <w:t xml:space="preserve"> </w:t>
      </w:r>
      <w:r>
        <w:rPr>
          <w:rFonts w:asciiTheme="minorHAnsi" w:hAnsiTheme="minorHAnsi"/>
          <w:b/>
          <w:bCs/>
        </w:rPr>
        <w:t xml:space="preserve"> </w:t>
      </w:r>
      <w:r w:rsidRPr="00484744">
        <w:rPr>
          <w:rFonts w:asciiTheme="minorHAnsi" w:hAnsiTheme="minorHAnsi"/>
          <w:bCs/>
        </w:rPr>
        <w:t>This review was conducted from October 2016 to May 2017.</w:t>
      </w:r>
      <w:r w:rsidRPr="00615DCA">
        <w:rPr>
          <w:rFonts w:asciiTheme="minorHAnsi" w:hAnsiTheme="minorHAnsi"/>
        </w:rPr>
        <w:t xml:space="preserve"> </w:t>
      </w:r>
      <w:r>
        <w:rPr>
          <w:rFonts w:asciiTheme="minorHAnsi" w:hAnsiTheme="minorHAnsi"/>
        </w:rPr>
        <w:t xml:space="preserve">  </w:t>
      </w:r>
      <w:r w:rsidRPr="008F1E62">
        <w:rPr>
          <w:rFonts w:asciiTheme="minorHAnsi" w:hAnsiTheme="minorHAnsi"/>
        </w:rPr>
        <w:t>All findings reflect this period of the review and some stated future events may have been achieved by publication date.</w:t>
      </w:r>
    </w:p>
    <w:p w14:paraId="60BC5DDF" w14:textId="77777777" w:rsidR="00F76E53" w:rsidRPr="008F1E62" w:rsidRDefault="00F76E53" w:rsidP="00F76E53">
      <w:pPr>
        <w:pStyle w:val="Heading2"/>
        <w:spacing w:before="500"/>
        <w:ind w:left="547" w:hanging="547"/>
      </w:pPr>
      <w:bookmarkStart w:id="29" w:name="_Toc499825578"/>
      <w:r w:rsidRPr="008F1E62">
        <w:t>Economic Context</w:t>
      </w:r>
      <w:r w:rsidRPr="008F1E62">
        <w:rPr>
          <w:vertAlign w:val="superscript"/>
        </w:rPr>
        <w:footnoteReference w:id="11"/>
      </w:r>
      <w:bookmarkEnd w:id="29"/>
    </w:p>
    <w:tbl>
      <w:tblPr>
        <w:tblStyle w:val="TableGrid"/>
        <w:tblpPr w:leftFromText="180" w:rightFromText="180" w:vertAnchor="text" w:horzAnchor="margin" w:tblpXSpec="right" w:tblpY="94"/>
        <w:tblOverlap w:val="never"/>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5613"/>
      </w:tblGrid>
      <w:tr w:rsidR="00D40343" w14:paraId="6FDFB996" w14:textId="77777777" w:rsidTr="004A1F83">
        <w:tc>
          <w:tcPr>
            <w:tcW w:w="5220" w:type="dxa"/>
            <w:shd w:val="clear" w:color="auto" w:fill="4472C4"/>
            <w:vAlign w:val="center"/>
          </w:tcPr>
          <w:p w14:paraId="602E6B85" w14:textId="36D639B9" w:rsidR="00D40343" w:rsidRPr="004A1F83" w:rsidRDefault="00D40343" w:rsidP="00D40343">
            <w:pPr>
              <w:pStyle w:val="BodyText4"/>
              <w:spacing w:line="276" w:lineRule="auto"/>
              <w:jc w:val="center"/>
              <w:rPr>
                <w:rFonts w:asciiTheme="minorHAnsi" w:hAnsiTheme="minorHAnsi"/>
                <w:b/>
                <w:color w:val="FFFFFF" w:themeColor="background1"/>
                <w:sz w:val="20"/>
              </w:rPr>
            </w:pPr>
            <w:r w:rsidRPr="004A1F83">
              <w:rPr>
                <w:rFonts w:asciiTheme="minorHAnsi" w:hAnsiTheme="minorHAnsi"/>
                <w:b/>
                <w:color w:val="FFFFFF" w:themeColor="background1"/>
                <w:sz w:val="20"/>
              </w:rPr>
              <w:t xml:space="preserve">Figure </w:t>
            </w:r>
            <w:r w:rsidRPr="004A1F83">
              <w:rPr>
                <w:rFonts w:asciiTheme="minorHAnsi" w:hAnsiTheme="minorHAnsi"/>
                <w:b/>
                <w:color w:val="FFFFFF" w:themeColor="background1"/>
                <w:sz w:val="20"/>
              </w:rPr>
              <w:fldChar w:fldCharType="begin"/>
            </w:r>
            <w:r w:rsidRPr="004A1F83">
              <w:rPr>
                <w:rFonts w:asciiTheme="minorHAnsi" w:hAnsiTheme="minorHAnsi"/>
                <w:b/>
                <w:color w:val="FFFFFF" w:themeColor="background1"/>
                <w:sz w:val="20"/>
              </w:rPr>
              <w:instrText xml:space="preserve"> SEQ Figure \* ARABIC </w:instrText>
            </w:r>
            <w:r w:rsidRPr="004A1F83">
              <w:rPr>
                <w:rFonts w:asciiTheme="minorHAnsi" w:hAnsiTheme="minorHAnsi"/>
                <w:b/>
                <w:color w:val="FFFFFF" w:themeColor="background1"/>
                <w:sz w:val="20"/>
              </w:rPr>
              <w:fldChar w:fldCharType="separate"/>
            </w:r>
            <w:r w:rsidR="004310EC">
              <w:rPr>
                <w:rFonts w:asciiTheme="minorHAnsi" w:hAnsiTheme="minorHAnsi"/>
                <w:b/>
                <w:noProof/>
                <w:color w:val="FFFFFF" w:themeColor="background1"/>
                <w:sz w:val="20"/>
              </w:rPr>
              <w:t>2</w:t>
            </w:r>
            <w:r w:rsidRPr="004A1F83">
              <w:rPr>
                <w:rFonts w:asciiTheme="minorHAnsi" w:hAnsiTheme="minorHAnsi"/>
                <w:b/>
                <w:color w:val="FFFFFF" w:themeColor="background1"/>
                <w:sz w:val="20"/>
              </w:rPr>
              <w:fldChar w:fldCharType="end"/>
            </w:r>
            <w:r w:rsidRPr="004A1F83">
              <w:rPr>
                <w:rFonts w:asciiTheme="minorHAnsi" w:hAnsiTheme="minorHAnsi"/>
                <w:b/>
                <w:color w:val="FFFFFF" w:themeColor="background1"/>
                <w:sz w:val="20"/>
              </w:rPr>
              <w:t>. The Philippines’ economy performed well in 2016 relative to regional comparators</w:t>
            </w:r>
            <w:r w:rsidR="00D649A6">
              <w:rPr>
                <w:rFonts w:asciiTheme="minorHAnsi" w:hAnsiTheme="minorHAnsi"/>
                <w:b/>
                <w:color w:val="FFFFFF" w:themeColor="background1"/>
                <w:sz w:val="20"/>
              </w:rPr>
              <w:t xml:space="preserve"> (GDP growth rate)</w:t>
            </w:r>
            <w:r w:rsidRPr="004A1F83">
              <w:rPr>
                <w:rStyle w:val="FootnoteReference"/>
                <w:rFonts w:asciiTheme="minorHAnsi" w:hAnsiTheme="minorHAnsi"/>
                <w:b/>
                <w:color w:val="FFFFFF" w:themeColor="background1"/>
                <w:sz w:val="20"/>
              </w:rPr>
              <w:footnoteReference w:id="12"/>
            </w:r>
          </w:p>
        </w:tc>
      </w:tr>
      <w:tr w:rsidR="00D40343" w14:paraId="41591462" w14:textId="77777777" w:rsidTr="004A1F83">
        <w:tc>
          <w:tcPr>
            <w:tcW w:w="5220" w:type="dxa"/>
            <w:vAlign w:val="center"/>
          </w:tcPr>
          <w:p w14:paraId="74DF9B63" w14:textId="77777777" w:rsidR="00D40343" w:rsidRDefault="00D40343" w:rsidP="00D40343">
            <w:pPr>
              <w:pStyle w:val="BodyText4"/>
              <w:spacing w:before="200" w:line="276" w:lineRule="auto"/>
              <w:jc w:val="center"/>
              <w:rPr>
                <w:rFonts w:asciiTheme="minorHAnsi" w:hAnsiTheme="minorHAnsi"/>
                <w:b/>
              </w:rPr>
            </w:pPr>
            <w:r w:rsidRPr="008F1E62">
              <w:rPr>
                <w:rFonts w:cs="Arial"/>
                <w:bCs/>
                <w:noProof/>
                <w:color w:val="000000" w:themeColor="text1"/>
              </w:rPr>
              <w:drawing>
                <wp:inline distT="0" distB="0" distL="0" distR="0" wp14:anchorId="73E5C9E8" wp14:editId="11F914C7">
                  <wp:extent cx="3418484" cy="32429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45"/>
                          <a:stretch/>
                        </pic:blipFill>
                        <pic:spPr bwMode="auto">
                          <a:xfrm>
                            <a:off x="0" y="0"/>
                            <a:ext cx="3435225" cy="3258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40343" w14:paraId="09BEB300" w14:textId="77777777" w:rsidTr="004A1F83">
        <w:tc>
          <w:tcPr>
            <w:tcW w:w="5220" w:type="dxa"/>
            <w:shd w:val="clear" w:color="auto" w:fill="4472C4"/>
            <w:vAlign w:val="center"/>
          </w:tcPr>
          <w:p w14:paraId="116FD157" w14:textId="77777777" w:rsidR="00D40343" w:rsidRPr="00FA75F2" w:rsidRDefault="00D40343" w:rsidP="00D40343">
            <w:pPr>
              <w:pStyle w:val="BodyText4"/>
              <w:spacing w:line="276" w:lineRule="auto"/>
              <w:jc w:val="center"/>
              <w:rPr>
                <w:rFonts w:asciiTheme="minorHAnsi" w:hAnsiTheme="minorHAnsi"/>
                <w:noProof/>
                <w:sz w:val="10"/>
                <w:szCs w:val="10"/>
              </w:rPr>
            </w:pPr>
          </w:p>
        </w:tc>
      </w:tr>
    </w:tbl>
    <w:p w14:paraId="356A1678" w14:textId="625633CE" w:rsidR="00F76E53" w:rsidRPr="00FA75F2" w:rsidRDefault="00F76E53" w:rsidP="00F76E53">
      <w:pPr>
        <w:pStyle w:val="BodyText4"/>
        <w:numPr>
          <w:ilvl w:val="0"/>
          <w:numId w:val="2"/>
        </w:numPr>
        <w:spacing w:after="200" w:line="276" w:lineRule="auto"/>
        <w:ind w:left="0" w:hanging="567"/>
        <w:rPr>
          <w:rFonts w:ascii="Calibri" w:hAnsi="Calibri" w:cs="Calibri"/>
        </w:rPr>
      </w:pPr>
      <w:r w:rsidRPr="008F1E62">
        <w:rPr>
          <w:rFonts w:asciiTheme="minorHAnsi" w:hAnsiTheme="minorHAnsi" w:cs="Arial"/>
          <w:b/>
          <w:bCs/>
          <w:color w:val="000000" w:themeColor="text1"/>
        </w:rPr>
        <w:t>The Philippines economy has remained resilient to global headwinds, as robust domestic demand pushed the GDP growth rate to 6.8 percent, year-on-year.</w:t>
      </w:r>
      <w:r w:rsidRPr="008F1E62">
        <w:rPr>
          <w:rFonts w:asciiTheme="minorHAnsi" w:hAnsiTheme="minorHAnsi" w:cs="Arial"/>
          <w:color w:val="000000" w:themeColor="text1"/>
        </w:rPr>
        <w:t xml:space="preserve"> Capital formation drove overall growth for the first time since 2013, supported by an expansionary fiscal policy focused on public infrastructure spending, which spurred construction activity.</w:t>
      </w:r>
      <w:r w:rsidRPr="008F1E62" w:rsidDel="00A31ED7">
        <w:rPr>
          <w:rFonts w:asciiTheme="minorHAnsi" w:hAnsiTheme="minorHAnsi" w:cs="Arial"/>
          <w:color w:val="000000" w:themeColor="text1"/>
        </w:rPr>
        <w:t xml:space="preserve"> </w:t>
      </w:r>
      <w:r w:rsidRPr="008F1E62">
        <w:rPr>
          <w:rFonts w:asciiTheme="minorHAnsi" w:hAnsiTheme="minorHAnsi" w:cs="Arial"/>
          <w:color w:val="000000" w:themeColor="text1"/>
        </w:rPr>
        <w:t xml:space="preserve">Consumption growth accelerated significantly for the second consecutive year, as an accommodative monetary policy kept interest rates low, supporting consumer lending while low inflation boosted </w:t>
      </w:r>
      <w:r w:rsidRPr="008F1E62">
        <w:rPr>
          <w:rFonts w:asciiTheme="minorHAnsi" w:hAnsiTheme="minorHAnsi"/>
          <w:bCs/>
          <w:szCs w:val="24"/>
        </w:rPr>
        <w:t>households’</w:t>
      </w:r>
      <w:r w:rsidRPr="008F1E62">
        <w:rPr>
          <w:rFonts w:asciiTheme="minorHAnsi" w:hAnsiTheme="minorHAnsi" w:cs="Arial"/>
          <w:color w:val="000000" w:themeColor="text1"/>
        </w:rPr>
        <w:t xml:space="preserve"> purchasing power. </w:t>
      </w:r>
      <w:r w:rsidRPr="008F1E62">
        <w:rPr>
          <w:rFonts w:asciiTheme="minorHAnsi" w:hAnsiTheme="minorHAnsi" w:cs="Calibri"/>
        </w:rPr>
        <w:t>In the last quarter of 2016, the Philippine peso reached 50 pesos per one US dollar, a level not seen since 2009.  Over the entire 2016, the peso depreciated by 5.35 percent. BSP reports that the peso’s full-</w:t>
      </w:r>
      <w:r w:rsidRPr="008F1E62">
        <w:rPr>
          <w:rFonts w:ascii="Calibri" w:hAnsi="Calibri" w:cs="Calibri"/>
        </w:rPr>
        <w:t xml:space="preserve">year depreciation was on </w:t>
      </w:r>
      <w:r w:rsidR="00CA6454">
        <w:rPr>
          <w:rFonts w:ascii="Calibri" w:hAnsi="Calibri" w:cs="Calibri"/>
        </w:rPr>
        <w:t xml:space="preserve">a </w:t>
      </w:r>
      <w:r w:rsidRPr="008F1E62">
        <w:rPr>
          <w:rFonts w:ascii="Calibri" w:hAnsi="Calibri" w:cs="Calibri"/>
        </w:rPr>
        <w:t xml:space="preserve">par with most of its regional peers and was less volatile than most currencies. </w:t>
      </w:r>
      <w:r w:rsidRPr="008F1E62">
        <w:rPr>
          <w:rFonts w:asciiTheme="minorHAnsi" w:hAnsiTheme="minorHAnsi" w:cs="Arial"/>
          <w:color w:val="000000" w:themeColor="text1"/>
        </w:rPr>
        <w:t xml:space="preserve">Meanwhile, a continued increase in remittance inflows bolstered household consumption. However, import growth outpaced export growth due to softer external demand in a weaker-than-expected global economy. The industrial and services sectors expanded, while the agriculture sector contracted due to structural vulnerabilities. Growth has become more inclusive in recent years, and the expansion in 2016 contributed to increased job creation. By the end of the year, the unemployment rate </w:t>
      </w:r>
      <w:r w:rsidRPr="008F1E62">
        <w:rPr>
          <w:rFonts w:asciiTheme="minorHAnsi" w:hAnsiTheme="minorHAnsi" w:cstheme="minorBidi"/>
        </w:rPr>
        <w:t>had fallen to a historic low of 4.7 percent. However, underemployment has remained high at around 20 percent over the last ten years, raising job-quality concerns</w:t>
      </w:r>
      <w:r w:rsidRPr="008F1E62">
        <w:rPr>
          <w:rFonts w:asciiTheme="minorHAnsi" w:hAnsiTheme="minorHAnsi" w:cs="Arial"/>
          <w:color w:val="000000" w:themeColor="text1"/>
        </w:rPr>
        <w:t xml:space="preserve">. The industrial and service sectors drove job creation in 2016, largely offsetting substantial job losses in the agriculture sector. </w:t>
      </w:r>
      <w:r w:rsidRPr="008F1E62">
        <w:rPr>
          <w:rFonts w:asciiTheme="minorHAnsi" w:hAnsiTheme="minorHAnsi" w:cstheme="minorBidi"/>
        </w:rPr>
        <w:t xml:space="preserve">The latest available poverty estimates, which are based on 2015 data, show a significant </w:t>
      </w:r>
      <w:r w:rsidRPr="008F1E62">
        <w:rPr>
          <w:rFonts w:asciiTheme="minorHAnsi" w:hAnsiTheme="minorHAnsi" w:cs="Arial"/>
          <w:color w:val="000000" w:themeColor="text1"/>
        </w:rPr>
        <w:t xml:space="preserve">reduction in poverty levels, with the incidence of </w:t>
      </w:r>
      <w:r w:rsidRPr="008F1E62">
        <w:rPr>
          <w:rFonts w:asciiTheme="minorHAnsi" w:hAnsiTheme="minorHAnsi" w:cstheme="minorBidi"/>
        </w:rPr>
        <w:t>extreme poverty declining from 10.6 percent in 2012 to 6.6 percent in 2015.</w:t>
      </w:r>
    </w:p>
    <w:p w14:paraId="6585A946" w14:textId="5ABC85A2" w:rsidR="00FA75F2" w:rsidRPr="00382ED2" w:rsidRDefault="00FA75F2" w:rsidP="00FA75F2">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Philippines’ growth outlook remains positive. </w:t>
      </w:r>
      <w:r w:rsidRPr="008F1E62">
        <w:rPr>
          <w:rFonts w:asciiTheme="minorHAnsi" w:hAnsiTheme="minorHAnsi"/>
        </w:rPr>
        <w:t xml:space="preserve">The World Bank projects that real GDP will grow at a rate of 6.9 percent in 2017 and 2018. Supported by sound domestic macroeconomic fundamentals and an accelerating recovery among other emerging markets and developing economies, the Philippines is expected to remain one of East Asia’s top growth performers. The government’s commitment to further increasing public infrastructure investment is expected to sustain the </w:t>
      </w:r>
      <w:r w:rsidRPr="008F1E62">
        <w:rPr>
          <w:rFonts w:asciiTheme="minorHAnsi" w:hAnsiTheme="minorHAnsi"/>
          <w:bCs/>
          <w:szCs w:val="24"/>
        </w:rPr>
        <w:t>country’s</w:t>
      </w:r>
      <w:r w:rsidRPr="008F1E62">
        <w:rPr>
          <w:rFonts w:asciiTheme="minorHAnsi" w:hAnsiTheme="minorHAnsi"/>
        </w:rPr>
        <w:t xml:space="preserve"> growth momentum through 2018 and reinforce business and consumer confidence. </w:t>
      </w:r>
      <w:r w:rsidRPr="008F1E62">
        <w:rPr>
          <w:rFonts w:asciiTheme="minorHAnsi" w:hAnsiTheme="minorHAnsi" w:cstheme="minorBidi"/>
        </w:rPr>
        <w:t xml:space="preserve">The implementation of </w:t>
      </w:r>
      <w:r w:rsidRPr="008F1E62">
        <w:rPr>
          <w:rFonts w:asciiTheme="minorHAnsi" w:hAnsiTheme="minorHAnsi"/>
        </w:rPr>
        <w:t>planned infrastructure</w:t>
      </w:r>
      <w:r w:rsidRPr="008F1E62">
        <w:rPr>
          <w:rFonts w:asciiTheme="minorHAnsi" w:hAnsiTheme="minorHAnsi" w:cstheme="minorBidi"/>
        </w:rPr>
        <w:t xml:space="preserve"> projects could generate positive spillover effects for the rest of the economy, spurring additional business activity, accelerating job creation, and ultimately contributing to higher household consumption. </w:t>
      </w:r>
      <w:r w:rsidRPr="008F1E62">
        <w:rPr>
          <w:rFonts w:asciiTheme="minorHAnsi" w:hAnsiTheme="minorHAnsi"/>
        </w:rPr>
        <w:t xml:space="preserve">Strong and inclusive economic growth is projected to further increase household consumption and speed the pace of poverty reduction. </w:t>
      </w:r>
    </w:p>
    <w:tbl>
      <w:tblPr>
        <w:tblStyle w:val="TableGrid"/>
        <w:tblpPr w:leftFromText="180" w:rightFromText="180" w:vertAnchor="text" w:horzAnchor="margin" w:tblpXSpec="right" w:tblpY="72"/>
        <w:tblOverlap w:val="never"/>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5255"/>
      </w:tblGrid>
      <w:tr w:rsidR="00382ED2" w14:paraId="6F7B361A" w14:textId="77777777" w:rsidTr="004A1F83">
        <w:tc>
          <w:tcPr>
            <w:tcW w:w="5255" w:type="dxa"/>
            <w:shd w:val="clear" w:color="auto" w:fill="4472C4"/>
            <w:vAlign w:val="center"/>
          </w:tcPr>
          <w:p w14:paraId="20581DC8" w14:textId="0A17269F" w:rsidR="00382ED2" w:rsidRPr="004A1F83" w:rsidRDefault="00382ED2" w:rsidP="00382ED2">
            <w:pPr>
              <w:pStyle w:val="BodyText4"/>
              <w:spacing w:line="276" w:lineRule="auto"/>
              <w:jc w:val="center"/>
              <w:rPr>
                <w:rFonts w:asciiTheme="minorHAnsi" w:hAnsiTheme="minorHAnsi"/>
                <w:b/>
                <w:color w:val="FFFFFF" w:themeColor="background1"/>
              </w:rPr>
            </w:pPr>
            <w:r w:rsidRPr="004A1F83">
              <w:rPr>
                <w:rFonts w:asciiTheme="minorHAnsi" w:hAnsiTheme="minorHAnsi"/>
                <w:b/>
                <w:color w:val="FFFFFF" w:themeColor="background1"/>
                <w:sz w:val="20"/>
              </w:rPr>
              <w:t xml:space="preserve">Figure </w:t>
            </w:r>
            <w:r w:rsidRPr="004A1F83">
              <w:rPr>
                <w:rFonts w:asciiTheme="minorHAnsi" w:hAnsiTheme="minorHAnsi"/>
                <w:b/>
                <w:color w:val="FFFFFF" w:themeColor="background1"/>
                <w:sz w:val="20"/>
              </w:rPr>
              <w:fldChar w:fldCharType="begin"/>
            </w:r>
            <w:r w:rsidRPr="004A1F83">
              <w:rPr>
                <w:rFonts w:asciiTheme="minorHAnsi" w:hAnsiTheme="minorHAnsi"/>
                <w:b/>
                <w:color w:val="FFFFFF" w:themeColor="background1"/>
                <w:sz w:val="20"/>
              </w:rPr>
              <w:instrText xml:space="preserve"> SEQ Figure \* ARABIC </w:instrText>
            </w:r>
            <w:r w:rsidRPr="004A1F83">
              <w:rPr>
                <w:rFonts w:asciiTheme="minorHAnsi" w:hAnsiTheme="minorHAnsi"/>
                <w:b/>
                <w:color w:val="FFFFFF" w:themeColor="background1"/>
                <w:sz w:val="20"/>
              </w:rPr>
              <w:fldChar w:fldCharType="separate"/>
            </w:r>
            <w:r w:rsidR="004310EC">
              <w:rPr>
                <w:rFonts w:asciiTheme="minorHAnsi" w:hAnsiTheme="minorHAnsi"/>
                <w:b/>
                <w:noProof/>
                <w:color w:val="FFFFFF" w:themeColor="background1"/>
                <w:sz w:val="20"/>
              </w:rPr>
              <w:t>3</w:t>
            </w:r>
            <w:r w:rsidRPr="004A1F83">
              <w:rPr>
                <w:rFonts w:asciiTheme="minorHAnsi" w:hAnsiTheme="minorHAnsi"/>
                <w:b/>
                <w:color w:val="FFFFFF" w:themeColor="background1"/>
                <w:sz w:val="20"/>
              </w:rPr>
              <w:fldChar w:fldCharType="end"/>
            </w:r>
            <w:r w:rsidRPr="004A1F83">
              <w:rPr>
                <w:rFonts w:asciiTheme="minorHAnsi" w:hAnsiTheme="minorHAnsi"/>
                <w:b/>
                <w:color w:val="FFFFFF" w:themeColor="background1"/>
                <w:sz w:val="20"/>
              </w:rPr>
              <w:t>. Global growth rate slowed and fell to a post-crisis low of 2.3 percent</w:t>
            </w:r>
            <w:r w:rsidRPr="004A1F83">
              <w:rPr>
                <w:rStyle w:val="FootnoteReference"/>
                <w:rFonts w:asciiTheme="minorHAnsi" w:hAnsiTheme="minorHAnsi"/>
                <w:b/>
                <w:color w:val="FFFFFF" w:themeColor="background1"/>
                <w:sz w:val="20"/>
              </w:rPr>
              <w:footnoteReference w:id="13"/>
            </w:r>
          </w:p>
        </w:tc>
      </w:tr>
      <w:tr w:rsidR="00382ED2" w14:paraId="3BBCBF39" w14:textId="77777777" w:rsidTr="004A1F83">
        <w:tc>
          <w:tcPr>
            <w:tcW w:w="5255" w:type="dxa"/>
            <w:vAlign w:val="center"/>
          </w:tcPr>
          <w:p w14:paraId="64D78957" w14:textId="77777777" w:rsidR="00382ED2" w:rsidRDefault="00382ED2" w:rsidP="00382ED2">
            <w:pPr>
              <w:pStyle w:val="BodyText4"/>
              <w:spacing w:line="276" w:lineRule="auto"/>
              <w:jc w:val="center"/>
              <w:rPr>
                <w:rFonts w:asciiTheme="minorHAnsi" w:hAnsiTheme="minorHAnsi"/>
                <w:b/>
              </w:rPr>
            </w:pPr>
            <w:r w:rsidRPr="008F1E62">
              <w:rPr>
                <w:rFonts w:cs="Arial"/>
                <w:bCs/>
                <w:noProof/>
                <w:color w:val="000000" w:themeColor="text1"/>
              </w:rPr>
              <w:drawing>
                <wp:inline distT="0" distB="0" distL="0" distR="0" wp14:anchorId="7D0AD377" wp14:editId="235F71F2">
                  <wp:extent cx="3190875" cy="318449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4173" cy="3207746"/>
                          </a:xfrm>
                          <a:prstGeom prst="rect">
                            <a:avLst/>
                          </a:prstGeom>
                          <a:noFill/>
                          <a:ln>
                            <a:noFill/>
                          </a:ln>
                        </pic:spPr>
                      </pic:pic>
                    </a:graphicData>
                  </a:graphic>
                </wp:inline>
              </w:drawing>
            </w:r>
          </w:p>
        </w:tc>
      </w:tr>
      <w:tr w:rsidR="00382ED2" w14:paraId="5FFCB724" w14:textId="77777777" w:rsidTr="004A1F83">
        <w:tc>
          <w:tcPr>
            <w:tcW w:w="5255" w:type="dxa"/>
            <w:shd w:val="clear" w:color="auto" w:fill="4472C4"/>
            <w:vAlign w:val="center"/>
          </w:tcPr>
          <w:p w14:paraId="5300C7C5" w14:textId="77777777" w:rsidR="00382ED2" w:rsidRPr="00FA75F2" w:rsidRDefault="00382ED2" w:rsidP="00382ED2">
            <w:pPr>
              <w:pStyle w:val="BodyText4"/>
              <w:spacing w:line="276" w:lineRule="auto"/>
              <w:jc w:val="center"/>
              <w:rPr>
                <w:rFonts w:asciiTheme="minorHAnsi" w:hAnsiTheme="minorHAnsi"/>
                <w:noProof/>
                <w:sz w:val="10"/>
                <w:szCs w:val="10"/>
              </w:rPr>
            </w:pPr>
          </w:p>
        </w:tc>
      </w:tr>
    </w:tbl>
    <w:p w14:paraId="4303D45F" w14:textId="77777777" w:rsidR="00F76E53" w:rsidRPr="008F1E62" w:rsidRDefault="00F76E53" w:rsidP="00F76E53">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Sustaining the inclusive pattern of recent growth will require an enduring commitment to structural reforms that facilitate private investment.</w:t>
      </w:r>
      <w:r w:rsidRPr="008F1E62">
        <w:rPr>
          <w:rFonts w:asciiTheme="minorHAnsi" w:hAnsiTheme="minorHAnsi"/>
        </w:rPr>
        <w:t xml:space="preserve"> The economy’s failure to complete its structural transformation reflects limited competition in key sectors, restrictions on foreign investment, insecure property rights, regulatory challenges, and other obstacles to doing business, which continue to discourage private investment. Underinvestment in turn contributes to high rates of informality and low job quality, and it weakens the impact of employment growth on poverty reduction. The new </w:t>
      </w:r>
      <w:r w:rsidRPr="008F1E62">
        <w:rPr>
          <w:rFonts w:asciiTheme="minorHAnsi" w:hAnsiTheme="minorHAnsi"/>
          <w:iCs/>
        </w:rPr>
        <w:t>PDP 2017-2022</w:t>
      </w:r>
      <w:r w:rsidRPr="008F1E62">
        <w:rPr>
          <w:rFonts w:asciiTheme="minorHAnsi" w:hAnsiTheme="minorHAnsi"/>
          <w:i/>
          <w:iCs/>
        </w:rPr>
        <w:t xml:space="preserve"> </w:t>
      </w:r>
      <w:r w:rsidRPr="008F1E62">
        <w:rPr>
          <w:rFonts w:asciiTheme="minorHAnsi" w:hAnsiTheme="minorHAnsi"/>
        </w:rPr>
        <w:t xml:space="preserve">and the </w:t>
      </w:r>
      <w:proofErr w:type="spellStart"/>
      <w:r w:rsidRPr="008F1E62">
        <w:rPr>
          <w:rFonts w:asciiTheme="minorHAnsi" w:hAnsiTheme="minorHAnsi"/>
          <w:i/>
          <w:iCs/>
        </w:rPr>
        <w:t>AmBisyon</w:t>
      </w:r>
      <w:proofErr w:type="spellEnd"/>
      <w:r w:rsidRPr="008F1E62">
        <w:rPr>
          <w:rFonts w:asciiTheme="minorHAnsi" w:hAnsiTheme="minorHAnsi"/>
          <w:i/>
          <w:iCs/>
        </w:rPr>
        <w:t xml:space="preserve"> </w:t>
      </w:r>
      <w:proofErr w:type="spellStart"/>
      <w:r w:rsidRPr="008F1E62">
        <w:rPr>
          <w:rFonts w:asciiTheme="minorHAnsi" w:hAnsiTheme="minorHAnsi"/>
          <w:i/>
          <w:iCs/>
        </w:rPr>
        <w:t>Natin</w:t>
      </w:r>
      <w:proofErr w:type="spellEnd"/>
      <w:r w:rsidRPr="008F1E62">
        <w:rPr>
          <w:rFonts w:asciiTheme="minorHAnsi" w:hAnsiTheme="minorHAnsi"/>
          <w:i/>
          <w:iCs/>
        </w:rPr>
        <w:t xml:space="preserve"> </w:t>
      </w:r>
      <w:r w:rsidRPr="008F1E62">
        <w:rPr>
          <w:rFonts w:asciiTheme="minorHAnsi" w:hAnsiTheme="minorHAnsi"/>
          <w:iCs/>
        </w:rPr>
        <w:t>2040</w:t>
      </w:r>
      <w:r w:rsidRPr="008F1E62">
        <w:rPr>
          <w:rStyle w:val="FootnoteReference"/>
          <w:rFonts w:asciiTheme="minorHAnsi" w:hAnsiTheme="minorHAnsi"/>
          <w:iCs/>
        </w:rPr>
        <w:footnoteReference w:id="14"/>
      </w:r>
      <w:r w:rsidRPr="008F1E62">
        <w:rPr>
          <w:rFonts w:asciiTheme="minorHAnsi" w:hAnsiTheme="minorHAnsi"/>
          <w:iCs/>
        </w:rPr>
        <w:t xml:space="preserve"> strive to address these challenges. </w:t>
      </w:r>
      <w:r w:rsidRPr="008F1E62">
        <w:rPr>
          <w:rFonts w:asciiTheme="minorHAnsi" w:hAnsiTheme="minorHAnsi"/>
        </w:rPr>
        <w:t>The PDP articulates the administration’s main policy goals over the next six years and its objective of enabling the Philippines to become an upper-middle-income country by 2022.</w:t>
      </w:r>
    </w:p>
    <w:p w14:paraId="04F72465" w14:textId="4B34A6AC" w:rsidR="00F76E53" w:rsidRPr="008F1E62" w:rsidRDefault="00F76E53" w:rsidP="00F76E53">
      <w:pPr>
        <w:pStyle w:val="BodyText4"/>
        <w:numPr>
          <w:ilvl w:val="0"/>
          <w:numId w:val="2"/>
        </w:numPr>
        <w:spacing w:after="200" w:line="276" w:lineRule="auto"/>
        <w:ind w:left="0" w:hanging="567"/>
        <w:rPr>
          <w:rFonts w:asciiTheme="minorHAnsi" w:hAnsiTheme="minorHAnsi" w:cs="Arial"/>
          <w:color w:val="000000" w:themeColor="text1"/>
        </w:rPr>
      </w:pPr>
      <w:r w:rsidRPr="008F1E62">
        <w:rPr>
          <w:rFonts w:asciiTheme="minorHAnsi" w:hAnsiTheme="minorHAnsi" w:cstheme="minorBidi"/>
          <w:b/>
          <w:bCs/>
        </w:rPr>
        <w:t>The government has proposed an ambitious tax-reform package to help balance planned spending increases.</w:t>
      </w:r>
      <w:r w:rsidRPr="008F1E62">
        <w:rPr>
          <w:rFonts w:asciiTheme="minorHAnsi" w:hAnsiTheme="minorHAnsi" w:cstheme="minorBidi"/>
        </w:rPr>
        <w:t xml:space="preserve"> The government submitted the Tax Reform for Acceleration and Inclusion (TRAIN)</w:t>
      </w:r>
      <w:r w:rsidRPr="008F1E62">
        <w:rPr>
          <w:rStyle w:val="FootnoteReference"/>
          <w:rFonts w:asciiTheme="minorHAnsi" w:hAnsiTheme="minorHAnsi"/>
        </w:rPr>
        <w:footnoteReference w:id="15"/>
      </w:r>
      <w:r w:rsidRPr="008F1E62">
        <w:rPr>
          <w:rFonts w:asciiTheme="minorHAnsi" w:hAnsiTheme="minorHAnsi" w:cstheme="minorBidi"/>
        </w:rPr>
        <w:t xml:space="preserve"> proposal to Congress in January 2017. The package aims to redesign the tax system to be fairer, simpler, and more efficient in raising the resources required to invest in infrastructure and human capital. It would lower the country’s income-tax brackets and adjust tax </w:t>
      </w:r>
      <w:r w:rsidRPr="008F1E62">
        <w:rPr>
          <w:rFonts w:asciiTheme="minorHAnsi" w:hAnsiTheme="minorHAnsi"/>
          <w:bCs/>
          <w:szCs w:val="24"/>
        </w:rPr>
        <w:t>rates</w:t>
      </w:r>
      <w:r w:rsidRPr="008F1E62">
        <w:rPr>
          <w:rFonts w:asciiTheme="minorHAnsi" w:hAnsiTheme="minorHAnsi" w:cstheme="minorBidi"/>
        </w:rPr>
        <w:t xml:space="preserve"> to improve overall equity, and it would reduce rates for both the donor’s tax and the estate tax. To offset the loss in revenue resulting from lower tax rates, the government would expand the value-added tax base by limiting exemptions. In addition, the government would adjust excise taxes on fuel and automobiles to further offset revenue losses. To complement these policy reforms, the government is proposing several tax-administration efficiency measures. The authorities estimate that implementing the first package of tax reforms would yield revenues of </w:t>
      </w:r>
      <w:r w:rsidR="00D649A6">
        <w:rPr>
          <w:rFonts w:asciiTheme="minorHAnsi" w:hAnsiTheme="minorHAnsi" w:cstheme="minorBidi"/>
        </w:rPr>
        <w:t>133</w:t>
      </w:r>
      <w:r w:rsidRPr="008F1E62">
        <w:rPr>
          <w:rFonts w:asciiTheme="minorHAnsi" w:hAnsiTheme="minorHAnsi" w:cstheme="minorBidi"/>
        </w:rPr>
        <w:t>.8 billion</w:t>
      </w:r>
      <w:r w:rsidR="00FE4D01">
        <w:rPr>
          <w:rFonts w:asciiTheme="minorHAnsi" w:hAnsiTheme="minorHAnsi" w:cstheme="minorBidi"/>
        </w:rPr>
        <w:t xml:space="preserve"> pesos</w:t>
      </w:r>
      <w:r w:rsidRPr="008F1E62">
        <w:rPr>
          <w:rFonts w:asciiTheme="minorHAnsi" w:hAnsiTheme="minorHAnsi" w:cstheme="minorBidi"/>
        </w:rPr>
        <w:t xml:space="preserve">, or around </w:t>
      </w:r>
      <w:r w:rsidR="00D649A6">
        <w:rPr>
          <w:rFonts w:asciiTheme="minorHAnsi" w:hAnsiTheme="minorHAnsi" w:cstheme="minorBidi"/>
        </w:rPr>
        <w:t>0.8</w:t>
      </w:r>
      <w:r w:rsidRPr="008F1E62">
        <w:rPr>
          <w:rFonts w:asciiTheme="minorHAnsi" w:hAnsiTheme="minorHAnsi" w:cstheme="minorBidi"/>
        </w:rPr>
        <w:t xml:space="preserve"> percent of GDP, by end-2018. </w:t>
      </w:r>
    </w:p>
    <w:p w14:paraId="183BEF0A" w14:textId="77777777" w:rsidR="00F76E53" w:rsidRPr="00290E25" w:rsidRDefault="00F76E53" w:rsidP="0077686B">
      <w:pPr>
        <w:pStyle w:val="Heading2"/>
        <w:spacing w:after="0"/>
      </w:pPr>
      <w:bookmarkStart w:id="30" w:name="_Toc499825579"/>
      <w:r w:rsidRPr="00290E25">
        <w:t>Corporate and Financial Sector</w:t>
      </w:r>
      <w:bookmarkEnd w:id="30"/>
    </w:p>
    <w:p w14:paraId="4E4E1CE3" w14:textId="77777777" w:rsidR="00F76E53" w:rsidRPr="008F1E62" w:rsidRDefault="00F76E53" w:rsidP="0077686B">
      <w:pPr>
        <w:pStyle w:val="Heading3"/>
      </w:pPr>
      <w:r w:rsidRPr="008F1E62">
        <w:t>Publicly Listed Companies</w:t>
      </w:r>
    </w:p>
    <w:p w14:paraId="25B70A88" w14:textId="51F5E1E2" w:rsidR="00F76E53" w:rsidRPr="008F1E62" w:rsidRDefault="00F76E53" w:rsidP="00F76E53">
      <w:pPr>
        <w:pStyle w:val="BodyText4"/>
        <w:numPr>
          <w:ilvl w:val="0"/>
          <w:numId w:val="2"/>
        </w:numPr>
        <w:spacing w:after="200" w:line="276" w:lineRule="auto"/>
        <w:ind w:left="0" w:hanging="567"/>
        <w:rPr>
          <w:rFonts w:ascii="Calibri" w:hAnsi="Calibri"/>
        </w:rPr>
      </w:pPr>
      <w:r w:rsidRPr="008F1E62">
        <w:rPr>
          <w:rStyle w:val="Strong"/>
          <w:rFonts w:ascii="Calibri" w:hAnsi="Calibri" w:cs="Calibri"/>
          <w:bCs w:val="0"/>
        </w:rPr>
        <w:t>T</w:t>
      </w:r>
      <w:r w:rsidRPr="008F1E62">
        <w:rPr>
          <w:rFonts w:ascii="Calibri" w:hAnsi="Calibri" w:cs="Calibri"/>
          <w:b/>
          <w:bCs/>
        </w:rPr>
        <w:t>he primary stock exchange in the Philippines is the Philippine Stock Exchange</w:t>
      </w:r>
      <w:r w:rsidRPr="008F1E62">
        <w:rPr>
          <w:rStyle w:val="FootnoteReference"/>
          <w:rFonts w:ascii="Calibri" w:hAnsi="Calibri" w:cs="Calibri"/>
          <w:b/>
          <w:bCs/>
        </w:rPr>
        <w:footnoteReference w:id="16"/>
      </w:r>
      <w:r w:rsidRPr="008F1E62">
        <w:rPr>
          <w:rFonts w:ascii="Calibri" w:hAnsi="Calibri" w:cs="Calibri"/>
          <w:b/>
          <w:bCs/>
        </w:rPr>
        <w:t xml:space="preserve"> (PSE).</w:t>
      </w:r>
      <w:r w:rsidRPr="008F1E62">
        <w:rPr>
          <w:rFonts w:ascii="Calibri" w:hAnsi="Calibri" w:cs="Calibri"/>
        </w:rPr>
        <w:t xml:space="preserve"> The PSE is a full member of the World Federation of Exchanges</w:t>
      </w:r>
      <w:r w:rsidRPr="008F1E62">
        <w:rPr>
          <w:rStyle w:val="FootnoteReference"/>
          <w:rFonts w:ascii="Calibri" w:hAnsi="Calibri" w:cs="Calibri"/>
        </w:rPr>
        <w:footnoteReference w:id="17"/>
      </w:r>
      <w:r w:rsidRPr="008F1E62">
        <w:rPr>
          <w:rFonts w:ascii="Calibri" w:hAnsi="Calibri" w:cs="Calibri"/>
        </w:rPr>
        <w:t xml:space="preserve">, </w:t>
      </w:r>
      <w:r w:rsidR="00265C92">
        <w:rPr>
          <w:rFonts w:ascii="Calibri" w:hAnsi="Calibri" w:cs="Calibri"/>
        </w:rPr>
        <w:t xml:space="preserve">the </w:t>
      </w:r>
      <w:r w:rsidRPr="008F1E62">
        <w:rPr>
          <w:rFonts w:ascii="Calibri" w:hAnsi="Calibri" w:cs="Calibri"/>
        </w:rPr>
        <w:t xml:space="preserve">Asian and Oceanian Stock Exchanges Federation, and </w:t>
      </w:r>
      <w:r w:rsidR="00615DCA">
        <w:rPr>
          <w:rFonts w:ascii="Calibri" w:hAnsi="Calibri" w:cs="Calibri"/>
        </w:rPr>
        <w:t xml:space="preserve">was </w:t>
      </w:r>
      <w:r w:rsidRPr="008F1E62">
        <w:rPr>
          <w:rFonts w:ascii="Calibri" w:hAnsi="Calibri" w:cs="Calibri"/>
        </w:rPr>
        <w:t>conferred membership in the Association of National Numbering Agencies</w:t>
      </w:r>
      <w:r w:rsidRPr="008F1E62">
        <w:rPr>
          <w:rStyle w:val="FootnoteReference"/>
          <w:rFonts w:ascii="Calibri" w:hAnsi="Calibri" w:cs="Calibri"/>
        </w:rPr>
        <w:footnoteReference w:id="18"/>
      </w:r>
      <w:r w:rsidRPr="008F1E62">
        <w:rPr>
          <w:rFonts w:ascii="Calibri" w:hAnsi="Calibri" w:cs="Calibri"/>
        </w:rPr>
        <w:t xml:space="preserve">. </w:t>
      </w:r>
      <w:r w:rsidRPr="008F1E62">
        <w:rPr>
          <w:rFonts w:ascii="Calibri" w:hAnsi="Calibri" w:cs="Calibri"/>
          <w:shd w:val="clear" w:color="auto" w:fill="FFFFFF"/>
        </w:rPr>
        <w:t>As of end September 2016, securities traded at the PSE include shares of 265 publicly listed companies, exchange traded funds and warrants and 132 active trading participants.</w:t>
      </w:r>
      <w:r w:rsidRPr="008F1E62">
        <w:rPr>
          <w:rStyle w:val="FootnoteReference"/>
          <w:rFonts w:ascii="Calibri" w:hAnsi="Calibri" w:cs="Calibri"/>
          <w:shd w:val="clear" w:color="auto" w:fill="FFFFFF"/>
        </w:rPr>
        <w:footnoteReference w:id="19"/>
      </w:r>
      <w:r w:rsidRPr="008F1E62">
        <w:rPr>
          <w:rFonts w:ascii="Calibri" w:hAnsi="Calibri" w:cs="Calibri"/>
          <w:shd w:val="clear" w:color="auto" w:fill="FFFFFF"/>
        </w:rPr>
        <w:t xml:space="preserve"> There have been 13 initial public offerings and 15 </w:t>
      </w:r>
      <w:proofErr w:type="gramStart"/>
      <w:r w:rsidRPr="008F1E62">
        <w:rPr>
          <w:rFonts w:ascii="Calibri" w:hAnsi="Calibri" w:cs="Calibri"/>
          <w:shd w:val="clear" w:color="auto" w:fill="FFFFFF"/>
        </w:rPr>
        <w:t>follow</w:t>
      </w:r>
      <w:proofErr w:type="gramEnd"/>
      <w:r w:rsidRPr="008F1E62">
        <w:rPr>
          <w:rFonts w:ascii="Calibri" w:hAnsi="Calibri" w:cs="Calibri"/>
          <w:shd w:val="clear" w:color="auto" w:fill="FFFFFF"/>
        </w:rPr>
        <w:t xml:space="preserve"> on offerings during the last three years.</w:t>
      </w:r>
    </w:p>
    <w:tbl>
      <w:tblPr>
        <w:tblpPr w:leftFromText="180" w:rightFromText="180" w:vertAnchor="text" w:horzAnchor="margin" w:tblpXSpec="right" w:tblpY="109"/>
        <w:tblOverlap w:val="never"/>
        <w:tblW w:w="2022" w:type="pct"/>
        <w:tblCellSpacing w:w="57" w:type="dxa"/>
        <w:tblBorders>
          <w:top w:val="single" w:sz="4" w:space="0" w:color="4472C4"/>
          <w:left w:val="single" w:sz="4" w:space="0" w:color="4472C4"/>
          <w:bottom w:val="single" w:sz="4" w:space="0" w:color="4472C4"/>
          <w:right w:val="single" w:sz="4" w:space="0" w:color="4472C4"/>
        </w:tblBorders>
        <w:tblCellMar>
          <w:top w:w="43" w:type="dxa"/>
          <w:left w:w="115" w:type="dxa"/>
          <w:bottom w:w="43" w:type="dxa"/>
          <w:right w:w="115" w:type="dxa"/>
        </w:tblCellMar>
        <w:tblLook w:val="0480" w:firstRow="0" w:lastRow="0" w:firstColumn="1" w:lastColumn="0" w:noHBand="0" w:noVBand="1"/>
      </w:tblPr>
      <w:tblGrid>
        <w:gridCol w:w="817"/>
        <w:gridCol w:w="2829"/>
      </w:tblGrid>
      <w:tr w:rsidR="008575AE" w:rsidRPr="00D40343" w14:paraId="117980A4" w14:textId="77777777" w:rsidTr="0002662F">
        <w:trPr>
          <w:trHeight w:val="273"/>
          <w:tblCellSpacing w:w="57" w:type="dxa"/>
        </w:trPr>
        <w:tc>
          <w:tcPr>
            <w:tcW w:w="4687" w:type="pct"/>
            <w:gridSpan w:val="2"/>
            <w:shd w:val="clear" w:color="auto" w:fill="auto"/>
            <w:tcMar>
              <w:top w:w="43" w:type="dxa"/>
              <w:left w:w="115" w:type="dxa"/>
              <w:bottom w:w="43" w:type="dxa"/>
              <w:right w:w="115" w:type="dxa"/>
            </w:tcMar>
            <w:vAlign w:val="center"/>
          </w:tcPr>
          <w:p w14:paraId="091F512A" w14:textId="36CF288A" w:rsidR="008575AE" w:rsidRPr="008575AE" w:rsidRDefault="008575AE" w:rsidP="0077686B">
            <w:pPr>
              <w:keepLines/>
              <w:spacing w:after="0"/>
              <w:jc w:val="center"/>
              <w:rPr>
                <w:rFonts w:cs="Calibri"/>
                <w:b/>
                <w:sz w:val="20"/>
                <w:szCs w:val="20"/>
              </w:rPr>
            </w:pPr>
            <w:bookmarkStart w:id="31" w:name="_Hlk484114029"/>
            <w:r w:rsidRPr="008575AE">
              <w:rPr>
                <w:b/>
                <w:sz w:val="20"/>
                <w:szCs w:val="20"/>
              </w:rPr>
              <w:t xml:space="preserve">Table </w:t>
            </w:r>
            <w:r w:rsidRPr="008575AE">
              <w:rPr>
                <w:b/>
                <w:sz w:val="20"/>
                <w:szCs w:val="20"/>
              </w:rPr>
              <w:fldChar w:fldCharType="begin"/>
            </w:r>
            <w:r w:rsidRPr="008575AE">
              <w:rPr>
                <w:b/>
                <w:sz w:val="20"/>
                <w:szCs w:val="20"/>
              </w:rPr>
              <w:instrText xml:space="preserve"> SEQ Table \* ARABIC </w:instrText>
            </w:r>
            <w:r w:rsidRPr="008575AE">
              <w:rPr>
                <w:b/>
                <w:sz w:val="20"/>
                <w:szCs w:val="20"/>
              </w:rPr>
              <w:fldChar w:fldCharType="separate"/>
            </w:r>
            <w:r w:rsidR="004310EC">
              <w:rPr>
                <w:b/>
                <w:noProof/>
                <w:sz w:val="20"/>
                <w:szCs w:val="20"/>
              </w:rPr>
              <w:t>1</w:t>
            </w:r>
            <w:r w:rsidRPr="008575AE">
              <w:rPr>
                <w:b/>
                <w:sz w:val="20"/>
                <w:szCs w:val="20"/>
              </w:rPr>
              <w:fldChar w:fldCharType="end"/>
            </w:r>
            <w:r w:rsidRPr="008575AE">
              <w:rPr>
                <w:b/>
                <w:sz w:val="20"/>
                <w:szCs w:val="20"/>
              </w:rPr>
              <w:t>.</w:t>
            </w:r>
            <w:r w:rsidRPr="008575AE">
              <w:rPr>
                <w:rFonts w:ascii="Calibri" w:hAnsi="Calibri" w:cs="Calibri"/>
                <w:b/>
                <w:color w:val="000000"/>
                <w:sz w:val="20"/>
                <w:szCs w:val="20"/>
              </w:rPr>
              <w:t xml:space="preserve"> Trading Volume of PSE</w:t>
            </w:r>
            <w:r w:rsidRPr="008575AE">
              <w:rPr>
                <w:rStyle w:val="FootnoteReference"/>
                <w:rFonts w:ascii="Calibri" w:hAnsi="Calibri" w:cs="Calibri"/>
                <w:b/>
                <w:color w:val="000000"/>
                <w:sz w:val="20"/>
                <w:szCs w:val="20"/>
              </w:rPr>
              <w:footnoteReference w:id="20"/>
            </w:r>
          </w:p>
        </w:tc>
      </w:tr>
      <w:tr w:rsidR="008575AE" w:rsidRPr="00D40343" w14:paraId="3DD69ED8" w14:textId="77777777" w:rsidTr="00C04BF9">
        <w:trPr>
          <w:trHeight w:val="238"/>
          <w:tblCellSpacing w:w="57" w:type="dxa"/>
        </w:trPr>
        <w:tc>
          <w:tcPr>
            <w:tcW w:w="886" w:type="pct"/>
            <w:shd w:val="clear" w:color="auto" w:fill="4472C4"/>
            <w:tcMar>
              <w:top w:w="43" w:type="dxa"/>
              <w:left w:w="115" w:type="dxa"/>
              <w:bottom w:w="43" w:type="dxa"/>
              <w:right w:w="115" w:type="dxa"/>
            </w:tcMar>
            <w:vAlign w:val="center"/>
          </w:tcPr>
          <w:p w14:paraId="7D48D8E2" w14:textId="77777777" w:rsidR="008575AE" w:rsidRPr="0002662F" w:rsidRDefault="008575AE" w:rsidP="0077686B">
            <w:pPr>
              <w:keepLines/>
              <w:spacing w:after="0"/>
              <w:jc w:val="center"/>
              <w:rPr>
                <w:rFonts w:cs="Calibri"/>
                <w:color w:val="FFFFFF" w:themeColor="background1"/>
                <w:sz w:val="18"/>
                <w:szCs w:val="18"/>
              </w:rPr>
            </w:pPr>
            <w:r w:rsidRPr="0002662F">
              <w:rPr>
                <w:rFonts w:eastAsia="Times New Roman" w:cs="Calibri"/>
                <w:b/>
                <w:color w:val="FFFFFF" w:themeColor="background1"/>
                <w:sz w:val="18"/>
                <w:szCs w:val="18"/>
              </w:rPr>
              <w:t>Year</w:t>
            </w:r>
          </w:p>
        </w:tc>
        <w:tc>
          <w:tcPr>
            <w:tcW w:w="3645" w:type="pct"/>
            <w:shd w:val="clear" w:color="auto" w:fill="4472C4"/>
            <w:tcMar>
              <w:top w:w="43" w:type="dxa"/>
              <w:left w:w="115" w:type="dxa"/>
              <w:bottom w:w="43" w:type="dxa"/>
              <w:right w:w="115" w:type="dxa"/>
            </w:tcMar>
            <w:vAlign w:val="center"/>
          </w:tcPr>
          <w:p w14:paraId="6EB556FA" w14:textId="77777777" w:rsidR="008575AE" w:rsidRPr="0002662F" w:rsidRDefault="008575AE" w:rsidP="0077686B">
            <w:pPr>
              <w:keepLines/>
              <w:spacing w:after="0"/>
              <w:jc w:val="center"/>
              <w:rPr>
                <w:rFonts w:cs="Calibri"/>
                <w:color w:val="FFFFFF" w:themeColor="background1"/>
                <w:sz w:val="18"/>
                <w:szCs w:val="18"/>
              </w:rPr>
            </w:pPr>
            <w:r w:rsidRPr="0002662F">
              <w:rPr>
                <w:rFonts w:cs="Calibri"/>
                <w:b/>
                <w:color w:val="FFFFFF" w:themeColor="background1"/>
                <w:sz w:val="18"/>
                <w:szCs w:val="18"/>
              </w:rPr>
              <w:t>Total Trading Volume (pesos)</w:t>
            </w:r>
          </w:p>
        </w:tc>
      </w:tr>
      <w:tr w:rsidR="008575AE" w:rsidRPr="00D40343" w14:paraId="62C722BD" w14:textId="77777777" w:rsidTr="00C04BF9">
        <w:trPr>
          <w:trHeight w:val="238"/>
          <w:tblCellSpacing w:w="57" w:type="dxa"/>
        </w:trPr>
        <w:tc>
          <w:tcPr>
            <w:tcW w:w="886" w:type="pct"/>
            <w:shd w:val="clear" w:color="auto" w:fill="C6E8D7"/>
            <w:tcMar>
              <w:top w:w="43" w:type="dxa"/>
              <w:left w:w="115" w:type="dxa"/>
              <w:bottom w:w="43" w:type="dxa"/>
              <w:right w:w="115" w:type="dxa"/>
            </w:tcMar>
            <w:vAlign w:val="center"/>
          </w:tcPr>
          <w:p w14:paraId="6D989F34" w14:textId="77777777" w:rsidR="008575AE" w:rsidRPr="00D40343" w:rsidRDefault="008575AE" w:rsidP="0077686B">
            <w:pPr>
              <w:keepLines/>
              <w:spacing w:after="0"/>
              <w:jc w:val="center"/>
              <w:rPr>
                <w:rFonts w:cs="Calibri"/>
                <w:sz w:val="20"/>
              </w:rPr>
            </w:pPr>
            <w:r w:rsidRPr="00D40343">
              <w:rPr>
                <w:rFonts w:cs="Calibri"/>
                <w:sz w:val="20"/>
              </w:rPr>
              <w:t>2013</w:t>
            </w:r>
          </w:p>
        </w:tc>
        <w:tc>
          <w:tcPr>
            <w:tcW w:w="3645" w:type="pct"/>
            <w:shd w:val="clear" w:color="auto" w:fill="C6E8D7"/>
            <w:tcMar>
              <w:top w:w="43" w:type="dxa"/>
              <w:left w:w="115" w:type="dxa"/>
              <w:bottom w:w="43" w:type="dxa"/>
              <w:right w:w="115" w:type="dxa"/>
            </w:tcMar>
            <w:vAlign w:val="center"/>
          </w:tcPr>
          <w:p w14:paraId="13208CD2" w14:textId="77777777" w:rsidR="008575AE" w:rsidRPr="00D40343" w:rsidRDefault="008575AE" w:rsidP="0077686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rPr>
            </w:pPr>
            <w:r w:rsidRPr="00D40343">
              <w:rPr>
                <w:rFonts w:asciiTheme="minorHAnsi" w:hAnsiTheme="minorHAnsi" w:cs="Calibri"/>
                <w:sz w:val="20"/>
              </w:rPr>
              <w:t>388,480,888,390</w:t>
            </w:r>
          </w:p>
        </w:tc>
      </w:tr>
      <w:tr w:rsidR="008575AE" w:rsidRPr="00D40343" w14:paraId="7BFE4B6C" w14:textId="77777777" w:rsidTr="00C04BF9">
        <w:trPr>
          <w:trHeight w:val="284"/>
          <w:tblCellSpacing w:w="57" w:type="dxa"/>
        </w:trPr>
        <w:tc>
          <w:tcPr>
            <w:tcW w:w="886" w:type="pct"/>
            <w:shd w:val="clear" w:color="auto" w:fill="C6E8D7"/>
            <w:tcMar>
              <w:top w:w="43" w:type="dxa"/>
              <w:left w:w="115" w:type="dxa"/>
              <w:bottom w:w="43" w:type="dxa"/>
              <w:right w:w="115" w:type="dxa"/>
            </w:tcMar>
            <w:vAlign w:val="center"/>
          </w:tcPr>
          <w:p w14:paraId="0C8C8D52" w14:textId="77777777" w:rsidR="008575AE" w:rsidRPr="00D40343" w:rsidRDefault="008575AE" w:rsidP="0077686B">
            <w:pPr>
              <w:keepLines/>
              <w:spacing w:after="0"/>
              <w:ind w:left="360" w:hanging="360"/>
              <w:jc w:val="center"/>
              <w:rPr>
                <w:rFonts w:cs="Calibri"/>
                <w:sz w:val="20"/>
              </w:rPr>
            </w:pPr>
            <w:r w:rsidRPr="00D40343">
              <w:rPr>
                <w:rFonts w:cs="Calibri"/>
                <w:sz w:val="20"/>
              </w:rPr>
              <w:t>2014</w:t>
            </w:r>
          </w:p>
        </w:tc>
        <w:tc>
          <w:tcPr>
            <w:tcW w:w="3645" w:type="pct"/>
            <w:shd w:val="clear" w:color="auto" w:fill="C6E8D7"/>
            <w:tcMar>
              <w:top w:w="43" w:type="dxa"/>
              <w:left w:w="115" w:type="dxa"/>
              <w:bottom w:w="43" w:type="dxa"/>
              <w:right w:w="115" w:type="dxa"/>
            </w:tcMar>
            <w:vAlign w:val="center"/>
          </w:tcPr>
          <w:p w14:paraId="07164268" w14:textId="77777777" w:rsidR="008575AE" w:rsidRPr="00D40343" w:rsidRDefault="008575AE" w:rsidP="0077686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rPr>
            </w:pPr>
            <w:r w:rsidRPr="00D40343">
              <w:rPr>
                <w:rFonts w:asciiTheme="minorHAnsi" w:hAnsiTheme="minorHAnsi" w:cs="Calibri"/>
                <w:sz w:val="20"/>
              </w:rPr>
              <w:t>730,151,769,115</w:t>
            </w:r>
          </w:p>
        </w:tc>
      </w:tr>
      <w:tr w:rsidR="008575AE" w:rsidRPr="00D40343" w14:paraId="559721DC" w14:textId="77777777" w:rsidTr="00C04BF9">
        <w:trPr>
          <w:trHeight w:val="339"/>
          <w:tblCellSpacing w:w="57" w:type="dxa"/>
        </w:trPr>
        <w:tc>
          <w:tcPr>
            <w:tcW w:w="886" w:type="pct"/>
            <w:shd w:val="clear" w:color="auto" w:fill="C6E8D7"/>
            <w:tcMar>
              <w:top w:w="43" w:type="dxa"/>
              <w:left w:w="115" w:type="dxa"/>
              <w:bottom w:w="43" w:type="dxa"/>
              <w:right w:w="115" w:type="dxa"/>
            </w:tcMar>
            <w:vAlign w:val="center"/>
          </w:tcPr>
          <w:p w14:paraId="65A05E8D" w14:textId="77777777" w:rsidR="008575AE" w:rsidRPr="00D40343" w:rsidRDefault="008575AE" w:rsidP="0077686B">
            <w:pPr>
              <w:keepLines/>
              <w:spacing w:after="0"/>
              <w:ind w:left="360" w:hanging="360"/>
              <w:jc w:val="center"/>
              <w:rPr>
                <w:rFonts w:cs="Calibri"/>
                <w:sz w:val="20"/>
              </w:rPr>
            </w:pPr>
            <w:r w:rsidRPr="00D40343">
              <w:rPr>
                <w:rFonts w:cs="Calibri"/>
                <w:sz w:val="20"/>
              </w:rPr>
              <w:t>2015</w:t>
            </w:r>
          </w:p>
        </w:tc>
        <w:tc>
          <w:tcPr>
            <w:tcW w:w="3645" w:type="pct"/>
            <w:shd w:val="clear" w:color="auto" w:fill="C6E8D7"/>
            <w:tcMar>
              <w:top w:w="43" w:type="dxa"/>
              <w:left w:w="115" w:type="dxa"/>
              <w:bottom w:w="43" w:type="dxa"/>
              <w:right w:w="115" w:type="dxa"/>
            </w:tcMar>
            <w:vAlign w:val="center"/>
          </w:tcPr>
          <w:p w14:paraId="54582BDA" w14:textId="77777777" w:rsidR="008575AE" w:rsidRPr="00D40343" w:rsidRDefault="008575AE" w:rsidP="0077686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rPr>
            </w:pPr>
            <w:r w:rsidRPr="00D40343">
              <w:rPr>
                <w:rFonts w:asciiTheme="minorHAnsi" w:hAnsiTheme="minorHAnsi" w:cs="Calibri"/>
                <w:sz w:val="20"/>
              </w:rPr>
              <w:t>455,619,147,352</w:t>
            </w:r>
          </w:p>
        </w:tc>
      </w:tr>
    </w:tbl>
    <w:bookmarkEnd w:id="31"/>
    <w:p w14:paraId="7497BD56" w14:textId="77777777" w:rsidR="00F76E53" w:rsidRPr="008F1E62" w:rsidRDefault="00F76E53" w:rsidP="0055597F">
      <w:pPr>
        <w:pStyle w:val="BodyText4"/>
        <w:numPr>
          <w:ilvl w:val="0"/>
          <w:numId w:val="2"/>
        </w:numPr>
        <w:spacing w:after="200" w:line="276" w:lineRule="auto"/>
        <w:ind w:left="0" w:hanging="567"/>
        <w:rPr>
          <w:rFonts w:ascii="Calibri" w:hAnsi="Calibri" w:cs="Calibri"/>
        </w:rPr>
      </w:pPr>
      <w:r w:rsidRPr="00484744">
        <w:rPr>
          <w:rFonts w:ascii="Calibri" w:hAnsi="Calibri" w:cs="Calibri"/>
          <w:b/>
        </w:rPr>
        <w:t>T</w:t>
      </w:r>
      <w:r w:rsidRPr="00764D37">
        <w:rPr>
          <w:rFonts w:asciiTheme="minorHAnsi" w:hAnsiTheme="minorHAnsi" w:cstheme="minorHAnsi"/>
          <w:b/>
        </w:rPr>
        <w:t xml:space="preserve">he </w:t>
      </w:r>
      <w:r w:rsidRPr="00764D37">
        <w:rPr>
          <w:rStyle w:val="Strong"/>
          <w:rFonts w:asciiTheme="minorHAnsi" w:hAnsiTheme="minorHAnsi" w:cstheme="minorHAnsi"/>
        </w:rPr>
        <w:t>total</w:t>
      </w:r>
      <w:r w:rsidRPr="00764D37">
        <w:rPr>
          <w:rFonts w:asciiTheme="minorHAnsi" w:hAnsiTheme="minorHAnsi" w:cstheme="minorHAnsi"/>
          <w:b/>
        </w:rPr>
        <w:t xml:space="preserve"> value </w:t>
      </w:r>
      <w:r w:rsidRPr="00484744">
        <w:rPr>
          <w:rFonts w:ascii="Calibri" w:hAnsi="Calibri" w:cs="Calibri"/>
          <w:b/>
        </w:rPr>
        <w:t>turnover in the stock market for the year 2016 was 1.93 trillion</w:t>
      </w:r>
      <w:r w:rsidR="009914D5" w:rsidRPr="00484744">
        <w:rPr>
          <w:rFonts w:ascii="Calibri" w:hAnsi="Calibri" w:cs="Calibri"/>
          <w:b/>
        </w:rPr>
        <w:t xml:space="preserve"> pesos</w:t>
      </w:r>
      <w:r w:rsidRPr="00484744">
        <w:rPr>
          <w:rFonts w:ascii="Calibri" w:hAnsi="Calibri" w:cs="Calibri"/>
          <w:b/>
        </w:rPr>
        <w:t>, a decrease of 11% from 2015’s 2.15 trillion</w:t>
      </w:r>
      <w:r w:rsidR="009914D5" w:rsidRPr="00484744">
        <w:rPr>
          <w:rFonts w:ascii="Calibri" w:hAnsi="Calibri" w:cs="Calibri"/>
          <w:b/>
        </w:rPr>
        <w:t xml:space="preserve"> pesos</w:t>
      </w:r>
      <w:r w:rsidRPr="00484744">
        <w:rPr>
          <w:rFonts w:ascii="Calibri" w:hAnsi="Calibri" w:cs="Calibri"/>
          <w:b/>
        </w:rPr>
        <w:t>.</w:t>
      </w:r>
      <w:r w:rsidRPr="008F1E62">
        <w:rPr>
          <w:rFonts w:ascii="Calibri" w:hAnsi="Calibri" w:cs="Calibri"/>
        </w:rPr>
        <w:t xml:space="preserve"> The average daily stock market value turnover in 2016 likewise dropped by 13% to 7.11 billion </w:t>
      </w:r>
      <w:r w:rsidR="00E91977" w:rsidRPr="00E91977">
        <w:rPr>
          <w:rFonts w:ascii="Calibri" w:hAnsi="Calibri" w:cs="Calibri"/>
        </w:rPr>
        <w:t xml:space="preserve">pesos </w:t>
      </w:r>
      <w:r w:rsidRPr="008F1E62">
        <w:rPr>
          <w:rFonts w:ascii="Calibri" w:hAnsi="Calibri" w:cs="Calibri"/>
        </w:rPr>
        <w:t>from last year’s average daily value turnover valued of 8.96 billion</w:t>
      </w:r>
      <w:r w:rsidR="00E91977" w:rsidRPr="00E91977">
        <w:t xml:space="preserve"> </w:t>
      </w:r>
      <w:r w:rsidR="00E91977" w:rsidRPr="00E91977">
        <w:rPr>
          <w:rFonts w:ascii="Calibri" w:hAnsi="Calibri" w:cs="Calibri"/>
        </w:rPr>
        <w:t>pesos</w:t>
      </w:r>
      <w:r w:rsidRPr="008F1E62">
        <w:rPr>
          <w:rFonts w:ascii="Calibri" w:hAnsi="Calibri" w:cs="Calibri"/>
        </w:rPr>
        <w:t>. Foreign transactions in 2016 were also down, with a net foreign investment of 2.16 billion</w:t>
      </w:r>
      <w:r w:rsidR="00972F71" w:rsidRPr="00972F71">
        <w:t xml:space="preserve"> </w:t>
      </w:r>
      <w:r w:rsidR="00972F71" w:rsidRPr="00972F71">
        <w:rPr>
          <w:rFonts w:ascii="Calibri" w:hAnsi="Calibri" w:cs="Calibri"/>
        </w:rPr>
        <w:t>pesos</w:t>
      </w:r>
      <w:r w:rsidRPr="008F1E62">
        <w:rPr>
          <w:rFonts w:ascii="Calibri" w:hAnsi="Calibri" w:cs="Calibri"/>
        </w:rPr>
        <w:t xml:space="preserve">. The closing market index of PSE for the year 2016 fared </w:t>
      </w:r>
      <w:proofErr w:type="gramStart"/>
      <w:r w:rsidRPr="008F1E62">
        <w:rPr>
          <w:rFonts w:ascii="Calibri" w:hAnsi="Calibri" w:cs="Calibri"/>
        </w:rPr>
        <w:t>similar to</w:t>
      </w:r>
      <w:proofErr w:type="gramEnd"/>
      <w:r w:rsidRPr="008F1E62">
        <w:rPr>
          <w:rFonts w:ascii="Calibri" w:hAnsi="Calibri" w:cs="Calibri"/>
        </w:rPr>
        <w:t xml:space="preserve"> its neighbors in Asia except for Indonesia, Taiwan</w:t>
      </w:r>
      <w:r w:rsidR="00C02CF6">
        <w:rPr>
          <w:rFonts w:ascii="Calibri" w:hAnsi="Calibri" w:cs="Calibri"/>
        </w:rPr>
        <w:t>,</w:t>
      </w:r>
      <w:r w:rsidRPr="008F1E62">
        <w:rPr>
          <w:rFonts w:ascii="Calibri" w:hAnsi="Calibri" w:cs="Calibri"/>
        </w:rPr>
        <w:t xml:space="preserve"> and Thailand, which have double-digit returns. Despite this declining performance, the PSE was recognized by the institutional investment magazine Alpha Southeast Asia for the third time (2016, 2015</w:t>
      </w:r>
      <w:r w:rsidR="00C02CF6">
        <w:rPr>
          <w:rFonts w:ascii="Calibri" w:hAnsi="Calibri" w:cs="Calibri"/>
        </w:rPr>
        <w:t>,</w:t>
      </w:r>
      <w:r w:rsidRPr="008F1E62">
        <w:rPr>
          <w:rFonts w:ascii="Calibri" w:hAnsi="Calibri" w:cs="Calibri"/>
        </w:rPr>
        <w:t xml:space="preserve"> and 2013) as the Best Stock Exchange of the year in Southeast Asia. </w:t>
      </w:r>
    </w:p>
    <w:tbl>
      <w:tblPr>
        <w:tblpPr w:leftFromText="180" w:rightFromText="180" w:vertAnchor="text" w:horzAnchor="margin" w:tblpXSpec="right" w:tblpY="80"/>
        <w:tblOverlap w:val="never"/>
        <w:tblW w:w="2022" w:type="pct"/>
        <w:jc w:val="right"/>
        <w:tblCellSpacing w:w="57" w:type="dxa"/>
        <w:tblBorders>
          <w:top w:val="single" w:sz="4" w:space="0" w:color="4472C4"/>
          <w:left w:val="single" w:sz="4" w:space="0" w:color="4472C4"/>
          <w:bottom w:val="single" w:sz="4" w:space="0" w:color="4472C4"/>
          <w:right w:val="single" w:sz="4" w:space="0" w:color="4472C4"/>
        </w:tblBorders>
        <w:tblCellMar>
          <w:top w:w="43" w:type="dxa"/>
          <w:left w:w="115" w:type="dxa"/>
          <w:bottom w:w="43" w:type="dxa"/>
          <w:right w:w="115" w:type="dxa"/>
        </w:tblCellMar>
        <w:tblLook w:val="0480" w:firstRow="0" w:lastRow="0" w:firstColumn="1" w:lastColumn="0" w:noHBand="0" w:noVBand="1"/>
      </w:tblPr>
      <w:tblGrid>
        <w:gridCol w:w="817"/>
        <w:gridCol w:w="2829"/>
      </w:tblGrid>
      <w:tr w:rsidR="00006665" w:rsidRPr="00D40343" w14:paraId="500B4044" w14:textId="77777777" w:rsidTr="0002662F">
        <w:trPr>
          <w:trHeight w:val="276"/>
          <w:tblCellSpacing w:w="57" w:type="dxa"/>
          <w:jc w:val="right"/>
        </w:trPr>
        <w:tc>
          <w:tcPr>
            <w:tcW w:w="4687" w:type="pct"/>
            <w:gridSpan w:val="2"/>
            <w:shd w:val="clear" w:color="auto" w:fill="auto"/>
            <w:tcMar>
              <w:top w:w="43" w:type="dxa"/>
              <w:left w:w="115" w:type="dxa"/>
              <w:bottom w:w="43" w:type="dxa"/>
              <w:right w:w="115" w:type="dxa"/>
            </w:tcMar>
            <w:vAlign w:val="center"/>
          </w:tcPr>
          <w:p w14:paraId="5CA20E4B" w14:textId="1B9231CD" w:rsidR="00006665" w:rsidRPr="008575AE" w:rsidRDefault="00006665" w:rsidP="0077686B">
            <w:pPr>
              <w:keepLines/>
              <w:spacing w:after="0"/>
              <w:jc w:val="center"/>
              <w:rPr>
                <w:rFonts w:cs="Calibri"/>
                <w:b/>
                <w:color w:val="FFFFFF" w:themeColor="background1"/>
                <w:sz w:val="20"/>
              </w:rPr>
            </w:pPr>
            <w:r w:rsidRPr="008575AE">
              <w:rPr>
                <w:b/>
                <w:sz w:val="20"/>
                <w:szCs w:val="24"/>
              </w:rPr>
              <w:t xml:space="preserve">Table </w:t>
            </w:r>
            <w:r w:rsidRPr="008575AE">
              <w:rPr>
                <w:b/>
                <w:sz w:val="20"/>
                <w:szCs w:val="24"/>
              </w:rPr>
              <w:fldChar w:fldCharType="begin"/>
            </w:r>
            <w:r w:rsidRPr="008575AE">
              <w:rPr>
                <w:b/>
                <w:sz w:val="20"/>
                <w:szCs w:val="24"/>
              </w:rPr>
              <w:instrText xml:space="preserve"> SEQ Table \* ARABIC </w:instrText>
            </w:r>
            <w:r w:rsidRPr="008575AE">
              <w:rPr>
                <w:b/>
                <w:sz w:val="20"/>
                <w:szCs w:val="24"/>
              </w:rPr>
              <w:fldChar w:fldCharType="separate"/>
            </w:r>
            <w:r w:rsidR="004310EC">
              <w:rPr>
                <w:b/>
                <w:noProof/>
                <w:sz w:val="20"/>
                <w:szCs w:val="24"/>
              </w:rPr>
              <w:t>2</w:t>
            </w:r>
            <w:r w:rsidRPr="008575AE">
              <w:rPr>
                <w:b/>
                <w:sz w:val="20"/>
                <w:szCs w:val="24"/>
              </w:rPr>
              <w:fldChar w:fldCharType="end"/>
            </w:r>
            <w:r w:rsidRPr="008575AE">
              <w:rPr>
                <w:rFonts w:ascii="Calibri" w:hAnsi="Calibri" w:cs="Calibri"/>
                <w:b/>
                <w:color w:val="000000"/>
                <w:sz w:val="20"/>
                <w:szCs w:val="24"/>
              </w:rPr>
              <w:t>.</w:t>
            </w:r>
            <w:r w:rsidRPr="008575AE">
              <w:rPr>
                <w:b/>
                <w:sz w:val="18"/>
              </w:rPr>
              <w:t xml:space="preserve"> </w:t>
            </w:r>
            <w:r w:rsidRPr="008575AE">
              <w:rPr>
                <w:rFonts w:ascii="Calibri" w:hAnsi="Calibri" w:cs="Calibri"/>
                <w:b/>
                <w:color w:val="000000"/>
                <w:sz w:val="20"/>
                <w:szCs w:val="24"/>
              </w:rPr>
              <w:t xml:space="preserve">Trading Volume of </w:t>
            </w:r>
            <w:proofErr w:type="spellStart"/>
            <w:r w:rsidRPr="008575AE">
              <w:rPr>
                <w:rFonts w:ascii="Calibri" w:hAnsi="Calibri" w:cs="Calibri"/>
                <w:b/>
                <w:color w:val="000000"/>
                <w:sz w:val="20"/>
                <w:szCs w:val="24"/>
              </w:rPr>
              <w:t>PDex</w:t>
            </w:r>
            <w:proofErr w:type="spellEnd"/>
            <w:r w:rsidRPr="008575AE">
              <w:rPr>
                <w:rStyle w:val="FootnoteReference"/>
                <w:rFonts w:ascii="Calibri" w:hAnsi="Calibri" w:cs="Calibri"/>
                <w:b/>
                <w:color w:val="000000"/>
                <w:sz w:val="20"/>
                <w:szCs w:val="24"/>
              </w:rPr>
              <w:footnoteReference w:id="21"/>
            </w:r>
          </w:p>
        </w:tc>
      </w:tr>
      <w:tr w:rsidR="00C04BF9" w:rsidRPr="00D40343" w14:paraId="1F1080F1" w14:textId="77777777" w:rsidTr="00C04BF9">
        <w:trPr>
          <w:trHeight w:val="239"/>
          <w:tblCellSpacing w:w="57" w:type="dxa"/>
          <w:jc w:val="right"/>
        </w:trPr>
        <w:tc>
          <w:tcPr>
            <w:tcW w:w="886" w:type="pct"/>
            <w:shd w:val="clear" w:color="auto" w:fill="4472C4"/>
            <w:tcMar>
              <w:top w:w="43" w:type="dxa"/>
              <w:left w:w="115" w:type="dxa"/>
              <w:bottom w:w="43" w:type="dxa"/>
              <w:right w:w="115" w:type="dxa"/>
            </w:tcMar>
            <w:vAlign w:val="center"/>
          </w:tcPr>
          <w:p w14:paraId="5AAD558E" w14:textId="77777777" w:rsidR="00006665" w:rsidRPr="0002662F" w:rsidRDefault="00006665" w:rsidP="0077686B">
            <w:pPr>
              <w:keepLines/>
              <w:spacing w:after="0"/>
              <w:jc w:val="center"/>
              <w:rPr>
                <w:rFonts w:cs="Calibri"/>
                <w:color w:val="FFFFFF" w:themeColor="background1"/>
                <w:sz w:val="18"/>
                <w:szCs w:val="18"/>
              </w:rPr>
            </w:pPr>
            <w:r w:rsidRPr="0002662F">
              <w:rPr>
                <w:rFonts w:eastAsia="Times New Roman" w:cs="Calibri"/>
                <w:b/>
                <w:color w:val="FFFFFF" w:themeColor="background1"/>
                <w:sz w:val="18"/>
                <w:szCs w:val="18"/>
              </w:rPr>
              <w:t>Year</w:t>
            </w:r>
          </w:p>
        </w:tc>
        <w:tc>
          <w:tcPr>
            <w:tcW w:w="3645" w:type="pct"/>
            <w:shd w:val="clear" w:color="auto" w:fill="4472C4"/>
            <w:tcMar>
              <w:top w:w="43" w:type="dxa"/>
              <w:left w:w="115" w:type="dxa"/>
              <w:bottom w:w="43" w:type="dxa"/>
              <w:right w:w="115" w:type="dxa"/>
            </w:tcMar>
            <w:vAlign w:val="center"/>
          </w:tcPr>
          <w:p w14:paraId="46B81528" w14:textId="77777777" w:rsidR="00006665" w:rsidRPr="0002662F" w:rsidRDefault="00006665" w:rsidP="0077686B">
            <w:pPr>
              <w:keepLines/>
              <w:spacing w:after="0"/>
              <w:jc w:val="center"/>
              <w:rPr>
                <w:rFonts w:cs="Calibri"/>
                <w:color w:val="FFFFFF" w:themeColor="background1"/>
                <w:sz w:val="18"/>
                <w:szCs w:val="18"/>
              </w:rPr>
            </w:pPr>
            <w:r w:rsidRPr="0002662F">
              <w:rPr>
                <w:rFonts w:cs="Calibri"/>
                <w:b/>
                <w:color w:val="FFFFFF" w:themeColor="background1"/>
                <w:sz w:val="18"/>
                <w:szCs w:val="18"/>
              </w:rPr>
              <w:t>Total Trading Volume (pesos)</w:t>
            </w:r>
          </w:p>
        </w:tc>
      </w:tr>
      <w:tr w:rsidR="00006665" w:rsidRPr="00D40343" w14:paraId="1ABA76F0" w14:textId="77777777" w:rsidTr="00C04BF9">
        <w:trPr>
          <w:trHeight w:val="14"/>
          <w:tblCellSpacing w:w="57" w:type="dxa"/>
          <w:jc w:val="right"/>
        </w:trPr>
        <w:tc>
          <w:tcPr>
            <w:tcW w:w="886" w:type="pct"/>
            <w:shd w:val="clear" w:color="auto" w:fill="C6E8D7"/>
            <w:tcMar>
              <w:top w:w="43" w:type="dxa"/>
              <w:left w:w="115" w:type="dxa"/>
              <w:bottom w:w="43" w:type="dxa"/>
              <w:right w:w="115" w:type="dxa"/>
            </w:tcMar>
            <w:vAlign w:val="center"/>
          </w:tcPr>
          <w:p w14:paraId="572F561F" w14:textId="77777777" w:rsidR="00006665" w:rsidRPr="00D40343" w:rsidRDefault="00006665" w:rsidP="0077686B">
            <w:pPr>
              <w:keepLines/>
              <w:spacing w:after="0"/>
              <w:jc w:val="center"/>
              <w:rPr>
                <w:rFonts w:cs="Calibri"/>
                <w:sz w:val="20"/>
              </w:rPr>
            </w:pPr>
            <w:r w:rsidRPr="00D40343">
              <w:rPr>
                <w:rFonts w:cs="Calibri"/>
                <w:sz w:val="20"/>
              </w:rPr>
              <w:t>2013</w:t>
            </w:r>
          </w:p>
        </w:tc>
        <w:tc>
          <w:tcPr>
            <w:tcW w:w="3645" w:type="pct"/>
            <w:shd w:val="clear" w:color="auto" w:fill="C6E8D7"/>
            <w:tcMar>
              <w:top w:w="43" w:type="dxa"/>
              <w:left w:w="115" w:type="dxa"/>
              <w:bottom w:w="43" w:type="dxa"/>
              <w:right w:w="115" w:type="dxa"/>
            </w:tcMar>
            <w:vAlign w:val="center"/>
          </w:tcPr>
          <w:p w14:paraId="4E07C26C" w14:textId="77777777" w:rsidR="00006665" w:rsidRPr="00D40343" w:rsidRDefault="00006665" w:rsidP="0077686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rPr>
            </w:pPr>
            <w:r w:rsidRPr="00D40343">
              <w:rPr>
                <w:rFonts w:asciiTheme="minorHAnsi" w:hAnsiTheme="minorHAnsi" w:cs="Calibri"/>
                <w:sz w:val="20"/>
              </w:rPr>
              <w:t>5,732,001,810,000</w:t>
            </w:r>
          </w:p>
        </w:tc>
      </w:tr>
      <w:tr w:rsidR="00006665" w:rsidRPr="00D40343" w14:paraId="6896E232" w14:textId="77777777" w:rsidTr="00C04BF9">
        <w:trPr>
          <w:trHeight w:val="14"/>
          <w:tblCellSpacing w:w="57" w:type="dxa"/>
          <w:jc w:val="right"/>
        </w:trPr>
        <w:tc>
          <w:tcPr>
            <w:tcW w:w="886" w:type="pct"/>
            <w:shd w:val="clear" w:color="auto" w:fill="C6E8D7"/>
            <w:tcMar>
              <w:top w:w="43" w:type="dxa"/>
              <w:left w:w="115" w:type="dxa"/>
              <w:bottom w:w="43" w:type="dxa"/>
              <w:right w:w="115" w:type="dxa"/>
            </w:tcMar>
            <w:vAlign w:val="center"/>
          </w:tcPr>
          <w:p w14:paraId="7E719686" w14:textId="77777777" w:rsidR="00006665" w:rsidRPr="00D40343" w:rsidRDefault="00006665" w:rsidP="0077686B">
            <w:pPr>
              <w:keepLines/>
              <w:spacing w:after="0"/>
              <w:ind w:left="360" w:hanging="360"/>
              <w:jc w:val="center"/>
              <w:rPr>
                <w:rFonts w:cs="Calibri"/>
                <w:sz w:val="20"/>
              </w:rPr>
            </w:pPr>
            <w:r w:rsidRPr="00D40343">
              <w:rPr>
                <w:rFonts w:cs="Calibri"/>
                <w:sz w:val="20"/>
              </w:rPr>
              <w:t>2014</w:t>
            </w:r>
          </w:p>
        </w:tc>
        <w:tc>
          <w:tcPr>
            <w:tcW w:w="3645" w:type="pct"/>
            <w:shd w:val="clear" w:color="auto" w:fill="C6E8D7"/>
            <w:tcMar>
              <w:top w:w="43" w:type="dxa"/>
              <w:left w:w="115" w:type="dxa"/>
              <w:bottom w:w="43" w:type="dxa"/>
              <w:right w:w="115" w:type="dxa"/>
            </w:tcMar>
            <w:vAlign w:val="center"/>
          </w:tcPr>
          <w:p w14:paraId="66A87B81" w14:textId="77777777" w:rsidR="00006665" w:rsidRPr="00D40343" w:rsidRDefault="00006665" w:rsidP="0077686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rPr>
            </w:pPr>
            <w:r w:rsidRPr="00D40343">
              <w:rPr>
                <w:rFonts w:asciiTheme="minorHAnsi" w:hAnsiTheme="minorHAnsi" w:cs="Calibri"/>
                <w:sz w:val="20"/>
              </w:rPr>
              <w:t>4,449,315,000,000</w:t>
            </w:r>
          </w:p>
        </w:tc>
      </w:tr>
      <w:tr w:rsidR="00006665" w:rsidRPr="00D40343" w14:paraId="2F92FC5C" w14:textId="77777777" w:rsidTr="00C04BF9">
        <w:trPr>
          <w:trHeight w:val="341"/>
          <w:tblCellSpacing w:w="57" w:type="dxa"/>
          <w:jc w:val="right"/>
        </w:trPr>
        <w:tc>
          <w:tcPr>
            <w:tcW w:w="886" w:type="pct"/>
            <w:shd w:val="clear" w:color="auto" w:fill="C6E8D7"/>
            <w:tcMar>
              <w:top w:w="43" w:type="dxa"/>
              <w:left w:w="115" w:type="dxa"/>
              <w:bottom w:w="43" w:type="dxa"/>
              <w:right w:w="115" w:type="dxa"/>
            </w:tcMar>
            <w:vAlign w:val="center"/>
          </w:tcPr>
          <w:p w14:paraId="7F708C4D" w14:textId="77777777" w:rsidR="00006665" w:rsidRPr="00D40343" w:rsidRDefault="00006665" w:rsidP="0077686B">
            <w:pPr>
              <w:keepLines/>
              <w:spacing w:after="0"/>
              <w:ind w:left="360" w:hanging="360"/>
              <w:jc w:val="center"/>
              <w:rPr>
                <w:rFonts w:cs="Calibri"/>
                <w:sz w:val="20"/>
              </w:rPr>
            </w:pPr>
            <w:r w:rsidRPr="00D40343">
              <w:rPr>
                <w:rFonts w:cs="Calibri"/>
                <w:sz w:val="20"/>
              </w:rPr>
              <w:t>2015</w:t>
            </w:r>
          </w:p>
        </w:tc>
        <w:tc>
          <w:tcPr>
            <w:tcW w:w="3645" w:type="pct"/>
            <w:shd w:val="clear" w:color="auto" w:fill="C6E8D7"/>
            <w:tcMar>
              <w:top w:w="43" w:type="dxa"/>
              <w:left w:w="115" w:type="dxa"/>
              <w:bottom w:w="43" w:type="dxa"/>
              <w:right w:w="115" w:type="dxa"/>
            </w:tcMar>
            <w:vAlign w:val="center"/>
          </w:tcPr>
          <w:p w14:paraId="1BC354A5" w14:textId="77777777" w:rsidR="00006665" w:rsidRPr="00D40343" w:rsidRDefault="00006665" w:rsidP="0077686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rPr>
            </w:pPr>
            <w:r w:rsidRPr="00D40343">
              <w:rPr>
                <w:rFonts w:asciiTheme="minorHAnsi" w:hAnsiTheme="minorHAnsi" w:cs="Calibri"/>
                <w:sz w:val="20"/>
              </w:rPr>
              <w:t>3,423,371,890,000</w:t>
            </w:r>
          </w:p>
        </w:tc>
      </w:tr>
    </w:tbl>
    <w:p w14:paraId="1682CD31" w14:textId="376669C7" w:rsidR="00F76E53" w:rsidRPr="008575AE" w:rsidRDefault="00F76E53" w:rsidP="00F76E53">
      <w:pPr>
        <w:pStyle w:val="BodyText4"/>
        <w:numPr>
          <w:ilvl w:val="0"/>
          <w:numId w:val="2"/>
        </w:numPr>
        <w:spacing w:after="200" w:line="276" w:lineRule="auto"/>
        <w:ind w:left="0" w:hanging="567"/>
        <w:rPr>
          <w:rFonts w:ascii="Calibri" w:hAnsi="Calibri" w:cs="Calibri"/>
        </w:rPr>
      </w:pPr>
      <w:r w:rsidRPr="008F1E62">
        <w:rPr>
          <w:rFonts w:ascii="Calibri" w:hAnsi="Calibri" w:cs="Calibri"/>
          <w:b/>
        </w:rPr>
        <w:t>The Philippines also has the Philippine Dealing and Exchange Corporation (</w:t>
      </w:r>
      <w:proofErr w:type="spellStart"/>
      <w:r w:rsidRPr="008F1E62">
        <w:rPr>
          <w:rFonts w:ascii="Calibri" w:hAnsi="Calibri" w:cs="Calibri"/>
          <w:b/>
        </w:rPr>
        <w:t>PDEx</w:t>
      </w:r>
      <w:proofErr w:type="spellEnd"/>
      <w:r w:rsidRPr="008F1E62">
        <w:rPr>
          <w:rFonts w:ascii="Calibri" w:hAnsi="Calibri" w:cs="Calibri"/>
          <w:b/>
        </w:rPr>
        <w:t>) which provides the trading infrastructure for the fixed-income and foreign exchange (FX) markets.</w:t>
      </w:r>
      <w:r w:rsidRPr="008F1E62">
        <w:rPr>
          <w:rFonts w:ascii="Calibri" w:hAnsi="Calibri" w:cs="Calibri"/>
        </w:rPr>
        <w:t xml:space="preserve"> The </w:t>
      </w:r>
      <w:proofErr w:type="spellStart"/>
      <w:r w:rsidRPr="008F1E62">
        <w:rPr>
          <w:rFonts w:ascii="Calibri" w:hAnsi="Calibri" w:cs="Calibri"/>
        </w:rPr>
        <w:t>PDEx</w:t>
      </w:r>
      <w:proofErr w:type="spellEnd"/>
      <w:r w:rsidRPr="008F1E62">
        <w:rPr>
          <w:rFonts w:ascii="Calibri" w:hAnsi="Calibri" w:cs="Calibri"/>
        </w:rPr>
        <w:t xml:space="preserve"> operates the organized secondary market for the trading of fixed income securities </w:t>
      </w:r>
      <w:r w:rsidRPr="008F1E62">
        <w:rPr>
          <w:rFonts w:asciiTheme="minorHAnsi" w:hAnsiTheme="minorHAnsi"/>
          <w:bCs/>
          <w:szCs w:val="24"/>
        </w:rPr>
        <w:t>which</w:t>
      </w:r>
      <w:r w:rsidRPr="008F1E62">
        <w:rPr>
          <w:rFonts w:ascii="Calibri" w:hAnsi="Calibri" w:cs="Calibri"/>
        </w:rPr>
        <w:t xml:space="preserve"> includes both Government and Corporate Securities.</w:t>
      </w:r>
      <w:r w:rsidRPr="008F1E62">
        <w:rPr>
          <w:rStyle w:val="Strong"/>
          <w:rFonts w:ascii="Calibri" w:hAnsi="Calibri" w:cs="Calibri"/>
        </w:rPr>
        <w:t xml:space="preserve"> </w:t>
      </w:r>
      <w:proofErr w:type="spellStart"/>
      <w:r w:rsidRPr="008F1E62">
        <w:rPr>
          <w:rFonts w:ascii="Calibri" w:hAnsi="Calibri" w:cs="Calibri"/>
          <w:shd w:val="clear" w:color="auto" w:fill="FFFFFF"/>
        </w:rPr>
        <w:t>PDEx</w:t>
      </w:r>
      <w:proofErr w:type="spellEnd"/>
      <w:r w:rsidRPr="008F1E62">
        <w:rPr>
          <w:rFonts w:ascii="Calibri" w:hAnsi="Calibri" w:cs="Calibri"/>
          <w:shd w:val="clear" w:color="auto" w:fill="FFFFFF"/>
        </w:rPr>
        <w:t xml:space="preserve"> also provides the Spot U</w:t>
      </w:r>
      <w:r w:rsidR="00746802">
        <w:rPr>
          <w:rFonts w:ascii="Calibri" w:hAnsi="Calibri" w:cs="Calibri"/>
          <w:shd w:val="clear" w:color="auto" w:fill="FFFFFF"/>
        </w:rPr>
        <w:t>.</w:t>
      </w:r>
      <w:r w:rsidRPr="008F1E62">
        <w:rPr>
          <w:rFonts w:ascii="Calibri" w:hAnsi="Calibri" w:cs="Calibri"/>
          <w:shd w:val="clear" w:color="auto" w:fill="FFFFFF"/>
        </w:rPr>
        <w:t>S</w:t>
      </w:r>
      <w:r w:rsidR="00746802">
        <w:rPr>
          <w:rFonts w:ascii="Calibri" w:hAnsi="Calibri" w:cs="Calibri"/>
          <w:shd w:val="clear" w:color="auto" w:fill="FFFFFF"/>
        </w:rPr>
        <w:t>. dollar</w:t>
      </w:r>
      <w:r w:rsidRPr="008F1E62">
        <w:rPr>
          <w:rFonts w:ascii="Calibri" w:hAnsi="Calibri" w:cs="Calibri"/>
          <w:shd w:val="clear" w:color="auto" w:fill="FFFFFF"/>
        </w:rPr>
        <w:t>/P</w:t>
      </w:r>
      <w:r w:rsidR="00746802">
        <w:rPr>
          <w:rFonts w:ascii="Calibri" w:hAnsi="Calibri" w:cs="Calibri"/>
          <w:shd w:val="clear" w:color="auto" w:fill="FFFFFF"/>
        </w:rPr>
        <w:t>hilip</w:t>
      </w:r>
      <w:r w:rsidR="0091759A">
        <w:rPr>
          <w:rFonts w:ascii="Calibri" w:hAnsi="Calibri" w:cs="Calibri"/>
          <w:shd w:val="clear" w:color="auto" w:fill="FFFFFF"/>
        </w:rPr>
        <w:t>p</w:t>
      </w:r>
      <w:r w:rsidR="00746802">
        <w:rPr>
          <w:rFonts w:ascii="Calibri" w:hAnsi="Calibri" w:cs="Calibri"/>
          <w:shd w:val="clear" w:color="auto" w:fill="FFFFFF"/>
        </w:rPr>
        <w:t xml:space="preserve">ine </w:t>
      </w:r>
      <w:r w:rsidR="0091759A">
        <w:rPr>
          <w:rFonts w:ascii="Calibri" w:hAnsi="Calibri" w:cs="Calibri"/>
          <w:shd w:val="clear" w:color="auto" w:fill="FFFFFF"/>
        </w:rPr>
        <w:t>peso</w:t>
      </w:r>
      <w:r w:rsidRPr="008F1E62">
        <w:rPr>
          <w:rFonts w:ascii="Calibri" w:hAnsi="Calibri" w:cs="Calibri"/>
          <w:shd w:val="clear" w:color="auto" w:fill="FFFFFF"/>
        </w:rPr>
        <w:t xml:space="preserve"> platform, an FX trading system, for the Bankers Association of the Philippines. The activity captured from this platform establishes a daily key reference rate, the FX Settlement Rate or the</w:t>
      </w:r>
      <w:r w:rsidRPr="008F1E62">
        <w:rPr>
          <w:rStyle w:val="apple-converted-space"/>
          <w:rFonts w:ascii="Calibri" w:hAnsi="Calibri" w:cs="Calibri"/>
          <w:shd w:val="clear" w:color="auto" w:fill="FFFFFF"/>
        </w:rPr>
        <w:t> </w:t>
      </w:r>
      <w:r w:rsidRPr="008F1E62">
        <w:rPr>
          <w:rFonts w:ascii="Calibri" w:hAnsi="Calibri" w:cs="Calibri"/>
          <w:shd w:val="clear" w:color="auto" w:fill="FFFFFF"/>
        </w:rPr>
        <w:t>Philippine Dealing System</w:t>
      </w:r>
      <w:r w:rsidRPr="008F1E62">
        <w:rPr>
          <w:rStyle w:val="apple-converted-space"/>
          <w:rFonts w:ascii="Calibri" w:hAnsi="Calibri" w:cs="Calibri"/>
          <w:shd w:val="clear" w:color="auto" w:fill="FFFFFF"/>
        </w:rPr>
        <w:t> </w:t>
      </w:r>
      <w:r w:rsidRPr="008F1E62">
        <w:rPr>
          <w:rFonts w:ascii="Calibri" w:hAnsi="Calibri" w:cs="Calibri"/>
          <w:shd w:val="clear" w:color="auto" w:fill="FFFFFF"/>
        </w:rPr>
        <w:t>FX Rate.</w:t>
      </w:r>
    </w:p>
    <w:p w14:paraId="330695A9" w14:textId="77777777" w:rsidR="00F76E53" w:rsidRPr="008F1E62" w:rsidRDefault="00F76E53" w:rsidP="00F76E53">
      <w:pPr>
        <w:pStyle w:val="BodyText4"/>
        <w:numPr>
          <w:ilvl w:val="0"/>
          <w:numId w:val="2"/>
        </w:numPr>
        <w:spacing w:after="200" w:line="276" w:lineRule="auto"/>
        <w:ind w:left="0" w:hanging="567"/>
        <w:rPr>
          <w:rFonts w:asciiTheme="minorHAnsi" w:hAnsiTheme="minorHAnsi" w:cs="Calibri"/>
        </w:rPr>
      </w:pPr>
      <w:r w:rsidRPr="008F1E62">
        <w:rPr>
          <w:rStyle w:val="Strong"/>
          <w:rFonts w:asciiTheme="minorHAnsi" w:hAnsiTheme="minorHAnsi" w:cs="Calibri"/>
        </w:rPr>
        <w:t>The Securities Regulation Code (SRC)</w:t>
      </w:r>
      <w:r w:rsidRPr="008F1E62">
        <w:rPr>
          <w:rStyle w:val="FootnoteReference"/>
          <w:rFonts w:asciiTheme="minorHAnsi" w:hAnsiTheme="minorHAnsi" w:cs="Calibri"/>
          <w:spacing w:val="5"/>
        </w:rPr>
        <w:footnoteReference w:id="22"/>
      </w:r>
      <w:r w:rsidRPr="008F1E62">
        <w:rPr>
          <w:rStyle w:val="Strong"/>
          <w:rFonts w:asciiTheme="minorHAnsi" w:hAnsiTheme="minorHAnsi" w:cs="Calibri"/>
        </w:rPr>
        <w:t xml:space="preserve"> is the primary legislation governing the regulation of capital markets in the Philippines, and the SEC is the agency tasked to implement the SRC.</w:t>
      </w:r>
      <w:r w:rsidRPr="008F1E62">
        <w:rPr>
          <w:rStyle w:val="Strong"/>
          <w:rFonts w:asciiTheme="minorHAnsi" w:hAnsiTheme="minorHAnsi" w:cs="Calibri"/>
          <w:b w:val="0"/>
          <w:bCs w:val="0"/>
        </w:rPr>
        <w:t xml:space="preserve"> The SEC has jurisdiction and supervision over all corporations, </w:t>
      </w:r>
      <w:r w:rsidRPr="008F1E62">
        <w:rPr>
          <w:rFonts w:asciiTheme="minorHAnsi" w:hAnsiTheme="minorHAnsi" w:cs="Calibri"/>
        </w:rPr>
        <w:t>partnerships</w:t>
      </w:r>
      <w:r w:rsidR="00097EDB">
        <w:rPr>
          <w:rFonts w:asciiTheme="minorHAnsi" w:hAnsiTheme="minorHAnsi" w:cs="Calibri"/>
        </w:rPr>
        <w:t>,</w:t>
      </w:r>
      <w:r w:rsidRPr="008F1E62">
        <w:rPr>
          <w:rFonts w:asciiTheme="minorHAnsi" w:hAnsiTheme="minorHAnsi" w:cs="Calibri"/>
        </w:rPr>
        <w:t xml:space="preserve"> or associations who </w:t>
      </w:r>
      <w:r w:rsidRPr="008F1E62">
        <w:rPr>
          <w:rFonts w:asciiTheme="minorHAnsi" w:hAnsiTheme="minorHAnsi"/>
          <w:bCs/>
          <w:szCs w:val="24"/>
        </w:rPr>
        <w:t>are</w:t>
      </w:r>
      <w:r w:rsidRPr="008F1E62">
        <w:rPr>
          <w:rFonts w:asciiTheme="minorHAnsi" w:hAnsiTheme="minorHAnsi" w:cs="Calibri"/>
        </w:rPr>
        <w:t xml:space="preserve"> the grantees of primary franchises and/or a license or permit issued by the Government.  </w:t>
      </w:r>
      <w:r w:rsidRPr="008F1E62">
        <w:rPr>
          <w:rFonts w:ascii="Calibri" w:hAnsi="Calibri" w:cs="Calibri"/>
        </w:rPr>
        <w:t xml:space="preserve">The SEC exercises authority over </w:t>
      </w:r>
      <w:proofErr w:type="spellStart"/>
      <w:r w:rsidRPr="008F1E62">
        <w:rPr>
          <w:rFonts w:ascii="Calibri" w:hAnsi="Calibri" w:cs="Calibri"/>
        </w:rPr>
        <w:t>PDex</w:t>
      </w:r>
      <w:proofErr w:type="spellEnd"/>
      <w:r w:rsidRPr="008F1E62">
        <w:rPr>
          <w:rFonts w:ascii="Calibri" w:hAnsi="Calibri" w:cs="Calibri"/>
        </w:rPr>
        <w:t xml:space="preserve"> to ensure that it operates properly to provide the market </w:t>
      </w:r>
      <w:r w:rsidRPr="008F1E62">
        <w:rPr>
          <w:rFonts w:asciiTheme="minorHAnsi" w:hAnsiTheme="minorHAnsi" w:cs="Calibri"/>
        </w:rPr>
        <w:t>place for buying and selling of securities on the secondary market.</w:t>
      </w:r>
      <w:r w:rsidRPr="008F1E62">
        <w:rPr>
          <w:rStyle w:val="Strong"/>
          <w:rFonts w:asciiTheme="minorHAnsi" w:hAnsiTheme="minorHAnsi" w:cs="Calibri"/>
        </w:rPr>
        <w:t xml:space="preserve"> </w:t>
      </w:r>
      <w:r w:rsidRPr="008F1E62">
        <w:rPr>
          <w:rStyle w:val="Strong"/>
          <w:rFonts w:asciiTheme="minorHAnsi" w:hAnsiTheme="minorHAnsi" w:cs="Calibri"/>
          <w:b w:val="0"/>
          <w:bCs w:val="0"/>
        </w:rPr>
        <w:t xml:space="preserve">The </w:t>
      </w:r>
      <w:proofErr w:type="spellStart"/>
      <w:r w:rsidRPr="008F1E62">
        <w:rPr>
          <w:rStyle w:val="Strong"/>
          <w:rFonts w:asciiTheme="minorHAnsi" w:hAnsiTheme="minorHAnsi" w:cs="Calibri"/>
          <w:b w:val="0"/>
          <w:bCs w:val="0"/>
        </w:rPr>
        <w:t>PDEx</w:t>
      </w:r>
      <w:proofErr w:type="spellEnd"/>
      <w:r w:rsidRPr="008F1E62">
        <w:rPr>
          <w:rStyle w:val="Strong"/>
          <w:rFonts w:asciiTheme="minorHAnsi" w:hAnsiTheme="minorHAnsi" w:cs="Calibri"/>
          <w:b w:val="0"/>
          <w:bCs w:val="0"/>
        </w:rPr>
        <w:t xml:space="preserve"> is a registered self-regulatory organization (SRO) for the fixed income market, while the PSE is </w:t>
      </w:r>
      <w:r w:rsidR="004343C2">
        <w:rPr>
          <w:rStyle w:val="Strong"/>
          <w:rFonts w:asciiTheme="minorHAnsi" w:hAnsiTheme="minorHAnsi" w:cs="Calibri"/>
          <w:b w:val="0"/>
          <w:bCs w:val="0"/>
        </w:rPr>
        <w:t xml:space="preserve">a </w:t>
      </w:r>
      <w:r w:rsidRPr="008F1E62">
        <w:rPr>
          <w:rStyle w:val="Strong"/>
          <w:rFonts w:asciiTheme="minorHAnsi" w:hAnsiTheme="minorHAnsi" w:cs="Calibri"/>
          <w:b w:val="0"/>
          <w:bCs w:val="0"/>
        </w:rPr>
        <w:t xml:space="preserve">registered SRO for the equities market.  </w:t>
      </w:r>
      <w:r w:rsidRPr="008F1E62">
        <w:rPr>
          <w:rFonts w:asciiTheme="minorHAnsi" w:hAnsiTheme="minorHAnsi" w:cs="Calibri"/>
        </w:rPr>
        <w:t>As a member of the International Organization of Securities Commissions (IOSCO), the SEC subscribes to and is committed to follow IOCSO’s Objectives and Principles of Securities Regulation.</w:t>
      </w:r>
    </w:p>
    <w:p w14:paraId="1EA84B77" w14:textId="77777777" w:rsidR="00F76E53" w:rsidRPr="008F1E62" w:rsidRDefault="00F76E53" w:rsidP="0077686B">
      <w:pPr>
        <w:pStyle w:val="Heading3"/>
      </w:pPr>
      <w:r w:rsidRPr="008F1E62">
        <w:t>Banking Sector</w:t>
      </w:r>
    </w:p>
    <w:p w14:paraId="3963CA41" w14:textId="775E67FD" w:rsidR="00F76E53" w:rsidRPr="00FE1825" w:rsidRDefault="00F76E53" w:rsidP="00F76E53">
      <w:pPr>
        <w:pStyle w:val="BodyText4"/>
        <w:numPr>
          <w:ilvl w:val="0"/>
          <w:numId w:val="2"/>
        </w:numPr>
        <w:spacing w:after="200" w:line="276" w:lineRule="auto"/>
        <w:ind w:left="0" w:hanging="567"/>
        <w:rPr>
          <w:rFonts w:ascii="Calibri" w:hAnsi="Calibri"/>
        </w:rPr>
      </w:pPr>
      <w:r w:rsidRPr="008F1E62">
        <w:rPr>
          <w:rFonts w:asciiTheme="minorHAnsi" w:hAnsiTheme="minorHAnsi" w:cstheme="minorBidi"/>
          <w:b/>
          <w:bCs/>
        </w:rPr>
        <w:t>The Philippine banking sector is fragmented and located across the archipelago.</w:t>
      </w:r>
      <w:r w:rsidRPr="008F1E62">
        <w:rPr>
          <w:rStyle w:val="FootnoteReference"/>
          <w:rFonts w:asciiTheme="minorHAnsi" w:hAnsiTheme="minorHAnsi" w:cstheme="minorBidi"/>
        </w:rPr>
        <w:footnoteReference w:id="23"/>
      </w:r>
      <w:r w:rsidRPr="008F1E62">
        <w:rPr>
          <w:rFonts w:asciiTheme="minorHAnsi" w:hAnsiTheme="minorHAnsi" w:cstheme="minorBidi"/>
        </w:rPr>
        <w:t xml:space="preserve"> The bank categories are universal and commercial banks, thrift banks, rural banks and cooperative banks. As of August 31, 2016, there are 613 banking institutions, excluding their branches and other banking offices, with total aggregate assets amounting to 12.53 trillion</w:t>
      </w:r>
      <w:r w:rsidR="006F582B">
        <w:rPr>
          <w:rFonts w:asciiTheme="minorHAnsi" w:hAnsiTheme="minorHAnsi" w:cstheme="minorBidi"/>
        </w:rPr>
        <w:t xml:space="preserve"> pesos</w:t>
      </w:r>
      <w:r w:rsidRPr="008F1E62">
        <w:rPr>
          <w:rFonts w:ascii="Calibri" w:hAnsi="Calibri"/>
        </w:rPr>
        <w:t xml:space="preserve">.  </w:t>
      </w:r>
      <w:r w:rsidRPr="008F1E62">
        <w:rPr>
          <w:rFonts w:asciiTheme="minorHAnsi" w:hAnsiTheme="minorHAnsi" w:cstheme="minorBidi"/>
        </w:rPr>
        <w:t xml:space="preserve">The 613 banking institutions in the Philippines, as shown in Figure 4, comprise 23 foreign-owned, </w:t>
      </w:r>
      <w:r w:rsidR="005F03D6">
        <w:rPr>
          <w:rFonts w:asciiTheme="minorHAnsi" w:hAnsiTheme="minorHAnsi" w:cstheme="minorBidi"/>
        </w:rPr>
        <w:t>4</w:t>
      </w:r>
      <w:r w:rsidR="005F03D6" w:rsidRPr="008F1E62">
        <w:rPr>
          <w:rFonts w:asciiTheme="minorHAnsi" w:hAnsiTheme="minorHAnsi" w:cstheme="minorBidi"/>
        </w:rPr>
        <w:t xml:space="preserve"> </w:t>
      </w:r>
      <w:r w:rsidRPr="008F1E62">
        <w:rPr>
          <w:rFonts w:asciiTheme="minorHAnsi" w:hAnsiTheme="minorHAnsi" w:cstheme="minorBidi"/>
        </w:rPr>
        <w:t xml:space="preserve">state-owned and 586 domestic and privately-owned banks. Of the 586 locally owned banks, 15 are listed and actively traded on the PSE. </w:t>
      </w:r>
    </w:p>
    <w:tbl>
      <w:tblPr>
        <w:tblStyle w:val="TableGrid"/>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FE1825" w14:paraId="0DCF4FE2" w14:textId="77777777" w:rsidTr="004A1F83">
        <w:tc>
          <w:tcPr>
            <w:tcW w:w="9026" w:type="dxa"/>
            <w:shd w:val="clear" w:color="auto" w:fill="4472C4"/>
            <w:vAlign w:val="center"/>
          </w:tcPr>
          <w:p w14:paraId="0EB69719" w14:textId="26B0581C" w:rsidR="00FE1825" w:rsidRPr="00B06541" w:rsidRDefault="00FE1825" w:rsidP="00FE1825">
            <w:pPr>
              <w:pStyle w:val="Caption"/>
              <w:spacing w:before="0" w:after="0" w:line="276" w:lineRule="auto"/>
              <w:jc w:val="center"/>
              <w:rPr>
                <w:rFonts w:ascii="Times New Roman" w:eastAsia="Times New Roman" w:hAnsi="Times New Roman" w:cs="Times New Roman"/>
                <w:color w:val="FFFFFF" w:themeColor="background1"/>
                <w:sz w:val="20"/>
                <w:szCs w:val="24"/>
                <w:lang w:val="en-US"/>
              </w:rPr>
            </w:pPr>
            <w:r w:rsidRPr="00B06541">
              <w:rPr>
                <w:color w:val="FFFFFF" w:themeColor="background1"/>
                <w:sz w:val="20"/>
                <w:szCs w:val="24"/>
                <w:lang w:val="en-US"/>
              </w:rPr>
              <w:t xml:space="preserve">Figure </w:t>
            </w:r>
            <w:r w:rsidRPr="00B06541">
              <w:rPr>
                <w:color w:val="FFFFFF" w:themeColor="background1"/>
                <w:sz w:val="20"/>
                <w:szCs w:val="24"/>
                <w:lang w:val="en-US"/>
              </w:rPr>
              <w:fldChar w:fldCharType="begin"/>
            </w:r>
            <w:r w:rsidRPr="00B06541">
              <w:rPr>
                <w:color w:val="FFFFFF" w:themeColor="background1"/>
                <w:sz w:val="20"/>
                <w:szCs w:val="24"/>
                <w:lang w:val="en-US"/>
              </w:rPr>
              <w:instrText xml:space="preserve"> SEQ Figure \* ARABIC </w:instrText>
            </w:r>
            <w:r w:rsidRPr="00B06541">
              <w:rPr>
                <w:color w:val="FFFFFF" w:themeColor="background1"/>
                <w:sz w:val="20"/>
                <w:szCs w:val="24"/>
                <w:lang w:val="en-US"/>
              </w:rPr>
              <w:fldChar w:fldCharType="separate"/>
            </w:r>
            <w:r w:rsidR="004310EC">
              <w:rPr>
                <w:noProof/>
                <w:color w:val="FFFFFF" w:themeColor="background1"/>
                <w:sz w:val="20"/>
                <w:szCs w:val="24"/>
                <w:lang w:val="en-US"/>
              </w:rPr>
              <w:t>4</w:t>
            </w:r>
            <w:r w:rsidRPr="00B06541">
              <w:rPr>
                <w:color w:val="FFFFFF" w:themeColor="background1"/>
                <w:sz w:val="20"/>
                <w:szCs w:val="24"/>
                <w:lang w:val="en-US"/>
              </w:rPr>
              <w:fldChar w:fldCharType="end"/>
            </w:r>
            <w:r w:rsidRPr="00B06541">
              <w:rPr>
                <w:rFonts w:eastAsiaTheme="minorEastAsia" w:hAnsi="Times New Roman"/>
                <w:bCs/>
                <w:color w:val="FFFFFF" w:themeColor="background1"/>
                <w:kern w:val="24"/>
                <w:sz w:val="20"/>
                <w:szCs w:val="24"/>
                <w:lang w:val="en-US"/>
              </w:rPr>
              <w:t>. Number of Philippine Banking Institutions as of August 31, 2016</w:t>
            </w:r>
          </w:p>
        </w:tc>
      </w:tr>
      <w:tr w:rsidR="00FE1825" w14:paraId="3D12D7C3" w14:textId="77777777" w:rsidTr="004A1F83">
        <w:tc>
          <w:tcPr>
            <w:tcW w:w="9026" w:type="dxa"/>
            <w:vAlign w:val="center"/>
          </w:tcPr>
          <w:p w14:paraId="6538549C" w14:textId="2C4AFFFB" w:rsidR="00FE1825" w:rsidRPr="00B06541" w:rsidRDefault="00FE1825" w:rsidP="00FE1825">
            <w:pPr>
              <w:pStyle w:val="BodyText4"/>
              <w:spacing w:line="276" w:lineRule="auto"/>
              <w:rPr>
                <w:rFonts w:asciiTheme="minorHAnsi" w:hAnsiTheme="minorHAnsi"/>
                <w:b/>
                <w:sz w:val="2"/>
                <w:szCs w:val="2"/>
              </w:rPr>
            </w:pPr>
            <w:r w:rsidRPr="00B06541">
              <w:rPr>
                <w:rFonts w:asciiTheme="minorHAnsi" w:hAnsiTheme="minorHAnsi" w:cstheme="minorHAnsi"/>
                <w:noProof/>
                <w:sz w:val="2"/>
                <w:szCs w:val="2"/>
              </w:rPr>
              <w:drawing>
                <wp:anchor distT="0" distB="0" distL="114300" distR="114300" simplePos="0" relativeHeight="251658241" behindDoc="0" locked="0" layoutInCell="1" allowOverlap="1" wp14:anchorId="3AA7ECE6" wp14:editId="1EC081D0">
                  <wp:simplePos x="0" y="0"/>
                  <wp:positionH relativeFrom="column">
                    <wp:posOffset>47625</wp:posOffset>
                  </wp:positionH>
                  <wp:positionV relativeFrom="paragraph">
                    <wp:posOffset>-1856105</wp:posOffset>
                  </wp:positionV>
                  <wp:extent cx="5715000" cy="2028825"/>
                  <wp:effectExtent l="0" t="0" r="0" b="0"/>
                  <wp:wrapTopAndBottom/>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c>
      </w:tr>
      <w:tr w:rsidR="00FE1825" w14:paraId="7DA13DE1" w14:textId="77777777" w:rsidTr="004A1F83">
        <w:tc>
          <w:tcPr>
            <w:tcW w:w="9026" w:type="dxa"/>
            <w:shd w:val="clear" w:color="auto" w:fill="4472C4"/>
            <w:vAlign w:val="center"/>
          </w:tcPr>
          <w:p w14:paraId="16EC2DAF" w14:textId="5688C73B" w:rsidR="00FE1825" w:rsidRPr="00FA75F2" w:rsidRDefault="00FE1825" w:rsidP="005A2C68">
            <w:pPr>
              <w:pStyle w:val="BodyText4"/>
              <w:spacing w:line="276" w:lineRule="auto"/>
              <w:jc w:val="center"/>
              <w:rPr>
                <w:rFonts w:asciiTheme="minorHAnsi" w:hAnsiTheme="minorHAnsi"/>
                <w:noProof/>
                <w:sz w:val="10"/>
                <w:szCs w:val="10"/>
              </w:rPr>
            </w:pPr>
          </w:p>
        </w:tc>
      </w:tr>
    </w:tbl>
    <w:p w14:paraId="4AA0C703" w14:textId="77777777" w:rsidR="00F76E53" w:rsidRPr="008F1E62" w:rsidRDefault="00F76E53" w:rsidP="00FE1825">
      <w:pPr>
        <w:pStyle w:val="NormalWeb"/>
        <w:spacing w:before="2" w:after="2"/>
        <w:rPr>
          <w:rFonts w:asciiTheme="minorHAnsi" w:hAnsiTheme="minorHAnsi" w:cstheme="minorHAnsi"/>
          <w:sz w:val="22"/>
          <w:szCs w:val="22"/>
        </w:rPr>
      </w:pPr>
    </w:p>
    <w:p w14:paraId="14FFA678" w14:textId="77777777" w:rsidR="00F76E53" w:rsidRPr="008F1E62" w:rsidRDefault="00F76E53" w:rsidP="00F76E53">
      <w:pPr>
        <w:pStyle w:val="BodyText4"/>
        <w:numPr>
          <w:ilvl w:val="0"/>
          <w:numId w:val="2"/>
        </w:numPr>
        <w:spacing w:after="200" w:line="276" w:lineRule="auto"/>
        <w:ind w:left="0" w:hanging="567"/>
        <w:rPr>
          <w:rFonts w:ascii="Calibri" w:hAnsi="Calibri"/>
        </w:rPr>
      </w:pPr>
      <w:r w:rsidRPr="008F1E62">
        <w:rPr>
          <w:rFonts w:asciiTheme="minorHAnsi" w:hAnsiTheme="minorHAnsi" w:cstheme="minorBidi"/>
          <w:b/>
          <w:bCs/>
        </w:rPr>
        <w:t xml:space="preserve">Philippine banks are regulated by the BSP. </w:t>
      </w:r>
      <w:r w:rsidR="00B04A6D" w:rsidRPr="00484744">
        <w:rPr>
          <w:rFonts w:asciiTheme="minorHAnsi" w:hAnsiTheme="minorHAnsi" w:cstheme="minorBidi"/>
          <w:bCs/>
        </w:rPr>
        <w:t>The</w:t>
      </w:r>
      <w:r w:rsidR="00B04A6D">
        <w:rPr>
          <w:rFonts w:asciiTheme="minorHAnsi" w:hAnsiTheme="minorHAnsi" w:cstheme="minorBidi"/>
          <w:b/>
          <w:bCs/>
        </w:rPr>
        <w:t xml:space="preserve"> </w:t>
      </w:r>
      <w:r w:rsidRPr="008F1E62">
        <w:rPr>
          <w:rFonts w:asciiTheme="minorHAnsi" w:hAnsiTheme="minorHAnsi" w:cstheme="minorBidi"/>
        </w:rPr>
        <w:t>BSP’s authority emanates from the General Banking Law</w:t>
      </w:r>
      <w:r w:rsidRPr="008F1E62">
        <w:rPr>
          <w:rStyle w:val="FootnoteReference"/>
          <w:rFonts w:asciiTheme="minorHAnsi" w:hAnsiTheme="minorHAnsi" w:cstheme="minorBidi"/>
        </w:rPr>
        <w:footnoteReference w:id="24"/>
      </w:r>
      <w:r w:rsidRPr="008F1E62">
        <w:rPr>
          <w:rFonts w:asciiTheme="minorHAnsi" w:hAnsiTheme="minorHAnsi" w:cstheme="minorBidi"/>
        </w:rPr>
        <w:t xml:space="preserve"> and the New Central Bank Act,</w:t>
      </w:r>
      <w:r w:rsidRPr="008F1E62">
        <w:rPr>
          <w:rStyle w:val="FootnoteReference"/>
          <w:rFonts w:asciiTheme="minorHAnsi" w:hAnsiTheme="minorHAnsi" w:cstheme="minorBidi"/>
        </w:rPr>
        <w:footnoteReference w:id="25"/>
      </w:r>
      <w:r w:rsidRPr="008F1E62">
        <w:rPr>
          <w:rFonts w:asciiTheme="minorHAnsi" w:hAnsiTheme="minorHAnsi" w:cstheme="minorBidi"/>
        </w:rPr>
        <w:t xml:space="preserve"> BSP’s charter. The BSP is an independent monetary authority with fiscal and administrative autonomy, as provided for </w:t>
      </w:r>
      <w:r w:rsidRPr="008F1E62">
        <w:rPr>
          <w:rFonts w:asciiTheme="minorHAnsi" w:hAnsiTheme="minorHAnsi"/>
          <w:bCs/>
          <w:szCs w:val="24"/>
        </w:rPr>
        <w:t>under</w:t>
      </w:r>
      <w:r w:rsidRPr="008F1E62">
        <w:rPr>
          <w:rFonts w:asciiTheme="minorHAnsi" w:hAnsiTheme="minorHAnsi" w:cstheme="minorBidi"/>
        </w:rPr>
        <w:t xml:space="preserve"> the 1987 Constitution and the New Central Bank Act (NCBA). The capitalization of the BSP is fully subscribed by the Government of the Philippines (Section 2, NCBA). The funding of </w:t>
      </w:r>
      <w:r w:rsidR="00CA3514">
        <w:rPr>
          <w:rFonts w:asciiTheme="minorHAnsi" w:hAnsiTheme="minorHAnsi" w:cstheme="minorBidi"/>
        </w:rPr>
        <w:t xml:space="preserve">the </w:t>
      </w:r>
      <w:r w:rsidRPr="008F1E62">
        <w:rPr>
          <w:rFonts w:asciiTheme="minorHAnsi" w:hAnsiTheme="minorHAnsi" w:cstheme="minorBidi"/>
        </w:rPr>
        <w:t xml:space="preserve">BSP’s operation is sourced from the retention of 50% of its net profits for each fiscal year (Section 44, NCBA), which includes annual supervisory fees levied on supervised institutions based on the level of their assets. </w:t>
      </w:r>
    </w:p>
    <w:p w14:paraId="2EA1FE0C" w14:textId="77777777" w:rsidR="00F76E53" w:rsidRPr="008F1E62" w:rsidRDefault="00F76E53" w:rsidP="0077686B">
      <w:pPr>
        <w:pStyle w:val="Heading3"/>
      </w:pPr>
      <w:r w:rsidRPr="008F1E62">
        <w:t>Insurance Sector</w:t>
      </w:r>
    </w:p>
    <w:p w14:paraId="179BCB88" w14:textId="77777777" w:rsidR="00F76E53" w:rsidRPr="008F1E62" w:rsidRDefault="00F76E53" w:rsidP="00F76E53">
      <w:pPr>
        <w:pStyle w:val="BodyText4"/>
        <w:numPr>
          <w:ilvl w:val="0"/>
          <w:numId w:val="2"/>
        </w:numPr>
        <w:spacing w:after="200" w:line="276" w:lineRule="auto"/>
        <w:ind w:left="0" w:hanging="567"/>
        <w:rPr>
          <w:rFonts w:ascii="Calibri" w:hAnsi="Calibri"/>
        </w:rPr>
      </w:pPr>
      <w:r w:rsidRPr="008F1E62">
        <w:rPr>
          <w:rFonts w:asciiTheme="minorHAnsi" w:hAnsiTheme="minorHAnsi" w:cstheme="minorBidi"/>
        </w:rPr>
        <w:t>The Philippine insurance industry continu</w:t>
      </w:r>
      <w:r w:rsidR="00420DFE">
        <w:rPr>
          <w:rFonts w:asciiTheme="minorHAnsi" w:hAnsiTheme="minorHAnsi" w:cstheme="minorBidi"/>
        </w:rPr>
        <w:t>e</w:t>
      </w:r>
      <w:r w:rsidRPr="008F1E62">
        <w:rPr>
          <w:rFonts w:asciiTheme="minorHAnsi" w:hAnsiTheme="minorHAnsi" w:cstheme="minorBidi"/>
        </w:rPr>
        <w:t xml:space="preserve">s to grow </w:t>
      </w:r>
      <w:proofErr w:type="gramStart"/>
      <w:r w:rsidRPr="008F1E62">
        <w:rPr>
          <w:rFonts w:asciiTheme="minorHAnsi" w:hAnsiTheme="minorHAnsi" w:cstheme="minorBidi"/>
        </w:rPr>
        <w:t>despite the fact that</w:t>
      </w:r>
      <w:proofErr w:type="gramEnd"/>
      <w:r w:rsidRPr="008F1E62">
        <w:rPr>
          <w:rFonts w:asciiTheme="minorHAnsi" w:hAnsiTheme="minorHAnsi" w:cstheme="minorBidi"/>
        </w:rPr>
        <w:t xml:space="preserve"> there is limited insurance activity in many parts of the country due to the lack of availability of financial intermediaries. Thus, insurance products are usually restricted to pre-need schemes distributed via micro-insurance operations. Other challenges of the insurance sector are the lack of awareness of insurance (both life and non-life) as well as its benefits and the </w:t>
      </w:r>
      <w:proofErr w:type="gramStart"/>
      <w:r w:rsidRPr="008F1E62">
        <w:rPr>
          <w:rFonts w:asciiTheme="minorHAnsi" w:hAnsiTheme="minorHAnsi" w:cstheme="minorBidi"/>
        </w:rPr>
        <w:t>low income</w:t>
      </w:r>
      <w:proofErr w:type="gramEnd"/>
      <w:r w:rsidRPr="008F1E62">
        <w:rPr>
          <w:rFonts w:asciiTheme="minorHAnsi" w:hAnsiTheme="minorHAnsi" w:cstheme="minorBidi"/>
        </w:rPr>
        <w:t xml:space="preserve"> level of many citizens who </w:t>
      </w:r>
      <w:r w:rsidRPr="008F1E62">
        <w:rPr>
          <w:rFonts w:asciiTheme="minorHAnsi" w:hAnsiTheme="minorHAnsi"/>
          <w:bCs/>
          <w:szCs w:val="24"/>
        </w:rPr>
        <w:t>continue</w:t>
      </w:r>
      <w:r w:rsidRPr="008F1E62">
        <w:rPr>
          <w:rFonts w:asciiTheme="minorHAnsi" w:hAnsiTheme="minorHAnsi" w:cstheme="minorBidi"/>
        </w:rPr>
        <w:t xml:space="preserve"> to have little savings. Life insurance’s recent success pertains to the micro-insurance sector targeting low-income earners. Another area that is gaining attention is health insurance.  This may be attributable to the success of the </w:t>
      </w:r>
      <w:r w:rsidR="00557F05" w:rsidRPr="008F1E62">
        <w:rPr>
          <w:rFonts w:asciiTheme="minorHAnsi" w:hAnsiTheme="minorHAnsi" w:cstheme="minorBidi"/>
        </w:rPr>
        <w:t xml:space="preserve">business process outsourcing </w:t>
      </w:r>
      <w:r w:rsidRPr="008F1E62">
        <w:rPr>
          <w:rFonts w:asciiTheme="minorHAnsi" w:hAnsiTheme="minorHAnsi" w:cstheme="minorBidi"/>
        </w:rPr>
        <w:t>industry, whereby employees are offered elaborate benefit packages which typically include health insurance or health maintenance organization (HMO) coverage.</w:t>
      </w:r>
    </w:p>
    <w:tbl>
      <w:tblPr>
        <w:tblpPr w:leftFromText="180" w:rightFromText="180" w:vertAnchor="text" w:horzAnchor="margin" w:tblpXSpec="right" w:tblpY="103"/>
        <w:tblOverlap w:val="never"/>
        <w:tblW w:w="2377" w:type="pct"/>
        <w:tblCellSpacing w:w="57" w:type="dxa"/>
        <w:tblBorders>
          <w:top w:val="single" w:sz="4" w:space="0" w:color="4472C4"/>
          <w:left w:val="single" w:sz="4" w:space="0" w:color="4472C4"/>
          <w:bottom w:val="single" w:sz="4" w:space="0" w:color="4472C4"/>
          <w:right w:val="single" w:sz="4" w:space="0" w:color="4472C4"/>
        </w:tblBorders>
        <w:tblCellMar>
          <w:top w:w="43" w:type="dxa"/>
          <w:left w:w="115" w:type="dxa"/>
          <w:bottom w:w="43" w:type="dxa"/>
          <w:right w:w="115" w:type="dxa"/>
        </w:tblCellMar>
        <w:tblLook w:val="0480" w:firstRow="0" w:lastRow="0" w:firstColumn="1" w:lastColumn="0" w:noHBand="0" w:noVBand="1"/>
      </w:tblPr>
      <w:tblGrid>
        <w:gridCol w:w="2639"/>
        <w:gridCol w:w="1647"/>
      </w:tblGrid>
      <w:tr w:rsidR="0030618B" w:rsidRPr="00D40343" w14:paraId="2B7812CA" w14:textId="77777777" w:rsidTr="00F6762B">
        <w:trPr>
          <w:trHeight w:val="233"/>
          <w:tblCellSpacing w:w="57" w:type="dxa"/>
        </w:trPr>
        <w:tc>
          <w:tcPr>
            <w:tcW w:w="4734" w:type="pct"/>
            <w:gridSpan w:val="2"/>
            <w:shd w:val="clear" w:color="auto" w:fill="auto"/>
            <w:tcMar>
              <w:top w:w="43" w:type="dxa"/>
              <w:left w:w="115" w:type="dxa"/>
              <w:bottom w:w="43" w:type="dxa"/>
              <w:right w:w="115" w:type="dxa"/>
            </w:tcMar>
            <w:vAlign w:val="center"/>
          </w:tcPr>
          <w:p w14:paraId="36EFE02E" w14:textId="3A6F9832" w:rsidR="0030618B" w:rsidRPr="0030618B" w:rsidRDefault="0030618B" w:rsidP="00F6762B">
            <w:pPr>
              <w:keepLines/>
              <w:spacing w:after="0"/>
              <w:jc w:val="center"/>
              <w:rPr>
                <w:b/>
                <w:color w:val="FFFFFF" w:themeColor="background1"/>
                <w:sz w:val="20"/>
                <w:szCs w:val="24"/>
              </w:rPr>
            </w:pPr>
            <w:r w:rsidRPr="0030618B">
              <w:rPr>
                <w:b/>
                <w:sz w:val="20"/>
                <w:szCs w:val="24"/>
              </w:rPr>
              <w:t xml:space="preserve">Table </w:t>
            </w:r>
            <w:r w:rsidRPr="0030618B">
              <w:rPr>
                <w:b/>
                <w:sz w:val="20"/>
                <w:szCs w:val="24"/>
              </w:rPr>
              <w:fldChar w:fldCharType="begin"/>
            </w:r>
            <w:r w:rsidRPr="0030618B">
              <w:rPr>
                <w:b/>
                <w:sz w:val="20"/>
                <w:szCs w:val="24"/>
              </w:rPr>
              <w:instrText xml:space="preserve"> SEQ Table \* ARABIC </w:instrText>
            </w:r>
            <w:r w:rsidRPr="0030618B">
              <w:rPr>
                <w:b/>
                <w:sz w:val="20"/>
                <w:szCs w:val="24"/>
              </w:rPr>
              <w:fldChar w:fldCharType="separate"/>
            </w:r>
            <w:r w:rsidR="004310EC">
              <w:rPr>
                <w:b/>
                <w:noProof/>
                <w:sz w:val="20"/>
                <w:szCs w:val="24"/>
              </w:rPr>
              <w:t>3</w:t>
            </w:r>
            <w:r w:rsidRPr="0030618B">
              <w:rPr>
                <w:b/>
                <w:sz w:val="20"/>
                <w:szCs w:val="24"/>
              </w:rPr>
              <w:fldChar w:fldCharType="end"/>
            </w:r>
            <w:r w:rsidRPr="0030618B">
              <w:rPr>
                <w:b/>
                <w:sz w:val="20"/>
                <w:szCs w:val="24"/>
              </w:rPr>
              <w:t>.</w:t>
            </w:r>
            <w:r w:rsidRPr="0030618B">
              <w:rPr>
                <w:b/>
                <w:sz w:val="18"/>
              </w:rPr>
              <w:t xml:space="preserve"> </w:t>
            </w:r>
            <w:r w:rsidRPr="0030618B">
              <w:rPr>
                <w:rFonts w:ascii="Calibri" w:hAnsi="Calibri" w:cs="Calibri"/>
                <w:b/>
                <w:color w:val="000000"/>
                <w:sz w:val="20"/>
                <w:szCs w:val="24"/>
              </w:rPr>
              <w:t>Composition of Insurance Companies</w:t>
            </w:r>
          </w:p>
        </w:tc>
      </w:tr>
      <w:tr w:rsidR="0030618B" w:rsidRPr="00D40343" w14:paraId="4BCDCC85" w14:textId="77777777" w:rsidTr="00F6762B">
        <w:trPr>
          <w:trHeight w:val="233"/>
          <w:tblCellSpacing w:w="57" w:type="dxa"/>
        </w:trPr>
        <w:tc>
          <w:tcPr>
            <w:tcW w:w="2963" w:type="pct"/>
            <w:shd w:val="clear" w:color="auto" w:fill="4472C4"/>
            <w:tcMar>
              <w:top w:w="43" w:type="dxa"/>
              <w:left w:w="115" w:type="dxa"/>
              <w:bottom w:w="43" w:type="dxa"/>
              <w:right w:w="115" w:type="dxa"/>
            </w:tcMar>
            <w:vAlign w:val="center"/>
          </w:tcPr>
          <w:p w14:paraId="38758D33" w14:textId="77777777" w:rsidR="0030618B" w:rsidRPr="00D40343" w:rsidRDefault="0030618B" w:rsidP="00F6762B">
            <w:pPr>
              <w:keepLines/>
              <w:spacing w:after="0"/>
              <w:jc w:val="center"/>
              <w:rPr>
                <w:rFonts w:cs="Calibri"/>
                <w:b/>
                <w:color w:val="FFFFFF" w:themeColor="background1"/>
                <w:sz w:val="20"/>
                <w:szCs w:val="24"/>
              </w:rPr>
            </w:pPr>
            <w:r w:rsidRPr="00D40343">
              <w:rPr>
                <w:b/>
                <w:color w:val="FFFFFF" w:themeColor="background1"/>
                <w:sz w:val="20"/>
                <w:szCs w:val="24"/>
              </w:rPr>
              <w:t>Insurance Companies</w:t>
            </w:r>
          </w:p>
        </w:tc>
        <w:tc>
          <w:tcPr>
            <w:tcW w:w="1638" w:type="pct"/>
            <w:shd w:val="clear" w:color="auto" w:fill="4472C4"/>
            <w:tcMar>
              <w:top w:w="43" w:type="dxa"/>
              <w:left w:w="115" w:type="dxa"/>
              <w:bottom w:w="43" w:type="dxa"/>
              <w:right w:w="115" w:type="dxa"/>
            </w:tcMar>
            <w:vAlign w:val="center"/>
          </w:tcPr>
          <w:p w14:paraId="10B6B1C0" w14:textId="77777777" w:rsidR="0030618B" w:rsidRPr="00D40343" w:rsidRDefault="0030618B" w:rsidP="00F6762B">
            <w:pPr>
              <w:keepLines/>
              <w:spacing w:after="0"/>
              <w:jc w:val="center"/>
              <w:rPr>
                <w:rFonts w:cs="Calibri"/>
                <w:b/>
                <w:color w:val="FFFFFF" w:themeColor="background1"/>
                <w:sz w:val="20"/>
                <w:szCs w:val="24"/>
              </w:rPr>
            </w:pPr>
            <w:r w:rsidRPr="00D40343">
              <w:rPr>
                <w:b/>
                <w:color w:val="FFFFFF" w:themeColor="background1"/>
                <w:sz w:val="20"/>
                <w:szCs w:val="24"/>
              </w:rPr>
              <w:t>Number</w:t>
            </w:r>
          </w:p>
        </w:tc>
      </w:tr>
      <w:tr w:rsidR="0030618B" w:rsidRPr="00D40343" w14:paraId="42E7BBC4" w14:textId="77777777" w:rsidTr="00F6762B">
        <w:trPr>
          <w:trHeight w:val="233"/>
          <w:tblCellSpacing w:w="57" w:type="dxa"/>
        </w:trPr>
        <w:tc>
          <w:tcPr>
            <w:tcW w:w="2963" w:type="pct"/>
            <w:shd w:val="clear" w:color="auto" w:fill="C6E8D7"/>
            <w:tcMar>
              <w:top w:w="43" w:type="dxa"/>
              <w:left w:w="115" w:type="dxa"/>
              <w:bottom w:w="43" w:type="dxa"/>
              <w:right w:w="115" w:type="dxa"/>
            </w:tcMar>
          </w:tcPr>
          <w:p w14:paraId="312BE5E1" w14:textId="77777777" w:rsidR="0030618B" w:rsidRPr="00D40343" w:rsidRDefault="0030618B" w:rsidP="00F6762B">
            <w:pPr>
              <w:keepLines/>
              <w:spacing w:after="0"/>
              <w:jc w:val="left"/>
              <w:rPr>
                <w:rFonts w:cs="Calibri"/>
                <w:b/>
                <w:sz w:val="20"/>
                <w:szCs w:val="24"/>
              </w:rPr>
            </w:pPr>
            <w:r w:rsidRPr="00D40343">
              <w:rPr>
                <w:rFonts w:cstheme="minorHAnsi"/>
                <w:b/>
                <w:sz w:val="20"/>
                <w:szCs w:val="24"/>
              </w:rPr>
              <w:t xml:space="preserve">Direct Insurers </w:t>
            </w:r>
          </w:p>
        </w:tc>
        <w:tc>
          <w:tcPr>
            <w:tcW w:w="1638" w:type="pct"/>
            <w:shd w:val="clear" w:color="auto" w:fill="C6E8D7"/>
            <w:tcMar>
              <w:top w:w="43" w:type="dxa"/>
              <w:left w:w="115" w:type="dxa"/>
              <w:bottom w:w="43" w:type="dxa"/>
              <w:right w:w="115" w:type="dxa"/>
            </w:tcMar>
          </w:tcPr>
          <w:p w14:paraId="7C1EC13A" w14:textId="77777777" w:rsidR="0030618B" w:rsidRPr="00D40343" w:rsidRDefault="0030618B" w:rsidP="00F6762B">
            <w:pPr>
              <w:pStyle w:val="ListParagraph"/>
              <w:keepLines/>
              <w:numPr>
                <w:ilvl w:val="0"/>
                <w:numId w:val="0"/>
              </w:numPr>
              <w:spacing w:before="0" w:beforeAutospacing="0" w:after="0" w:afterAutospacing="0" w:line="276" w:lineRule="auto"/>
              <w:ind w:left="206"/>
              <w:jc w:val="center"/>
              <w:rPr>
                <w:rFonts w:asciiTheme="minorHAnsi" w:hAnsiTheme="minorHAnsi" w:cs="Calibri"/>
                <w:b/>
                <w:sz w:val="20"/>
                <w:szCs w:val="24"/>
              </w:rPr>
            </w:pPr>
            <w:r w:rsidRPr="00D40343">
              <w:rPr>
                <w:rFonts w:asciiTheme="minorHAnsi" w:hAnsiTheme="minorHAnsi" w:cstheme="minorHAnsi"/>
                <w:b/>
                <w:sz w:val="20"/>
                <w:szCs w:val="24"/>
              </w:rPr>
              <w:t>102</w:t>
            </w:r>
          </w:p>
        </w:tc>
      </w:tr>
      <w:tr w:rsidR="0030618B" w:rsidRPr="00D40343" w14:paraId="5AEB90E2" w14:textId="77777777" w:rsidTr="00F6762B">
        <w:trPr>
          <w:trHeight w:val="278"/>
          <w:tblCellSpacing w:w="57" w:type="dxa"/>
        </w:trPr>
        <w:tc>
          <w:tcPr>
            <w:tcW w:w="2963" w:type="pct"/>
            <w:shd w:val="clear" w:color="auto" w:fill="E7E6E6" w:themeFill="background2"/>
            <w:tcMar>
              <w:top w:w="43" w:type="dxa"/>
              <w:left w:w="115" w:type="dxa"/>
              <w:bottom w:w="43" w:type="dxa"/>
              <w:right w:w="115" w:type="dxa"/>
            </w:tcMar>
          </w:tcPr>
          <w:p w14:paraId="4F1B250B" w14:textId="77777777" w:rsidR="0030618B" w:rsidRPr="00D40343" w:rsidRDefault="0030618B" w:rsidP="00F6762B">
            <w:pPr>
              <w:keepLines/>
              <w:spacing w:after="0"/>
              <w:ind w:left="360" w:hanging="360"/>
              <w:jc w:val="left"/>
              <w:rPr>
                <w:rFonts w:cs="Calibri"/>
                <w:sz w:val="20"/>
                <w:szCs w:val="24"/>
              </w:rPr>
            </w:pPr>
            <w:r w:rsidRPr="00D40343">
              <w:rPr>
                <w:rFonts w:cstheme="minorHAnsi"/>
                <w:sz w:val="20"/>
                <w:szCs w:val="24"/>
              </w:rPr>
              <w:t xml:space="preserve">      Composite</w:t>
            </w:r>
          </w:p>
        </w:tc>
        <w:tc>
          <w:tcPr>
            <w:tcW w:w="1638" w:type="pct"/>
            <w:shd w:val="clear" w:color="auto" w:fill="E7E6E6" w:themeFill="background2"/>
            <w:tcMar>
              <w:top w:w="43" w:type="dxa"/>
              <w:left w:w="115" w:type="dxa"/>
              <w:bottom w:w="43" w:type="dxa"/>
              <w:right w:w="115" w:type="dxa"/>
            </w:tcMar>
          </w:tcPr>
          <w:p w14:paraId="5F6904D7" w14:textId="77777777" w:rsidR="0030618B" w:rsidRPr="00D40343" w:rsidRDefault="0030618B" w:rsidP="00F6762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szCs w:val="24"/>
              </w:rPr>
            </w:pPr>
            <w:r w:rsidRPr="00D40343">
              <w:rPr>
                <w:rFonts w:asciiTheme="minorHAnsi" w:hAnsiTheme="minorHAnsi" w:cstheme="minorHAnsi"/>
                <w:sz w:val="20"/>
                <w:szCs w:val="24"/>
              </w:rPr>
              <w:t>4</w:t>
            </w:r>
          </w:p>
        </w:tc>
      </w:tr>
      <w:tr w:rsidR="0030618B" w:rsidRPr="00D40343" w14:paraId="3D67A6EE" w14:textId="77777777" w:rsidTr="00F6762B">
        <w:trPr>
          <w:trHeight w:val="14"/>
          <w:tblCellSpacing w:w="57" w:type="dxa"/>
        </w:trPr>
        <w:tc>
          <w:tcPr>
            <w:tcW w:w="2963" w:type="pct"/>
            <w:shd w:val="clear" w:color="auto" w:fill="E7E6E6" w:themeFill="background2"/>
            <w:tcMar>
              <w:top w:w="43" w:type="dxa"/>
              <w:left w:w="115" w:type="dxa"/>
              <w:bottom w:w="43" w:type="dxa"/>
              <w:right w:w="115" w:type="dxa"/>
            </w:tcMar>
          </w:tcPr>
          <w:p w14:paraId="1A2213B5" w14:textId="77777777" w:rsidR="0030618B" w:rsidRPr="00D40343" w:rsidRDefault="0030618B" w:rsidP="00F6762B">
            <w:pPr>
              <w:keepLines/>
              <w:spacing w:after="0"/>
              <w:ind w:left="360" w:hanging="360"/>
              <w:jc w:val="left"/>
              <w:rPr>
                <w:rFonts w:cs="Calibri"/>
                <w:sz w:val="20"/>
                <w:szCs w:val="24"/>
              </w:rPr>
            </w:pPr>
            <w:r w:rsidRPr="00D40343">
              <w:rPr>
                <w:rFonts w:cstheme="minorHAnsi"/>
                <w:sz w:val="20"/>
                <w:szCs w:val="24"/>
              </w:rPr>
              <w:t xml:space="preserve">      Life</w:t>
            </w:r>
          </w:p>
        </w:tc>
        <w:tc>
          <w:tcPr>
            <w:tcW w:w="1638" w:type="pct"/>
            <w:shd w:val="clear" w:color="auto" w:fill="E7E6E6" w:themeFill="background2"/>
            <w:tcMar>
              <w:top w:w="43" w:type="dxa"/>
              <w:left w:w="115" w:type="dxa"/>
              <w:bottom w:w="43" w:type="dxa"/>
              <w:right w:w="115" w:type="dxa"/>
            </w:tcMar>
          </w:tcPr>
          <w:p w14:paraId="285AC5EC" w14:textId="77777777" w:rsidR="0030618B" w:rsidRPr="00D40343" w:rsidRDefault="0030618B" w:rsidP="00F6762B">
            <w:pPr>
              <w:pStyle w:val="ListParagraph"/>
              <w:keepLines/>
              <w:numPr>
                <w:ilvl w:val="0"/>
                <w:numId w:val="0"/>
              </w:numPr>
              <w:spacing w:before="0" w:beforeAutospacing="0" w:after="0" w:afterAutospacing="0" w:line="276" w:lineRule="auto"/>
              <w:ind w:left="206"/>
              <w:jc w:val="center"/>
              <w:rPr>
                <w:rFonts w:asciiTheme="minorHAnsi" w:hAnsiTheme="minorHAnsi" w:cs="Calibri"/>
                <w:sz w:val="20"/>
                <w:szCs w:val="24"/>
              </w:rPr>
            </w:pPr>
            <w:r w:rsidRPr="00D40343">
              <w:rPr>
                <w:rFonts w:asciiTheme="minorHAnsi" w:hAnsiTheme="minorHAnsi" w:cstheme="minorHAnsi"/>
                <w:sz w:val="20"/>
                <w:szCs w:val="24"/>
              </w:rPr>
              <w:t>27</w:t>
            </w:r>
          </w:p>
        </w:tc>
      </w:tr>
      <w:tr w:rsidR="0030618B" w:rsidRPr="00D40343" w14:paraId="0A37536F" w14:textId="77777777" w:rsidTr="00F6762B">
        <w:trPr>
          <w:trHeight w:val="14"/>
          <w:tblCellSpacing w:w="57" w:type="dxa"/>
        </w:trPr>
        <w:tc>
          <w:tcPr>
            <w:tcW w:w="2963" w:type="pct"/>
            <w:shd w:val="clear" w:color="auto" w:fill="E7E6E6" w:themeFill="background2"/>
            <w:tcMar>
              <w:top w:w="43" w:type="dxa"/>
              <w:left w:w="115" w:type="dxa"/>
              <w:bottom w:w="43" w:type="dxa"/>
              <w:right w:w="115" w:type="dxa"/>
            </w:tcMar>
          </w:tcPr>
          <w:p w14:paraId="4C7BDB24" w14:textId="77777777" w:rsidR="0030618B" w:rsidRPr="00D40343" w:rsidRDefault="0030618B" w:rsidP="00F6762B">
            <w:pPr>
              <w:keepLines/>
              <w:spacing w:after="0"/>
              <w:ind w:left="360" w:hanging="360"/>
              <w:jc w:val="left"/>
              <w:rPr>
                <w:rFonts w:cs="Calibri"/>
                <w:sz w:val="20"/>
                <w:szCs w:val="24"/>
              </w:rPr>
            </w:pPr>
            <w:r w:rsidRPr="00D40343">
              <w:rPr>
                <w:rFonts w:cstheme="minorHAnsi"/>
                <w:sz w:val="20"/>
                <w:szCs w:val="24"/>
              </w:rPr>
              <w:t xml:space="preserve">      Non-Life</w:t>
            </w:r>
          </w:p>
        </w:tc>
        <w:tc>
          <w:tcPr>
            <w:tcW w:w="1638" w:type="pct"/>
            <w:shd w:val="clear" w:color="auto" w:fill="E7E6E6" w:themeFill="background2"/>
            <w:tcMar>
              <w:top w:w="43" w:type="dxa"/>
              <w:left w:w="115" w:type="dxa"/>
              <w:bottom w:w="43" w:type="dxa"/>
              <w:right w:w="115" w:type="dxa"/>
            </w:tcMar>
          </w:tcPr>
          <w:p w14:paraId="4692D662" w14:textId="77777777" w:rsidR="0030618B" w:rsidRPr="00D40343" w:rsidRDefault="0030618B" w:rsidP="00F6762B">
            <w:pPr>
              <w:pStyle w:val="ListParagraph"/>
              <w:keepLines/>
              <w:numPr>
                <w:ilvl w:val="0"/>
                <w:numId w:val="0"/>
              </w:numPr>
              <w:spacing w:before="0" w:beforeAutospacing="0" w:after="0" w:afterAutospacing="0" w:line="276" w:lineRule="auto"/>
              <w:ind w:left="206"/>
              <w:jc w:val="center"/>
              <w:rPr>
                <w:rFonts w:ascii="Calibri" w:hAnsi="Calibri" w:cs="Calibri"/>
                <w:sz w:val="20"/>
                <w:szCs w:val="24"/>
                <w:shd w:val="clear" w:color="auto" w:fill="FFFFFF"/>
              </w:rPr>
            </w:pPr>
            <w:r w:rsidRPr="00D40343">
              <w:rPr>
                <w:rFonts w:asciiTheme="minorHAnsi" w:hAnsiTheme="minorHAnsi" w:cstheme="minorHAnsi"/>
                <w:sz w:val="20"/>
                <w:szCs w:val="24"/>
              </w:rPr>
              <w:t>66</w:t>
            </w:r>
          </w:p>
        </w:tc>
      </w:tr>
      <w:tr w:rsidR="0030618B" w:rsidRPr="00D40343" w14:paraId="76E7093F" w14:textId="77777777" w:rsidTr="00F6762B">
        <w:trPr>
          <w:trHeight w:val="14"/>
          <w:tblCellSpacing w:w="57" w:type="dxa"/>
        </w:trPr>
        <w:tc>
          <w:tcPr>
            <w:tcW w:w="2963" w:type="pct"/>
            <w:shd w:val="clear" w:color="auto" w:fill="E7E6E6" w:themeFill="background2"/>
            <w:tcMar>
              <w:top w:w="43" w:type="dxa"/>
              <w:left w:w="115" w:type="dxa"/>
              <w:bottom w:w="43" w:type="dxa"/>
              <w:right w:w="115" w:type="dxa"/>
            </w:tcMar>
          </w:tcPr>
          <w:p w14:paraId="07887709" w14:textId="77777777" w:rsidR="0030618B" w:rsidRPr="00D40343" w:rsidRDefault="0030618B" w:rsidP="00F6762B">
            <w:pPr>
              <w:keepLines/>
              <w:spacing w:after="0"/>
              <w:ind w:left="360" w:hanging="360"/>
              <w:jc w:val="left"/>
              <w:rPr>
                <w:rFonts w:cs="Calibri"/>
                <w:sz w:val="20"/>
                <w:szCs w:val="24"/>
              </w:rPr>
            </w:pPr>
            <w:r w:rsidRPr="00D40343">
              <w:rPr>
                <w:rFonts w:cstheme="minorHAnsi"/>
                <w:sz w:val="20"/>
                <w:szCs w:val="24"/>
              </w:rPr>
              <w:t xml:space="preserve">      State-owned</w:t>
            </w:r>
          </w:p>
        </w:tc>
        <w:tc>
          <w:tcPr>
            <w:tcW w:w="1638" w:type="pct"/>
            <w:shd w:val="clear" w:color="auto" w:fill="E7E6E6" w:themeFill="background2"/>
            <w:tcMar>
              <w:top w:w="43" w:type="dxa"/>
              <w:left w:w="115" w:type="dxa"/>
              <w:bottom w:w="43" w:type="dxa"/>
              <w:right w:w="115" w:type="dxa"/>
            </w:tcMar>
          </w:tcPr>
          <w:p w14:paraId="194B401B" w14:textId="77777777" w:rsidR="0030618B" w:rsidRPr="00D40343" w:rsidRDefault="0030618B" w:rsidP="00F6762B">
            <w:pPr>
              <w:pStyle w:val="ListParagraph"/>
              <w:keepLines/>
              <w:numPr>
                <w:ilvl w:val="0"/>
                <w:numId w:val="0"/>
              </w:numPr>
              <w:spacing w:before="0" w:beforeAutospacing="0" w:after="0" w:afterAutospacing="0" w:line="276" w:lineRule="auto"/>
              <w:ind w:left="206"/>
              <w:jc w:val="center"/>
              <w:rPr>
                <w:rFonts w:ascii="Calibri" w:hAnsi="Calibri" w:cs="Calibri"/>
                <w:sz w:val="20"/>
                <w:szCs w:val="24"/>
                <w:shd w:val="clear" w:color="auto" w:fill="FFFFFF"/>
              </w:rPr>
            </w:pPr>
            <w:r w:rsidRPr="00D40343">
              <w:rPr>
                <w:rFonts w:asciiTheme="minorHAnsi" w:hAnsiTheme="minorHAnsi" w:cstheme="minorHAnsi"/>
                <w:sz w:val="20"/>
                <w:szCs w:val="24"/>
              </w:rPr>
              <w:t>5</w:t>
            </w:r>
          </w:p>
        </w:tc>
      </w:tr>
      <w:tr w:rsidR="0030618B" w:rsidRPr="00D40343" w14:paraId="2BF4CADE" w14:textId="77777777" w:rsidTr="00F6762B">
        <w:trPr>
          <w:trHeight w:val="14"/>
          <w:tblCellSpacing w:w="57" w:type="dxa"/>
        </w:trPr>
        <w:tc>
          <w:tcPr>
            <w:tcW w:w="2963" w:type="pct"/>
            <w:shd w:val="clear" w:color="auto" w:fill="C6E8D7"/>
            <w:tcMar>
              <w:top w:w="43" w:type="dxa"/>
              <w:left w:w="115" w:type="dxa"/>
              <w:bottom w:w="43" w:type="dxa"/>
              <w:right w:w="115" w:type="dxa"/>
            </w:tcMar>
          </w:tcPr>
          <w:p w14:paraId="185AB3FE" w14:textId="77777777" w:rsidR="0030618B" w:rsidRPr="00D40343" w:rsidRDefault="0030618B" w:rsidP="00F6762B">
            <w:pPr>
              <w:keepLines/>
              <w:spacing w:after="0"/>
              <w:ind w:left="360" w:hanging="360"/>
              <w:jc w:val="left"/>
              <w:rPr>
                <w:rFonts w:cs="Calibri"/>
                <w:b/>
                <w:sz w:val="20"/>
                <w:szCs w:val="24"/>
              </w:rPr>
            </w:pPr>
            <w:r w:rsidRPr="00D40343">
              <w:rPr>
                <w:rFonts w:cstheme="minorHAnsi"/>
                <w:b/>
                <w:sz w:val="20"/>
                <w:szCs w:val="24"/>
              </w:rPr>
              <w:t>Professional Reinsurer</w:t>
            </w:r>
          </w:p>
        </w:tc>
        <w:tc>
          <w:tcPr>
            <w:tcW w:w="1638" w:type="pct"/>
            <w:shd w:val="clear" w:color="auto" w:fill="C6E8D7"/>
            <w:tcMar>
              <w:top w:w="43" w:type="dxa"/>
              <w:left w:w="115" w:type="dxa"/>
              <w:bottom w:w="43" w:type="dxa"/>
              <w:right w:w="115" w:type="dxa"/>
            </w:tcMar>
          </w:tcPr>
          <w:p w14:paraId="6AB7E5B9" w14:textId="77777777" w:rsidR="0030618B" w:rsidRPr="00D40343" w:rsidRDefault="0030618B" w:rsidP="00F6762B">
            <w:pPr>
              <w:pStyle w:val="ListParagraph"/>
              <w:keepLines/>
              <w:numPr>
                <w:ilvl w:val="0"/>
                <w:numId w:val="0"/>
              </w:numPr>
              <w:spacing w:before="0" w:beforeAutospacing="0" w:after="0" w:afterAutospacing="0" w:line="276" w:lineRule="auto"/>
              <w:ind w:left="206"/>
              <w:jc w:val="center"/>
              <w:rPr>
                <w:rFonts w:ascii="Calibri" w:hAnsi="Calibri" w:cs="Calibri"/>
                <w:b/>
                <w:sz w:val="20"/>
                <w:szCs w:val="24"/>
                <w:shd w:val="clear" w:color="auto" w:fill="FFFFFF"/>
              </w:rPr>
            </w:pPr>
            <w:r w:rsidRPr="00D40343">
              <w:rPr>
                <w:rFonts w:asciiTheme="minorHAnsi" w:hAnsiTheme="minorHAnsi" w:cstheme="minorHAnsi"/>
                <w:b/>
                <w:sz w:val="20"/>
                <w:szCs w:val="24"/>
              </w:rPr>
              <w:t>1</w:t>
            </w:r>
          </w:p>
        </w:tc>
      </w:tr>
      <w:tr w:rsidR="0030618B" w:rsidRPr="00D40343" w14:paraId="3D22F249" w14:textId="77777777" w:rsidTr="00F6762B">
        <w:trPr>
          <w:trHeight w:val="14"/>
          <w:tblCellSpacing w:w="57" w:type="dxa"/>
        </w:trPr>
        <w:tc>
          <w:tcPr>
            <w:tcW w:w="2963" w:type="pct"/>
            <w:shd w:val="clear" w:color="auto" w:fill="4472C4"/>
            <w:tcMar>
              <w:top w:w="43" w:type="dxa"/>
              <w:left w:w="115" w:type="dxa"/>
              <w:bottom w:w="43" w:type="dxa"/>
              <w:right w:w="115" w:type="dxa"/>
            </w:tcMar>
          </w:tcPr>
          <w:p w14:paraId="69176643" w14:textId="77777777" w:rsidR="0030618B" w:rsidRPr="00D40343" w:rsidRDefault="0030618B" w:rsidP="00F6762B">
            <w:pPr>
              <w:keepLines/>
              <w:spacing w:after="0"/>
              <w:ind w:left="360" w:hanging="360"/>
              <w:jc w:val="left"/>
              <w:rPr>
                <w:rFonts w:cs="Calibri"/>
                <w:b/>
                <w:color w:val="FFFFFF" w:themeColor="background1"/>
                <w:sz w:val="20"/>
                <w:szCs w:val="24"/>
              </w:rPr>
            </w:pPr>
            <w:r w:rsidRPr="00D40343">
              <w:rPr>
                <w:rFonts w:cstheme="minorHAnsi"/>
                <w:b/>
                <w:color w:val="FFFFFF" w:themeColor="background1"/>
                <w:sz w:val="20"/>
                <w:szCs w:val="24"/>
              </w:rPr>
              <w:t xml:space="preserve"> Total</w:t>
            </w:r>
          </w:p>
        </w:tc>
        <w:tc>
          <w:tcPr>
            <w:tcW w:w="1638" w:type="pct"/>
            <w:shd w:val="clear" w:color="auto" w:fill="4472C4"/>
            <w:tcMar>
              <w:top w:w="43" w:type="dxa"/>
              <w:left w:w="115" w:type="dxa"/>
              <w:bottom w:w="43" w:type="dxa"/>
              <w:right w:w="115" w:type="dxa"/>
            </w:tcMar>
          </w:tcPr>
          <w:p w14:paraId="41BAFA59" w14:textId="77777777" w:rsidR="0030618B" w:rsidRPr="00D40343" w:rsidRDefault="0030618B" w:rsidP="00F6762B">
            <w:pPr>
              <w:pStyle w:val="ListParagraph"/>
              <w:keepLines/>
              <w:numPr>
                <w:ilvl w:val="0"/>
                <w:numId w:val="0"/>
              </w:numPr>
              <w:spacing w:before="0" w:beforeAutospacing="0" w:after="0" w:afterAutospacing="0" w:line="276" w:lineRule="auto"/>
              <w:ind w:left="206"/>
              <w:jc w:val="center"/>
              <w:rPr>
                <w:rFonts w:ascii="Calibri" w:hAnsi="Calibri" w:cs="Calibri"/>
                <w:color w:val="FFFFFF" w:themeColor="background1"/>
                <w:sz w:val="20"/>
                <w:szCs w:val="24"/>
                <w:shd w:val="clear" w:color="auto" w:fill="FFFFFF"/>
              </w:rPr>
            </w:pPr>
            <w:r w:rsidRPr="00D40343">
              <w:rPr>
                <w:rFonts w:asciiTheme="minorHAnsi" w:hAnsiTheme="minorHAnsi" w:cstheme="minorHAnsi"/>
                <w:b/>
                <w:color w:val="FFFFFF" w:themeColor="background1"/>
                <w:sz w:val="20"/>
                <w:szCs w:val="24"/>
              </w:rPr>
              <w:t>103</w:t>
            </w:r>
          </w:p>
        </w:tc>
      </w:tr>
    </w:tbl>
    <w:p w14:paraId="3E312748" w14:textId="0DF1F868" w:rsidR="00F76E53" w:rsidRPr="0030618B" w:rsidRDefault="00F76E53" w:rsidP="00F76E53">
      <w:pPr>
        <w:pStyle w:val="BodyText4"/>
        <w:numPr>
          <w:ilvl w:val="0"/>
          <w:numId w:val="2"/>
        </w:numPr>
        <w:spacing w:after="200" w:line="276" w:lineRule="auto"/>
        <w:ind w:left="0" w:hanging="567"/>
        <w:rPr>
          <w:rFonts w:ascii="Calibri" w:hAnsi="Calibri"/>
        </w:rPr>
      </w:pPr>
      <w:r w:rsidRPr="008F1E62">
        <w:rPr>
          <w:rFonts w:asciiTheme="minorHAnsi" w:hAnsiTheme="minorHAnsi" w:cstheme="minorBidi"/>
        </w:rPr>
        <w:t xml:space="preserve">In the Philippines, there are 102 domestic and foreign insurance companies plus </w:t>
      </w:r>
      <w:r w:rsidR="00856DBE">
        <w:rPr>
          <w:rFonts w:asciiTheme="minorHAnsi" w:hAnsiTheme="minorHAnsi" w:cstheme="minorBidi"/>
        </w:rPr>
        <w:t>one</w:t>
      </w:r>
      <w:r w:rsidR="00856DBE" w:rsidRPr="008F1E62">
        <w:rPr>
          <w:rFonts w:asciiTheme="minorHAnsi" w:hAnsiTheme="minorHAnsi" w:cstheme="minorBidi"/>
        </w:rPr>
        <w:t xml:space="preserve"> </w:t>
      </w:r>
      <w:r w:rsidRPr="008F1E62">
        <w:rPr>
          <w:rFonts w:asciiTheme="minorHAnsi" w:hAnsiTheme="minorHAnsi" w:cstheme="minorBidi"/>
        </w:rPr>
        <w:t xml:space="preserve">reinsurer as of December </w:t>
      </w:r>
      <w:r w:rsidR="0058395F" w:rsidRPr="008F1E62">
        <w:rPr>
          <w:rFonts w:asciiTheme="minorHAnsi" w:hAnsiTheme="minorHAnsi" w:cstheme="minorBidi"/>
        </w:rPr>
        <w:t>16</w:t>
      </w:r>
      <w:r w:rsidR="0058395F">
        <w:rPr>
          <w:rFonts w:asciiTheme="minorHAnsi" w:hAnsiTheme="minorHAnsi" w:cstheme="minorBidi"/>
        </w:rPr>
        <w:t>,</w:t>
      </w:r>
      <w:r w:rsidR="0058395F" w:rsidRPr="008F1E62">
        <w:rPr>
          <w:rFonts w:asciiTheme="minorHAnsi" w:hAnsiTheme="minorHAnsi" w:cstheme="minorBidi"/>
        </w:rPr>
        <w:t xml:space="preserve"> </w:t>
      </w:r>
      <w:r w:rsidRPr="008F1E62">
        <w:rPr>
          <w:rFonts w:asciiTheme="minorHAnsi" w:hAnsiTheme="minorHAnsi" w:cstheme="minorBidi"/>
        </w:rPr>
        <w:t xml:space="preserve">2016. Currently, there are 15 foreign insurance companies, 83 domestic and </w:t>
      </w:r>
      <w:proofErr w:type="gramStart"/>
      <w:r w:rsidRPr="008F1E62">
        <w:rPr>
          <w:rFonts w:asciiTheme="minorHAnsi" w:hAnsiTheme="minorHAnsi" w:cstheme="minorBidi"/>
        </w:rPr>
        <w:t>privately owned</w:t>
      </w:r>
      <w:proofErr w:type="gramEnd"/>
      <w:r w:rsidRPr="008F1E62">
        <w:rPr>
          <w:rFonts w:asciiTheme="minorHAnsi" w:hAnsiTheme="minorHAnsi" w:cstheme="minorBidi"/>
        </w:rPr>
        <w:t xml:space="preserve"> insurance companies</w:t>
      </w:r>
      <w:r w:rsidR="007E7879">
        <w:rPr>
          <w:rFonts w:asciiTheme="minorHAnsi" w:hAnsiTheme="minorHAnsi" w:cstheme="minorBidi"/>
        </w:rPr>
        <w:t>,</w:t>
      </w:r>
      <w:r w:rsidRPr="008F1E62">
        <w:rPr>
          <w:rFonts w:asciiTheme="minorHAnsi" w:hAnsiTheme="minorHAnsi" w:cstheme="minorBidi"/>
        </w:rPr>
        <w:t xml:space="preserve"> and </w:t>
      </w:r>
      <w:r w:rsidR="001F7817">
        <w:rPr>
          <w:rFonts w:asciiTheme="minorHAnsi" w:hAnsiTheme="minorHAnsi" w:cstheme="minorBidi"/>
        </w:rPr>
        <w:t>5</w:t>
      </w:r>
      <w:r w:rsidR="001F7817" w:rsidRPr="008F1E62">
        <w:rPr>
          <w:rFonts w:asciiTheme="minorHAnsi" w:hAnsiTheme="minorHAnsi" w:cstheme="minorBidi"/>
        </w:rPr>
        <w:t xml:space="preserve"> </w:t>
      </w:r>
      <w:r w:rsidRPr="008F1E62">
        <w:rPr>
          <w:rFonts w:asciiTheme="minorHAnsi" w:hAnsiTheme="minorHAnsi" w:cstheme="minorBidi"/>
        </w:rPr>
        <w:t>state-owned insurance companies. Only the professional reinsurer is listed and traded on the PSE.  The insurance industry posted 18% growth in 2015 with both life and non-life sectors recording significant expansions. The insurance industry is expected to expand further given the country’</w:t>
      </w:r>
      <w:r w:rsidR="007E7879">
        <w:rPr>
          <w:rFonts w:asciiTheme="minorHAnsi" w:hAnsiTheme="minorHAnsi" w:cstheme="minorBidi"/>
        </w:rPr>
        <w:t>s</w:t>
      </w:r>
      <w:r w:rsidRPr="008F1E62">
        <w:rPr>
          <w:rFonts w:asciiTheme="minorHAnsi" w:hAnsiTheme="minorHAnsi" w:cstheme="minorBidi"/>
        </w:rPr>
        <w:t xml:space="preserve"> economic growth prospects and expanding middle class. On a macroeconomic level, the combined premiums of life and non-life sectors as a percentage of GDP were</w:t>
      </w:r>
      <w:r w:rsidR="00FB3B10">
        <w:rPr>
          <w:rFonts w:asciiTheme="minorHAnsi" w:hAnsiTheme="minorHAnsi" w:cstheme="minorBidi"/>
        </w:rPr>
        <w:t>:</w:t>
      </w:r>
      <w:r w:rsidRPr="008F1E62">
        <w:rPr>
          <w:rFonts w:asciiTheme="minorHAnsi" w:hAnsiTheme="minorHAnsi" w:cstheme="minorBidi"/>
        </w:rPr>
        <w:t xml:space="preserve"> 1.83% in 2013, 1.56 in 2014, and 1.75% in 2015</w:t>
      </w:r>
      <w:r w:rsidRPr="008F1E62">
        <w:rPr>
          <w:rStyle w:val="FootnoteReference"/>
          <w:rFonts w:asciiTheme="minorHAnsi" w:hAnsiTheme="minorHAnsi" w:cstheme="minorBidi"/>
        </w:rPr>
        <w:footnoteReference w:id="26"/>
      </w:r>
      <w:r w:rsidRPr="008F1E62">
        <w:rPr>
          <w:rFonts w:asciiTheme="minorHAnsi" w:hAnsiTheme="minorHAnsi" w:cstheme="minorBidi"/>
        </w:rPr>
        <w:t>.</w:t>
      </w:r>
    </w:p>
    <w:p w14:paraId="7EBCC866" w14:textId="77777777" w:rsidR="00F76E53" w:rsidRPr="001F7817" w:rsidRDefault="00F76E53" w:rsidP="00F76E53">
      <w:pPr>
        <w:pStyle w:val="BodyText4"/>
        <w:numPr>
          <w:ilvl w:val="0"/>
          <w:numId w:val="2"/>
        </w:numPr>
        <w:spacing w:after="100" w:line="276" w:lineRule="auto"/>
        <w:ind w:left="0" w:hanging="562"/>
        <w:rPr>
          <w:rFonts w:ascii="Calibri" w:hAnsi="Calibri"/>
          <w:szCs w:val="22"/>
        </w:rPr>
      </w:pPr>
      <w:r w:rsidRPr="008F1E62">
        <w:rPr>
          <w:rFonts w:asciiTheme="minorHAnsi" w:hAnsiTheme="minorHAnsi" w:cstheme="minorBidi"/>
        </w:rPr>
        <w:t xml:space="preserve">The IC regulates Philippine insurance companies and is a government agency under the DOF. IC’s </w:t>
      </w:r>
      <w:r w:rsidRPr="001F7817">
        <w:rPr>
          <w:rFonts w:asciiTheme="minorHAnsi" w:hAnsiTheme="minorHAnsi" w:cstheme="minorBidi"/>
          <w:szCs w:val="22"/>
        </w:rPr>
        <w:t>mandate is to regulate and supervise insurance through the provisions of the New Insurance Code</w:t>
      </w:r>
      <w:r w:rsidRPr="001F7817">
        <w:rPr>
          <w:rStyle w:val="FootnoteReference"/>
          <w:rFonts w:asciiTheme="minorHAnsi" w:hAnsiTheme="minorHAnsi" w:cstheme="minorBidi"/>
          <w:szCs w:val="22"/>
        </w:rPr>
        <w:footnoteReference w:id="27"/>
      </w:r>
      <w:r w:rsidRPr="001F7817">
        <w:rPr>
          <w:rFonts w:asciiTheme="minorHAnsi" w:hAnsiTheme="minorHAnsi" w:cstheme="minorBidi"/>
          <w:szCs w:val="22"/>
        </w:rPr>
        <w:t xml:space="preserve">. The IC </w:t>
      </w:r>
      <w:r w:rsidRPr="001F7817">
        <w:rPr>
          <w:rFonts w:ascii="Calibri" w:hAnsi="Calibri" w:cs="Calibri"/>
          <w:szCs w:val="22"/>
        </w:rPr>
        <w:t xml:space="preserve">is responsible for safeguarding the interest of policyholders and other stakeholders.  It also aims to strengthen the insurance industry and to make it globally competitive. </w:t>
      </w:r>
      <w:r w:rsidRPr="00240A07">
        <w:rPr>
          <w:rFonts w:asciiTheme="minorHAnsi" w:hAnsiTheme="minorHAnsi" w:cstheme="minorBidi"/>
          <w:szCs w:val="22"/>
        </w:rPr>
        <w:t>In addition to the insurance industry, the IC also oversees the pre-need i</w:t>
      </w:r>
      <w:r w:rsidRPr="00150BB3">
        <w:rPr>
          <w:rFonts w:asciiTheme="minorHAnsi" w:hAnsiTheme="minorHAnsi" w:cstheme="minorBidi"/>
          <w:szCs w:val="22"/>
        </w:rPr>
        <w:t>ndustries</w:t>
      </w:r>
      <w:r w:rsidRPr="001F7817">
        <w:rPr>
          <w:rStyle w:val="FootnoteReference"/>
          <w:rFonts w:asciiTheme="minorHAnsi" w:hAnsiTheme="minorHAnsi" w:cstheme="minorBidi"/>
          <w:szCs w:val="22"/>
        </w:rPr>
        <w:footnoteReference w:id="28"/>
      </w:r>
      <w:r w:rsidRPr="001F7817">
        <w:rPr>
          <w:rFonts w:asciiTheme="minorHAnsi" w:hAnsiTheme="minorHAnsi" w:cstheme="minorBidi"/>
          <w:szCs w:val="22"/>
        </w:rPr>
        <w:t xml:space="preserve">, the </w:t>
      </w:r>
      <w:r w:rsidRPr="001F7817">
        <w:rPr>
          <w:rFonts w:ascii="Calibri" w:hAnsi="Calibri" w:cs="Calibri"/>
          <w:szCs w:val="22"/>
        </w:rPr>
        <w:t>HMO</w:t>
      </w:r>
      <w:r w:rsidRPr="001F7817">
        <w:rPr>
          <w:rStyle w:val="FootnoteReference"/>
          <w:rFonts w:ascii="Calibri" w:hAnsi="Calibri" w:cs="Calibri"/>
          <w:szCs w:val="22"/>
        </w:rPr>
        <w:footnoteReference w:id="29"/>
      </w:r>
      <w:r w:rsidRPr="001F7817">
        <w:rPr>
          <w:rFonts w:asciiTheme="minorHAnsi" w:hAnsiTheme="minorHAnsi" w:cstheme="minorBidi"/>
          <w:szCs w:val="22"/>
        </w:rPr>
        <w:t xml:space="preserve"> and the following institutions:</w:t>
      </w:r>
    </w:p>
    <w:p w14:paraId="2B60E9B1" w14:textId="77777777" w:rsidR="00F76E53" w:rsidRPr="00764D37" w:rsidRDefault="00F76E53" w:rsidP="00FF7A94">
      <w:pPr>
        <w:pStyle w:val="NormalWeb"/>
        <w:numPr>
          <w:ilvl w:val="0"/>
          <w:numId w:val="10"/>
        </w:numPr>
        <w:spacing w:beforeLines="0" w:afterLines="0" w:after="100" w:line="276" w:lineRule="auto"/>
        <w:ind w:left="360"/>
        <w:rPr>
          <w:rFonts w:asciiTheme="minorHAnsi" w:hAnsiTheme="minorHAnsi" w:cstheme="minorHAnsi"/>
          <w:sz w:val="22"/>
          <w:szCs w:val="22"/>
        </w:rPr>
      </w:pPr>
      <w:r w:rsidRPr="00764D37">
        <w:rPr>
          <w:rFonts w:asciiTheme="minorHAnsi" w:hAnsiTheme="minorHAnsi" w:cstheme="minorHAnsi"/>
          <w:sz w:val="22"/>
          <w:szCs w:val="22"/>
        </w:rPr>
        <w:t xml:space="preserve">Insurance brokers </w:t>
      </w:r>
      <w:r w:rsidRPr="00764D37">
        <w:rPr>
          <w:rFonts w:ascii="Calibri" w:hAnsi="Calibri" w:cs="Calibri"/>
          <w:sz w:val="22"/>
          <w:szCs w:val="22"/>
        </w:rPr>
        <w:t xml:space="preserve">(62 brokers as of February </w:t>
      </w:r>
      <w:r w:rsidR="005F715F" w:rsidRPr="00764D37">
        <w:rPr>
          <w:rFonts w:ascii="Calibri" w:hAnsi="Calibri" w:cs="Calibri"/>
          <w:sz w:val="22"/>
          <w:szCs w:val="22"/>
        </w:rPr>
        <w:t xml:space="preserve">23, </w:t>
      </w:r>
      <w:r w:rsidRPr="00764D37">
        <w:rPr>
          <w:rFonts w:ascii="Calibri" w:hAnsi="Calibri" w:cs="Calibri"/>
          <w:sz w:val="22"/>
          <w:szCs w:val="22"/>
        </w:rPr>
        <w:t xml:space="preserve">2015) and </w:t>
      </w:r>
      <w:r w:rsidRPr="00764D37">
        <w:rPr>
          <w:rFonts w:asciiTheme="minorHAnsi" w:hAnsiTheme="minorHAnsi" w:cstheme="minorHAnsi"/>
          <w:sz w:val="22"/>
          <w:szCs w:val="22"/>
        </w:rPr>
        <w:t>reinsurance brokers (</w:t>
      </w:r>
      <w:r w:rsidRPr="00764D37">
        <w:rPr>
          <w:rFonts w:ascii="Calibri" w:hAnsi="Calibri" w:cs="Calibri"/>
          <w:sz w:val="22"/>
          <w:szCs w:val="22"/>
        </w:rPr>
        <w:t xml:space="preserve">21 brokers as of January </w:t>
      </w:r>
      <w:r w:rsidR="005F715F" w:rsidRPr="00764D37">
        <w:rPr>
          <w:rFonts w:ascii="Calibri" w:hAnsi="Calibri" w:cs="Calibri"/>
          <w:sz w:val="22"/>
          <w:szCs w:val="22"/>
        </w:rPr>
        <w:t xml:space="preserve">30, </w:t>
      </w:r>
      <w:r w:rsidRPr="00764D37">
        <w:rPr>
          <w:rFonts w:ascii="Calibri" w:hAnsi="Calibri" w:cs="Calibri"/>
          <w:sz w:val="22"/>
          <w:szCs w:val="22"/>
        </w:rPr>
        <w:t>2015)</w:t>
      </w:r>
    </w:p>
    <w:p w14:paraId="3FF1EFDC" w14:textId="77777777" w:rsidR="00F76E53" w:rsidRPr="001F7817" w:rsidRDefault="00F76E53" w:rsidP="00FF7A94">
      <w:pPr>
        <w:pStyle w:val="ListParagraph"/>
        <w:numPr>
          <w:ilvl w:val="0"/>
          <w:numId w:val="10"/>
        </w:numPr>
        <w:spacing w:before="0" w:beforeAutospacing="0" w:afterAutospacing="0" w:line="276" w:lineRule="auto"/>
        <w:ind w:left="360"/>
        <w:rPr>
          <w:rFonts w:ascii="Calibri" w:hAnsi="Calibri" w:cs="Calibri"/>
        </w:rPr>
      </w:pPr>
      <w:r w:rsidRPr="001F7817">
        <w:rPr>
          <w:rFonts w:ascii="Calibri" w:hAnsi="Calibri" w:cs="Calibri"/>
        </w:rPr>
        <w:t xml:space="preserve">Mutual Benefit Associations </w:t>
      </w:r>
      <w:r w:rsidR="00242443" w:rsidRPr="001F7817">
        <w:rPr>
          <w:rFonts w:ascii="Calibri" w:hAnsi="Calibri" w:cs="Calibri"/>
        </w:rPr>
        <w:t>(</w:t>
      </w:r>
      <w:r w:rsidRPr="001F7817">
        <w:rPr>
          <w:rFonts w:ascii="Calibri" w:hAnsi="Calibri" w:cs="Calibri"/>
        </w:rPr>
        <w:t xml:space="preserve">inclusive of Micro </w:t>
      </w:r>
      <w:r w:rsidR="00242443" w:rsidRPr="001F7817">
        <w:rPr>
          <w:rFonts w:ascii="Calibri" w:hAnsi="Calibri" w:cs="Calibri"/>
        </w:rPr>
        <w:t xml:space="preserve">Mutual Benefit Associations) </w:t>
      </w:r>
      <w:r w:rsidRPr="001F7817">
        <w:rPr>
          <w:rFonts w:ascii="Calibri" w:hAnsi="Calibri" w:cs="Calibri"/>
        </w:rPr>
        <w:t xml:space="preserve">(33 institutions as of November </w:t>
      </w:r>
      <w:r w:rsidR="005F715F" w:rsidRPr="001F7817">
        <w:rPr>
          <w:rFonts w:ascii="Calibri" w:hAnsi="Calibri" w:cs="Calibri"/>
        </w:rPr>
        <w:t xml:space="preserve">24, </w:t>
      </w:r>
      <w:r w:rsidRPr="001F7817">
        <w:rPr>
          <w:rFonts w:ascii="Calibri" w:hAnsi="Calibri" w:cs="Calibri"/>
        </w:rPr>
        <w:t>2016)</w:t>
      </w:r>
    </w:p>
    <w:p w14:paraId="3F8BAC7B" w14:textId="77777777" w:rsidR="00F76E53" w:rsidRPr="008F1E62" w:rsidRDefault="00F76E53" w:rsidP="00FF7A94">
      <w:pPr>
        <w:pStyle w:val="ListParagraph"/>
        <w:numPr>
          <w:ilvl w:val="0"/>
          <w:numId w:val="10"/>
        </w:numPr>
        <w:spacing w:before="0" w:beforeAutospacing="0" w:afterAutospacing="0" w:line="276" w:lineRule="auto"/>
        <w:ind w:left="360"/>
        <w:rPr>
          <w:rFonts w:ascii="Calibri" w:hAnsi="Calibri" w:cs="Calibri"/>
          <w:szCs w:val="24"/>
        </w:rPr>
      </w:pPr>
      <w:r w:rsidRPr="008F1E62">
        <w:rPr>
          <w:rFonts w:ascii="Calibri" w:hAnsi="Calibri" w:cs="Calibri"/>
          <w:szCs w:val="24"/>
        </w:rPr>
        <w:t xml:space="preserve">Trust for Charitable Institutions (20 institutions as of February </w:t>
      </w:r>
      <w:r w:rsidR="005F715F" w:rsidRPr="008F1E62">
        <w:rPr>
          <w:rFonts w:ascii="Calibri" w:hAnsi="Calibri" w:cs="Calibri"/>
          <w:szCs w:val="24"/>
        </w:rPr>
        <w:t>3</w:t>
      </w:r>
      <w:r w:rsidR="005F715F">
        <w:rPr>
          <w:rFonts w:ascii="Calibri" w:hAnsi="Calibri" w:cs="Calibri"/>
          <w:szCs w:val="24"/>
        </w:rPr>
        <w:t>,</w:t>
      </w:r>
      <w:r w:rsidR="005F715F" w:rsidRPr="008F1E62">
        <w:rPr>
          <w:rFonts w:ascii="Calibri" w:hAnsi="Calibri" w:cs="Calibri"/>
          <w:szCs w:val="24"/>
        </w:rPr>
        <w:t xml:space="preserve"> </w:t>
      </w:r>
      <w:r w:rsidRPr="008F1E62">
        <w:rPr>
          <w:rFonts w:ascii="Calibri" w:hAnsi="Calibri" w:cs="Calibri"/>
          <w:szCs w:val="24"/>
        </w:rPr>
        <w:t>2016)</w:t>
      </w:r>
    </w:p>
    <w:p w14:paraId="6C64B130" w14:textId="77777777" w:rsidR="00F76E53" w:rsidRPr="008F1E62" w:rsidRDefault="00F76E53" w:rsidP="00FF7A94">
      <w:pPr>
        <w:pStyle w:val="ListParagraph"/>
        <w:numPr>
          <w:ilvl w:val="0"/>
          <w:numId w:val="10"/>
        </w:numPr>
        <w:spacing w:before="0" w:beforeAutospacing="0" w:afterAutospacing="0" w:line="276" w:lineRule="auto"/>
        <w:ind w:left="360"/>
        <w:rPr>
          <w:rFonts w:asciiTheme="minorHAnsi" w:hAnsiTheme="minorHAnsi" w:cstheme="minorBidi"/>
          <w:szCs w:val="24"/>
        </w:rPr>
      </w:pPr>
      <w:r w:rsidRPr="008F1E62">
        <w:rPr>
          <w:rFonts w:ascii="Calibri" w:hAnsi="Calibri" w:cs="Calibri"/>
          <w:szCs w:val="24"/>
        </w:rPr>
        <w:t xml:space="preserve">Pre-Need Companies (18 companies as of November </w:t>
      </w:r>
      <w:r w:rsidR="00C60A90" w:rsidRPr="008F1E62">
        <w:rPr>
          <w:rFonts w:ascii="Calibri" w:hAnsi="Calibri" w:cs="Calibri"/>
          <w:szCs w:val="24"/>
        </w:rPr>
        <w:t>24</w:t>
      </w:r>
      <w:r w:rsidR="00C60A90">
        <w:rPr>
          <w:rFonts w:ascii="Calibri" w:hAnsi="Calibri" w:cs="Calibri"/>
          <w:szCs w:val="24"/>
        </w:rPr>
        <w:t>,</w:t>
      </w:r>
      <w:r w:rsidR="00C60A90" w:rsidRPr="008F1E62">
        <w:rPr>
          <w:rFonts w:ascii="Calibri" w:hAnsi="Calibri" w:cs="Calibri"/>
          <w:szCs w:val="24"/>
        </w:rPr>
        <w:t xml:space="preserve"> </w:t>
      </w:r>
      <w:r w:rsidRPr="008F1E62">
        <w:rPr>
          <w:rFonts w:ascii="Calibri" w:hAnsi="Calibri" w:cs="Calibri"/>
          <w:szCs w:val="24"/>
        </w:rPr>
        <w:t>2016)</w:t>
      </w:r>
    </w:p>
    <w:p w14:paraId="6DEE7BB7" w14:textId="77777777" w:rsidR="00F76E53" w:rsidRPr="008F1E62" w:rsidRDefault="00F76E53" w:rsidP="0077686B">
      <w:pPr>
        <w:pStyle w:val="Heading3"/>
      </w:pPr>
      <w:r w:rsidRPr="008F1E62">
        <w:t>Non</w:t>
      </w:r>
      <w:r w:rsidR="00BA151C">
        <w:t>-</w:t>
      </w:r>
      <w:r w:rsidRPr="008F1E62">
        <w:t>Listed Commercial Enterprises</w:t>
      </w:r>
    </w:p>
    <w:p w14:paraId="710D104A" w14:textId="77777777" w:rsidR="00F76E53" w:rsidRPr="008F1E62" w:rsidRDefault="00F76E53" w:rsidP="00F76E53">
      <w:pPr>
        <w:pStyle w:val="BodyText4"/>
        <w:numPr>
          <w:ilvl w:val="0"/>
          <w:numId w:val="2"/>
        </w:numPr>
        <w:spacing w:after="200" w:line="276" w:lineRule="auto"/>
        <w:ind w:left="0" w:hanging="567"/>
        <w:rPr>
          <w:rFonts w:ascii="Calibri" w:hAnsi="Calibri"/>
        </w:rPr>
      </w:pPr>
      <w:r w:rsidRPr="00484744">
        <w:rPr>
          <w:rFonts w:ascii="Calibri" w:hAnsi="Calibri"/>
          <w:b/>
        </w:rPr>
        <w:t>I</w:t>
      </w:r>
      <w:r w:rsidRPr="00484744">
        <w:rPr>
          <w:rFonts w:asciiTheme="minorHAnsi" w:hAnsiTheme="minorHAnsi" w:cs="Arial"/>
          <w:b/>
        </w:rPr>
        <w:t>t is estimated that 80% of businesses in the Philippines are family enterprises and most of the large corporations are either family-owned or family controlled.</w:t>
      </w:r>
      <w:r w:rsidRPr="008F1E62">
        <w:rPr>
          <w:rFonts w:asciiTheme="minorHAnsi" w:hAnsiTheme="minorHAnsi" w:cs="Arial"/>
        </w:rPr>
        <w:t xml:space="preserve"> There are 356,485 active stock </w:t>
      </w:r>
      <w:r w:rsidRPr="008F1E62">
        <w:rPr>
          <w:rFonts w:asciiTheme="minorHAnsi" w:hAnsiTheme="minorHAnsi"/>
          <w:bCs/>
          <w:szCs w:val="24"/>
        </w:rPr>
        <w:t>corporations</w:t>
      </w:r>
      <w:r w:rsidRPr="008F1E62">
        <w:rPr>
          <w:rFonts w:asciiTheme="minorHAnsi" w:hAnsiTheme="minorHAnsi" w:cs="Arial"/>
        </w:rPr>
        <w:t xml:space="preserve"> registered with the SEC across 17 regions as of December 31, 2016.</w:t>
      </w:r>
      <w:r w:rsidRPr="008F1E62">
        <w:rPr>
          <w:rFonts w:ascii="Calibri" w:hAnsi="Calibri"/>
        </w:rPr>
        <w:t xml:space="preserve"> </w:t>
      </w:r>
      <w:r w:rsidRPr="008F1E62">
        <w:rPr>
          <w:rFonts w:asciiTheme="minorHAnsi" w:hAnsiTheme="minorHAnsi" w:cs="Arial"/>
        </w:rPr>
        <w:t>Partnerships are also a common form of commercial enterprise in the country. As of December 31, 2016, there are 101,627 active partnerships</w:t>
      </w:r>
      <w:r w:rsidRPr="008F1E62">
        <w:rPr>
          <w:rStyle w:val="FootnoteReference"/>
          <w:rFonts w:asciiTheme="minorHAnsi" w:hAnsiTheme="minorHAnsi" w:cs="Arial"/>
        </w:rPr>
        <w:footnoteReference w:id="30"/>
      </w:r>
      <w:r w:rsidRPr="008F1E62">
        <w:rPr>
          <w:rFonts w:asciiTheme="minorHAnsi" w:hAnsiTheme="minorHAnsi" w:cs="Arial"/>
        </w:rPr>
        <w:t xml:space="preserve"> recorded with the SEC. Newly recorded partnerships by the SEC numbered 16,589 from 2011 to 2015 (average of 3,318 per year) with total capital contribution of 8.984 billion </w:t>
      </w:r>
      <w:r w:rsidR="00883CC6">
        <w:rPr>
          <w:rFonts w:asciiTheme="minorHAnsi" w:hAnsiTheme="minorHAnsi" w:cs="Arial"/>
        </w:rPr>
        <w:t xml:space="preserve">pesos </w:t>
      </w:r>
      <w:r w:rsidRPr="008F1E62">
        <w:rPr>
          <w:rFonts w:asciiTheme="minorHAnsi" w:hAnsiTheme="minorHAnsi" w:cs="Arial"/>
        </w:rPr>
        <w:t xml:space="preserve">(average of 1.797 billion </w:t>
      </w:r>
      <w:r w:rsidR="00883CC6">
        <w:rPr>
          <w:rFonts w:asciiTheme="minorHAnsi" w:hAnsiTheme="minorHAnsi" w:cs="Arial"/>
        </w:rPr>
        <w:t xml:space="preserve">pesos </w:t>
      </w:r>
      <w:r w:rsidRPr="008F1E62">
        <w:rPr>
          <w:rFonts w:asciiTheme="minorHAnsi" w:hAnsiTheme="minorHAnsi" w:cs="Arial"/>
        </w:rPr>
        <w:t>per year).</w:t>
      </w:r>
    </w:p>
    <w:p w14:paraId="1D36EDFB" w14:textId="77777777" w:rsidR="00F76E53" w:rsidRPr="008F1E62" w:rsidRDefault="00F76E53" w:rsidP="0077686B">
      <w:pPr>
        <w:pStyle w:val="Heading3"/>
      </w:pPr>
      <w:r w:rsidRPr="008F1E62">
        <w:t>Micro, Small and Medium Sized Enterprises</w:t>
      </w:r>
    </w:p>
    <w:p w14:paraId="474628F5" w14:textId="2CDB4E7D" w:rsidR="00F76E53" w:rsidRPr="00235E1F" w:rsidRDefault="00F76E53" w:rsidP="00235E1F">
      <w:pPr>
        <w:pStyle w:val="BodyText4"/>
        <w:numPr>
          <w:ilvl w:val="0"/>
          <w:numId w:val="2"/>
        </w:numPr>
        <w:spacing w:after="200" w:line="276" w:lineRule="auto"/>
        <w:ind w:left="0" w:hanging="567"/>
        <w:rPr>
          <w:rFonts w:cs="Arial"/>
        </w:rPr>
      </w:pPr>
      <w:r w:rsidRPr="008F1E62">
        <w:rPr>
          <w:rFonts w:asciiTheme="minorHAnsi" w:hAnsiTheme="minorHAnsi" w:cs="Arial"/>
          <w:b/>
          <w:bCs/>
        </w:rPr>
        <w:t>The Magna Carta for MSMEs defines MSMEs as any business activity or enterprise engaged in industry, agribusiness</w:t>
      </w:r>
      <w:r w:rsidR="002F22A0">
        <w:rPr>
          <w:rFonts w:asciiTheme="minorHAnsi" w:hAnsiTheme="minorHAnsi" w:cs="Arial"/>
          <w:b/>
          <w:bCs/>
        </w:rPr>
        <w:t>,</w:t>
      </w:r>
      <w:r w:rsidRPr="008F1E62">
        <w:rPr>
          <w:rFonts w:asciiTheme="minorHAnsi" w:hAnsiTheme="minorHAnsi" w:cs="Arial"/>
          <w:b/>
          <w:bCs/>
        </w:rPr>
        <w:t xml:space="preserve"> and/or services, whether single proprietorship, cooperative, partnership</w:t>
      </w:r>
      <w:r w:rsidR="002F22A0">
        <w:rPr>
          <w:rFonts w:asciiTheme="minorHAnsi" w:hAnsiTheme="minorHAnsi" w:cs="Arial"/>
          <w:b/>
          <w:bCs/>
        </w:rPr>
        <w:t>,</w:t>
      </w:r>
      <w:r w:rsidRPr="008F1E62">
        <w:rPr>
          <w:rFonts w:asciiTheme="minorHAnsi" w:hAnsiTheme="minorHAnsi" w:cs="Arial"/>
          <w:b/>
          <w:bCs/>
        </w:rPr>
        <w:t xml:space="preserve"> or corporation whose total assets have a value that fall within the appropriate categories as noted in Table 4.</w:t>
      </w:r>
      <w:r w:rsidRPr="008F1E62">
        <w:rPr>
          <w:rFonts w:asciiTheme="minorHAnsi" w:hAnsiTheme="minorHAnsi" w:cs="Arial"/>
        </w:rPr>
        <w:t xml:space="preserve"> </w:t>
      </w:r>
      <w:r w:rsidRPr="008F1E62">
        <w:rPr>
          <w:rFonts w:asciiTheme="minorHAnsi" w:hAnsiTheme="minorHAnsi" w:cs="Arial"/>
          <w:color w:val="0A0A0A"/>
        </w:rPr>
        <w:t xml:space="preserve"> </w:t>
      </w:r>
      <w:r w:rsidRPr="008F1E62">
        <w:rPr>
          <w:rFonts w:ascii="Calibri" w:hAnsi="Calibri"/>
        </w:rPr>
        <w:t xml:space="preserve">Joint Resolution No. 1 Series of 2003 issued by the National Statistics Office and the Small and Medium </w:t>
      </w:r>
      <w:r w:rsidRPr="008F1E62">
        <w:rPr>
          <w:rFonts w:asciiTheme="minorHAnsi" w:hAnsiTheme="minorHAnsi"/>
          <w:bCs/>
          <w:szCs w:val="24"/>
        </w:rPr>
        <w:t>Enterprises</w:t>
      </w:r>
      <w:r w:rsidRPr="008F1E62">
        <w:rPr>
          <w:rFonts w:ascii="Calibri" w:hAnsi="Calibri"/>
        </w:rPr>
        <w:t xml:space="preserve"> Development Council states that enterprises may be classified according to number of employees or amount of assets (excluding fixed assets).</w:t>
      </w:r>
    </w:p>
    <w:tbl>
      <w:tblPr>
        <w:tblW w:w="4975" w:type="pct"/>
        <w:jc w:val="center"/>
        <w:tblCellSpacing w:w="57" w:type="dxa"/>
        <w:tblBorders>
          <w:top w:val="single" w:sz="4" w:space="0" w:color="4472C4"/>
          <w:left w:val="single" w:sz="4" w:space="0" w:color="4472C4"/>
          <w:bottom w:val="single" w:sz="4" w:space="0" w:color="4472C4"/>
          <w:right w:val="single" w:sz="4" w:space="0" w:color="4472C4"/>
        </w:tblBorders>
        <w:tblCellMar>
          <w:top w:w="43" w:type="dxa"/>
          <w:left w:w="115" w:type="dxa"/>
          <w:bottom w:w="43" w:type="dxa"/>
          <w:right w:w="115" w:type="dxa"/>
        </w:tblCellMar>
        <w:tblLook w:val="04A0" w:firstRow="1" w:lastRow="0" w:firstColumn="1" w:lastColumn="0" w:noHBand="0" w:noVBand="1"/>
      </w:tblPr>
      <w:tblGrid>
        <w:gridCol w:w="1098"/>
        <w:gridCol w:w="1593"/>
        <w:gridCol w:w="3294"/>
        <w:gridCol w:w="1025"/>
        <w:gridCol w:w="1961"/>
      </w:tblGrid>
      <w:tr w:rsidR="00235E1F" w:rsidRPr="00D40343" w14:paraId="64FEF799" w14:textId="77777777" w:rsidTr="00C04BF9">
        <w:trPr>
          <w:trHeight w:val="202"/>
          <w:tblHeader/>
          <w:tblCellSpacing w:w="57" w:type="dxa"/>
          <w:jc w:val="center"/>
        </w:trPr>
        <w:tc>
          <w:tcPr>
            <w:tcW w:w="4873" w:type="pct"/>
            <w:gridSpan w:val="5"/>
            <w:shd w:val="clear" w:color="auto" w:fill="auto"/>
            <w:tcMar>
              <w:top w:w="43" w:type="dxa"/>
              <w:left w:w="115" w:type="dxa"/>
              <w:bottom w:w="43" w:type="dxa"/>
              <w:right w:w="115" w:type="dxa"/>
            </w:tcMar>
            <w:vAlign w:val="center"/>
          </w:tcPr>
          <w:p w14:paraId="5DDC3C37" w14:textId="45D451EC" w:rsidR="00235E1F" w:rsidRPr="00235E1F" w:rsidRDefault="00235E1F" w:rsidP="00DD5BB1">
            <w:pPr>
              <w:keepNext/>
              <w:keepLines/>
              <w:spacing w:after="0"/>
              <w:jc w:val="center"/>
              <w:rPr>
                <w:rFonts w:eastAsia="Times New Roman" w:cs="Calibri"/>
                <w:b/>
                <w:color w:val="FFFFFF" w:themeColor="background1"/>
                <w:sz w:val="20"/>
              </w:rPr>
            </w:pPr>
            <w:r w:rsidRPr="00235E1F">
              <w:rPr>
                <w:b/>
                <w:sz w:val="20"/>
                <w:szCs w:val="24"/>
              </w:rPr>
              <w:t xml:space="preserve">Table </w:t>
            </w:r>
            <w:r w:rsidRPr="00235E1F">
              <w:rPr>
                <w:b/>
                <w:sz w:val="20"/>
                <w:szCs w:val="24"/>
              </w:rPr>
              <w:fldChar w:fldCharType="begin"/>
            </w:r>
            <w:r w:rsidRPr="00235E1F">
              <w:rPr>
                <w:b/>
                <w:sz w:val="20"/>
                <w:szCs w:val="24"/>
              </w:rPr>
              <w:instrText xml:space="preserve"> SEQ Table \* ARABIC </w:instrText>
            </w:r>
            <w:r w:rsidRPr="00235E1F">
              <w:rPr>
                <w:b/>
                <w:sz w:val="20"/>
                <w:szCs w:val="24"/>
              </w:rPr>
              <w:fldChar w:fldCharType="separate"/>
            </w:r>
            <w:r w:rsidR="004310EC">
              <w:rPr>
                <w:b/>
                <w:noProof/>
                <w:sz w:val="20"/>
                <w:szCs w:val="24"/>
              </w:rPr>
              <w:t>4</w:t>
            </w:r>
            <w:r w:rsidRPr="00235E1F">
              <w:rPr>
                <w:b/>
                <w:sz w:val="20"/>
                <w:szCs w:val="24"/>
              </w:rPr>
              <w:fldChar w:fldCharType="end"/>
            </w:r>
            <w:r w:rsidRPr="00235E1F">
              <w:rPr>
                <w:rFonts w:ascii="Calibri" w:hAnsi="Calibri" w:cs="Calibri"/>
                <w:b/>
                <w:color w:val="000000"/>
                <w:sz w:val="20"/>
                <w:szCs w:val="24"/>
              </w:rPr>
              <w:t>. MSME Profile</w:t>
            </w:r>
            <w:r w:rsidRPr="00235E1F">
              <w:rPr>
                <w:rStyle w:val="FootnoteReference"/>
                <w:rFonts w:ascii="Calibri" w:hAnsi="Calibri" w:cs="Calibri"/>
                <w:b/>
                <w:color w:val="000000"/>
                <w:sz w:val="20"/>
                <w:szCs w:val="24"/>
              </w:rPr>
              <w:footnoteReference w:id="31"/>
            </w:r>
          </w:p>
        </w:tc>
      </w:tr>
      <w:tr w:rsidR="00B00E88" w:rsidRPr="00D40343" w14:paraId="1BEE3559" w14:textId="77777777" w:rsidTr="00C04BF9">
        <w:trPr>
          <w:trHeight w:val="202"/>
          <w:tblHeader/>
          <w:tblCellSpacing w:w="57" w:type="dxa"/>
          <w:jc w:val="center"/>
        </w:trPr>
        <w:tc>
          <w:tcPr>
            <w:tcW w:w="517" w:type="pct"/>
            <w:shd w:val="clear" w:color="auto" w:fill="4472C4"/>
            <w:tcMar>
              <w:top w:w="43" w:type="dxa"/>
              <w:left w:w="115" w:type="dxa"/>
              <w:bottom w:w="43" w:type="dxa"/>
              <w:right w:w="115" w:type="dxa"/>
            </w:tcMar>
            <w:vAlign w:val="center"/>
          </w:tcPr>
          <w:p w14:paraId="699E2B93" w14:textId="77777777" w:rsidR="00F76E53" w:rsidRPr="00D40343" w:rsidRDefault="00F76E53" w:rsidP="00DD5BB1">
            <w:pPr>
              <w:keepNext/>
              <w:keepLines/>
              <w:spacing w:after="0"/>
              <w:jc w:val="center"/>
              <w:rPr>
                <w:rFonts w:eastAsia="Times New Roman" w:cs="Calibri"/>
                <w:b/>
                <w:color w:val="FFFFFF" w:themeColor="background1"/>
                <w:sz w:val="20"/>
              </w:rPr>
            </w:pPr>
            <w:r w:rsidRPr="00D40343">
              <w:rPr>
                <w:rFonts w:eastAsia="Times New Roman" w:cs="Calibri"/>
                <w:b/>
                <w:color w:val="FFFFFF" w:themeColor="background1"/>
                <w:sz w:val="20"/>
              </w:rPr>
              <w:t>Type</w:t>
            </w:r>
          </w:p>
        </w:tc>
        <w:tc>
          <w:tcPr>
            <w:tcW w:w="877" w:type="pct"/>
            <w:shd w:val="clear" w:color="auto" w:fill="4472C4"/>
            <w:tcMar>
              <w:top w:w="43" w:type="dxa"/>
              <w:left w:w="115" w:type="dxa"/>
              <w:bottom w:w="43" w:type="dxa"/>
              <w:right w:w="115" w:type="dxa"/>
            </w:tcMar>
          </w:tcPr>
          <w:p w14:paraId="73FA87CE" w14:textId="77777777" w:rsidR="00F76E53" w:rsidRPr="00D40343" w:rsidRDefault="00F76E53" w:rsidP="00DD5BB1">
            <w:pPr>
              <w:keepNext/>
              <w:keepLines/>
              <w:spacing w:after="0"/>
              <w:jc w:val="center"/>
              <w:rPr>
                <w:rFonts w:eastAsia="Times New Roman" w:cs="Calibri"/>
                <w:b/>
                <w:color w:val="FFFFFF" w:themeColor="background1"/>
                <w:sz w:val="20"/>
              </w:rPr>
            </w:pPr>
            <w:r w:rsidRPr="00D40343">
              <w:rPr>
                <w:rFonts w:eastAsia="Times New Roman" w:cs="Calibri"/>
                <w:b/>
                <w:color w:val="FFFFFF" w:themeColor="background1"/>
                <w:sz w:val="20"/>
              </w:rPr>
              <w:t>Employees</w:t>
            </w:r>
          </w:p>
        </w:tc>
        <w:tc>
          <w:tcPr>
            <w:tcW w:w="1877" w:type="pct"/>
            <w:shd w:val="clear" w:color="auto" w:fill="4472C4"/>
            <w:tcMar>
              <w:top w:w="43" w:type="dxa"/>
              <w:left w:w="115" w:type="dxa"/>
              <w:bottom w:w="43" w:type="dxa"/>
              <w:right w:w="115" w:type="dxa"/>
            </w:tcMar>
          </w:tcPr>
          <w:p w14:paraId="6D38EF22" w14:textId="77777777" w:rsidR="00F76E53" w:rsidRPr="00D40343" w:rsidRDefault="00F76E53" w:rsidP="00DD5BB1">
            <w:pPr>
              <w:keepNext/>
              <w:keepLines/>
              <w:spacing w:after="0"/>
              <w:jc w:val="center"/>
              <w:rPr>
                <w:rFonts w:eastAsia="Times New Roman" w:cs="Calibri"/>
                <w:b/>
                <w:color w:val="FFFFFF" w:themeColor="background1"/>
                <w:sz w:val="20"/>
              </w:rPr>
            </w:pPr>
            <w:r w:rsidRPr="00D40343">
              <w:rPr>
                <w:rFonts w:eastAsia="Times New Roman" w:cs="Calibri"/>
                <w:b/>
                <w:color w:val="FFFFFF" w:themeColor="background1"/>
                <w:sz w:val="20"/>
              </w:rPr>
              <w:t>Asset value</w:t>
            </w:r>
          </w:p>
        </w:tc>
        <w:tc>
          <w:tcPr>
            <w:tcW w:w="539" w:type="pct"/>
            <w:shd w:val="clear" w:color="auto" w:fill="4472C4"/>
            <w:tcMar>
              <w:top w:w="43" w:type="dxa"/>
              <w:left w:w="115" w:type="dxa"/>
              <w:bottom w:w="43" w:type="dxa"/>
              <w:right w:w="115" w:type="dxa"/>
            </w:tcMar>
          </w:tcPr>
          <w:p w14:paraId="3C3ACA96" w14:textId="77777777" w:rsidR="00F76E53" w:rsidRPr="00D40343" w:rsidRDefault="00F76E53" w:rsidP="00DD5BB1">
            <w:pPr>
              <w:keepNext/>
              <w:keepLines/>
              <w:spacing w:after="0"/>
              <w:jc w:val="center"/>
              <w:rPr>
                <w:rFonts w:eastAsia="Times New Roman" w:cs="Calibri"/>
                <w:b/>
                <w:color w:val="FFFFFF" w:themeColor="background1"/>
                <w:sz w:val="20"/>
              </w:rPr>
            </w:pPr>
            <w:r w:rsidRPr="00D40343">
              <w:rPr>
                <w:rFonts w:eastAsia="Times New Roman" w:cs="Calibri"/>
                <w:b/>
                <w:color w:val="FFFFFF" w:themeColor="background1"/>
                <w:sz w:val="20"/>
              </w:rPr>
              <w:t>Number</w:t>
            </w:r>
          </w:p>
        </w:tc>
        <w:tc>
          <w:tcPr>
            <w:tcW w:w="809" w:type="pct"/>
            <w:shd w:val="clear" w:color="auto" w:fill="4472C4"/>
            <w:tcMar>
              <w:top w:w="43" w:type="dxa"/>
              <w:left w:w="115" w:type="dxa"/>
              <w:bottom w:w="43" w:type="dxa"/>
              <w:right w:w="115" w:type="dxa"/>
            </w:tcMar>
            <w:vAlign w:val="center"/>
          </w:tcPr>
          <w:p w14:paraId="367AB13D" w14:textId="77777777" w:rsidR="00F76E53" w:rsidRPr="00D40343" w:rsidRDefault="00F76E53" w:rsidP="00DD5BB1">
            <w:pPr>
              <w:keepNext/>
              <w:keepLines/>
              <w:spacing w:after="0"/>
              <w:jc w:val="center"/>
              <w:rPr>
                <w:rFonts w:eastAsia="Times New Roman" w:cs="Calibri"/>
                <w:b/>
                <w:color w:val="FFFFFF" w:themeColor="background1"/>
                <w:sz w:val="20"/>
              </w:rPr>
            </w:pPr>
            <w:r w:rsidRPr="00D40343">
              <w:rPr>
                <w:rFonts w:eastAsia="Times New Roman" w:cs="Calibri"/>
                <w:b/>
                <w:color w:val="FFFFFF" w:themeColor="background1"/>
                <w:sz w:val="20"/>
              </w:rPr>
              <w:t>%</w:t>
            </w:r>
          </w:p>
        </w:tc>
      </w:tr>
      <w:tr w:rsidR="00B00E88" w:rsidRPr="00D40343" w14:paraId="079B6E9C" w14:textId="77777777" w:rsidTr="00C04BF9">
        <w:trPr>
          <w:trHeight w:val="233"/>
          <w:tblCellSpacing w:w="57" w:type="dxa"/>
          <w:jc w:val="center"/>
        </w:trPr>
        <w:tc>
          <w:tcPr>
            <w:tcW w:w="517" w:type="pct"/>
            <w:shd w:val="clear" w:color="auto" w:fill="C6E8D7"/>
            <w:tcMar>
              <w:top w:w="43" w:type="dxa"/>
              <w:left w:w="115" w:type="dxa"/>
              <w:bottom w:w="43" w:type="dxa"/>
              <w:right w:w="115" w:type="dxa"/>
            </w:tcMar>
          </w:tcPr>
          <w:p w14:paraId="1C81560D"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Calibri"/>
                <w:sz w:val="20"/>
              </w:rPr>
            </w:pPr>
            <w:r w:rsidRPr="00D40343">
              <w:rPr>
                <w:rFonts w:asciiTheme="minorHAnsi" w:hAnsiTheme="minorHAnsi" w:cstheme="minorHAnsi"/>
                <w:sz w:val="20"/>
              </w:rPr>
              <w:t>Micro</w:t>
            </w:r>
          </w:p>
        </w:tc>
        <w:tc>
          <w:tcPr>
            <w:tcW w:w="877" w:type="pct"/>
            <w:shd w:val="clear" w:color="auto" w:fill="C6E8D7"/>
            <w:tcMar>
              <w:top w:w="43" w:type="dxa"/>
              <w:left w:w="115" w:type="dxa"/>
              <w:bottom w:w="43" w:type="dxa"/>
              <w:right w:w="115" w:type="dxa"/>
            </w:tcMar>
          </w:tcPr>
          <w:p w14:paraId="28CEE579"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rPr>
            </w:pPr>
            <w:r w:rsidRPr="00D40343">
              <w:rPr>
                <w:rFonts w:asciiTheme="minorHAnsi" w:hAnsiTheme="minorHAnsi" w:cstheme="minorHAnsi"/>
                <w:sz w:val="20"/>
              </w:rPr>
              <w:t>Up to 9 employees</w:t>
            </w:r>
          </w:p>
        </w:tc>
        <w:tc>
          <w:tcPr>
            <w:tcW w:w="1877" w:type="pct"/>
            <w:shd w:val="clear" w:color="auto" w:fill="C6E8D7"/>
            <w:tcMar>
              <w:top w:w="43" w:type="dxa"/>
              <w:left w:w="115" w:type="dxa"/>
              <w:bottom w:w="43" w:type="dxa"/>
              <w:right w:w="115" w:type="dxa"/>
            </w:tcMar>
          </w:tcPr>
          <w:p w14:paraId="24462801" w14:textId="77777777" w:rsidR="00F76E53" w:rsidRPr="00D40343" w:rsidRDefault="00F76E53" w:rsidP="00DD5BB1">
            <w:pPr>
              <w:spacing w:after="0"/>
              <w:jc w:val="center"/>
              <w:rPr>
                <w:rFonts w:ascii="Calibri" w:hAnsi="Calibri"/>
                <w:sz w:val="20"/>
              </w:rPr>
            </w:pPr>
            <w:r w:rsidRPr="00D40343">
              <w:rPr>
                <w:rFonts w:ascii="Calibri" w:hAnsi="Calibri"/>
                <w:sz w:val="20"/>
              </w:rPr>
              <w:t>up to 3</w:t>
            </w:r>
            <w:r w:rsidR="00957EE5" w:rsidRPr="00D40343">
              <w:rPr>
                <w:rFonts w:ascii="Calibri" w:hAnsi="Calibri"/>
                <w:sz w:val="20"/>
              </w:rPr>
              <w:t xml:space="preserve"> million pesos</w:t>
            </w:r>
            <w:r w:rsidRPr="00D40343">
              <w:rPr>
                <w:rFonts w:ascii="Calibri" w:hAnsi="Calibri"/>
                <w:sz w:val="20"/>
              </w:rPr>
              <w:t xml:space="preserve"> in amount of assets</w:t>
            </w:r>
          </w:p>
        </w:tc>
        <w:tc>
          <w:tcPr>
            <w:tcW w:w="539" w:type="pct"/>
            <w:shd w:val="clear" w:color="auto" w:fill="C6E8D7"/>
            <w:tcMar>
              <w:top w:w="43" w:type="dxa"/>
              <w:left w:w="115" w:type="dxa"/>
              <w:bottom w:w="43" w:type="dxa"/>
              <w:right w:w="115" w:type="dxa"/>
            </w:tcMar>
          </w:tcPr>
          <w:p w14:paraId="3279680F"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theme="minorHAnsi"/>
                <w:sz w:val="20"/>
              </w:rPr>
            </w:pPr>
            <w:r w:rsidRPr="00D40343">
              <w:rPr>
                <w:rFonts w:asciiTheme="minorHAnsi" w:hAnsiTheme="minorHAnsi" w:cstheme="minorHAnsi"/>
                <w:sz w:val="20"/>
              </w:rPr>
              <w:t>806,609</w:t>
            </w:r>
          </w:p>
        </w:tc>
        <w:tc>
          <w:tcPr>
            <w:tcW w:w="809" w:type="pct"/>
            <w:shd w:val="clear" w:color="auto" w:fill="C6E8D7"/>
            <w:tcMar>
              <w:top w:w="43" w:type="dxa"/>
              <w:left w:w="115" w:type="dxa"/>
              <w:bottom w:w="43" w:type="dxa"/>
              <w:right w:w="115" w:type="dxa"/>
            </w:tcMar>
          </w:tcPr>
          <w:p w14:paraId="7699DC0A"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Calibri"/>
                <w:sz w:val="20"/>
              </w:rPr>
            </w:pPr>
            <w:r w:rsidRPr="00D40343">
              <w:rPr>
                <w:rFonts w:asciiTheme="minorHAnsi" w:hAnsiTheme="minorHAnsi" w:cstheme="minorHAnsi"/>
                <w:sz w:val="20"/>
              </w:rPr>
              <w:t>89.53%</w:t>
            </w:r>
          </w:p>
        </w:tc>
      </w:tr>
      <w:tr w:rsidR="00B00E88" w:rsidRPr="00D40343" w14:paraId="1064D645" w14:textId="77777777" w:rsidTr="00C04BF9">
        <w:trPr>
          <w:trHeight w:val="278"/>
          <w:tblCellSpacing w:w="57" w:type="dxa"/>
          <w:jc w:val="center"/>
        </w:trPr>
        <w:tc>
          <w:tcPr>
            <w:tcW w:w="517" w:type="pct"/>
            <w:shd w:val="clear" w:color="auto" w:fill="C6E8D7"/>
            <w:tcMar>
              <w:top w:w="43" w:type="dxa"/>
              <w:left w:w="115" w:type="dxa"/>
              <w:bottom w:w="43" w:type="dxa"/>
              <w:right w:w="115" w:type="dxa"/>
            </w:tcMar>
          </w:tcPr>
          <w:p w14:paraId="70EF1DA0"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Calibri"/>
                <w:sz w:val="20"/>
              </w:rPr>
            </w:pPr>
            <w:r w:rsidRPr="00D40343">
              <w:rPr>
                <w:rFonts w:asciiTheme="minorHAnsi" w:hAnsiTheme="minorHAnsi" w:cs="Calibri"/>
                <w:sz w:val="20"/>
              </w:rPr>
              <w:t>Small</w:t>
            </w:r>
          </w:p>
        </w:tc>
        <w:tc>
          <w:tcPr>
            <w:tcW w:w="877" w:type="pct"/>
            <w:shd w:val="clear" w:color="auto" w:fill="C6E8D7"/>
            <w:tcMar>
              <w:top w:w="43" w:type="dxa"/>
              <w:left w:w="115" w:type="dxa"/>
              <w:bottom w:w="43" w:type="dxa"/>
              <w:right w:w="115" w:type="dxa"/>
            </w:tcMar>
          </w:tcPr>
          <w:p w14:paraId="205083DB"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rPr>
            </w:pPr>
            <w:r w:rsidRPr="00D40343">
              <w:rPr>
                <w:rFonts w:asciiTheme="minorHAnsi" w:hAnsiTheme="minorHAnsi" w:cstheme="minorHAnsi"/>
                <w:sz w:val="20"/>
              </w:rPr>
              <w:t>10-99 employees</w:t>
            </w:r>
          </w:p>
        </w:tc>
        <w:tc>
          <w:tcPr>
            <w:tcW w:w="1877" w:type="pct"/>
            <w:shd w:val="clear" w:color="auto" w:fill="C6E8D7"/>
            <w:tcMar>
              <w:top w:w="43" w:type="dxa"/>
              <w:left w:w="115" w:type="dxa"/>
              <w:bottom w:w="43" w:type="dxa"/>
              <w:right w:w="115" w:type="dxa"/>
            </w:tcMar>
          </w:tcPr>
          <w:p w14:paraId="4BDF1E6F"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rPr>
            </w:pPr>
            <w:r w:rsidRPr="00D40343">
              <w:rPr>
                <w:rFonts w:ascii="Calibri" w:hAnsi="Calibri"/>
                <w:sz w:val="20"/>
              </w:rPr>
              <w:t>more than 3</w:t>
            </w:r>
            <w:r w:rsidR="00957EE5" w:rsidRPr="00D40343">
              <w:rPr>
                <w:sz w:val="20"/>
              </w:rPr>
              <w:t xml:space="preserve"> </w:t>
            </w:r>
            <w:r w:rsidR="00957EE5" w:rsidRPr="00D40343">
              <w:rPr>
                <w:rFonts w:ascii="Calibri" w:hAnsi="Calibri"/>
                <w:sz w:val="20"/>
              </w:rPr>
              <w:t>million pesos</w:t>
            </w:r>
            <w:r w:rsidRPr="00D40343">
              <w:rPr>
                <w:rFonts w:ascii="Calibri" w:hAnsi="Calibri"/>
                <w:sz w:val="20"/>
              </w:rPr>
              <w:t xml:space="preserve"> but less than 15</w:t>
            </w:r>
            <w:r w:rsidR="00957EE5" w:rsidRPr="00D40343">
              <w:rPr>
                <w:sz w:val="20"/>
              </w:rPr>
              <w:t xml:space="preserve"> </w:t>
            </w:r>
            <w:r w:rsidR="00957EE5" w:rsidRPr="00D40343">
              <w:rPr>
                <w:rFonts w:ascii="Calibri" w:hAnsi="Calibri"/>
                <w:sz w:val="20"/>
              </w:rPr>
              <w:t>million pesos</w:t>
            </w:r>
            <w:r w:rsidRPr="00D40343">
              <w:rPr>
                <w:rFonts w:ascii="Calibri" w:hAnsi="Calibri"/>
                <w:sz w:val="20"/>
              </w:rPr>
              <w:t xml:space="preserve"> in assets</w:t>
            </w:r>
          </w:p>
        </w:tc>
        <w:tc>
          <w:tcPr>
            <w:tcW w:w="539" w:type="pct"/>
            <w:shd w:val="clear" w:color="auto" w:fill="C6E8D7"/>
            <w:tcMar>
              <w:top w:w="43" w:type="dxa"/>
              <w:left w:w="115" w:type="dxa"/>
              <w:bottom w:w="43" w:type="dxa"/>
              <w:right w:w="115" w:type="dxa"/>
            </w:tcMar>
          </w:tcPr>
          <w:p w14:paraId="499F52CD"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theme="minorHAnsi"/>
                <w:sz w:val="20"/>
              </w:rPr>
            </w:pPr>
            <w:r w:rsidRPr="00D40343">
              <w:rPr>
                <w:rFonts w:asciiTheme="minorHAnsi" w:hAnsiTheme="minorHAnsi" w:cstheme="minorHAnsi"/>
                <w:sz w:val="20"/>
              </w:rPr>
              <w:t>86,367</w:t>
            </w:r>
          </w:p>
        </w:tc>
        <w:tc>
          <w:tcPr>
            <w:tcW w:w="809" w:type="pct"/>
            <w:shd w:val="clear" w:color="auto" w:fill="C6E8D7"/>
            <w:tcMar>
              <w:top w:w="43" w:type="dxa"/>
              <w:left w:w="115" w:type="dxa"/>
              <w:bottom w:w="43" w:type="dxa"/>
              <w:right w:w="115" w:type="dxa"/>
            </w:tcMar>
          </w:tcPr>
          <w:p w14:paraId="00387172"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Calibri"/>
                <w:sz w:val="20"/>
              </w:rPr>
            </w:pPr>
            <w:r w:rsidRPr="00D40343">
              <w:rPr>
                <w:rFonts w:asciiTheme="minorHAnsi" w:hAnsiTheme="minorHAnsi" w:cstheme="minorHAnsi"/>
                <w:sz w:val="20"/>
              </w:rPr>
              <w:t>9.59%</w:t>
            </w:r>
          </w:p>
        </w:tc>
      </w:tr>
      <w:tr w:rsidR="00B00E88" w:rsidRPr="00D40343" w14:paraId="3CE19781" w14:textId="77777777" w:rsidTr="00C04BF9">
        <w:trPr>
          <w:trHeight w:val="215"/>
          <w:tblCellSpacing w:w="57" w:type="dxa"/>
          <w:jc w:val="center"/>
        </w:trPr>
        <w:tc>
          <w:tcPr>
            <w:tcW w:w="517" w:type="pct"/>
            <w:shd w:val="clear" w:color="auto" w:fill="C6E8D7"/>
            <w:tcMar>
              <w:top w:w="43" w:type="dxa"/>
              <w:left w:w="115" w:type="dxa"/>
              <w:bottom w:w="43" w:type="dxa"/>
              <w:right w:w="115" w:type="dxa"/>
            </w:tcMar>
          </w:tcPr>
          <w:p w14:paraId="077CBCDC"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Calibri"/>
                <w:sz w:val="20"/>
              </w:rPr>
            </w:pPr>
            <w:r w:rsidRPr="00D40343">
              <w:rPr>
                <w:rFonts w:asciiTheme="minorHAnsi" w:hAnsiTheme="minorHAnsi" w:cs="Calibri"/>
                <w:sz w:val="20"/>
              </w:rPr>
              <w:t>Medium</w:t>
            </w:r>
          </w:p>
        </w:tc>
        <w:tc>
          <w:tcPr>
            <w:tcW w:w="877" w:type="pct"/>
            <w:shd w:val="clear" w:color="auto" w:fill="C6E8D7"/>
            <w:tcMar>
              <w:top w:w="43" w:type="dxa"/>
              <w:left w:w="115" w:type="dxa"/>
              <w:bottom w:w="43" w:type="dxa"/>
              <w:right w:w="115" w:type="dxa"/>
            </w:tcMar>
          </w:tcPr>
          <w:p w14:paraId="5765F0B6"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rPr>
            </w:pPr>
            <w:r w:rsidRPr="00D40343">
              <w:rPr>
                <w:rFonts w:asciiTheme="minorHAnsi" w:hAnsiTheme="minorHAnsi" w:cstheme="minorHAnsi"/>
                <w:sz w:val="20"/>
              </w:rPr>
              <w:t>100-199 employees</w:t>
            </w:r>
          </w:p>
        </w:tc>
        <w:tc>
          <w:tcPr>
            <w:tcW w:w="1877" w:type="pct"/>
            <w:shd w:val="clear" w:color="auto" w:fill="C6E8D7"/>
            <w:tcMar>
              <w:top w:w="43" w:type="dxa"/>
              <w:left w:w="115" w:type="dxa"/>
              <w:bottom w:w="43" w:type="dxa"/>
              <w:right w:w="115" w:type="dxa"/>
            </w:tcMar>
          </w:tcPr>
          <w:p w14:paraId="7CD04944"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rPr>
            </w:pPr>
            <w:r w:rsidRPr="00D40343">
              <w:rPr>
                <w:rFonts w:ascii="Calibri" w:hAnsi="Calibri"/>
                <w:sz w:val="20"/>
              </w:rPr>
              <w:t>more than 15</w:t>
            </w:r>
            <w:r w:rsidR="00C1246A" w:rsidRPr="00D40343">
              <w:rPr>
                <w:sz w:val="20"/>
              </w:rPr>
              <w:t xml:space="preserve"> </w:t>
            </w:r>
            <w:r w:rsidR="00C1246A" w:rsidRPr="00D40343">
              <w:rPr>
                <w:rFonts w:ascii="Calibri" w:hAnsi="Calibri"/>
                <w:sz w:val="20"/>
              </w:rPr>
              <w:t xml:space="preserve">million pesos </w:t>
            </w:r>
            <w:r w:rsidRPr="00D40343">
              <w:rPr>
                <w:rFonts w:ascii="Calibri" w:hAnsi="Calibri"/>
                <w:sz w:val="20"/>
              </w:rPr>
              <w:t>but less than 100</w:t>
            </w:r>
            <w:r w:rsidR="00C1246A" w:rsidRPr="00D40343">
              <w:rPr>
                <w:sz w:val="20"/>
              </w:rPr>
              <w:t xml:space="preserve"> </w:t>
            </w:r>
            <w:r w:rsidR="00C1246A" w:rsidRPr="00D40343">
              <w:rPr>
                <w:rFonts w:ascii="Calibri" w:hAnsi="Calibri"/>
                <w:sz w:val="20"/>
              </w:rPr>
              <w:t>million pesos</w:t>
            </w:r>
            <w:r w:rsidRPr="00D40343">
              <w:rPr>
                <w:rFonts w:ascii="Calibri" w:hAnsi="Calibri"/>
                <w:sz w:val="20"/>
              </w:rPr>
              <w:t xml:space="preserve"> in assets</w:t>
            </w:r>
          </w:p>
        </w:tc>
        <w:tc>
          <w:tcPr>
            <w:tcW w:w="539" w:type="pct"/>
            <w:shd w:val="clear" w:color="auto" w:fill="C6E8D7"/>
            <w:tcMar>
              <w:top w:w="43" w:type="dxa"/>
              <w:left w:w="115" w:type="dxa"/>
              <w:bottom w:w="43" w:type="dxa"/>
              <w:right w:w="115" w:type="dxa"/>
            </w:tcMar>
          </w:tcPr>
          <w:p w14:paraId="5D97AF3C"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theme="minorHAnsi"/>
                <w:sz w:val="20"/>
              </w:rPr>
            </w:pPr>
            <w:r w:rsidRPr="00D40343">
              <w:rPr>
                <w:rFonts w:asciiTheme="minorHAnsi" w:hAnsiTheme="minorHAnsi" w:cstheme="minorHAnsi"/>
                <w:sz w:val="20"/>
              </w:rPr>
              <w:t>3,863</w:t>
            </w:r>
          </w:p>
        </w:tc>
        <w:tc>
          <w:tcPr>
            <w:tcW w:w="809" w:type="pct"/>
            <w:shd w:val="clear" w:color="auto" w:fill="C6E8D7"/>
            <w:tcMar>
              <w:top w:w="43" w:type="dxa"/>
              <w:left w:w="115" w:type="dxa"/>
              <w:bottom w:w="43" w:type="dxa"/>
              <w:right w:w="115" w:type="dxa"/>
            </w:tcMar>
          </w:tcPr>
          <w:p w14:paraId="1F2A829E"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Calibri"/>
                <w:sz w:val="20"/>
              </w:rPr>
            </w:pPr>
            <w:r w:rsidRPr="00D40343">
              <w:rPr>
                <w:rFonts w:asciiTheme="minorHAnsi" w:hAnsiTheme="minorHAnsi" w:cstheme="minorHAnsi"/>
                <w:sz w:val="20"/>
              </w:rPr>
              <w:t>0.43%</w:t>
            </w:r>
          </w:p>
        </w:tc>
      </w:tr>
      <w:tr w:rsidR="00B00E88" w:rsidRPr="00D40343" w14:paraId="3F6B612C" w14:textId="77777777" w:rsidTr="00C04BF9">
        <w:trPr>
          <w:trHeight w:val="197"/>
          <w:tblCellSpacing w:w="57" w:type="dxa"/>
          <w:jc w:val="center"/>
        </w:trPr>
        <w:tc>
          <w:tcPr>
            <w:tcW w:w="517" w:type="pct"/>
            <w:shd w:val="clear" w:color="auto" w:fill="C6E8D7"/>
            <w:tcMar>
              <w:top w:w="43" w:type="dxa"/>
              <w:left w:w="115" w:type="dxa"/>
              <w:bottom w:w="43" w:type="dxa"/>
              <w:right w:w="115" w:type="dxa"/>
            </w:tcMar>
          </w:tcPr>
          <w:p w14:paraId="357DFADE"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Calibri"/>
                <w:sz w:val="20"/>
              </w:rPr>
            </w:pPr>
            <w:r w:rsidRPr="00D40343">
              <w:rPr>
                <w:rFonts w:asciiTheme="minorHAnsi" w:hAnsiTheme="minorHAnsi" w:cs="Calibri"/>
                <w:sz w:val="20"/>
              </w:rPr>
              <w:t>Large</w:t>
            </w:r>
          </w:p>
        </w:tc>
        <w:tc>
          <w:tcPr>
            <w:tcW w:w="877" w:type="pct"/>
            <w:shd w:val="clear" w:color="auto" w:fill="C6E8D7"/>
            <w:tcMar>
              <w:top w:w="43" w:type="dxa"/>
              <w:left w:w="115" w:type="dxa"/>
              <w:bottom w:w="43" w:type="dxa"/>
              <w:right w:w="115" w:type="dxa"/>
            </w:tcMar>
          </w:tcPr>
          <w:p w14:paraId="3D0DE9AB"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rPr>
            </w:pPr>
            <w:r w:rsidRPr="00D40343">
              <w:rPr>
                <w:rFonts w:asciiTheme="minorHAnsi" w:hAnsiTheme="minorHAnsi" w:cstheme="minorHAnsi"/>
                <w:sz w:val="20"/>
              </w:rPr>
              <w:t>200 and above employees</w:t>
            </w:r>
          </w:p>
        </w:tc>
        <w:tc>
          <w:tcPr>
            <w:tcW w:w="1877" w:type="pct"/>
            <w:shd w:val="clear" w:color="auto" w:fill="C6E8D7"/>
            <w:tcMar>
              <w:top w:w="43" w:type="dxa"/>
              <w:left w:w="115" w:type="dxa"/>
              <w:bottom w:w="43" w:type="dxa"/>
              <w:right w:w="115" w:type="dxa"/>
            </w:tcMar>
          </w:tcPr>
          <w:p w14:paraId="59CA28D9"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rPr>
            </w:pPr>
            <w:r w:rsidRPr="00D40343">
              <w:rPr>
                <w:rFonts w:ascii="Calibri" w:hAnsi="Calibri"/>
                <w:sz w:val="20"/>
              </w:rPr>
              <w:t>above 100</w:t>
            </w:r>
            <w:r w:rsidR="00851C84" w:rsidRPr="00D40343">
              <w:rPr>
                <w:sz w:val="20"/>
              </w:rPr>
              <w:t xml:space="preserve"> </w:t>
            </w:r>
            <w:r w:rsidR="00851C84" w:rsidRPr="00D40343">
              <w:rPr>
                <w:rFonts w:ascii="Calibri" w:hAnsi="Calibri"/>
                <w:sz w:val="20"/>
              </w:rPr>
              <w:t>million pesos</w:t>
            </w:r>
            <w:r w:rsidRPr="00D40343">
              <w:rPr>
                <w:rFonts w:ascii="Calibri" w:hAnsi="Calibri"/>
                <w:sz w:val="20"/>
              </w:rPr>
              <w:t xml:space="preserve"> in assets</w:t>
            </w:r>
          </w:p>
        </w:tc>
        <w:tc>
          <w:tcPr>
            <w:tcW w:w="539" w:type="pct"/>
            <w:shd w:val="clear" w:color="auto" w:fill="C6E8D7"/>
            <w:tcMar>
              <w:top w:w="43" w:type="dxa"/>
              <w:left w:w="115" w:type="dxa"/>
              <w:bottom w:w="43" w:type="dxa"/>
              <w:right w:w="115" w:type="dxa"/>
            </w:tcMar>
          </w:tcPr>
          <w:p w14:paraId="3B8E03F8"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theme="minorHAnsi"/>
                <w:sz w:val="20"/>
              </w:rPr>
            </w:pPr>
            <w:r w:rsidRPr="00D40343">
              <w:rPr>
                <w:rFonts w:asciiTheme="minorHAnsi" w:hAnsiTheme="minorHAnsi" w:cstheme="minorHAnsi"/>
                <w:sz w:val="20"/>
              </w:rPr>
              <w:t>4,075</w:t>
            </w:r>
          </w:p>
        </w:tc>
        <w:tc>
          <w:tcPr>
            <w:tcW w:w="809" w:type="pct"/>
            <w:shd w:val="clear" w:color="auto" w:fill="C6E8D7"/>
            <w:tcMar>
              <w:top w:w="43" w:type="dxa"/>
              <w:left w:w="115" w:type="dxa"/>
              <w:bottom w:w="43" w:type="dxa"/>
              <w:right w:w="115" w:type="dxa"/>
            </w:tcMar>
          </w:tcPr>
          <w:p w14:paraId="523B1397" w14:textId="77777777" w:rsidR="00F76E53" w:rsidRPr="00D40343"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Calibri"/>
                <w:sz w:val="20"/>
              </w:rPr>
            </w:pPr>
            <w:r w:rsidRPr="00D40343">
              <w:rPr>
                <w:rFonts w:asciiTheme="minorHAnsi" w:hAnsiTheme="minorHAnsi" w:cstheme="minorHAnsi"/>
                <w:sz w:val="20"/>
              </w:rPr>
              <w:t>0.45%</w:t>
            </w:r>
          </w:p>
        </w:tc>
      </w:tr>
      <w:tr w:rsidR="00B00E88" w:rsidRPr="00D40343" w14:paraId="5898F18C" w14:textId="77777777" w:rsidTr="00C04BF9">
        <w:trPr>
          <w:trHeight w:val="14"/>
          <w:tblCellSpacing w:w="57" w:type="dxa"/>
          <w:jc w:val="center"/>
        </w:trPr>
        <w:tc>
          <w:tcPr>
            <w:tcW w:w="517" w:type="pct"/>
            <w:shd w:val="clear" w:color="auto" w:fill="4472C4"/>
            <w:tcMar>
              <w:top w:w="43" w:type="dxa"/>
              <w:left w:w="115" w:type="dxa"/>
              <w:bottom w:w="43" w:type="dxa"/>
              <w:right w:w="115" w:type="dxa"/>
            </w:tcMar>
          </w:tcPr>
          <w:p w14:paraId="157B9C3E" w14:textId="77777777" w:rsidR="00F76E53" w:rsidRPr="00C04BF9"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Calibri"/>
                <w:b/>
                <w:color w:val="FFFFFF" w:themeColor="background1"/>
                <w:sz w:val="20"/>
              </w:rPr>
            </w:pPr>
            <w:r w:rsidRPr="00C04BF9">
              <w:rPr>
                <w:rFonts w:asciiTheme="minorHAnsi" w:hAnsiTheme="minorHAnsi" w:cstheme="minorHAnsi"/>
                <w:b/>
                <w:color w:val="FFFFFF" w:themeColor="background1"/>
                <w:sz w:val="20"/>
              </w:rPr>
              <w:t>Total</w:t>
            </w:r>
          </w:p>
        </w:tc>
        <w:tc>
          <w:tcPr>
            <w:tcW w:w="877" w:type="pct"/>
            <w:shd w:val="clear" w:color="auto" w:fill="4472C4"/>
            <w:tcMar>
              <w:top w:w="43" w:type="dxa"/>
              <w:left w:w="115" w:type="dxa"/>
              <w:bottom w:w="43" w:type="dxa"/>
              <w:right w:w="115" w:type="dxa"/>
            </w:tcMar>
          </w:tcPr>
          <w:p w14:paraId="4225C666" w14:textId="3C8FE577" w:rsidR="00F76E53" w:rsidRPr="00C04BF9" w:rsidRDefault="00C04BF9" w:rsidP="00C04BF9">
            <w:pPr>
              <w:pStyle w:val="ListParagraph"/>
              <w:keepLines/>
              <w:numPr>
                <w:ilvl w:val="0"/>
                <w:numId w:val="0"/>
              </w:numPr>
              <w:spacing w:before="0" w:beforeAutospacing="0" w:after="0" w:afterAutospacing="0" w:line="276" w:lineRule="auto"/>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w:t>
            </w:r>
          </w:p>
        </w:tc>
        <w:tc>
          <w:tcPr>
            <w:tcW w:w="1877" w:type="pct"/>
            <w:shd w:val="clear" w:color="auto" w:fill="4472C4"/>
            <w:tcMar>
              <w:top w:w="43" w:type="dxa"/>
              <w:left w:w="115" w:type="dxa"/>
              <w:bottom w:w="43" w:type="dxa"/>
              <w:right w:w="115" w:type="dxa"/>
            </w:tcMar>
          </w:tcPr>
          <w:p w14:paraId="3E3902A8" w14:textId="53870A6F" w:rsidR="00F76E53" w:rsidRPr="00C04BF9" w:rsidRDefault="00C04BF9" w:rsidP="00C04BF9">
            <w:pPr>
              <w:pStyle w:val="ListParagraph"/>
              <w:keepLines/>
              <w:numPr>
                <w:ilvl w:val="0"/>
                <w:numId w:val="0"/>
              </w:numPr>
              <w:spacing w:before="0" w:beforeAutospacing="0" w:after="0" w:afterAutospacing="0" w:line="276" w:lineRule="auto"/>
              <w:jc w:val="center"/>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w:t>
            </w:r>
          </w:p>
        </w:tc>
        <w:tc>
          <w:tcPr>
            <w:tcW w:w="539" w:type="pct"/>
            <w:shd w:val="clear" w:color="auto" w:fill="4472C4"/>
            <w:tcMar>
              <w:top w:w="43" w:type="dxa"/>
              <w:left w:w="115" w:type="dxa"/>
              <w:bottom w:w="43" w:type="dxa"/>
              <w:right w:w="115" w:type="dxa"/>
            </w:tcMar>
          </w:tcPr>
          <w:p w14:paraId="2C27CB70" w14:textId="77777777" w:rsidR="00F76E53" w:rsidRPr="00C04BF9"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theme="minorHAnsi"/>
                <w:b/>
                <w:color w:val="FFFFFF" w:themeColor="background1"/>
                <w:sz w:val="20"/>
              </w:rPr>
            </w:pPr>
            <w:r w:rsidRPr="00C04BF9">
              <w:rPr>
                <w:rFonts w:asciiTheme="minorHAnsi" w:hAnsiTheme="minorHAnsi" w:cstheme="minorHAnsi"/>
                <w:b/>
                <w:color w:val="FFFFFF" w:themeColor="background1"/>
                <w:sz w:val="20"/>
              </w:rPr>
              <w:t>900,914</w:t>
            </w:r>
          </w:p>
        </w:tc>
        <w:tc>
          <w:tcPr>
            <w:tcW w:w="809" w:type="pct"/>
            <w:shd w:val="clear" w:color="auto" w:fill="4472C4"/>
            <w:tcMar>
              <w:top w:w="43" w:type="dxa"/>
              <w:left w:w="115" w:type="dxa"/>
              <w:bottom w:w="43" w:type="dxa"/>
              <w:right w:w="115" w:type="dxa"/>
            </w:tcMar>
          </w:tcPr>
          <w:p w14:paraId="0DB44A74" w14:textId="77777777" w:rsidR="00F76E53" w:rsidRPr="00C04BF9" w:rsidRDefault="00F76E53" w:rsidP="00DD5BB1">
            <w:pPr>
              <w:pStyle w:val="ListParagraph"/>
              <w:keepLines/>
              <w:numPr>
                <w:ilvl w:val="0"/>
                <w:numId w:val="0"/>
              </w:numPr>
              <w:spacing w:before="0" w:beforeAutospacing="0" w:after="0" w:afterAutospacing="0" w:line="276" w:lineRule="auto"/>
              <w:jc w:val="right"/>
              <w:rPr>
                <w:rFonts w:asciiTheme="minorHAnsi" w:hAnsiTheme="minorHAnsi" w:cs="Calibri"/>
                <w:color w:val="FFFFFF" w:themeColor="background1"/>
                <w:sz w:val="20"/>
              </w:rPr>
            </w:pPr>
            <w:r w:rsidRPr="00C04BF9">
              <w:rPr>
                <w:rFonts w:asciiTheme="minorHAnsi" w:hAnsiTheme="minorHAnsi" w:cstheme="minorHAnsi"/>
                <w:b/>
                <w:color w:val="FFFFFF" w:themeColor="background1"/>
                <w:sz w:val="20"/>
              </w:rPr>
              <w:t>100.00%</w:t>
            </w:r>
          </w:p>
        </w:tc>
      </w:tr>
    </w:tbl>
    <w:p w14:paraId="7E77648B" w14:textId="77777777" w:rsidR="00F76E53" w:rsidRPr="008F1E62" w:rsidRDefault="00F76E53" w:rsidP="00B00E88">
      <w:pPr>
        <w:pStyle w:val="BodyText4"/>
        <w:spacing w:line="276" w:lineRule="auto"/>
        <w:rPr>
          <w:rFonts w:asciiTheme="minorHAnsi" w:hAnsiTheme="minorHAnsi"/>
        </w:rPr>
      </w:pPr>
    </w:p>
    <w:p w14:paraId="45591CC9" w14:textId="77777777" w:rsidR="00F76E53" w:rsidRPr="008F1E62" w:rsidRDefault="00F76E53" w:rsidP="00F76E53">
      <w:pPr>
        <w:pStyle w:val="BodyText4"/>
        <w:numPr>
          <w:ilvl w:val="0"/>
          <w:numId w:val="2"/>
        </w:numPr>
        <w:spacing w:after="200" w:line="276" w:lineRule="auto"/>
        <w:ind w:left="0" w:hanging="567"/>
        <w:rPr>
          <w:rFonts w:asciiTheme="minorHAnsi" w:hAnsiTheme="minorHAnsi"/>
        </w:rPr>
      </w:pPr>
      <w:r w:rsidRPr="008F1E62">
        <w:rPr>
          <w:rFonts w:asciiTheme="minorHAnsi" w:hAnsiTheme="minorHAnsi" w:cs="Calibri"/>
          <w:b/>
          <w:bCs/>
        </w:rPr>
        <w:t xml:space="preserve">The MSME sector in the Philippines represents more than 99% of all enterprises and employs </w:t>
      </w:r>
      <w:r w:rsidRPr="008F1E62">
        <w:rPr>
          <w:rFonts w:asciiTheme="minorHAnsi" w:hAnsiTheme="minorHAnsi"/>
          <w:b/>
          <w:bCs/>
        </w:rPr>
        <w:t>almost two-thirds of the workforce, but produces only about one third of GDP.</w:t>
      </w:r>
      <w:r w:rsidRPr="008F1E62">
        <w:rPr>
          <w:rFonts w:asciiTheme="minorHAnsi" w:hAnsiTheme="minorHAnsi"/>
        </w:rPr>
        <w:t xml:space="preserve"> Despite various programs and incentives offered by the government, productivity of the MSME sector in the Philippines is lagging, amounting to only around one-third of Malaysia and one-twentieth of those in high-income countries. MSMEs also do not seem to grow: the share of more productive and more-export oriented medium size MSMEs in the total MSME population stagnated over the last decade and represents only 0.4 percent of all MSMEs. </w:t>
      </w:r>
      <w:r w:rsidR="00615DCA">
        <w:rPr>
          <w:rFonts w:asciiTheme="minorHAnsi" w:hAnsiTheme="minorHAnsi"/>
        </w:rPr>
        <w:t>T</w:t>
      </w:r>
      <w:r w:rsidRPr="008F1E62">
        <w:rPr>
          <w:rFonts w:asciiTheme="minorHAnsi" w:hAnsiTheme="minorHAnsi"/>
        </w:rPr>
        <w:t>he Philippines has one of the lowest rates of newly registered formal firms in the world: Filipinos establish only two limited liability companies per 10,000 working age people per year (whereas in Malaysia, for instance, it is 10 times that rate). Most jobs in the MSMEs sector are informal, low-paid</w:t>
      </w:r>
      <w:r w:rsidR="003D22D7">
        <w:rPr>
          <w:rFonts w:asciiTheme="minorHAnsi" w:hAnsiTheme="minorHAnsi"/>
        </w:rPr>
        <w:t>,</w:t>
      </w:r>
      <w:r w:rsidRPr="008F1E62">
        <w:rPr>
          <w:rFonts w:asciiTheme="minorHAnsi" w:hAnsiTheme="minorHAnsi"/>
        </w:rPr>
        <w:t xml:space="preserve"> and vulnerable to poverty.</w:t>
      </w:r>
    </w:p>
    <w:p w14:paraId="06B22144" w14:textId="77777777" w:rsidR="00F76E53" w:rsidRPr="008F1E62" w:rsidRDefault="00F76E53" w:rsidP="00F76E53">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The MSME sector faces significant challenges to growth and competitiveness</w:t>
      </w:r>
      <w:r w:rsidRPr="008F1E62">
        <w:rPr>
          <w:rFonts w:asciiTheme="minorHAnsi" w:hAnsiTheme="minorHAnsi"/>
        </w:rPr>
        <w:t xml:space="preserve">. As documented in the most recent “Philippine Urbanization Study” and earlier </w:t>
      </w:r>
      <w:r w:rsidR="00A45C55">
        <w:rPr>
          <w:rFonts w:asciiTheme="minorHAnsi" w:hAnsiTheme="minorHAnsi"/>
        </w:rPr>
        <w:t xml:space="preserve">World </w:t>
      </w:r>
      <w:r w:rsidRPr="008F1E62">
        <w:rPr>
          <w:rFonts w:asciiTheme="minorHAnsi" w:hAnsiTheme="minorHAnsi"/>
        </w:rPr>
        <w:t xml:space="preserve">Bank reports, including the Philippine Development Report 2013 “Creating More and Better Jobs”, the main constraints to the growth and </w:t>
      </w:r>
      <w:r w:rsidRPr="008F1E62">
        <w:rPr>
          <w:rFonts w:asciiTheme="minorHAnsi" w:hAnsiTheme="minorHAnsi"/>
          <w:bCs/>
          <w:szCs w:val="24"/>
        </w:rPr>
        <w:t>competitiveness</w:t>
      </w:r>
      <w:r w:rsidRPr="008F1E62">
        <w:rPr>
          <w:rFonts w:asciiTheme="minorHAnsi" w:hAnsiTheme="minorHAnsi"/>
        </w:rPr>
        <w:t xml:space="preserve"> of Philippine MSMEs include a cumbersome business environment, poor access to markets, weak access to finance, deficient infrastructure, including ICT, and difficult access to technology and skills. The MSME sector is also stymied by an underdeveloped, under-utilized</w:t>
      </w:r>
      <w:r w:rsidR="00E6542F">
        <w:rPr>
          <w:rFonts w:asciiTheme="minorHAnsi" w:hAnsiTheme="minorHAnsi"/>
        </w:rPr>
        <w:t>,</w:t>
      </w:r>
      <w:r w:rsidRPr="008F1E62">
        <w:rPr>
          <w:rFonts w:asciiTheme="minorHAnsi" w:hAnsiTheme="minorHAnsi"/>
        </w:rPr>
        <w:t xml:space="preserve"> and under-resourced public support system for MSMEs at both the national and city-level, which undermines growth, competitiveness</w:t>
      </w:r>
      <w:r w:rsidR="00E6542F">
        <w:rPr>
          <w:rFonts w:asciiTheme="minorHAnsi" w:hAnsiTheme="minorHAnsi"/>
        </w:rPr>
        <w:t>,</w:t>
      </w:r>
      <w:r w:rsidRPr="008F1E62">
        <w:rPr>
          <w:rFonts w:asciiTheme="minorHAnsi" w:hAnsiTheme="minorHAnsi"/>
        </w:rPr>
        <w:t xml:space="preserve"> and poverty reduction.</w:t>
      </w:r>
    </w:p>
    <w:p w14:paraId="7AB2E3CC" w14:textId="77777777" w:rsidR="00F76E53" w:rsidRPr="008F1E62" w:rsidRDefault="00F76E53" w:rsidP="0077686B">
      <w:pPr>
        <w:pStyle w:val="Heading3"/>
        <w:rPr>
          <w:color w:val="231F20"/>
        </w:rPr>
      </w:pPr>
      <w:r w:rsidRPr="008F1E62">
        <w:t>State Owned Enterprises / Government Owned and Controlled Corporations</w:t>
      </w:r>
      <w:r w:rsidRPr="008F1E62">
        <w:rPr>
          <w:color w:val="231F20"/>
        </w:rPr>
        <w:t xml:space="preserve"> </w:t>
      </w:r>
    </w:p>
    <w:p w14:paraId="3BDA0EDB" w14:textId="77777777" w:rsidR="00F76E53" w:rsidRPr="008F1E62" w:rsidRDefault="00F76E53" w:rsidP="00F76E53">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rPr>
        <w:t>Public corporations exist in the Philippines in the form of GOCCs, which carry out commercial and non-commercial activities.</w:t>
      </w:r>
      <w:r w:rsidRPr="008F1E62">
        <w:rPr>
          <w:rFonts w:asciiTheme="minorHAnsi" w:hAnsiTheme="minorHAnsi"/>
        </w:rPr>
        <w:t xml:space="preserve"> </w:t>
      </w:r>
      <w:r w:rsidRPr="008F1E62">
        <w:rPr>
          <w:rFonts w:asciiTheme="minorHAnsi" w:hAnsiTheme="minorHAnsi" w:cs="Arial"/>
        </w:rPr>
        <w:t>GOCCs include government financial institutions, government instrumentalities with corporate powers (GICP)</w:t>
      </w:r>
      <w:r w:rsidR="00975C73">
        <w:rPr>
          <w:rFonts w:asciiTheme="minorHAnsi" w:hAnsiTheme="minorHAnsi" w:cs="Arial"/>
        </w:rPr>
        <w:t>,</w:t>
      </w:r>
      <w:r w:rsidRPr="008F1E62">
        <w:rPr>
          <w:rFonts w:asciiTheme="minorHAnsi" w:hAnsiTheme="minorHAnsi" w:cs="Arial"/>
        </w:rPr>
        <w:t xml:space="preserve"> and government corporate entities (GCE). GOCCs both receive subsidies and pay dividends to the national government. </w:t>
      </w:r>
      <w:r w:rsidRPr="008F1E62">
        <w:rPr>
          <w:rFonts w:asciiTheme="minorHAnsi" w:hAnsiTheme="minorHAnsi"/>
        </w:rPr>
        <w:t xml:space="preserve">The </w:t>
      </w:r>
      <w:r w:rsidRPr="008F1E62">
        <w:rPr>
          <w:rFonts w:asciiTheme="minorHAnsi" w:hAnsiTheme="minorHAnsi" w:cs="Arial"/>
        </w:rPr>
        <w:t>Governance Commission for GOCCs (GCG), which is under the Office of the President, acts as a central advisory, monitoring, and oversight body with authority to formulate, implement</w:t>
      </w:r>
      <w:r w:rsidR="003E50E8">
        <w:rPr>
          <w:rFonts w:asciiTheme="minorHAnsi" w:hAnsiTheme="minorHAnsi" w:cs="Arial"/>
        </w:rPr>
        <w:t>,</w:t>
      </w:r>
      <w:r w:rsidRPr="008F1E62">
        <w:rPr>
          <w:rFonts w:asciiTheme="minorHAnsi" w:hAnsiTheme="minorHAnsi" w:cs="Arial"/>
        </w:rPr>
        <w:t xml:space="preserve"> and coordinate policies governing GOCCs </w:t>
      </w:r>
      <w:r w:rsidRPr="008F1E62">
        <w:rPr>
          <w:rFonts w:asciiTheme="minorHAnsi" w:hAnsiTheme="minorHAnsi"/>
        </w:rPr>
        <w:t xml:space="preserve">to ensure their financial viability and </w:t>
      </w:r>
      <w:r w:rsidRPr="008F1E62">
        <w:rPr>
          <w:rFonts w:asciiTheme="minorHAnsi" w:hAnsiTheme="minorHAnsi"/>
          <w:bCs/>
          <w:szCs w:val="24"/>
        </w:rPr>
        <w:t>responsiveness</w:t>
      </w:r>
      <w:r w:rsidRPr="008F1E62">
        <w:rPr>
          <w:rFonts w:asciiTheme="minorHAnsi" w:hAnsiTheme="minorHAnsi"/>
        </w:rPr>
        <w:t xml:space="preserve"> to the needs of the public.  </w:t>
      </w:r>
      <w:r w:rsidRPr="008F1E62">
        <w:rPr>
          <w:rFonts w:asciiTheme="minorHAnsi" w:hAnsiTheme="minorHAnsi" w:cs="Arial"/>
        </w:rPr>
        <w:t>As of April 2017, GOCCs were classified according to sectors by the GCG as shown in Table 5.</w:t>
      </w:r>
    </w:p>
    <w:p w14:paraId="3778CA3D" w14:textId="0A9E9BEB" w:rsidR="00F76E53" w:rsidRPr="00A81D00" w:rsidRDefault="00F76E53" w:rsidP="00D85D5E">
      <w:pPr>
        <w:pStyle w:val="BodyText4"/>
        <w:numPr>
          <w:ilvl w:val="0"/>
          <w:numId w:val="2"/>
        </w:numPr>
        <w:spacing w:after="200" w:line="276" w:lineRule="auto"/>
        <w:ind w:left="0" w:hanging="567"/>
        <w:rPr>
          <w:rFonts w:asciiTheme="minorHAnsi" w:hAnsiTheme="minorHAnsi" w:cs="Arial"/>
          <w:color w:val="444444"/>
        </w:rPr>
      </w:pPr>
      <w:r w:rsidRPr="008F1E62">
        <w:rPr>
          <w:rFonts w:asciiTheme="minorHAnsi" w:hAnsiTheme="minorHAnsi"/>
          <w:b/>
          <w:bCs/>
          <w:color w:val="231F20"/>
        </w:rPr>
        <w:t xml:space="preserve">The GCG was created by </w:t>
      </w:r>
      <w:r w:rsidR="0088101D">
        <w:rPr>
          <w:rFonts w:asciiTheme="minorHAnsi" w:hAnsiTheme="minorHAnsi"/>
          <w:b/>
          <w:bCs/>
          <w:color w:val="231F20"/>
        </w:rPr>
        <w:t>Republic Act (</w:t>
      </w:r>
      <w:r w:rsidRPr="008F1E62">
        <w:rPr>
          <w:rFonts w:asciiTheme="minorHAnsi" w:hAnsiTheme="minorHAnsi"/>
          <w:b/>
          <w:bCs/>
          <w:color w:val="231F20"/>
        </w:rPr>
        <w:t>RA</w:t>
      </w:r>
      <w:r w:rsidR="0088101D">
        <w:rPr>
          <w:rFonts w:asciiTheme="minorHAnsi" w:hAnsiTheme="minorHAnsi"/>
          <w:b/>
          <w:bCs/>
          <w:color w:val="231F20"/>
        </w:rPr>
        <w:t>)</w:t>
      </w:r>
      <w:r w:rsidRPr="008F1E62">
        <w:rPr>
          <w:rFonts w:asciiTheme="minorHAnsi" w:hAnsiTheme="minorHAnsi"/>
          <w:b/>
          <w:bCs/>
          <w:color w:val="231F20"/>
        </w:rPr>
        <w:t xml:space="preserve"> 10149, also known as the GOCC Governance Act of 2011, to </w:t>
      </w:r>
      <w:r w:rsidRPr="00D85D5E">
        <w:rPr>
          <w:rFonts w:asciiTheme="minorHAnsi" w:hAnsiTheme="minorHAnsi"/>
          <w:b/>
        </w:rPr>
        <w:t>address</w:t>
      </w:r>
      <w:r w:rsidRPr="008F1E62">
        <w:rPr>
          <w:rFonts w:asciiTheme="minorHAnsi" w:hAnsiTheme="minorHAnsi"/>
          <w:b/>
          <w:bCs/>
          <w:color w:val="231F20"/>
        </w:rPr>
        <w:t xml:space="preserve"> GOCCs’ continued reliance on government subsidies amidst reports of excesses and financial mismanagement. </w:t>
      </w:r>
      <w:r w:rsidRPr="008F1E62">
        <w:rPr>
          <w:rFonts w:asciiTheme="minorHAnsi" w:hAnsiTheme="minorHAnsi"/>
          <w:color w:val="231F20"/>
        </w:rPr>
        <w:t>The GCG’s focus on ensuring commercial viability resulted in the number of GOCCs being reduced from 157 to 116 in 2014.</w:t>
      </w:r>
      <w:r w:rsidRPr="008F1E62">
        <w:rPr>
          <w:rFonts w:asciiTheme="minorHAnsi" w:hAnsiTheme="minorHAnsi"/>
          <w:b/>
          <w:bCs/>
          <w:color w:val="231F20"/>
        </w:rPr>
        <w:t xml:space="preserve"> </w:t>
      </w:r>
      <w:r w:rsidRPr="008F1E62">
        <w:rPr>
          <w:rFonts w:asciiTheme="minorHAnsi" w:hAnsiTheme="minorHAnsi"/>
          <w:color w:val="231F20"/>
        </w:rPr>
        <w:t xml:space="preserve"> As a result, total dividends and other remittances increased to yield 95.90 billion </w:t>
      </w:r>
      <w:r w:rsidR="00674F36" w:rsidRPr="00674F36">
        <w:rPr>
          <w:rFonts w:asciiTheme="minorHAnsi" w:hAnsiTheme="minorHAnsi"/>
          <w:color w:val="231F20"/>
        </w:rPr>
        <w:t xml:space="preserve">pesos </w:t>
      </w:r>
      <w:r w:rsidRPr="008F1E62">
        <w:rPr>
          <w:rFonts w:asciiTheme="minorHAnsi" w:hAnsiTheme="minorHAnsi"/>
          <w:color w:val="231F20"/>
        </w:rPr>
        <w:t>(averaging 27.40 billion</w:t>
      </w:r>
      <w:r w:rsidR="00674F36" w:rsidRPr="00674F36">
        <w:t xml:space="preserve"> </w:t>
      </w:r>
      <w:r w:rsidR="00674F36" w:rsidRPr="00674F36">
        <w:rPr>
          <w:rFonts w:asciiTheme="minorHAnsi" w:hAnsiTheme="minorHAnsi"/>
          <w:color w:val="231F20"/>
        </w:rPr>
        <w:t>pesos</w:t>
      </w:r>
      <w:r w:rsidRPr="008F1E62">
        <w:rPr>
          <w:rFonts w:asciiTheme="minorHAnsi" w:hAnsiTheme="minorHAnsi"/>
          <w:color w:val="231F20"/>
        </w:rPr>
        <w:t xml:space="preserve"> a year) from 2011 to June 2014</w:t>
      </w:r>
      <w:r w:rsidRPr="008F1E62">
        <w:rPr>
          <w:rStyle w:val="FootnoteReference"/>
          <w:rFonts w:asciiTheme="minorHAnsi" w:hAnsiTheme="minorHAnsi"/>
          <w:color w:val="231F20"/>
        </w:rPr>
        <w:footnoteReference w:id="32"/>
      </w:r>
      <w:r w:rsidRPr="008F1E62">
        <w:rPr>
          <w:rFonts w:asciiTheme="minorHAnsi" w:hAnsiTheme="minorHAnsi"/>
          <w:color w:val="231F20"/>
        </w:rPr>
        <w:t xml:space="preserve">, compared to 81.54 billion </w:t>
      </w:r>
      <w:r w:rsidR="00674F36" w:rsidRPr="00674F36">
        <w:rPr>
          <w:rFonts w:asciiTheme="minorHAnsi" w:hAnsiTheme="minorHAnsi"/>
          <w:color w:val="231F20"/>
        </w:rPr>
        <w:t xml:space="preserve">pesos </w:t>
      </w:r>
      <w:r w:rsidRPr="008F1E62">
        <w:rPr>
          <w:rFonts w:asciiTheme="minorHAnsi" w:hAnsiTheme="minorHAnsi"/>
          <w:color w:val="231F20"/>
        </w:rPr>
        <w:t>(averaging 9.06 billion</w:t>
      </w:r>
      <w:r w:rsidR="00674F36">
        <w:rPr>
          <w:rFonts w:asciiTheme="minorHAnsi" w:hAnsiTheme="minorHAnsi"/>
          <w:color w:val="231F20"/>
        </w:rPr>
        <w:t xml:space="preserve"> </w:t>
      </w:r>
      <w:r w:rsidR="00674F36" w:rsidRPr="00674F36">
        <w:rPr>
          <w:rFonts w:asciiTheme="minorHAnsi" w:hAnsiTheme="minorHAnsi"/>
          <w:color w:val="231F20"/>
        </w:rPr>
        <w:t>pesos</w:t>
      </w:r>
      <w:r w:rsidRPr="008F1E62">
        <w:rPr>
          <w:rFonts w:asciiTheme="minorHAnsi" w:hAnsiTheme="minorHAnsi"/>
          <w:color w:val="231F20"/>
        </w:rPr>
        <w:t xml:space="preserve"> a year) from 2002 to 2010.</w:t>
      </w:r>
      <w:r w:rsidRPr="008F1E62">
        <w:t xml:space="preserve"> </w:t>
      </w:r>
    </w:p>
    <w:p w14:paraId="01D03654" w14:textId="77777777" w:rsidR="00A81D00" w:rsidRPr="008F1E62" w:rsidRDefault="00A81D00" w:rsidP="00A81D00">
      <w:pPr>
        <w:pStyle w:val="BodyText4"/>
        <w:spacing w:line="276" w:lineRule="auto"/>
        <w:rPr>
          <w:rFonts w:asciiTheme="minorHAnsi" w:hAnsiTheme="minorHAnsi" w:cs="Arial"/>
          <w:color w:val="444444"/>
        </w:rPr>
      </w:pPr>
    </w:p>
    <w:p w14:paraId="13F1562D" w14:textId="77777777" w:rsidR="007A2DD7" w:rsidRDefault="007A2DD7">
      <w:pPr>
        <w:spacing w:after="160" w:line="259" w:lineRule="auto"/>
        <w:jc w:val="left"/>
        <w:rPr>
          <w:rFonts w:cstheme="majorBidi"/>
          <w:b/>
          <w:sz w:val="24"/>
          <w:szCs w:val="24"/>
        </w:rPr>
      </w:pPr>
      <w:r>
        <w:rPr>
          <w:sz w:val="24"/>
          <w:szCs w:val="24"/>
        </w:rPr>
        <w:br w:type="page"/>
      </w:r>
    </w:p>
    <w:tbl>
      <w:tblPr>
        <w:tblStyle w:val="TableGrid"/>
        <w:tblW w:w="5000" w:type="pct"/>
        <w:jc w:val="center"/>
        <w:tblCellSpacing w:w="43"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Layout w:type="fixed"/>
        <w:tblCellMar>
          <w:top w:w="43" w:type="dxa"/>
          <w:left w:w="115" w:type="dxa"/>
          <w:bottom w:w="43" w:type="dxa"/>
          <w:right w:w="115" w:type="dxa"/>
        </w:tblCellMar>
        <w:tblLook w:val="00A0" w:firstRow="1" w:lastRow="0" w:firstColumn="1" w:lastColumn="0" w:noHBand="0" w:noVBand="0"/>
      </w:tblPr>
      <w:tblGrid>
        <w:gridCol w:w="6643"/>
        <w:gridCol w:w="2373"/>
      </w:tblGrid>
      <w:tr w:rsidR="007A2DD7" w:rsidRPr="007A2DD7" w14:paraId="3D2AC783" w14:textId="77777777" w:rsidTr="00C04BF9">
        <w:trPr>
          <w:tblHeader/>
          <w:tblCellSpacing w:w="43" w:type="dxa"/>
          <w:jc w:val="center"/>
        </w:trPr>
        <w:tc>
          <w:tcPr>
            <w:tcW w:w="4905" w:type="pct"/>
            <w:gridSpan w:val="2"/>
            <w:shd w:val="clear" w:color="auto" w:fill="auto"/>
            <w:tcMar>
              <w:top w:w="43" w:type="dxa"/>
              <w:left w:w="115" w:type="dxa"/>
              <w:bottom w:w="43" w:type="dxa"/>
              <w:right w:w="115" w:type="dxa"/>
            </w:tcMar>
            <w:vAlign w:val="center"/>
          </w:tcPr>
          <w:p w14:paraId="6F4B7740" w14:textId="43E13125" w:rsidR="007A2DD7" w:rsidRPr="007A2DD7" w:rsidRDefault="007A2DD7" w:rsidP="007A2DD7">
            <w:pPr>
              <w:keepNext/>
              <w:keepLines/>
              <w:spacing w:after="0" w:line="240" w:lineRule="auto"/>
              <w:jc w:val="center"/>
              <w:rPr>
                <w:rFonts w:eastAsia="Times New Roman" w:cs="Calibri"/>
                <w:b/>
                <w:color w:val="FFFFFF" w:themeColor="background1"/>
                <w:sz w:val="20"/>
                <w:szCs w:val="20"/>
              </w:rPr>
            </w:pPr>
            <w:r w:rsidRPr="007A2DD7">
              <w:rPr>
                <w:b/>
                <w:sz w:val="20"/>
                <w:szCs w:val="24"/>
              </w:rPr>
              <w:t xml:space="preserve">Table </w:t>
            </w:r>
            <w:r w:rsidRPr="007A2DD7">
              <w:rPr>
                <w:b/>
                <w:sz w:val="20"/>
                <w:szCs w:val="24"/>
              </w:rPr>
              <w:fldChar w:fldCharType="begin"/>
            </w:r>
            <w:r w:rsidRPr="007A2DD7">
              <w:rPr>
                <w:b/>
                <w:sz w:val="20"/>
                <w:szCs w:val="24"/>
              </w:rPr>
              <w:instrText xml:space="preserve"> SEQ Table \* ARABIC </w:instrText>
            </w:r>
            <w:r w:rsidRPr="007A2DD7">
              <w:rPr>
                <w:b/>
                <w:sz w:val="20"/>
                <w:szCs w:val="24"/>
              </w:rPr>
              <w:fldChar w:fldCharType="separate"/>
            </w:r>
            <w:r w:rsidR="004310EC">
              <w:rPr>
                <w:b/>
                <w:noProof/>
                <w:sz w:val="20"/>
                <w:szCs w:val="24"/>
              </w:rPr>
              <w:t>5</w:t>
            </w:r>
            <w:r w:rsidRPr="007A2DD7">
              <w:rPr>
                <w:b/>
                <w:sz w:val="20"/>
                <w:szCs w:val="24"/>
              </w:rPr>
              <w:fldChar w:fldCharType="end"/>
            </w:r>
            <w:r w:rsidRPr="007A2DD7">
              <w:rPr>
                <w:b/>
                <w:sz w:val="20"/>
                <w:szCs w:val="24"/>
              </w:rPr>
              <w:t>. Profile of Government Owned and Controlled Corporations</w:t>
            </w:r>
            <w:r w:rsidRPr="007A2DD7">
              <w:rPr>
                <w:b/>
                <w:sz w:val="20"/>
                <w:szCs w:val="24"/>
                <w:vertAlign w:val="superscript"/>
              </w:rPr>
              <w:footnoteReference w:id="33"/>
            </w:r>
          </w:p>
        </w:tc>
      </w:tr>
      <w:tr w:rsidR="00F76E53" w:rsidRPr="007A2DD7" w14:paraId="7D9D8282" w14:textId="77777777" w:rsidTr="00C04BF9">
        <w:trPr>
          <w:tblHeader/>
          <w:tblCellSpacing w:w="43" w:type="dxa"/>
          <w:jc w:val="center"/>
        </w:trPr>
        <w:tc>
          <w:tcPr>
            <w:tcW w:w="3648" w:type="pct"/>
            <w:shd w:val="clear" w:color="auto" w:fill="4472C4"/>
            <w:tcMar>
              <w:top w:w="43" w:type="dxa"/>
              <w:left w:w="115" w:type="dxa"/>
              <w:bottom w:w="43" w:type="dxa"/>
              <w:right w:w="115" w:type="dxa"/>
            </w:tcMar>
            <w:vAlign w:val="center"/>
          </w:tcPr>
          <w:p w14:paraId="27FB830F" w14:textId="77777777" w:rsidR="00F76E53" w:rsidRPr="007A2DD7" w:rsidRDefault="00F76E53" w:rsidP="007A2DD7">
            <w:pPr>
              <w:keepNext/>
              <w:keepLines/>
              <w:spacing w:after="0" w:line="240" w:lineRule="auto"/>
              <w:jc w:val="center"/>
              <w:rPr>
                <w:rFonts w:eastAsia="Times New Roman" w:cs="Calibri"/>
                <w:b/>
                <w:color w:val="FFFFFF" w:themeColor="background1"/>
                <w:sz w:val="20"/>
                <w:szCs w:val="20"/>
              </w:rPr>
            </w:pPr>
            <w:r w:rsidRPr="007A2DD7">
              <w:rPr>
                <w:rFonts w:eastAsia="Times New Roman" w:cs="Calibri"/>
                <w:b/>
                <w:color w:val="FFFFFF" w:themeColor="background1"/>
                <w:sz w:val="20"/>
                <w:szCs w:val="20"/>
              </w:rPr>
              <w:t>Type of enterprise</w:t>
            </w:r>
          </w:p>
        </w:tc>
        <w:tc>
          <w:tcPr>
            <w:tcW w:w="1209" w:type="pct"/>
            <w:shd w:val="clear" w:color="auto" w:fill="4472C4"/>
            <w:tcMar>
              <w:top w:w="43" w:type="dxa"/>
              <w:left w:w="115" w:type="dxa"/>
              <w:bottom w:w="43" w:type="dxa"/>
              <w:right w:w="115" w:type="dxa"/>
            </w:tcMar>
            <w:vAlign w:val="center"/>
          </w:tcPr>
          <w:p w14:paraId="76DFAA84" w14:textId="77777777" w:rsidR="00F76E53" w:rsidRPr="007A2DD7" w:rsidRDefault="00F76E53" w:rsidP="007A2DD7">
            <w:pPr>
              <w:keepNext/>
              <w:keepLines/>
              <w:spacing w:after="0" w:line="240" w:lineRule="auto"/>
              <w:jc w:val="center"/>
              <w:rPr>
                <w:rFonts w:eastAsia="Times New Roman" w:cs="Calibri"/>
                <w:b/>
                <w:color w:val="FFFFFF" w:themeColor="background1"/>
                <w:sz w:val="20"/>
                <w:szCs w:val="20"/>
              </w:rPr>
            </w:pPr>
            <w:r w:rsidRPr="007A2DD7">
              <w:rPr>
                <w:rFonts w:eastAsia="Times New Roman" w:cs="Calibri"/>
                <w:b/>
                <w:color w:val="FFFFFF" w:themeColor="background1"/>
                <w:sz w:val="20"/>
                <w:szCs w:val="20"/>
              </w:rPr>
              <w:t>Number of enterprises</w:t>
            </w:r>
          </w:p>
        </w:tc>
      </w:tr>
      <w:tr w:rsidR="00F76E53" w:rsidRPr="007A2DD7" w14:paraId="31523D61" w14:textId="77777777" w:rsidTr="00C04BF9">
        <w:trPr>
          <w:tblCellSpacing w:w="43" w:type="dxa"/>
          <w:jc w:val="center"/>
        </w:trPr>
        <w:tc>
          <w:tcPr>
            <w:tcW w:w="4905" w:type="pct"/>
            <w:gridSpan w:val="2"/>
            <w:shd w:val="clear" w:color="auto" w:fill="8C8D90"/>
            <w:tcMar>
              <w:top w:w="43" w:type="dxa"/>
              <w:left w:w="115" w:type="dxa"/>
              <w:bottom w:w="43" w:type="dxa"/>
              <w:right w:w="115" w:type="dxa"/>
            </w:tcMar>
          </w:tcPr>
          <w:p w14:paraId="1EA4BF79" w14:textId="77777777" w:rsidR="00F76E53" w:rsidRPr="007A2DD7" w:rsidRDefault="00F76E53" w:rsidP="007A2DD7">
            <w:pPr>
              <w:keepNext/>
              <w:keepLines/>
              <w:spacing w:after="0" w:line="240" w:lineRule="auto"/>
              <w:jc w:val="center"/>
              <w:rPr>
                <w:rFonts w:eastAsia="Times New Roman" w:cs="Calibri"/>
                <w:b/>
                <w:color w:val="FFFFFF" w:themeColor="background1"/>
                <w:sz w:val="20"/>
                <w:szCs w:val="20"/>
              </w:rPr>
            </w:pPr>
            <w:r w:rsidRPr="007A2DD7">
              <w:rPr>
                <w:b/>
                <w:bCs/>
                <w:color w:val="FFFFFF" w:themeColor="background1"/>
                <w:sz w:val="20"/>
                <w:szCs w:val="20"/>
              </w:rPr>
              <w:t xml:space="preserve">A. </w:t>
            </w:r>
            <w:r w:rsidR="005B0FF3" w:rsidRPr="007A2DD7">
              <w:rPr>
                <w:b/>
                <w:bCs/>
                <w:color w:val="FFFFFF" w:themeColor="background1"/>
                <w:sz w:val="20"/>
                <w:szCs w:val="20"/>
              </w:rPr>
              <w:t>Government Financial Institutions</w:t>
            </w:r>
          </w:p>
        </w:tc>
      </w:tr>
      <w:tr w:rsidR="00F76E53" w:rsidRPr="007A2DD7" w14:paraId="1A08BB27" w14:textId="77777777" w:rsidTr="00C04BF9">
        <w:trPr>
          <w:trHeight w:val="28"/>
          <w:tblCellSpacing w:w="43" w:type="dxa"/>
          <w:jc w:val="center"/>
        </w:trPr>
        <w:tc>
          <w:tcPr>
            <w:tcW w:w="3648" w:type="pct"/>
            <w:shd w:val="clear" w:color="auto" w:fill="C6E8D7"/>
            <w:tcMar>
              <w:top w:w="43" w:type="dxa"/>
              <w:left w:w="115" w:type="dxa"/>
              <w:bottom w:w="43" w:type="dxa"/>
              <w:right w:w="115" w:type="dxa"/>
            </w:tcMar>
          </w:tcPr>
          <w:p w14:paraId="3B098376" w14:textId="77777777" w:rsidR="00F76E53" w:rsidRPr="007A2DD7" w:rsidRDefault="00F76E53" w:rsidP="007A2DD7">
            <w:pPr>
              <w:spacing w:after="0" w:line="240" w:lineRule="auto"/>
              <w:jc w:val="left"/>
              <w:rPr>
                <w:sz w:val="20"/>
                <w:szCs w:val="20"/>
              </w:rPr>
            </w:pPr>
            <w:r w:rsidRPr="007A2DD7">
              <w:rPr>
                <w:sz w:val="20"/>
                <w:szCs w:val="20"/>
              </w:rPr>
              <w:t>1. Banking Institutions</w:t>
            </w:r>
            <w:r w:rsidRPr="007A2DD7">
              <w:rPr>
                <w:rStyle w:val="FootnoteReference"/>
                <w:sz w:val="20"/>
                <w:szCs w:val="20"/>
              </w:rPr>
              <w:footnoteReference w:id="34"/>
            </w:r>
          </w:p>
        </w:tc>
        <w:tc>
          <w:tcPr>
            <w:tcW w:w="1209" w:type="pct"/>
            <w:shd w:val="clear" w:color="auto" w:fill="C6E8D7"/>
            <w:tcMar>
              <w:top w:w="43" w:type="dxa"/>
              <w:left w:w="115" w:type="dxa"/>
              <w:bottom w:w="43" w:type="dxa"/>
              <w:right w:w="115" w:type="dxa"/>
            </w:tcMar>
          </w:tcPr>
          <w:p w14:paraId="77051BCF" w14:textId="77777777" w:rsidR="00F76E53" w:rsidRPr="007A2DD7" w:rsidRDefault="00F76E53" w:rsidP="007A2DD7">
            <w:pPr>
              <w:spacing w:after="0" w:line="240" w:lineRule="auto"/>
              <w:jc w:val="center"/>
              <w:rPr>
                <w:bCs/>
                <w:iCs/>
                <w:sz w:val="20"/>
                <w:szCs w:val="20"/>
              </w:rPr>
            </w:pPr>
            <w:r w:rsidRPr="007A2DD7">
              <w:rPr>
                <w:bCs/>
                <w:iCs/>
                <w:sz w:val="20"/>
                <w:szCs w:val="20"/>
              </w:rPr>
              <w:t>8</w:t>
            </w:r>
          </w:p>
        </w:tc>
      </w:tr>
      <w:tr w:rsidR="00F76E53" w:rsidRPr="007A2DD7" w14:paraId="28461910" w14:textId="77777777" w:rsidTr="00C04BF9">
        <w:trPr>
          <w:tblCellSpacing w:w="43" w:type="dxa"/>
          <w:jc w:val="center"/>
        </w:trPr>
        <w:tc>
          <w:tcPr>
            <w:tcW w:w="3648" w:type="pct"/>
            <w:shd w:val="clear" w:color="auto" w:fill="C6E8D7"/>
            <w:tcMar>
              <w:top w:w="43" w:type="dxa"/>
              <w:left w:w="115" w:type="dxa"/>
              <w:bottom w:w="43" w:type="dxa"/>
              <w:right w:w="115" w:type="dxa"/>
            </w:tcMar>
          </w:tcPr>
          <w:p w14:paraId="5C0090D2" w14:textId="77777777" w:rsidR="00F76E53" w:rsidRPr="007A2DD7" w:rsidRDefault="00F76E53" w:rsidP="007A2DD7">
            <w:pPr>
              <w:spacing w:after="0" w:line="240" w:lineRule="auto"/>
              <w:jc w:val="left"/>
              <w:rPr>
                <w:sz w:val="20"/>
                <w:szCs w:val="20"/>
              </w:rPr>
            </w:pPr>
            <w:r w:rsidRPr="007A2DD7">
              <w:rPr>
                <w:sz w:val="20"/>
                <w:szCs w:val="20"/>
              </w:rPr>
              <w:t>2. Non-Banking Institutions</w:t>
            </w:r>
          </w:p>
        </w:tc>
        <w:tc>
          <w:tcPr>
            <w:tcW w:w="1209" w:type="pct"/>
            <w:shd w:val="clear" w:color="auto" w:fill="C6E8D7"/>
            <w:tcMar>
              <w:top w:w="43" w:type="dxa"/>
              <w:left w:w="115" w:type="dxa"/>
              <w:bottom w:w="43" w:type="dxa"/>
              <w:right w:w="115" w:type="dxa"/>
            </w:tcMar>
          </w:tcPr>
          <w:p w14:paraId="1CC0B756" w14:textId="77777777" w:rsidR="00F76E53" w:rsidRPr="007A2DD7" w:rsidRDefault="00F76E53" w:rsidP="007A2DD7">
            <w:pPr>
              <w:spacing w:after="0" w:line="240" w:lineRule="auto"/>
              <w:jc w:val="center"/>
              <w:rPr>
                <w:bCs/>
                <w:iCs/>
                <w:sz w:val="20"/>
                <w:szCs w:val="20"/>
              </w:rPr>
            </w:pPr>
            <w:r w:rsidRPr="007A2DD7">
              <w:rPr>
                <w:bCs/>
                <w:iCs/>
                <w:sz w:val="20"/>
                <w:szCs w:val="20"/>
              </w:rPr>
              <w:t>14</w:t>
            </w:r>
          </w:p>
        </w:tc>
      </w:tr>
      <w:tr w:rsidR="00F76E53" w:rsidRPr="007A2DD7" w14:paraId="5B420810" w14:textId="77777777" w:rsidTr="00C04BF9">
        <w:trPr>
          <w:tblCellSpacing w:w="43" w:type="dxa"/>
          <w:jc w:val="center"/>
        </w:trPr>
        <w:tc>
          <w:tcPr>
            <w:tcW w:w="3648" w:type="pct"/>
            <w:shd w:val="clear" w:color="auto" w:fill="C6E8D7"/>
            <w:tcMar>
              <w:top w:w="43" w:type="dxa"/>
              <w:left w:w="115" w:type="dxa"/>
              <w:bottom w:w="43" w:type="dxa"/>
              <w:right w:w="115" w:type="dxa"/>
            </w:tcMar>
          </w:tcPr>
          <w:p w14:paraId="243C44D8" w14:textId="77777777" w:rsidR="00F76E53" w:rsidRPr="007A2DD7" w:rsidRDefault="00F76E53" w:rsidP="007A2DD7">
            <w:pPr>
              <w:spacing w:after="0" w:line="240" w:lineRule="auto"/>
              <w:jc w:val="left"/>
              <w:rPr>
                <w:sz w:val="20"/>
                <w:szCs w:val="20"/>
              </w:rPr>
            </w:pPr>
            <w:r w:rsidRPr="007A2DD7">
              <w:rPr>
                <w:sz w:val="20"/>
                <w:szCs w:val="20"/>
              </w:rPr>
              <w:t>3. Social Security Institutions</w:t>
            </w:r>
          </w:p>
        </w:tc>
        <w:tc>
          <w:tcPr>
            <w:tcW w:w="1209" w:type="pct"/>
            <w:shd w:val="clear" w:color="auto" w:fill="C6E8D7"/>
            <w:tcMar>
              <w:top w:w="43" w:type="dxa"/>
              <w:left w:w="115" w:type="dxa"/>
              <w:bottom w:w="43" w:type="dxa"/>
              <w:right w:w="115" w:type="dxa"/>
            </w:tcMar>
          </w:tcPr>
          <w:p w14:paraId="3729D7A1" w14:textId="77777777" w:rsidR="00F76E53" w:rsidRPr="007A2DD7" w:rsidRDefault="00F76E53" w:rsidP="007A2DD7">
            <w:pPr>
              <w:spacing w:after="0" w:line="240" w:lineRule="auto"/>
              <w:jc w:val="center"/>
              <w:rPr>
                <w:bCs/>
                <w:iCs/>
                <w:sz w:val="20"/>
                <w:szCs w:val="20"/>
              </w:rPr>
            </w:pPr>
            <w:r w:rsidRPr="007A2DD7">
              <w:rPr>
                <w:bCs/>
                <w:iCs/>
                <w:sz w:val="20"/>
                <w:szCs w:val="20"/>
              </w:rPr>
              <w:t>6</w:t>
            </w:r>
          </w:p>
        </w:tc>
      </w:tr>
      <w:tr w:rsidR="00F76E53" w:rsidRPr="007A2DD7" w14:paraId="7B99D259" w14:textId="77777777" w:rsidTr="00C04BF9">
        <w:trPr>
          <w:tblCellSpacing w:w="43" w:type="dxa"/>
          <w:jc w:val="center"/>
        </w:trPr>
        <w:tc>
          <w:tcPr>
            <w:tcW w:w="3648" w:type="pct"/>
            <w:shd w:val="clear" w:color="auto" w:fill="E7E6E6" w:themeFill="background2"/>
            <w:tcMar>
              <w:top w:w="43" w:type="dxa"/>
              <w:left w:w="115" w:type="dxa"/>
              <w:bottom w:w="43" w:type="dxa"/>
              <w:right w:w="115" w:type="dxa"/>
            </w:tcMar>
          </w:tcPr>
          <w:p w14:paraId="0F3C4015" w14:textId="77777777" w:rsidR="00F76E53" w:rsidRPr="007A2DD7" w:rsidRDefault="005B0FF3" w:rsidP="007A2DD7">
            <w:pPr>
              <w:spacing w:after="0" w:line="240" w:lineRule="auto"/>
              <w:jc w:val="right"/>
              <w:rPr>
                <w:b/>
                <w:sz w:val="20"/>
                <w:szCs w:val="20"/>
              </w:rPr>
            </w:pPr>
            <w:r w:rsidRPr="007A2DD7">
              <w:rPr>
                <w:b/>
                <w:sz w:val="20"/>
                <w:szCs w:val="20"/>
              </w:rPr>
              <w:t xml:space="preserve">Government Financial Institutions </w:t>
            </w:r>
            <w:r w:rsidR="00F76E53" w:rsidRPr="007A2DD7">
              <w:rPr>
                <w:b/>
                <w:sz w:val="20"/>
                <w:szCs w:val="20"/>
              </w:rPr>
              <w:t>Total</w:t>
            </w:r>
          </w:p>
        </w:tc>
        <w:tc>
          <w:tcPr>
            <w:tcW w:w="1209" w:type="pct"/>
            <w:shd w:val="clear" w:color="auto" w:fill="E7E6E6" w:themeFill="background2"/>
            <w:tcMar>
              <w:top w:w="43" w:type="dxa"/>
              <w:left w:w="115" w:type="dxa"/>
              <w:bottom w:w="43" w:type="dxa"/>
              <w:right w:w="115" w:type="dxa"/>
            </w:tcMar>
          </w:tcPr>
          <w:p w14:paraId="1573192F" w14:textId="77777777" w:rsidR="00F76E53" w:rsidRPr="007A2DD7" w:rsidRDefault="00F76E53" w:rsidP="007A2DD7">
            <w:pPr>
              <w:spacing w:after="0" w:line="240" w:lineRule="auto"/>
              <w:jc w:val="center"/>
              <w:rPr>
                <w:b/>
                <w:bCs/>
                <w:iCs/>
                <w:sz w:val="20"/>
                <w:szCs w:val="20"/>
              </w:rPr>
            </w:pPr>
            <w:r w:rsidRPr="007A2DD7">
              <w:rPr>
                <w:b/>
                <w:bCs/>
                <w:iCs/>
                <w:sz w:val="20"/>
                <w:szCs w:val="20"/>
              </w:rPr>
              <w:t>28</w:t>
            </w:r>
          </w:p>
        </w:tc>
      </w:tr>
      <w:tr w:rsidR="00F76E53" w:rsidRPr="007A2DD7" w14:paraId="2597217B" w14:textId="77777777" w:rsidTr="00C04BF9">
        <w:trPr>
          <w:tblCellSpacing w:w="43" w:type="dxa"/>
          <w:jc w:val="center"/>
        </w:trPr>
        <w:tc>
          <w:tcPr>
            <w:tcW w:w="4905" w:type="pct"/>
            <w:gridSpan w:val="2"/>
            <w:shd w:val="clear" w:color="auto" w:fill="8C8D90"/>
            <w:tcMar>
              <w:top w:w="43" w:type="dxa"/>
              <w:left w:w="115" w:type="dxa"/>
              <w:bottom w:w="43" w:type="dxa"/>
              <w:right w:w="115" w:type="dxa"/>
            </w:tcMar>
          </w:tcPr>
          <w:p w14:paraId="57279BF6" w14:textId="77777777" w:rsidR="00F76E53" w:rsidRPr="007A2DD7" w:rsidRDefault="00F76E53" w:rsidP="007A2DD7">
            <w:pPr>
              <w:spacing w:after="0" w:line="240" w:lineRule="auto"/>
              <w:jc w:val="center"/>
              <w:rPr>
                <w:bCs/>
                <w:iCs/>
                <w:sz w:val="20"/>
                <w:szCs w:val="20"/>
              </w:rPr>
            </w:pPr>
            <w:r w:rsidRPr="007A2DD7">
              <w:rPr>
                <w:b/>
                <w:bCs/>
                <w:color w:val="FFFFFF" w:themeColor="background1"/>
                <w:sz w:val="20"/>
                <w:szCs w:val="20"/>
              </w:rPr>
              <w:t>B. GICP/GCE</w:t>
            </w:r>
          </w:p>
        </w:tc>
      </w:tr>
      <w:tr w:rsidR="00F76E53" w:rsidRPr="007A2DD7" w14:paraId="592ACC71" w14:textId="77777777" w:rsidTr="00C04BF9">
        <w:trPr>
          <w:tblCellSpacing w:w="43" w:type="dxa"/>
          <w:jc w:val="center"/>
        </w:trPr>
        <w:tc>
          <w:tcPr>
            <w:tcW w:w="3648" w:type="pct"/>
            <w:shd w:val="clear" w:color="auto" w:fill="C6E8D7"/>
            <w:tcMar>
              <w:top w:w="43" w:type="dxa"/>
              <w:left w:w="115" w:type="dxa"/>
              <w:bottom w:w="43" w:type="dxa"/>
              <w:right w:w="115" w:type="dxa"/>
            </w:tcMar>
          </w:tcPr>
          <w:p w14:paraId="31EC41DA" w14:textId="77777777" w:rsidR="00F76E53" w:rsidRPr="007A2DD7" w:rsidRDefault="00F76E53" w:rsidP="007A2DD7">
            <w:pPr>
              <w:spacing w:after="0" w:line="240" w:lineRule="auto"/>
              <w:jc w:val="left"/>
              <w:rPr>
                <w:sz w:val="20"/>
                <w:szCs w:val="20"/>
              </w:rPr>
            </w:pPr>
            <w:r w:rsidRPr="007A2DD7">
              <w:rPr>
                <w:sz w:val="20"/>
                <w:szCs w:val="20"/>
              </w:rPr>
              <w:t>1. Trade, Area Development and Tourism Sector</w:t>
            </w:r>
          </w:p>
        </w:tc>
        <w:tc>
          <w:tcPr>
            <w:tcW w:w="1209" w:type="pct"/>
            <w:shd w:val="clear" w:color="auto" w:fill="C6E8D7"/>
            <w:tcMar>
              <w:top w:w="43" w:type="dxa"/>
              <w:left w:w="115" w:type="dxa"/>
              <w:bottom w:w="43" w:type="dxa"/>
              <w:right w:w="115" w:type="dxa"/>
            </w:tcMar>
          </w:tcPr>
          <w:p w14:paraId="4FA71DB0" w14:textId="77777777" w:rsidR="00F76E53" w:rsidRPr="007A2DD7" w:rsidRDefault="00F76E53" w:rsidP="007A2DD7">
            <w:pPr>
              <w:spacing w:after="0" w:line="240" w:lineRule="auto"/>
              <w:jc w:val="center"/>
              <w:rPr>
                <w:bCs/>
                <w:iCs/>
                <w:sz w:val="20"/>
                <w:szCs w:val="20"/>
              </w:rPr>
            </w:pPr>
            <w:r w:rsidRPr="007A2DD7">
              <w:rPr>
                <w:bCs/>
                <w:iCs/>
                <w:sz w:val="20"/>
                <w:szCs w:val="20"/>
              </w:rPr>
              <w:t>20</w:t>
            </w:r>
          </w:p>
        </w:tc>
      </w:tr>
      <w:tr w:rsidR="00F76E53" w:rsidRPr="007A2DD7" w14:paraId="03A7EBA6" w14:textId="77777777" w:rsidTr="00C04BF9">
        <w:trPr>
          <w:tblCellSpacing w:w="43" w:type="dxa"/>
          <w:jc w:val="center"/>
        </w:trPr>
        <w:tc>
          <w:tcPr>
            <w:tcW w:w="3648" w:type="pct"/>
            <w:shd w:val="clear" w:color="auto" w:fill="C6E8D7"/>
            <w:tcMar>
              <w:top w:w="43" w:type="dxa"/>
              <w:left w:w="115" w:type="dxa"/>
              <w:bottom w:w="43" w:type="dxa"/>
              <w:right w:w="115" w:type="dxa"/>
            </w:tcMar>
          </w:tcPr>
          <w:p w14:paraId="59F1ED48" w14:textId="77777777" w:rsidR="00F76E53" w:rsidRPr="007A2DD7" w:rsidRDefault="00F76E53" w:rsidP="007A2DD7">
            <w:pPr>
              <w:spacing w:after="0" w:line="240" w:lineRule="auto"/>
              <w:jc w:val="left"/>
              <w:rPr>
                <w:sz w:val="20"/>
                <w:szCs w:val="20"/>
              </w:rPr>
            </w:pPr>
            <w:r w:rsidRPr="007A2DD7">
              <w:rPr>
                <w:sz w:val="20"/>
                <w:szCs w:val="20"/>
              </w:rPr>
              <w:t>2. Educational and Cultural Sector</w:t>
            </w:r>
          </w:p>
        </w:tc>
        <w:tc>
          <w:tcPr>
            <w:tcW w:w="1209" w:type="pct"/>
            <w:shd w:val="clear" w:color="auto" w:fill="C6E8D7"/>
            <w:tcMar>
              <w:top w:w="43" w:type="dxa"/>
              <w:left w:w="115" w:type="dxa"/>
              <w:bottom w:w="43" w:type="dxa"/>
              <w:right w:w="115" w:type="dxa"/>
            </w:tcMar>
          </w:tcPr>
          <w:p w14:paraId="3128C204" w14:textId="77777777" w:rsidR="00F76E53" w:rsidRPr="007A2DD7" w:rsidRDefault="00F76E53" w:rsidP="007A2DD7">
            <w:pPr>
              <w:spacing w:after="0" w:line="240" w:lineRule="auto"/>
              <w:jc w:val="center"/>
              <w:rPr>
                <w:bCs/>
                <w:iCs/>
                <w:sz w:val="20"/>
                <w:szCs w:val="20"/>
              </w:rPr>
            </w:pPr>
            <w:r w:rsidRPr="007A2DD7">
              <w:rPr>
                <w:bCs/>
                <w:iCs/>
                <w:sz w:val="20"/>
                <w:szCs w:val="20"/>
              </w:rPr>
              <w:t>5</w:t>
            </w:r>
          </w:p>
        </w:tc>
      </w:tr>
      <w:tr w:rsidR="00F76E53" w:rsidRPr="007A2DD7" w14:paraId="6A19919A" w14:textId="77777777" w:rsidTr="00C04BF9">
        <w:trPr>
          <w:tblCellSpacing w:w="43" w:type="dxa"/>
          <w:jc w:val="center"/>
        </w:trPr>
        <w:tc>
          <w:tcPr>
            <w:tcW w:w="3648" w:type="pct"/>
            <w:shd w:val="clear" w:color="auto" w:fill="C6E8D7"/>
            <w:tcMar>
              <w:top w:w="43" w:type="dxa"/>
              <w:left w:w="115" w:type="dxa"/>
              <w:bottom w:w="43" w:type="dxa"/>
              <w:right w:w="115" w:type="dxa"/>
            </w:tcMar>
          </w:tcPr>
          <w:p w14:paraId="5C07EAC3" w14:textId="77777777" w:rsidR="00F76E53" w:rsidRPr="007A2DD7" w:rsidRDefault="00F76E53" w:rsidP="007A2DD7">
            <w:pPr>
              <w:spacing w:after="0" w:line="240" w:lineRule="auto"/>
              <w:jc w:val="left"/>
              <w:rPr>
                <w:sz w:val="20"/>
                <w:szCs w:val="20"/>
              </w:rPr>
            </w:pPr>
            <w:r w:rsidRPr="007A2DD7">
              <w:rPr>
                <w:sz w:val="20"/>
                <w:szCs w:val="20"/>
              </w:rPr>
              <w:t xml:space="preserve">3. Gaming Sector </w:t>
            </w:r>
          </w:p>
        </w:tc>
        <w:tc>
          <w:tcPr>
            <w:tcW w:w="1209" w:type="pct"/>
            <w:shd w:val="clear" w:color="auto" w:fill="C6E8D7"/>
            <w:tcMar>
              <w:top w:w="43" w:type="dxa"/>
              <w:left w:w="115" w:type="dxa"/>
              <w:bottom w:w="43" w:type="dxa"/>
              <w:right w:w="115" w:type="dxa"/>
            </w:tcMar>
          </w:tcPr>
          <w:p w14:paraId="36C6222B" w14:textId="77777777" w:rsidR="00F76E53" w:rsidRPr="007A2DD7" w:rsidRDefault="00F76E53" w:rsidP="007A2DD7">
            <w:pPr>
              <w:spacing w:after="0" w:line="240" w:lineRule="auto"/>
              <w:jc w:val="center"/>
              <w:rPr>
                <w:bCs/>
                <w:iCs/>
                <w:sz w:val="20"/>
                <w:szCs w:val="20"/>
              </w:rPr>
            </w:pPr>
            <w:r w:rsidRPr="007A2DD7">
              <w:rPr>
                <w:bCs/>
                <w:iCs/>
                <w:sz w:val="20"/>
                <w:szCs w:val="20"/>
              </w:rPr>
              <w:t>2</w:t>
            </w:r>
          </w:p>
        </w:tc>
      </w:tr>
      <w:tr w:rsidR="00F76E53" w:rsidRPr="007A2DD7" w14:paraId="7034A12B" w14:textId="77777777" w:rsidTr="00C04BF9">
        <w:trPr>
          <w:tblCellSpacing w:w="43" w:type="dxa"/>
          <w:jc w:val="center"/>
        </w:trPr>
        <w:tc>
          <w:tcPr>
            <w:tcW w:w="3648" w:type="pct"/>
            <w:shd w:val="clear" w:color="auto" w:fill="C6E8D7"/>
            <w:tcMar>
              <w:top w:w="43" w:type="dxa"/>
              <w:left w:w="115" w:type="dxa"/>
              <w:bottom w:w="43" w:type="dxa"/>
              <w:right w:w="115" w:type="dxa"/>
            </w:tcMar>
          </w:tcPr>
          <w:p w14:paraId="71F3B3CF" w14:textId="77777777" w:rsidR="00F76E53" w:rsidRPr="007A2DD7" w:rsidRDefault="00F76E53" w:rsidP="007A2DD7">
            <w:pPr>
              <w:spacing w:after="0" w:line="240" w:lineRule="auto"/>
              <w:jc w:val="left"/>
              <w:rPr>
                <w:sz w:val="20"/>
                <w:szCs w:val="20"/>
              </w:rPr>
            </w:pPr>
            <w:r w:rsidRPr="007A2DD7">
              <w:rPr>
                <w:sz w:val="20"/>
                <w:szCs w:val="20"/>
              </w:rPr>
              <w:t>4. Energy and Materials Sector</w:t>
            </w:r>
          </w:p>
        </w:tc>
        <w:tc>
          <w:tcPr>
            <w:tcW w:w="1209" w:type="pct"/>
            <w:shd w:val="clear" w:color="auto" w:fill="C6E8D7"/>
            <w:tcMar>
              <w:top w:w="43" w:type="dxa"/>
              <w:left w:w="115" w:type="dxa"/>
              <w:bottom w:w="43" w:type="dxa"/>
              <w:right w:w="115" w:type="dxa"/>
            </w:tcMar>
          </w:tcPr>
          <w:p w14:paraId="2D45F77F" w14:textId="77777777" w:rsidR="00F76E53" w:rsidRPr="007A2DD7" w:rsidRDefault="00F76E53" w:rsidP="007A2DD7">
            <w:pPr>
              <w:spacing w:after="0" w:line="240" w:lineRule="auto"/>
              <w:jc w:val="center"/>
              <w:rPr>
                <w:bCs/>
                <w:iCs/>
                <w:sz w:val="20"/>
                <w:szCs w:val="20"/>
              </w:rPr>
            </w:pPr>
            <w:r w:rsidRPr="007A2DD7">
              <w:rPr>
                <w:bCs/>
                <w:iCs/>
                <w:sz w:val="20"/>
                <w:szCs w:val="20"/>
              </w:rPr>
              <w:t>13</w:t>
            </w:r>
          </w:p>
        </w:tc>
      </w:tr>
      <w:tr w:rsidR="00F76E53" w:rsidRPr="007A2DD7" w14:paraId="749CE794" w14:textId="77777777" w:rsidTr="00C04BF9">
        <w:trPr>
          <w:tblCellSpacing w:w="43" w:type="dxa"/>
          <w:jc w:val="center"/>
        </w:trPr>
        <w:tc>
          <w:tcPr>
            <w:tcW w:w="3648" w:type="pct"/>
            <w:shd w:val="clear" w:color="auto" w:fill="C6E8D7"/>
            <w:tcMar>
              <w:top w:w="43" w:type="dxa"/>
              <w:left w:w="115" w:type="dxa"/>
              <w:bottom w:w="43" w:type="dxa"/>
              <w:right w:w="115" w:type="dxa"/>
            </w:tcMar>
          </w:tcPr>
          <w:p w14:paraId="2E17ED40" w14:textId="77777777" w:rsidR="00F76E53" w:rsidRPr="007A2DD7" w:rsidRDefault="00F76E53" w:rsidP="007A2DD7">
            <w:pPr>
              <w:spacing w:after="0" w:line="240" w:lineRule="auto"/>
              <w:jc w:val="left"/>
              <w:rPr>
                <w:sz w:val="20"/>
                <w:szCs w:val="20"/>
              </w:rPr>
            </w:pPr>
            <w:r w:rsidRPr="007A2DD7">
              <w:rPr>
                <w:sz w:val="20"/>
                <w:szCs w:val="20"/>
              </w:rPr>
              <w:t>5. Agriculture, Fisheries and Food Sector</w:t>
            </w:r>
          </w:p>
        </w:tc>
        <w:tc>
          <w:tcPr>
            <w:tcW w:w="1209" w:type="pct"/>
            <w:shd w:val="clear" w:color="auto" w:fill="C6E8D7"/>
            <w:tcMar>
              <w:top w:w="43" w:type="dxa"/>
              <w:left w:w="115" w:type="dxa"/>
              <w:bottom w:w="43" w:type="dxa"/>
              <w:right w:w="115" w:type="dxa"/>
            </w:tcMar>
          </w:tcPr>
          <w:p w14:paraId="66F58930" w14:textId="77777777" w:rsidR="00F76E53" w:rsidRPr="007A2DD7" w:rsidRDefault="00F76E53" w:rsidP="007A2DD7">
            <w:pPr>
              <w:spacing w:after="0" w:line="240" w:lineRule="auto"/>
              <w:jc w:val="center"/>
              <w:rPr>
                <w:bCs/>
                <w:iCs/>
                <w:sz w:val="20"/>
                <w:szCs w:val="20"/>
              </w:rPr>
            </w:pPr>
            <w:r w:rsidRPr="007A2DD7">
              <w:rPr>
                <w:bCs/>
                <w:iCs/>
                <w:sz w:val="20"/>
                <w:szCs w:val="20"/>
              </w:rPr>
              <w:t>11</w:t>
            </w:r>
          </w:p>
        </w:tc>
      </w:tr>
      <w:tr w:rsidR="00F76E53" w:rsidRPr="007A2DD7" w14:paraId="203213EC" w14:textId="77777777" w:rsidTr="00C04BF9">
        <w:trPr>
          <w:tblCellSpacing w:w="43" w:type="dxa"/>
          <w:jc w:val="center"/>
        </w:trPr>
        <w:tc>
          <w:tcPr>
            <w:tcW w:w="3648" w:type="pct"/>
            <w:shd w:val="clear" w:color="auto" w:fill="C6E8D7"/>
            <w:tcMar>
              <w:top w:w="43" w:type="dxa"/>
              <w:left w:w="115" w:type="dxa"/>
              <w:bottom w:w="43" w:type="dxa"/>
              <w:right w:w="115" w:type="dxa"/>
            </w:tcMar>
          </w:tcPr>
          <w:p w14:paraId="426CFD3F" w14:textId="77777777" w:rsidR="00F76E53" w:rsidRPr="007A2DD7" w:rsidRDefault="00F76E53" w:rsidP="007A2DD7">
            <w:pPr>
              <w:spacing w:after="0" w:line="240" w:lineRule="auto"/>
              <w:jc w:val="left"/>
              <w:rPr>
                <w:sz w:val="20"/>
                <w:szCs w:val="20"/>
              </w:rPr>
            </w:pPr>
            <w:r w:rsidRPr="007A2DD7">
              <w:rPr>
                <w:sz w:val="20"/>
                <w:szCs w:val="20"/>
              </w:rPr>
              <w:t>6. Utilities and Communications Sector</w:t>
            </w:r>
          </w:p>
        </w:tc>
        <w:tc>
          <w:tcPr>
            <w:tcW w:w="1209" w:type="pct"/>
            <w:shd w:val="clear" w:color="auto" w:fill="C6E8D7"/>
            <w:tcMar>
              <w:top w:w="43" w:type="dxa"/>
              <w:left w:w="115" w:type="dxa"/>
              <w:bottom w:w="43" w:type="dxa"/>
              <w:right w:w="115" w:type="dxa"/>
            </w:tcMar>
          </w:tcPr>
          <w:p w14:paraId="6A3C23B0" w14:textId="77777777" w:rsidR="00F76E53" w:rsidRPr="007A2DD7" w:rsidRDefault="00F76E53" w:rsidP="007A2DD7">
            <w:pPr>
              <w:spacing w:after="0" w:line="240" w:lineRule="auto"/>
              <w:jc w:val="center"/>
              <w:rPr>
                <w:bCs/>
                <w:iCs/>
                <w:sz w:val="20"/>
                <w:szCs w:val="20"/>
              </w:rPr>
            </w:pPr>
            <w:r w:rsidRPr="007A2DD7">
              <w:rPr>
                <w:bCs/>
                <w:iCs/>
                <w:sz w:val="20"/>
                <w:szCs w:val="20"/>
              </w:rPr>
              <w:t>18</w:t>
            </w:r>
          </w:p>
        </w:tc>
      </w:tr>
      <w:tr w:rsidR="00F76E53" w:rsidRPr="007A2DD7" w14:paraId="4E165695" w14:textId="77777777" w:rsidTr="00C04BF9">
        <w:trPr>
          <w:tblCellSpacing w:w="43" w:type="dxa"/>
          <w:jc w:val="center"/>
        </w:trPr>
        <w:tc>
          <w:tcPr>
            <w:tcW w:w="3648" w:type="pct"/>
            <w:shd w:val="clear" w:color="auto" w:fill="C6E8D7"/>
            <w:tcMar>
              <w:top w:w="43" w:type="dxa"/>
              <w:left w:w="115" w:type="dxa"/>
              <w:bottom w:w="43" w:type="dxa"/>
              <w:right w:w="115" w:type="dxa"/>
            </w:tcMar>
          </w:tcPr>
          <w:p w14:paraId="3C32F750" w14:textId="77777777" w:rsidR="00F76E53" w:rsidRPr="007A2DD7" w:rsidRDefault="00F76E53" w:rsidP="007A2DD7">
            <w:pPr>
              <w:spacing w:after="0" w:line="240" w:lineRule="auto"/>
              <w:jc w:val="left"/>
              <w:rPr>
                <w:sz w:val="20"/>
                <w:szCs w:val="20"/>
              </w:rPr>
            </w:pPr>
            <w:r w:rsidRPr="007A2DD7">
              <w:rPr>
                <w:sz w:val="20"/>
                <w:szCs w:val="20"/>
              </w:rPr>
              <w:t>7. Healthcare Services Sector</w:t>
            </w:r>
          </w:p>
        </w:tc>
        <w:tc>
          <w:tcPr>
            <w:tcW w:w="1209" w:type="pct"/>
            <w:shd w:val="clear" w:color="auto" w:fill="C6E8D7"/>
            <w:tcMar>
              <w:top w:w="43" w:type="dxa"/>
              <w:left w:w="115" w:type="dxa"/>
              <w:bottom w:w="43" w:type="dxa"/>
              <w:right w:w="115" w:type="dxa"/>
            </w:tcMar>
          </w:tcPr>
          <w:p w14:paraId="0A4682D8" w14:textId="77777777" w:rsidR="00F76E53" w:rsidRPr="007A2DD7" w:rsidRDefault="00F76E53" w:rsidP="007A2DD7">
            <w:pPr>
              <w:spacing w:after="0" w:line="240" w:lineRule="auto"/>
              <w:jc w:val="center"/>
              <w:rPr>
                <w:bCs/>
                <w:iCs/>
                <w:sz w:val="20"/>
                <w:szCs w:val="20"/>
              </w:rPr>
            </w:pPr>
            <w:r w:rsidRPr="007A2DD7">
              <w:rPr>
                <w:bCs/>
                <w:iCs/>
                <w:sz w:val="20"/>
                <w:szCs w:val="20"/>
              </w:rPr>
              <w:t>1</w:t>
            </w:r>
          </w:p>
        </w:tc>
      </w:tr>
      <w:tr w:rsidR="00F76E53" w:rsidRPr="007A2DD7" w14:paraId="0CBC441F" w14:textId="77777777" w:rsidTr="00C04BF9">
        <w:trPr>
          <w:tblCellSpacing w:w="43" w:type="dxa"/>
          <w:jc w:val="center"/>
        </w:trPr>
        <w:tc>
          <w:tcPr>
            <w:tcW w:w="3648" w:type="pct"/>
            <w:shd w:val="clear" w:color="auto" w:fill="E7E6E6" w:themeFill="background2"/>
            <w:tcMar>
              <w:top w:w="43" w:type="dxa"/>
              <w:left w:w="115" w:type="dxa"/>
              <w:bottom w:w="43" w:type="dxa"/>
              <w:right w:w="115" w:type="dxa"/>
            </w:tcMar>
          </w:tcPr>
          <w:p w14:paraId="4A048239" w14:textId="77777777" w:rsidR="00F76E53" w:rsidRPr="007A2DD7" w:rsidRDefault="00F76E53" w:rsidP="007A2DD7">
            <w:pPr>
              <w:spacing w:after="0" w:line="240" w:lineRule="auto"/>
              <w:jc w:val="right"/>
              <w:rPr>
                <w:b/>
                <w:sz w:val="20"/>
                <w:szCs w:val="20"/>
              </w:rPr>
            </w:pPr>
            <w:r w:rsidRPr="007A2DD7">
              <w:rPr>
                <w:b/>
                <w:sz w:val="20"/>
                <w:szCs w:val="20"/>
              </w:rPr>
              <w:t>GICP/GCE Total</w:t>
            </w:r>
          </w:p>
        </w:tc>
        <w:tc>
          <w:tcPr>
            <w:tcW w:w="1209" w:type="pct"/>
            <w:shd w:val="clear" w:color="auto" w:fill="E7E6E6" w:themeFill="background2"/>
            <w:tcMar>
              <w:top w:w="43" w:type="dxa"/>
              <w:left w:w="115" w:type="dxa"/>
              <w:bottom w:w="43" w:type="dxa"/>
              <w:right w:w="115" w:type="dxa"/>
            </w:tcMar>
          </w:tcPr>
          <w:p w14:paraId="2A04945C" w14:textId="77777777" w:rsidR="00F76E53" w:rsidRPr="007A2DD7" w:rsidRDefault="00F76E53" w:rsidP="007A2DD7">
            <w:pPr>
              <w:spacing w:after="0" w:line="240" w:lineRule="auto"/>
              <w:jc w:val="center"/>
              <w:rPr>
                <w:b/>
                <w:bCs/>
                <w:iCs/>
                <w:sz w:val="20"/>
                <w:szCs w:val="20"/>
              </w:rPr>
            </w:pPr>
            <w:r w:rsidRPr="007A2DD7">
              <w:rPr>
                <w:b/>
                <w:bCs/>
                <w:iCs/>
                <w:sz w:val="20"/>
                <w:szCs w:val="20"/>
              </w:rPr>
              <w:t>70</w:t>
            </w:r>
          </w:p>
        </w:tc>
      </w:tr>
      <w:tr w:rsidR="00F76E53" w:rsidRPr="007A2DD7" w14:paraId="7BF1A8CF" w14:textId="77777777" w:rsidTr="00C04BF9">
        <w:trPr>
          <w:tblCellSpacing w:w="43" w:type="dxa"/>
          <w:jc w:val="center"/>
        </w:trPr>
        <w:tc>
          <w:tcPr>
            <w:tcW w:w="3648" w:type="pct"/>
            <w:shd w:val="clear" w:color="auto" w:fill="4472C4"/>
            <w:tcMar>
              <w:top w:w="43" w:type="dxa"/>
              <w:left w:w="115" w:type="dxa"/>
              <w:bottom w:w="43" w:type="dxa"/>
              <w:right w:w="115" w:type="dxa"/>
            </w:tcMar>
          </w:tcPr>
          <w:p w14:paraId="2D8E23AB" w14:textId="77777777" w:rsidR="00F76E53" w:rsidRPr="00C04BF9" w:rsidRDefault="005B0FF3" w:rsidP="007A2DD7">
            <w:pPr>
              <w:spacing w:after="0" w:line="240" w:lineRule="auto"/>
              <w:jc w:val="right"/>
              <w:rPr>
                <w:b/>
                <w:bCs/>
                <w:color w:val="FFFFFF" w:themeColor="background1"/>
                <w:sz w:val="20"/>
                <w:szCs w:val="20"/>
              </w:rPr>
            </w:pPr>
            <w:r w:rsidRPr="00C04BF9">
              <w:rPr>
                <w:b/>
                <w:color w:val="FFFFFF" w:themeColor="background1"/>
                <w:sz w:val="20"/>
                <w:szCs w:val="20"/>
              </w:rPr>
              <w:t>Government Financial Institutions</w:t>
            </w:r>
            <w:r w:rsidRPr="00C04BF9">
              <w:rPr>
                <w:b/>
                <w:bCs/>
                <w:color w:val="FFFFFF" w:themeColor="background1"/>
                <w:sz w:val="20"/>
                <w:szCs w:val="20"/>
              </w:rPr>
              <w:t xml:space="preserve"> </w:t>
            </w:r>
            <w:r w:rsidR="00F76E53" w:rsidRPr="00C04BF9">
              <w:rPr>
                <w:b/>
                <w:bCs/>
                <w:color w:val="FFFFFF" w:themeColor="background1"/>
                <w:sz w:val="20"/>
                <w:szCs w:val="20"/>
              </w:rPr>
              <w:t>and</w:t>
            </w:r>
            <w:r w:rsidR="00F76E53" w:rsidRPr="00C04BF9">
              <w:rPr>
                <w:b/>
                <w:color w:val="FFFFFF" w:themeColor="background1"/>
                <w:sz w:val="20"/>
                <w:szCs w:val="20"/>
              </w:rPr>
              <w:t xml:space="preserve"> GICP/GCE</w:t>
            </w:r>
            <w:r w:rsidR="00F76E53" w:rsidRPr="00C04BF9">
              <w:rPr>
                <w:b/>
                <w:bCs/>
                <w:color w:val="FFFFFF" w:themeColor="background1"/>
                <w:sz w:val="20"/>
                <w:szCs w:val="20"/>
              </w:rPr>
              <w:t xml:space="preserve"> SUBTOTAL</w:t>
            </w:r>
          </w:p>
        </w:tc>
        <w:tc>
          <w:tcPr>
            <w:tcW w:w="1209" w:type="pct"/>
            <w:shd w:val="clear" w:color="auto" w:fill="4472C4"/>
            <w:tcMar>
              <w:top w:w="43" w:type="dxa"/>
              <w:left w:w="115" w:type="dxa"/>
              <w:bottom w:w="43" w:type="dxa"/>
              <w:right w:w="115" w:type="dxa"/>
            </w:tcMar>
          </w:tcPr>
          <w:p w14:paraId="40FB18C2" w14:textId="77777777" w:rsidR="00F76E53" w:rsidRPr="00C04BF9" w:rsidRDefault="00F76E53" w:rsidP="007A2DD7">
            <w:pPr>
              <w:spacing w:after="0" w:line="240" w:lineRule="auto"/>
              <w:jc w:val="center"/>
              <w:rPr>
                <w:b/>
                <w:bCs/>
                <w:iCs/>
                <w:color w:val="FFFFFF" w:themeColor="background1"/>
                <w:sz w:val="20"/>
                <w:szCs w:val="20"/>
              </w:rPr>
            </w:pPr>
            <w:r w:rsidRPr="00C04BF9">
              <w:rPr>
                <w:b/>
                <w:bCs/>
                <w:iCs/>
                <w:color w:val="FFFFFF" w:themeColor="background1"/>
                <w:sz w:val="20"/>
                <w:szCs w:val="20"/>
              </w:rPr>
              <w:t>98</w:t>
            </w:r>
          </w:p>
        </w:tc>
      </w:tr>
      <w:tr w:rsidR="00F76E53" w:rsidRPr="007A2DD7" w14:paraId="12CE2F10" w14:textId="77777777" w:rsidTr="00C04BF9">
        <w:trPr>
          <w:tblCellSpacing w:w="43" w:type="dxa"/>
          <w:jc w:val="center"/>
        </w:trPr>
        <w:tc>
          <w:tcPr>
            <w:tcW w:w="4905" w:type="pct"/>
            <w:gridSpan w:val="2"/>
            <w:shd w:val="clear" w:color="auto" w:fill="8C8D90"/>
            <w:tcMar>
              <w:top w:w="43" w:type="dxa"/>
              <w:left w:w="115" w:type="dxa"/>
              <w:bottom w:w="43" w:type="dxa"/>
              <w:right w:w="115" w:type="dxa"/>
            </w:tcMar>
          </w:tcPr>
          <w:p w14:paraId="00E60158" w14:textId="77777777" w:rsidR="00F76E53" w:rsidRPr="007A2DD7" w:rsidRDefault="00F76E53" w:rsidP="007A2DD7">
            <w:pPr>
              <w:spacing w:after="0" w:line="240" w:lineRule="auto"/>
              <w:jc w:val="center"/>
              <w:rPr>
                <w:bCs/>
                <w:iCs/>
                <w:sz w:val="20"/>
                <w:szCs w:val="20"/>
              </w:rPr>
            </w:pPr>
            <w:r w:rsidRPr="007A2DD7">
              <w:rPr>
                <w:b/>
                <w:bCs/>
                <w:color w:val="FFFFFF" w:themeColor="background1"/>
                <w:sz w:val="20"/>
                <w:szCs w:val="20"/>
              </w:rPr>
              <w:t>C. OTHERS</w:t>
            </w:r>
          </w:p>
        </w:tc>
      </w:tr>
      <w:tr w:rsidR="00F76E53" w:rsidRPr="007A2DD7" w14:paraId="51141AEF" w14:textId="77777777" w:rsidTr="00C04BF9">
        <w:trPr>
          <w:tblCellSpacing w:w="43" w:type="dxa"/>
          <w:jc w:val="center"/>
        </w:trPr>
        <w:tc>
          <w:tcPr>
            <w:tcW w:w="3648" w:type="pct"/>
            <w:shd w:val="clear" w:color="auto" w:fill="C6E8D7"/>
            <w:tcMar>
              <w:top w:w="43" w:type="dxa"/>
              <w:left w:w="115" w:type="dxa"/>
              <w:bottom w:w="43" w:type="dxa"/>
              <w:right w:w="115" w:type="dxa"/>
            </w:tcMar>
          </w:tcPr>
          <w:p w14:paraId="0AF04518" w14:textId="77777777" w:rsidR="00F76E53" w:rsidRPr="007A2DD7" w:rsidRDefault="00F76E53" w:rsidP="007A2DD7">
            <w:pPr>
              <w:spacing w:after="0" w:line="240" w:lineRule="auto"/>
              <w:jc w:val="left"/>
              <w:rPr>
                <w:sz w:val="20"/>
                <w:szCs w:val="20"/>
              </w:rPr>
            </w:pPr>
            <w:r w:rsidRPr="007A2DD7">
              <w:rPr>
                <w:sz w:val="20"/>
                <w:szCs w:val="20"/>
              </w:rPr>
              <w:t>8. GOCCs supervised by Presidential Commission on Good Government</w:t>
            </w:r>
          </w:p>
        </w:tc>
        <w:tc>
          <w:tcPr>
            <w:tcW w:w="1209" w:type="pct"/>
            <w:shd w:val="clear" w:color="auto" w:fill="C6E8D7"/>
            <w:tcMar>
              <w:top w:w="43" w:type="dxa"/>
              <w:left w:w="115" w:type="dxa"/>
              <w:bottom w:w="43" w:type="dxa"/>
              <w:right w:w="115" w:type="dxa"/>
            </w:tcMar>
          </w:tcPr>
          <w:p w14:paraId="3E976540" w14:textId="77777777" w:rsidR="00F76E53" w:rsidRPr="007A2DD7" w:rsidRDefault="00F76E53" w:rsidP="007A2DD7">
            <w:pPr>
              <w:spacing w:after="0" w:line="240" w:lineRule="auto"/>
              <w:jc w:val="center"/>
              <w:rPr>
                <w:bCs/>
                <w:iCs/>
                <w:sz w:val="20"/>
                <w:szCs w:val="20"/>
              </w:rPr>
            </w:pPr>
            <w:r w:rsidRPr="007A2DD7">
              <w:rPr>
                <w:bCs/>
                <w:iCs/>
                <w:sz w:val="20"/>
                <w:szCs w:val="20"/>
              </w:rPr>
              <w:t>15</w:t>
            </w:r>
          </w:p>
        </w:tc>
      </w:tr>
      <w:tr w:rsidR="00F76E53" w:rsidRPr="007A2DD7" w14:paraId="210DBDBE" w14:textId="77777777" w:rsidTr="00C04BF9">
        <w:trPr>
          <w:tblCellSpacing w:w="43" w:type="dxa"/>
          <w:jc w:val="center"/>
        </w:trPr>
        <w:tc>
          <w:tcPr>
            <w:tcW w:w="3648" w:type="pct"/>
            <w:shd w:val="clear" w:color="auto" w:fill="C6E8D7"/>
            <w:tcMar>
              <w:top w:w="43" w:type="dxa"/>
              <w:left w:w="115" w:type="dxa"/>
              <w:bottom w:w="43" w:type="dxa"/>
              <w:right w:w="115" w:type="dxa"/>
            </w:tcMar>
          </w:tcPr>
          <w:p w14:paraId="0B5A1A58" w14:textId="77777777" w:rsidR="00F76E53" w:rsidRPr="007A2DD7" w:rsidRDefault="00F76E53" w:rsidP="007A2DD7">
            <w:pPr>
              <w:spacing w:after="0" w:line="240" w:lineRule="auto"/>
              <w:jc w:val="left"/>
              <w:rPr>
                <w:sz w:val="20"/>
                <w:szCs w:val="20"/>
              </w:rPr>
            </w:pPr>
            <w:r w:rsidRPr="007A2DD7">
              <w:rPr>
                <w:sz w:val="20"/>
                <w:szCs w:val="20"/>
              </w:rPr>
              <w:t xml:space="preserve">9. Coconut Industry Investment Fund Oil Mills Group </w:t>
            </w:r>
          </w:p>
        </w:tc>
        <w:tc>
          <w:tcPr>
            <w:tcW w:w="1209" w:type="pct"/>
            <w:shd w:val="clear" w:color="auto" w:fill="C6E8D7"/>
            <w:tcMar>
              <w:top w:w="43" w:type="dxa"/>
              <w:left w:w="115" w:type="dxa"/>
              <w:bottom w:w="43" w:type="dxa"/>
              <w:right w:w="115" w:type="dxa"/>
            </w:tcMar>
          </w:tcPr>
          <w:p w14:paraId="1AB15B71" w14:textId="77777777" w:rsidR="00F76E53" w:rsidRPr="007A2DD7" w:rsidRDefault="00F76E53" w:rsidP="007A2DD7">
            <w:pPr>
              <w:spacing w:after="0" w:line="240" w:lineRule="auto"/>
              <w:jc w:val="center"/>
              <w:rPr>
                <w:bCs/>
                <w:iCs/>
                <w:sz w:val="20"/>
                <w:szCs w:val="20"/>
              </w:rPr>
            </w:pPr>
            <w:r w:rsidRPr="007A2DD7">
              <w:rPr>
                <w:bCs/>
                <w:iCs/>
                <w:sz w:val="20"/>
                <w:szCs w:val="20"/>
              </w:rPr>
              <w:t>6</w:t>
            </w:r>
          </w:p>
        </w:tc>
      </w:tr>
      <w:tr w:rsidR="00F76E53" w:rsidRPr="007A2DD7" w14:paraId="6DFF3C49" w14:textId="77777777" w:rsidTr="00C04BF9">
        <w:trPr>
          <w:tblCellSpacing w:w="43" w:type="dxa"/>
          <w:jc w:val="center"/>
        </w:trPr>
        <w:tc>
          <w:tcPr>
            <w:tcW w:w="3648" w:type="pct"/>
            <w:shd w:val="clear" w:color="auto" w:fill="C6E8D7"/>
            <w:tcMar>
              <w:top w:w="43" w:type="dxa"/>
              <w:left w:w="115" w:type="dxa"/>
              <w:bottom w:w="43" w:type="dxa"/>
              <w:right w:w="115" w:type="dxa"/>
            </w:tcMar>
          </w:tcPr>
          <w:p w14:paraId="2734E4A3" w14:textId="77777777" w:rsidR="00F76E53" w:rsidRPr="007A2DD7" w:rsidRDefault="00F76E53" w:rsidP="007A2DD7">
            <w:pPr>
              <w:spacing w:after="0" w:line="240" w:lineRule="auto"/>
              <w:jc w:val="left"/>
              <w:rPr>
                <w:sz w:val="20"/>
                <w:szCs w:val="20"/>
              </w:rPr>
            </w:pPr>
            <w:r w:rsidRPr="007A2DD7">
              <w:rPr>
                <w:sz w:val="20"/>
                <w:szCs w:val="20"/>
              </w:rPr>
              <w:t xml:space="preserve">10. </w:t>
            </w:r>
            <w:r w:rsidR="006D5365" w:rsidRPr="007A2DD7">
              <w:rPr>
                <w:sz w:val="20"/>
                <w:szCs w:val="20"/>
              </w:rPr>
              <w:t xml:space="preserve">Coconut Industry Investment Fund </w:t>
            </w:r>
            <w:r w:rsidRPr="007A2DD7">
              <w:rPr>
                <w:sz w:val="20"/>
                <w:szCs w:val="20"/>
              </w:rPr>
              <w:t>Holding Companies</w:t>
            </w:r>
          </w:p>
        </w:tc>
        <w:tc>
          <w:tcPr>
            <w:tcW w:w="1209" w:type="pct"/>
            <w:shd w:val="clear" w:color="auto" w:fill="C6E8D7"/>
            <w:tcMar>
              <w:top w:w="43" w:type="dxa"/>
              <w:left w:w="115" w:type="dxa"/>
              <w:bottom w:w="43" w:type="dxa"/>
              <w:right w:w="115" w:type="dxa"/>
            </w:tcMar>
          </w:tcPr>
          <w:p w14:paraId="3334070D" w14:textId="77777777" w:rsidR="00F76E53" w:rsidRPr="007A2DD7" w:rsidRDefault="00F76E53" w:rsidP="007A2DD7">
            <w:pPr>
              <w:spacing w:after="0" w:line="240" w:lineRule="auto"/>
              <w:jc w:val="center"/>
              <w:rPr>
                <w:bCs/>
                <w:iCs/>
                <w:sz w:val="20"/>
                <w:szCs w:val="20"/>
              </w:rPr>
            </w:pPr>
            <w:r w:rsidRPr="007A2DD7">
              <w:rPr>
                <w:bCs/>
                <w:iCs/>
                <w:sz w:val="20"/>
                <w:szCs w:val="20"/>
              </w:rPr>
              <w:t>14</w:t>
            </w:r>
          </w:p>
        </w:tc>
      </w:tr>
      <w:tr w:rsidR="00F76E53" w:rsidRPr="007A2DD7" w14:paraId="33C6276C" w14:textId="77777777" w:rsidTr="00C04BF9">
        <w:trPr>
          <w:tblCellSpacing w:w="43" w:type="dxa"/>
          <w:jc w:val="center"/>
        </w:trPr>
        <w:tc>
          <w:tcPr>
            <w:tcW w:w="3648" w:type="pct"/>
            <w:shd w:val="clear" w:color="auto" w:fill="C6E8D7"/>
            <w:tcMar>
              <w:top w:w="43" w:type="dxa"/>
              <w:left w:w="115" w:type="dxa"/>
              <w:bottom w:w="43" w:type="dxa"/>
              <w:right w:w="115" w:type="dxa"/>
            </w:tcMar>
          </w:tcPr>
          <w:p w14:paraId="73B8B00E" w14:textId="77777777" w:rsidR="00F76E53" w:rsidRPr="007A2DD7" w:rsidRDefault="00F76E53" w:rsidP="007A2DD7">
            <w:pPr>
              <w:spacing w:after="0" w:line="240" w:lineRule="auto"/>
              <w:jc w:val="left"/>
              <w:rPr>
                <w:sz w:val="20"/>
                <w:szCs w:val="20"/>
              </w:rPr>
            </w:pPr>
            <w:r w:rsidRPr="007A2DD7">
              <w:rPr>
                <w:sz w:val="20"/>
                <w:szCs w:val="20"/>
              </w:rPr>
              <w:t>11. Realty Holding Companies</w:t>
            </w:r>
          </w:p>
        </w:tc>
        <w:tc>
          <w:tcPr>
            <w:tcW w:w="1209" w:type="pct"/>
            <w:shd w:val="clear" w:color="auto" w:fill="C6E8D7"/>
            <w:tcMar>
              <w:top w:w="43" w:type="dxa"/>
              <w:left w:w="115" w:type="dxa"/>
              <w:bottom w:w="43" w:type="dxa"/>
              <w:right w:w="115" w:type="dxa"/>
            </w:tcMar>
          </w:tcPr>
          <w:p w14:paraId="0F470CE3" w14:textId="77777777" w:rsidR="00F76E53" w:rsidRPr="007A2DD7" w:rsidRDefault="00F76E53" w:rsidP="007A2DD7">
            <w:pPr>
              <w:spacing w:after="0" w:line="240" w:lineRule="auto"/>
              <w:jc w:val="center"/>
              <w:rPr>
                <w:bCs/>
                <w:iCs/>
                <w:sz w:val="20"/>
                <w:szCs w:val="20"/>
              </w:rPr>
            </w:pPr>
            <w:r w:rsidRPr="007A2DD7">
              <w:rPr>
                <w:bCs/>
                <w:iCs/>
                <w:sz w:val="20"/>
                <w:szCs w:val="20"/>
              </w:rPr>
              <w:t>5</w:t>
            </w:r>
          </w:p>
        </w:tc>
      </w:tr>
      <w:tr w:rsidR="00F76E53" w:rsidRPr="007A2DD7" w14:paraId="2DC45C07" w14:textId="77777777" w:rsidTr="00C04BF9">
        <w:trPr>
          <w:tblCellSpacing w:w="43" w:type="dxa"/>
          <w:jc w:val="center"/>
        </w:trPr>
        <w:tc>
          <w:tcPr>
            <w:tcW w:w="3648" w:type="pct"/>
            <w:shd w:val="clear" w:color="auto" w:fill="C6E8D7"/>
            <w:tcMar>
              <w:top w:w="43" w:type="dxa"/>
              <w:left w:w="115" w:type="dxa"/>
              <w:bottom w:w="43" w:type="dxa"/>
              <w:right w:w="115" w:type="dxa"/>
            </w:tcMar>
          </w:tcPr>
          <w:p w14:paraId="53E33499" w14:textId="77777777" w:rsidR="00F76E53" w:rsidRPr="007A2DD7" w:rsidRDefault="00F76E53" w:rsidP="007A2DD7">
            <w:pPr>
              <w:spacing w:after="0" w:line="240" w:lineRule="auto"/>
              <w:jc w:val="left"/>
              <w:rPr>
                <w:sz w:val="20"/>
                <w:szCs w:val="20"/>
              </w:rPr>
            </w:pPr>
            <w:r w:rsidRPr="007A2DD7">
              <w:rPr>
                <w:sz w:val="20"/>
                <w:szCs w:val="20"/>
              </w:rPr>
              <w:t>12. Under Privatization</w:t>
            </w:r>
          </w:p>
        </w:tc>
        <w:tc>
          <w:tcPr>
            <w:tcW w:w="1209" w:type="pct"/>
            <w:shd w:val="clear" w:color="auto" w:fill="C6E8D7"/>
            <w:tcMar>
              <w:top w:w="43" w:type="dxa"/>
              <w:left w:w="115" w:type="dxa"/>
              <w:bottom w:w="43" w:type="dxa"/>
              <w:right w:w="115" w:type="dxa"/>
            </w:tcMar>
          </w:tcPr>
          <w:p w14:paraId="4E65ADAB" w14:textId="77777777" w:rsidR="00F76E53" w:rsidRPr="007A2DD7" w:rsidRDefault="00F76E53" w:rsidP="007A2DD7">
            <w:pPr>
              <w:spacing w:after="0" w:line="240" w:lineRule="auto"/>
              <w:jc w:val="center"/>
              <w:rPr>
                <w:bCs/>
                <w:iCs/>
                <w:sz w:val="20"/>
                <w:szCs w:val="20"/>
              </w:rPr>
            </w:pPr>
            <w:r w:rsidRPr="007A2DD7">
              <w:rPr>
                <w:bCs/>
                <w:iCs/>
                <w:sz w:val="20"/>
                <w:szCs w:val="20"/>
              </w:rPr>
              <w:t>3</w:t>
            </w:r>
          </w:p>
        </w:tc>
      </w:tr>
      <w:tr w:rsidR="00F76E53" w:rsidRPr="007A2DD7" w14:paraId="13A6F2F1" w14:textId="77777777" w:rsidTr="00C04BF9">
        <w:trPr>
          <w:tblCellSpacing w:w="43" w:type="dxa"/>
          <w:jc w:val="center"/>
        </w:trPr>
        <w:tc>
          <w:tcPr>
            <w:tcW w:w="3648" w:type="pct"/>
            <w:shd w:val="clear" w:color="auto" w:fill="C6E8D7"/>
            <w:tcMar>
              <w:top w:w="43" w:type="dxa"/>
              <w:left w:w="115" w:type="dxa"/>
              <w:bottom w:w="43" w:type="dxa"/>
              <w:right w:w="115" w:type="dxa"/>
            </w:tcMar>
          </w:tcPr>
          <w:p w14:paraId="610B4964" w14:textId="77777777" w:rsidR="00F76E53" w:rsidRPr="007A2DD7" w:rsidRDefault="00F76E53" w:rsidP="007A2DD7">
            <w:pPr>
              <w:spacing w:after="0" w:line="240" w:lineRule="auto"/>
              <w:jc w:val="left"/>
              <w:rPr>
                <w:sz w:val="20"/>
                <w:szCs w:val="20"/>
              </w:rPr>
            </w:pPr>
            <w:r w:rsidRPr="007A2DD7">
              <w:rPr>
                <w:sz w:val="20"/>
                <w:szCs w:val="20"/>
              </w:rPr>
              <w:t>13. Non-operational / Inactive</w:t>
            </w:r>
          </w:p>
        </w:tc>
        <w:tc>
          <w:tcPr>
            <w:tcW w:w="1209" w:type="pct"/>
            <w:shd w:val="clear" w:color="auto" w:fill="C6E8D7"/>
            <w:tcMar>
              <w:top w:w="43" w:type="dxa"/>
              <w:left w:w="115" w:type="dxa"/>
              <w:bottom w:w="43" w:type="dxa"/>
              <w:right w:w="115" w:type="dxa"/>
            </w:tcMar>
          </w:tcPr>
          <w:p w14:paraId="090B5ACC" w14:textId="77777777" w:rsidR="00F76E53" w:rsidRPr="007A2DD7" w:rsidRDefault="00F76E53" w:rsidP="007A2DD7">
            <w:pPr>
              <w:spacing w:after="0" w:line="240" w:lineRule="auto"/>
              <w:jc w:val="center"/>
              <w:rPr>
                <w:bCs/>
                <w:iCs/>
                <w:sz w:val="20"/>
                <w:szCs w:val="20"/>
              </w:rPr>
            </w:pPr>
            <w:r w:rsidRPr="007A2DD7">
              <w:rPr>
                <w:bCs/>
                <w:iCs/>
                <w:sz w:val="20"/>
                <w:szCs w:val="20"/>
              </w:rPr>
              <w:t>22</w:t>
            </w:r>
          </w:p>
        </w:tc>
      </w:tr>
      <w:tr w:rsidR="00F76E53" w:rsidRPr="007A2DD7" w14:paraId="7603D4F5" w14:textId="77777777" w:rsidTr="00C04BF9">
        <w:trPr>
          <w:tblCellSpacing w:w="43" w:type="dxa"/>
          <w:jc w:val="center"/>
        </w:trPr>
        <w:tc>
          <w:tcPr>
            <w:tcW w:w="3648" w:type="pct"/>
            <w:shd w:val="clear" w:color="auto" w:fill="C6E8D7"/>
            <w:tcMar>
              <w:top w:w="43" w:type="dxa"/>
              <w:left w:w="115" w:type="dxa"/>
              <w:bottom w:w="43" w:type="dxa"/>
              <w:right w:w="115" w:type="dxa"/>
            </w:tcMar>
          </w:tcPr>
          <w:p w14:paraId="06C2CF30" w14:textId="77777777" w:rsidR="00F76E53" w:rsidRPr="007A2DD7" w:rsidRDefault="00F76E53" w:rsidP="007A2DD7">
            <w:pPr>
              <w:spacing w:after="0" w:line="240" w:lineRule="auto"/>
              <w:jc w:val="left"/>
              <w:rPr>
                <w:sz w:val="20"/>
                <w:szCs w:val="20"/>
              </w:rPr>
            </w:pPr>
            <w:r w:rsidRPr="007A2DD7">
              <w:rPr>
                <w:sz w:val="20"/>
                <w:szCs w:val="20"/>
              </w:rPr>
              <w:t>14. Under Abolition</w:t>
            </w:r>
          </w:p>
        </w:tc>
        <w:tc>
          <w:tcPr>
            <w:tcW w:w="1209" w:type="pct"/>
            <w:shd w:val="clear" w:color="auto" w:fill="C6E8D7"/>
            <w:tcMar>
              <w:top w:w="43" w:type="dxa"/>
              <w:left w:w="115" w:type="dxa"/>
              <w:bottom w:w="43" w:type="dxa"/>
              <w:right w:w="115" w:type="dxa"/>
            </w:tcMar>
          </w:tcPr>
          <w:p w14:paraId="7A930A6C" w14:textId="77777777" w:rsidR="00F76E53" w:rsidRPr="007A2DD7" w:rsidRDefault="00F76E53" w:rsidP="007A2DD7">
            <w:pPr>
              <w:spacing w:after="0" w:line="240" w:lineRule="auto"/>
              <w:jc w:val="center"/>
              <w:rPr>
                <w:bCs/>
                <w:iCs/>
                <w:sz w:val="20"/>
                <w:szCs w:val="20"/>
              </w:rPr>
            </w:pPr>
            <w:r w:rsidRPr="007A2DD7">
              <w:rPr>
                <w:bCs/>
                <w:iCs/>
                <w:sz w:val="20"/>
                <w:szCs w:val="20"/>
              </w:rPr>
              <w:t>24</w:t>
            </w:r>
          </w:p>
        </w:tc>
      </w:tr>
      <w:tr w:rsidR="00F76E53" w:rsidRPr="007A2DD7" w14:paraId="76C23FF7" w14:textId="77777777" w:rsidTr="00C04BF9">
        <w:trPr>
          <w:tblCellSpacing w:w="43" w:type="dxa"/>
          <w:jc w:val="center"/>
        </w:trPr>
        <w:tc>
          <w:tcPr>
            <w:tcW w:w="3648" w:type="pct"/>
            <w:shd w:val="clear" w:color="auto" w:fill="C6E8D7"/>
            <w:tcMar>
              <w:top w:w="43" w:type="dxa"/>
              <w:left w:w="115" w:type="dxa"/>
              <w:bottom w:w="43" w:type="dxa"/>
              <w:right w:w="115" w:type="dxa"/>
            </w:tcMar>
          </w:tcPr>
          <w:p w14:paraId="0C0DA16F" w14:textId="77777777" w:rsidR="00F76E53" w:rsidRPr="007A2DD7" w:rsidRDefault="00F76E53" w:rsidP="007A2DD7">
            <w:pPr>
              <w:spacing w:after="0" w:line="240" w:lineRule="auto"/>
              <w:jc w:val="left"/>
              <w:rPr>
                <w:sz w:val="20"/>
                <w:szCs w:val="20"/>
              </w:rPr>
            </w:pPr>
            <w:r w:rsidRPr="007A2DD7">
              <w:rPr>
                <w:sz w:val="20"/>
                <w:szCs w:val="20"/>
              </w:rPr>
              <w:t>15. Dissolved / Abolished</w:t>
            </w:r>
          </w:p>
        </w:tc>
        <w:tc>
          <w:tcPr>
            <w:tcW w:w="1209" w:type="pct"/>
            <w:shd w:val="clear" w:color="auto" w:fill="C6E8D7"/>
            <w:tcMar>
              <w:top w:w="43" w:type="dxa"/>
              <w:left w:w="115" w:type="dxa"/>
              <w:bottom w:w="43" w:type="dxa"/>
              <w:right w:w="115" w:type="dxa"/>
            </w:tcMar>
          </w:tcPr>
          <w:p w14:paraId="01F6DE7E" w14:textId="77777777" w:rsidR="00F76E53" w:rsidRPr="007A2DD7" w:rsidRDefault="00F76E53" w:rsidP="007A2DD7">
            <w:pPr>
              <w:spacing w:after="0" w:line="240" w:lineRule="auto"/>
              <w:jc w:val="center"/>
              <w:rPr>
                <w:bCs/>
                <w:iCs/>
                <w:sz w:val="20"/>
                <w:szCs w:val="20"/>
              </w:rPr>
            </w:pPr>
            <w:r w:rsidRPr="007A2DD7">
              <w:rPr>
                <w:bCs/>
                <w:iCs/>
                <w:sz w:val="20"/>
                <w:szCs w:val="20"/>
              </w:rPr>
              <w:t>2</w:t>
            </w:r>
          </w:p>
        </w:tc>
      </w:tr>
      <w:tr w:rsidR="00F76E53" w:rsidRPr="007A2DD7" w14:paraId="0F3C98ED" w14:textId="77777777" w:rsidTr="00C04BF9">
        <w:trPr>
          <w:tblCellSpacing w:w="43" w:type="dxa"/>
          <w:jc w:val="center"/>
        </w:trPr>
        <w:tc>
          <w:tcPr>
            <w:tcW w:w="3648" w:type="pct"/>
            <w:shd w:val="clear" w:color="auto" w:fill="C6E8D7"/>
            <w:tcMar>
              <w:top w:w="43" w:type="dxa"/>
              <w:left w:w="115" w:type="dxa"/>
              <w:bottom w:w="43" w:type="dxa"/>
              <w:right w:w="115" w:type="dxa"/>
            </w:tcMar>
          </w:tcPr>
          <w:p w14:paraId="151CEFC8" w14:textId="77777777" w:rsidR="00F76E53" w:rsidRPr="007A2DD7" w:rsidRDefault="00F76E53" w:rsidP="007A2DD7">
            <w:pPr>
              <w:spacing w:after="0" w:line="240" w:lineRule="auto"/>
              <w:jc w:val="left"/>
              <w:rPr>
                <w:sz w:val="20"/>
                <w:szCs w:val="20"/>
              </w:rPr>
            </w:pPr>
            <w:r w:rsidRPr="007A2DD7">
              <w:rPr>
                <w:sz w:val="20"/>
                <w:szCs w:val="20"/>
              </w:rPr>
              <w:t xml:space="preserve">16. GOCCs Disposed by the Privatization and Management Office </w:t>
            </w:r>
          </w:p>
        </w:tc>
        <w:tc>
          <w:tcPr>
            <w:tcW w:w="1209" w:type="pct"/>
            <w:shd w:val="clear" w:color="auto" w:fill="C6E8D7"/>
            <w:tcMar>
              <w:top w:w="43" w:type="dxa"/>
              <w:left w:w="115" w:type="dxa"/>
              <w:bottom w:w="43" w:type="dxa"/>
              <w:right w:w="115" w:type="dxa"/>
            </w:tcMar>
          </w:tcPr>
          <w:p w14:paraId="1227783E" w14:textId="77777777" w:rsidR="00F76E53" w:rsidRPr="007A2DD7" w:rsidRDefault="00F76E53" w:rsidP="007A2DD7">
            <w:pPr>
              <w:spacing w:after="0" w:line="240" w:lineRule="auto"/>
              <w:jc w:val="center"/>
              <w:rPr>
                <w:bCs/>
                <w:iCs/>
                <w:sz w:val="20"/>
                <w:szCs w:val="20"/>
              </w:rPr>
            </w:pPr>
            <w:r w:rsidRPr="007A2DD7">
              <w:rPr>
                <w:bCs/>
                <w:iCs/>
                <w:sz w:val="20"/>
                <w:szCs w:val="20"/>
              </w:rPr>
              <w:t>1</w:t>
            </w:r>
          </w:p>
        </w:tc>
      </w:tr>
      <w:tr w:rsidR="00F76E53" w:rsidRPr="007A2DD7" w14:paraId="1A2C6183" w14:textId="77777777" w:rsidTr="00C04BF9">
        <w:trPr>
          <w:tblCellSpacing w:w="43" w:type="dxa"/>
          <w:jc w:val="center"/>
        </w:trPr>
        <w:tc>
          <w:tcPr>
            <w:tcW w:w="3648" w:type="pct"/>
            <w:shd w:val="clear" w:color="auto" w:fill="C6E8D7"/>
            <w:tcMar>
              <w:top w:w="43" w:type="dxa"/>
              <w:left w:w="115" w:type="dxa"/>
              <w:bottom w:w="43" w:type="dxa"/>
              <w:right w:w="115" w:type="dxa"/>
            </w:tcMar>
          </w:tcPr>
          <w:p w14:paraId="22C36AA1" w14:textId="77777777" w:rsidR="00F76E53" w:rsidRPr="007A2DD7" w:rsidRDefault="00F76E53" w:rsidP="007A2DD7">
            <w:pPr>
              <w:spacing w:after="0" w:line="240" w:lineRule="auto"/>
              <w:jc w:val="left"/>
              <w:rPr>
                <w:sz w:val="20"/>
                <w:szCs w:val="20"/>
              </w:rPr>
            </w:pPr>
            <w:r w:rsidRPr="007A2DD7">
              <w:rPr>
                <w:sz w:val="20"/>
                <w:szCs w:val="20"/>
              </w:rPr>
              <w:t>17. GOCCs excluded from coverage of RA 10149</w:t>
            </w:r>
            <w:r w:rsidRPr="007A2DD7">
              <w:rPr>
                <w:sz w:val="20"/>
                <w:szCs w:val="20"/>
              </w:rPr>
              <w:tab/>
            </w:r>
          </w:p>
        </w:tc>
        <w:tc>
          <w:tcPr>
            <w:tcW w:w="1209" w:type="pct"/>
            <w:shd w:val="clear" w:color="auto" w:fill="C6E8D7"/>
            <w:tcMar>
              <w:top w:w="43" w:type="dxa"/>
              <w:left w:w="115" w:type="dxa"/>
              <w:bottom w:w="43" w:type="dxa"/>
              <w:right w:w="115" w:type="dxa"/>
            </w:tcMar>
          </w:tcPr>
          <w:p w14:paraId="3DDE749C" w14:textId="77777777" w:rsidR="00F76E53" w:rsidRPr="007A2DD7" w:rsidRDefault="00F76E53" w:rsidP="007A2DD7">
            <w:pPr>
              <w:spacing w:after="0" w:line="240" w:lineRule="auto"/>
              <w:jc w:val="center"/>
              <w:rPr>
                <w:bCs/>
                <w:iCs/>
                <w:sz w:val="20"/>
                <w:szCs w:val="20"/>
              </w:rPr>
            </w:pPr>
            <w:r w:rsidRPr="007A2DD7">
              <w:rPr>
                <w:bCs/>
                <w:iCs/>
                <w:sz w:val="20"/>
                <w:szCs w:val="20"/>
              </w:rPr>
              <w:t>22</w:t>
            </w:r>
          </w:p>
        </w:tc>
      </w:tr>
      <w:tr w:rsidR="00F76E53" w:rsidRPr="007A2DD7" w14:paraId="10C6F446" w14:textId="77777777" w:rsidTr="00C04BF9">
        <w:trPr>
          <w:tblCellSpacing w:w="43" w:type="dxa"/>
          <w:jc w:val="center"/>
        </w:trPr>
        <w:tc>
          <w:tcPr>
            <w:tcW w:w="3648" w:type="pct"/>
            <w:shd w:val="clear" w:color="auto" w:fill="E7E6E6" w:themeFill="background2"/>
            <w:tcMar>
              <w:top w:w="43" w:type="dxa"/>
              <w:left w:w="115" w:type="dxa"/>
              <w:bottom w:w="43" w:type="dxa"/>
              <w:right w:w="115" w:type="dxa"/>
            </w:tcMar>
          </w:tcPr>
          <w:p w14:paraId="33A59417" w14:textId="77777777" w:rsidR="00F76E53" w:rsidRPr="007A2DD7" w:rsidRDefault="00F76E53" w:rsidP="007A2DD7">
            <w:pPr>
              <w:spacing w:after="0" w:line="240" w:lineRule="auto"/>
              <w:jc w:val="right"/>
              <w:rPr>
                <w:b/>
                <w:bCs/>
                <w:sz w:val="20"/>
                <w:szCs w:val="20"/>
              </w:rPr>
            </w:pPr>
            <w:r w:rsidRPr="007A2DD7">
              <w:rPr>
                <w:b/>
                <w:bCs/>
                <w:sz w:val="20"/>
                <w:szCs w:val="20"/>
              </w:rPr>
              <w:t>Others Total</w:t>
            </w:r>
          </w:p>
        </w:tc>
        <w:tc>
          <w:tcPr>
            <w:tcW w:w="1209" w:type="pct"/>
            <w:shd w:val="clear" w:color="auto" w:fill="E7E6E6" w:themeFill="background2"/>
            <w:tcMar>
              <w:top w:w="43" w:type="dxa"/>
              <w:left w:w="115" w:type="dxa"/>
              <w:bottom w:w="43" w:type="dxa"/>
              <w:right w:w="115" w:type="dxa"/>
            </w:tcMar>
          </w:tcPr>
          <w:p w14:paraId="722F045A" w14:textId="77777777" w:rsidR="00F76E53" w:rsidRPr="007A2DD7" w:rsidRDefault="00F76E53" w:rsidP="007A2DD7">
            <w:pPr>
              <w:spacing w:after="0" w:line="240" w:lineRule="auto"/>
              <w:jc w:val="center"/>
              <w:rPr>
                <w:b/>
                <w:bCs/>
                <w:iCs/>
                <w:sz w:val="20"/>
                <w:szCs w:val="20"/>
              </w:rPr>
            </w:pPr>
            <w:r w:rsidRPr="007A2DD7">
              <w:rPr>
                <w:b/>
                <w:bCs/>
                <w:iCs/>
                <w:sz w:val="20"/>
                <w:szCs w:val="20"/>
              </w:rPr>
              <w:t>114</w:t>
            </w:r>
          </w:p>
        </w:tc>
      </w:tr>
      <w:tr w:rsidR="00F76E53" w:rsidRPr="007A2DD7" w14:paraId="003FB939" w14:textId="77777777" w:rsidTr="00C04BF9">
        <w:trPr>
          <w:trHeight w:val="14"/>
          <w:tblCellSpacing w:w="43" w:type="dxa"/>
          <w:jc w:val="center"/>
        </w:trPr>
        <w:tc>
          <w:tcPr>
            <w:tcW w:w="3648" w:type="pct"/>
            <w:shd w:val="clear" w:color="auto" w:fill="4472C4"/>
            <w:tcMar>
              <w:top w:w="43" w:type="dxa"/>
              <w:left w:w="115" w:type="dxa"/>
              <w:bottom w:w="43" w:type="dxa"/>
              <w:right w:w="115" w:type="dxa"/>
            </w:tcMar>
          </w:tcPr>
          <w:p w14:paraId="3B95D368" w14:textId="77777777" w:rsidR="00F76E53" w:rsidRPr="007A2DD7" w:rsidRDefault="00F76E53" w:rsidP="007A2DD7">
            <w:pPr>
              <w:spacing w:after="0" w:line="240" w:lineRule="auto"/>
              <w:rPr>
                <w:b/>
                <w:bCs/>
                <w:color w:val="FFFFFF" w:themeColor="background1"/>
                <w:sz w:val="20"/>
                <w:szCs w:val="20"/>
              </w:rPr>
            </w:pPr>
            <w:r w:rsidRPr="007A2DD7">
              <w:rPr>
                <w:b/>
                <w:bCs/>
                <w:color w:val="FFFFFF" w:themeColor="background1"/>
                <w:sz w:val="20"/>
                <w:szCs w:val="20"/>
              </w:rPr>
              <w:t>TOTAL</w:t>
            </w:r>
          </w:p>
        </w:tc>
        <w:tc>
          <w:tcPr>
            <w:tcW w:w="1209" w:type="pct"/>
            <w:shd w:val="clear" w:color="auto" w:fill="4472C4"/>
            <w:tcMar>
              <w:top w:w="43" w:type="dxa"/>
              <w:left w:w="115" w:type="dxa"/>
              <w:bottom w:w="43" w:type="dxa"/>
              <w:right w:w="115" w:type="dxa"/>
            </w:tcMar>
          </w:tcPr>
          <w:p w14:paraId="7DDC1C89" w14:textId="77777777" w:rsidR="00F76E53" w:rsidRPr="007A2DD7" w:rsidRDefault="00F76E53" w:rsidP="007A2DD7">
            <w:pPr>
              <w:spacing w:after="0" w:line="240" w:lineRule="auto"/>
              <w:jc w:val="center"/>
              <w:rPr>
                <w:b/>
                <w:bCs/>
                <w:iCs/>
                <w:color w:val="FFFFFF" w:themeColor="background1"/>
                <w:sz w:val="20"/>
                <w:szCs w:val="20"/>
              </w:rPr>
            </w:pPr>
            <w:r w:rsidRPr="007A2DD7">
              <w:rPr>
                <w:b/>
                <w:bCs/>
                <w:iCs/>
                <w:color w:val="FFFFFF" w:themeColor="background1"/>
                <w:sz w:val="20"/>
                <w:szCs w:val="20"/>
              </w:rPr>
              <w:t>212</w:t>
            </w:r>
          </w:p>
        </w:tc>
      </w:tr>
    </w:tbl>
    <w:p w14:paraId="14EE63E3" w14:textId="77777777" w:rsidR="009E2E0A" w:rsidRPr="009E2E0A" w:rsidRDefault="00F76E53" w:rsidP="00D85D5E">
      <w:pPr>
        <w:pStyle w:val="BodyText4"/>
        <w:numPr>
          <w:ilvl w:val="0"/>
          <w:numId w:val="2"/>
        </w:numPr>
        <w:spacing w:after="200" w:line="276" w:lineRule="auto"/>
        <w:ind w:left="0" w:hanging="567"/>
        <w:rPr>
          <w:rFonts w:asciiTheme="minorHAnsi" w:hAnsiTheme="minorHAnsi" w:cs="Arial"/>
          <w:b/>
          <w:bCs/>
          <w:color w:val="1A1718"/>
        </w:rPr>
      </w:pPr>
      <w:r w:rsidRPr="008F1E62">
        <w:rPr>
          <w:rFonts w:asciiTheme="minorHAnsi" w:hAnsiTheme="minorHAnsi" w:cs="Arial"/>
          <w:b/>
          <w:bCs/>
          <w:color w:val="1A1718"/>
        </w:rPr>
        <w:t>Despite the centralization of the oversight function into an agency with explicit responsibility and powers, several concerns continue to exist</w:t>
      </w:r>
      <w:r w:rsidR="002964C7" w:rsidRPr="008F1E62">
        <w:rPr>
          <w:rFonts w:asciiTheme="minorHAnsi" w:hAnsiTheme="minorHAnsi" w:cs="Arial"/>
          <w:b/>
          <w:bCs/>
          <w:color w:val="1A1718"/>
        </w:rPr>
        <w:t>, and the current</w:t>
      </w:r>
      <w:r w:rsidR="00D82424" w:rsidRPr="008F1E62">
        <w:rPr>
          <w:rFonts w:asciiTheme="minorHAnsi" w:hAnsiTheme="minorHAnsi" w:cs="Arial"/>
          <w:b/>
          <w:bCs/>
          <w:color w:val="1A1718"/>
        </w:rPr>
        <w:t xml:space="preserve"> governance </w:t>
      </w:r>
      <w:r w:rsidR="00D82424" w:rsidRPr="00D85D5E">
        <w:rPr>
          <w:rFonts w:asciiTheme="minorHAnsi" w:hAnsiTheme="minorHAnsi"/>
          <w:b/>
        </w:rPr>
        <w:t>arrangements</w:t>
      </w:r>
      <w:r w:rsidR="00D82424" w:rsidRPr="008F1E62">
        <w:rPr>
          <w:rFonts w:asciiTheme="minorHAnsi" w:hAnsiTheme="minorHAnsi" w:cs="Arial"/>
          <w:b/>
          <w:bCs/>
          <w:color w:val="1A1718"/>
        </w:rPr>
        <w:t xml:space="preserve"> of GOCC</w:t>
      </w:r>
      <w:r w:rsidR="002964C7" w:rsidRPr="008F1E62">
        <w:rPr>
          <w:rFonts w:asciiTheme="minorHAnsi" w:hAnsiTheme="minorHAnsi" w:cs="Arial"/>
          <w:b/>
          <w:bCs/>
          <w:color w:val="1A1718"/>
        </w:rPr>
        <w:t xml:space="preserve">s, including the role of audit committees, should be further strengthened in practice </w:t>
      </w:r>
      <w:proofErr w:type="gramStart"/>
      <w:r w:rsidR="002964C7" w:rsidRPr="008F1E62">
        <w:rPr>
          <w:rFonts w:asciiTheme="minorHAnsi" w:hAnsiTheme="minorHAnsi" w:cs="Arial"/>
          <w:b/>
          <w:bCs/>
          <w:color w:val="1A1718"/>
        </w:rPr>
        <w:t>in order to</w:t>
      </w:r>
      <w:proofErr w:type="gramEnd"/>
      <w:r w:rsidR="002964C7" w:rsidRPr="008F1E62">
        <w:rPr>
          <w:rFonts w:asciiTheme="minorHAnsi" w:hAnsiTheme="minorHAnsi" w:cs="Arial"/>
          <w:b/>
          <w:bCs/>
          <w:color w:val="1A1718"/>
        </w:rPr>
        <w:t xml:space="preserve"> effectively address these issues</w:t>
      </w:r>
      <w:r w:rsidRPr="008F1E62">
        <w:rPr>
          <w:rFonts w:asciiTheme="minorHAnsi" w:hAnsiTheme="minorHAnsi" w:cs="Arial"/>
          <w:b/>
          <w:bCs/>
          <w:color w:val="1A1718"/>
        </w:rPr>
        <w:t xml:space="preserve">.  </w:t>
      </w:r>
      <w:r w:rsidRPr="008F1E62">
        <w:rPr>
          <w:rFonts w:asciiTheme="minorHAnsi" w:hAnsiTheme="minorHAnsi" w:cs="Arial"/>
          <w:bCs/>
          <w:color w:val="1A1718"/>
        </w:rPr>
        <w:t>These</w:t>
      </w:r>
      <w:r w:rsidRPr="008F1E62">
        <w:rPr>
          <w:rFonts w:asciiTheme="minorHAnsi" w:hAnsiTheme="minorHAnsi" w:cs="Arial"/>
          <w:b/>
          <w:bCs/>
          <w:color w:val="1A1718"/>
        </w:rPr>
        <w:t xml:space="preserve"> </w:t>
      </w:r>
      <w:r w:rsidRPr="008F1E62">
        <w:rPr>
          <w:rFonts w:asciiTheme="minorHAnsi" w:hAnsiTheme="minorHAnsi" w:cs="Arial"/>
          <w:bCs/>
          <w:color w:val="1A1718"/>
        </w:rPr>
        <w:t>include unresolved repeat audit findings and a lack of financial transparency demonstrated by the failure of many GOCCs to follow required PFRS.</w:t>
      </w:r>
      <w:r w:rsidRPr="008F1E62">
        <w:rPr>
          <w:rFonts w:asciiTheme="minorHAnsi" w:hAnsiTheme="minorHAnsi" w:cs="Arial"/>
          <w:b/>
          <w:bCs/>
          <w:color w:val="1A1718"/>
        </w:rPr>
        <w:t xml:space="preserve"> </w:t>
      </w:r>
      <w:r w:rsidR="00F85617" w:rsidRPr="008F1E62">
        <w:rPr>
          <w:rFonts w:asciiTheme="minorHAnsi" w:hAnsiTheme="minorHAnsi" w:cs="Arial"/>
          <w:bCs/>
          <w:color w:val="1A1718"/>
        </w:rPr>
        <w:t>In practice, although audit committees meet regularly, their effectiveness could be enhanced if they play a more active role in the auditing process and engage with relevant stakeholders more proactively.</w:t>
      </w:r>
      <w:r w:rsidRPr="008F1E62">
        <w:rPr>
          <w:rFonts w:asciiTheme="minorHAnsi" w:hAnsiTheme="minorHAnsi" w:cs="Arial"/>
          <w:b/>
          <w:bCs/>
          <w:color w:val="1A1718"/>
        </w:rPr>
        <w:t xml:space="preserve"> </w:t>
      </w:r>
      <w:r w:rsidR="00F85617" w:rsidRPr="008F1E62">
        <w:rPr>
          <w:rFonts w:asciiTheme="minorHAnsi" w:hAnsiTheme="minorHAnsi" w:cs="Arial"/>
          <w:bCs/>
          <w:color w:val="1A1718"/>
        </w:rPr>
        <w:t xml:space="preserve">Audit </w:t>
      </w:r>
      <w:r w:rsidR="00D52FD9" w:rsidRPr="008F1E62">
        <w:rPr>
          <w:rFonts w:asciiTheme="minorHAnsi" w:hAnsiTheme="minorHAnsi" w:cs="Arial"/>
          <w:bCs/>
          <w:color w:val="1A1718"/>
        </w:rPr>
        <w:t xml:space="preserve">committees </w:t>
      </w:r>
      <w:r w:rsidR="00F85617" w:rsidRPr="008F1E62">
        <w:rPr>
          <w:rFonts w:asciiTheme="minorHAnsi" w:hAnsiTheme="minorHAnsi" w:cs="Arial"/>
          <w:bCs/>
          <w:color w:val="1A1718"/>
        </w:rPr>
        <w:t>should also act on behalf of the shareholders to ensure that financial statements are prepared according to international standards and norms.</w:t>
      </w:r>
      <w:r w:rsidR="00F85617" w:rsidRPr="008F1E62">
        <w:rPr>
          <w:rFonts w:asciiTheme="minorHAnsi" w:hAnsiTheme="minorHAnsi" w:cs="Arial"/>
          <w:b/>
          <w:bCs/>
          <w:color w:val="1A1718"/>
        </w:rPr>
        <w:t xml:space="preserve"> </w:t>
      </w:r>
      <w:r w:rsidRPr="008F1E62">
        <w:rPr>
          <w:rFonts w:asciiTheme="minorHAnsi" w:hAnsiTheme="minorHAnsi" w:cs="Arial"/>
          <w:color w:val="1A1718"/>
        </w:rPr>
        <w:t>Despite</w:t>
      </w:r>
      <w:r w:rsidRPr="008F1E62">
        <w:rPr>
          <w:rFonts w:asciiTheme="minorHAnsi" w:hAnsiTheme="minorHAnsi" w:cs="Arial"/>
          <w:b/>
          <w:bCs/>
          <w:color w:val="1A1718"/>
        </w:rPr>
        <w:t xml:space="preserve"> </w:t>
      </w:r>
      <w:r w:rsidRPr="008F1E62">
        <w:rPr>
          <w:rFonts w:asciiTheme="minorHAnsi" w:hAnsiTheme="minorHAnsi" w:cs="Arial"/>
          <w:color w:val="1A1718"/>
        </w:rPr>
        <w:t>the reported improvement in financial performance of GOCCs,</w:t>
      </w:r>
      <w:r w:rsidRPr="008F1E62">
        <w:rPr>
          <w:rFonts w:asciiTheme="minorHAnsi" w:hAnsiTheme="minorHAnsi" w:cs="Arial"/>
          <w:b/>
          <w:bCs/>
          <w:color w:val="1A1718"/>
        </w:rPr>
        <w:t xml:space="preserve"> </w:t>
      </w:r>
      <w:r w:rsidRPr="008F1E62">
        <w:rPr>
          <w:rFonts w:asciiTheme="minorHAnsi" w:hAnsiTheme="minorHAnsi" w:cs="Arial"/>
          <w:color w:val="1A1718"/>
        </w:rPr>
        <w:t>the Philippine Government continues to provide budgetary support to GOCCs</w:t>
      </w:r>
      <w:r w:rsidR="009907F0">
        <w:rPr>
          <w:rFonts w:asciiTheme="minorHAnsi" w:hAnsiTheme="minorHAnsi" w:cs="Arial"/>
          <w:color w:val="1A1718"/>
        </w:rPr>
        <w:t>,</w:t>
      </w:r>
      <w:r w:rsidRPr="008F1E62">
        <w:rPr>
          <w:rFonts w:asciiTheme="minorHAnsi" w:hAnsiTheme="minorHAnsi" w:cs="Arial"/>
          <w:color w:val="1A1718"/>
        </w:rPr>
        <w:t xml:space="preserve"> particularly to those implementing priority </w:t>
      </w:r>
      <w:r w:rsidRPr="008F1E62">
        <w:rPr>
          <w:rFonts w:asciiTheme="minorHAnsi" w:hAnsiTheme="minorHAnsi"/>
          <w:bCs/>
          <w:szCs w:val="24"/>
        </w:rPr>
        <w:t>programs</w:t>
      </w:r>
      <w:r w:rsidRPr="008F1E62">
        <w:rPr>
          <w:rFonts w:asciiTheme="minorHAnsi" w:hAnsiTheme="minorHAnsi" w:cs="Arial"/>
          <w:color w:val="1A1718"/>
        </w:rPr>
        <w:t>. The total budgetary support to GOCCs in 2016 amounted to 153.62 billion</w:t>
      </w:r>
      <w:r w:rsidR="00C939E7">
        <w:rPr>
          <w:rFonts w:asciiTheme="minorHAnsi" w:hAnsiTheme="minorHAnsi" w:cs="Arial"/>
          <w:color w:val="1A1718"/>
        </w:rPr>
        <w:t xml:space="preserve"> pesos</w:t>
      </w:r>
      <w:r w:rsidRPr="008F1E62">
        <w:rPr>
          <w:rFonts w:asciiTheme="minorHAnsi" w:hAnsiTheme="minorHAnsi" w:cs="Arial"/>
          <w:color w:val="1A1718"/>
        </w:rPr>
        <w:t>, while dividends in arrears owed to the central government from 10 GOCCs amounted to 68 million</w:t>
      </w:r>
      <w:r w:rsidR="00C939E7" w:rsidRPr="00C939E7">
        <w:t xml:space="preserve"> </w:t>
      </w:r>
      <w:r w:rsidR="00C939E7" w:rsidRPr="00C939E7">
        <w:rPr>
          <w:rFonts w:asciiTheme="minorHAnsi" w:hAnsiTheme="minorHAnsi" w:cs="Arial"/>
          <w:color w:val="1A1718"/>
        </w:rPr>
        <w:t>pesos</w:t>
      </w:r>
      <w:r w:rsidR="009E2E0A">
        <w:rPr>
          <w:rFonts w:asciiTheme="minorHAnsi" w:hAnsiTheme="minorHAnsi" w:cs="Arial"/>
          <w:color w:val="1A1718"/>
        </w:rPr>
        <w:t>.</w:t>
      </w:r>
    </w:p>
    <w:tbl>
      <w:tblPr>
        <w:tblStyle w:val="TableGrid"/>
        <w:tblW w:w="0" w:type="auto"/>
        <w:jc w:val="center"/>
        <w:tblCellSpacing w:w="57"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2803"/>
        <w:gridCol w:w="1053"/>
        <w:gridCol w:w="1053"/>
        <w:gridCol w:w="1053"/>
        <w:gridCol w:w="1053"/>
        <w:gridCol w:w="1120"/>
      </w:tblGrid>
      <w:tr w:rsidR="004A1F83" w:rsidRPr="00D40343" w14:paraId="4555E342" w14:textId="77777777" w:rsidTr="00C04BF9">
        <w:trPr>
          <w:trHeight w:val="13"/>
          <w:tblHeader/>
          <w:tblCellSpacing w:w="57" w:type="dxa"/>
          <w:jc w:val="center"/>
        </w:trPr>
        <w:tc>
          <w:tcPr>
            <w:tcW w:w="7897" w:type="dxa"/>
            <w:gridSpan w:val="6"/>
            <w:shd w:val="clear" w:color="auto" w:fill="auto"/>
            <w:tcMar>
              <w:top w:w="43" w:type="dxa"/>
              <w:left w:w="115" w:type="dxa"/>
              <w:bottom w:w="43" w:type="dxa"/>
              <w:right w:w="115" w:type="dxa"/>
            </w:tcMar>
            <w:vAlign w:val="center"/>
          </w:tcPr>
          <w:p w14:paraId="18E932FD" w14:textId="5EF84183" w:rsidR="004A1F83" w:rsidRPr="004A1F83" w:rsidRDefault="00F76E53" w:rsidP="00D40343">
            <w:pPr>
              <w:keepNext/>
              <w:keepLines/>
              <w:spacing w:after="0"/>
              <w:jc w:val="center"/>
              <w:rPr>
                <w:rFonts w:eastAsia="Times New Roman" w:cs="Calibri"/>
                <w:b/>
                <w:color w:val="FFFFFF" w:themeColor="background1"/>
                <w:sz w:val="20"/>
                <w:szCs w:val="20"/>
              </w:rPr>
            </w:pPr>
            <w:r w:rsidRPr="008F1E62">
              <w:rPr>
                <w:rFonts w:cs="Arial"/>
                <w:color w:val="1A1718"/>
              </w:rPr>
              <w:t xml:space="preserve">  </w:t>
            </w:r>
            <w:r w:rsidR="004A1F83" w:rsidRPr="004A1F83">
              <w:rPr>
                <w:b/>
                <w:sz w:val="20"/>
                <w:szCs w:val="24"/>
              </w:rPr>
              <w:t xml:space="preserve">Table </w:t>
            </w:r>
            <w:r w:rsidR="004A1F83" w:rsidRPr="004A1F83">
              <w:rPr>
                <w:b/>
                <w:sz w:val="20"/>
                <w:szCs w:val="24"/>
              </w:rPr>
              <w:fldChar w:fldCharType="begin"/>
            </w:r>
            <w:r w:rsidR="004A1F83" w:rsidRPr="004A1F83">
              <w:rPr>
                <w:b/>
                <w:sz w:val="20"/>
                <w:szCs w:val="24"/>
              </w:rPr>
              <w:instrText xml:space="preserve"> SEQ Table \* ARABIC </w:instrText>
            </w:r>
            <w:r w:rsidR="004A1F83" w:rsidRPr="004A1F83">
              <w:rPr>
                <w:b/>
                <w:sz w:val="20"/>
                <w:szCs w:val="24"/>
              </w:rPr>
              <w:fldChar w:fldCharType="separate"/>
            </w:r>
            <w:r w:rsidR="004310EC">
              <w:rPr>
                <w:b/>
                <w:noProof/>
                <w:sz w:val="20"/>
                <w:szCs w:val="24"/>
              </w:rPr>
              <w:t>6</w:t>
            </w:r>
            <w:r w:rsidR="004A1F83" w:rsidRPr="004A1F83">
              <w:rPr>
                <w:b/>
                <w:sz w:val="20"/>
                <w:szCs w:val="24"/>
              </w:rPr>
              <w:fldChar w:fldCharType="end"/>
            </w:r>
            <w:r w:rsidR="004A1F83" w:rsidRPr="004A1F83">
              <w:rPr>
                <w:b/>
                <w:sz w:val="20"/>
                <w:szCs w:val="24"/>
              </w:rPr>
              <w:t>. GOCC Annual Comparative Data</w:t>
            </w:r>
            <w:r w:rsidR="004A1F83" w:rsidRPr="004A1F83">
              <w:rPr>
                <w:b/>
                <w:sz w:val="20"/>
                <w:szCs w:val="24"/>
                <w:vertAlign w:val="superscript"/>
              </w:rPr>
              <w:footnoteReference w:id="35"/>
            </w:r>
            <w:r w:rsidR="004A1F83" w:rsidRPr="004A1F83">
              <w:rPr>
                <w:b/>
                <w:sz w:val="20"/>
                <w:szCs w:val="24"/>
              </w:rPr>
              <w:t xml:space="preserve"> (in billion pesos)</w:t>
            </w:r>
          </w:p>
        </w:tc>
      </w:tr>
      <w:tr w:rsidR="00C04BF9" w:rsidRPr="00D40343" w14:paraId="087E7154" w14:textId="77777777" w:rsidTr="00C04BF9">
        <w:trPr>
          <w:trHeight w:val="13"/>
          <w:tblHeader/>
          <w:tblCellSpacing w:w="57" w:type="dxa"/>
          <w:jc w:val="center"/>
        </w:trPr>
        <w:tc>
          <w:tcPr>
            <w:tcW w:w="2632" w:type="dxa"/>
            <w:shd w:val="clear" w:color="auto" w:fill="4472C4"/>
            <w:tcMar>
              <w:top w:w="43" w:type="dxa"/>
              <w:left w:w="115" w:type="dxa"/>
              <w:bottom w:w="43" w:type="dxa"/>
              <w:right w:w="115" w:type="dxa"/>
            </w:tcMar>
            <w:vAlign w:val="center"/>
            <w:hideMark/>
          </w:tcPr>
          <w:p w14:paraId="1ECE8730" w14:textId="21F0A7BB" w:rsidR="00F76E53" w:rsidRPr="00D40343" w:rsidRDefault="00F76E53" w:rsidP="00D40343">
            <w:pPr>
              <w:keepNext/>
              <w:keepLines/>
              <w:spacing w:after="0"/>
              <w:jc w:val="center"/>
              <w:rPr>
                <w:rFonts w:eastAsia="Times New Roman" w:cs="Calibri"/>
                <w:b/>
                <w:color w:val="FFFFFF" w:themeColor="background1"/>
                <w:sz w:val="20"/>
                <w:szCs w:val="20"/>
              </w:rPr>
            </w:pPr>
          </w:p>
        </w:tc>
        <w:tc>
          <w:tcPr>
            <w:tcW w:w="939" w:type="dxa"/>
            <w:shd w:val="clear" w:color="auto" w:fill="4472C4"/>
            <w:tcMar>
              <w:top w:w="43" w:type="dxa"/>
              <w:left w:w="115" w:type="dxa"/>
              <w:bottom w:w="43" w:type="dxa"/>
              <w:right w:w="115" w:type="dxa"/>
            </w:tcMar>
            <w:vAlign w:val="center"/>
            <w:hideMark/>
          </w:tcPr>
          <w:p w14:paraId="7424FC80" w14:textId="77777777" w:rsidR="00F76E53" w:rsidRPr="00D40343" w:rsidRDefault="00F76E53" w:rsidP="00D40343">
            <w:pPr>
              <w:keepNext/>
              <w:keepLines/>
              <w:spacing w:after="0"/>
              <w:jc w:val="center"/>
              <w:rPr>
                <w:rFonts w:eastAsia="Times New Roman" w:cs="Calibri"/>
                <w:b/>
                <w:color w:val="FFFFFF" w:themeColor="background1"/>
                <w:sz w:val="20"/>
                <w:szCs w:val="20"/>
              </w:rPr>
            </w:pPr>
            <w:r w:rsidRPr="00D40343">
              <w:rPr>
                <w:rFonts w:eastAsia="Times New Roman" w:cs="Calibri"/>
                <w:b/>
                <w:color w:val="FFFFFF" w:themeColor="background1"/>
                <w:sz w:val="20"/>
                <w:szCs w:val="20"/>
              </w:rPr>
              <w:t>2010</w:t>
            </w:r>
          </w:p>
        </w:tc>
        <w:tc>
          <w:tcPr>
            <w:tcW w:w="939" w:type="dxa"/>
            <w:shd w:val="clear" w:color="auto" w:fill="4472C4"/>
            <w:tcMar>
              <w:top w:w="43" w:type="dxa"/>
              <w:left w:w="115" w:type="dxa"/>
              <w:bottom w:w="43" w:type="dxa"/>
              <w:right w:w="115" w:type="dxa"/>
            </w:tcMar>
            <w:vAlign w:val="center"/>
            <w:hideMark/>
          </w:tcPr>
          <w:p w14:paraId="49F79FF4" w14:textId="77777777" w:rsidR="00F76E53" w:rsidRPr="00D40343" w:rsidRDefault="00F76E53" w:rsidP="00D40343">
            <w:pPr>
              <w:keepNext/>
              <w:keepLines/>
              <w:spacing w:after="0"/>
              <w:jc w:val="center"/>
              <w:rPr>
                <w:rFonts w:eastAsia="Times New Roman" w:cs="Calibri"/>
                <w:b/>
                <w:color w:val="FFFFFF" w:themeColor="background1"/>
                <w:sz w:val="20"/>
                <w:szCs w:val="20"/>
              </w:rPr>
            </w:pPr>
            <w:r w:rsidRPr="00D40343">
              <w:rPr>
                <w:rFonts w:eastAsia="Times New Roman" w:cs="Calibri"/>
                <w:b/>
                <w:color w:val="FFFFFF" w:themeColor="background1"/>
                <w:sz w:val="20"/>
                <w:szCs w:val="20"/>
              </w:rPr>
              <w:t>2011</w:t>
            </w:r>
          </w:p>
        </w:tc>
        <w:tc>
          <w:tcPr>
            <w:tcW w:w="939" w:type="dxa"/>
            <w:shd w:val="clear" w:color="auto" w:fill="4472C4"/>
            <w:tcMar>
              <w:top w:w="43" w:type="dxa"/>
              <w:left w:w="115" w:type="dxa"/>
              <w:bottom w:w="43" w:type="dxa"/>
              <w:right w:w="115" w:type="dxa"/>
            </w:tcMar>
            <w:vAlign w:val="center"/>
            <w:hideMark/>
          </w:tcPr>
          <w:p w14:paraId="3BC02B62" w14:textId="77777777" w:rsidR="00F76E53" w:rsidRPr="00D40343" w:rsidRDefault="00F76E53" w:rsidP="00D40343">
            <w:pPr>
              <w:keepNext/>
              <w:keepLines/>
              <w:spacing w:after="0"/>
              <w:jc w:val="center"/>
              <w:rPr>
                <w:rFonts w:eastAsia="Times New Roman" w:cs="Calibri"/>
                <w:b/>
                <w:color w:val="FFFFFF" w:themeColor="background1"/>
                <w:sz w:val="20"/>
                <w:szCs w:val="20"/>
              </w:rPr>
            </w:pPr>
            <w:r w:rsidRPr="00D40343">
              <w:rPr>
                <w:rFonts w:eastAsia="Times New Roman" w:cs="Calibri"/>
                <w:b/>
                <w:color w:val="FFFFFF" w:themeColor="background1"/>
                <w:sz w:val="20"/>
                <w:szCs w:val="20"/>
              </w:rPr>
              <w:t>2012</w:t>
            </w:r>
          </w:p>
        </w:tc>
        <w:tc>
          <w:tcPr>
            <w:tcW w:w="939" w:type="dxa"/>
            <w:shd w:val="clear" w:color="auto" w:fill="4472C4"/>
            <w:tcMar>
              <w:top w:w="43" w:type="dxa"/>
              <w:left w:w="115" w:type="dxa"/>
              <w:bottom w:w="43" w:type="dxa"/>
              <w:right w:w="115" w:type="dxa"/>
            </w:tcMar>
            <w:vAlign w:val="center"/>
            <w:hideMark/>
          </w:tcPr>
          <w:p w14:paraId="564D1CFA" w14:textId="77777777" w:rsidR="00F76E53" w:rsidRPr="00D40343" w:rsidRDefault="00F76E53" w:rsidP="00D40343">
            <w:pPr>
              <w:keepNext/>
              <w:keepLines/>
              <w:spacing w:after="0"/>
              <w:jc w:val="center"/>
              <w:rPr>
                <w:rFonts w:eastAsia="Times New Roman" w:cs="Calibri"/>
                <w:b/>
                <w:color w:val="FFFFFF" w:themeColor="background1"/>
                <w:sz w:val="20"/>
                <w:szCs w:val="20"/>
              </w:rPr>
            </w:pPr>
            <w:r w:rsidRPr="00D40343">
              <w:rPr>
                <w:rFonts w:eastAsia="Times New Roman" w:cs="Calibri"/>
                <w:b/>
                <w:color w:val="FFFFFF" w:themeColor="background1"/>
                <w:sz w:val="20"/>
                <w:szCs w:val="20"/>
              </w:rPr>
              <w:t>2013</w:t>
            </w:r>
          </w:p>
        </w:tc>
        <w:tc>
          <w:tcPr>
            <w:tcW w:w="939" w:type="dxa"/>
            <w:shd w:val="clear" w:color="auto" w:fill="4472C4"/>
            <w:tcMar>
              <w:top w:w="43" w:type="dxa"/>
              <w:left w:w="115" w:type="dxa"/>
              <w:bottom w:w="43" w:type="dxa"/>
              <w:right w:w="115" w:type="dxa"/>
            </w:tcMar>
            <w:vAlign w:val="center"/>
            <w:hideMark/>
          </w:tcPr>
          <w:p w14:paraId="675D7C82" w14:textId="77777777" w:rsidR="00F76E53" w:rsidRPr="00D40343" w:rsidRDefault="00F76E53" w:rsidP="00D40343">
            <w:pPr>
              <w:keepNext/>
              <w:keepLines/>
              <w:spacing w:after="0"/>
              <w:jc w:val="center"/>
              <w:rPr>
                <w:rFonts w:eastAsia="Times New Roman" w:cs="Calibri"/>
                <w:b/>
                <w:color w:val="FFFFFF" w:themeColor="background1"/>
                <w:sz w:val="20"/>
                <w:szCs w:val="20"/>
              </w:rPr>
            </w:pPr>
            <w:r w:rsidRPr="00D40343">
              <w:rPr>
                <w:rFonts w:eastAsia="Times New Roman" w:cs="Calibri"/>
                <w:b/>
                <w:color w:val="FFFFFF" w:themeColor="background1"/>
                <w:sz w:val="20"/>
                <w:szCs w:val="20"/>
              </w:rPr>
              <w:t>2014</w:t>
            </w:r>
          </w:p>
        </w:tc>
      </w:tr>
      <w:tr w:rsidR="00F76E53" w:rsidRPr="00D40343" w14:paraId="7B4DA5D9" w14:textId="77777777" w:rsidTr="00C04BF9">
        <w:trPr>
          <w:trHeight w:val="14"/>
          <w:tblCellSpacing w:w="57" w:type="dxa"/>
          <w:jc w:val="center"/>
        </w:trPr>
        <w:tc>
          <w:tcPr>
            <w:tcW w:w="2632" w:type="dxa"/>
            <w:shd w:val="clear" w:color="auto" w:fill="C6E8D7"/>
            <w:tcMar>
              <w:top w:w="43" w:type="dxa"/>
              <w:left w:w="115" w:type="dxa"/>
              <w:bottom w:w="43" w:type="dxa"/>
              <w:right w:w="115" w:type="dxa"/>
            </w:tcMar>
            <w:hideMark/>
          </w:tcPr>
          <w:p w14:paraId="75CE5EC8" w14:textId="77777777" w:rsidR="00F76E53" w:rsidRPr="00D40343" w:rsidRDefault="00F76E53" w:rsidP="00DD5BB1">
            <w:pPr>
              <w:pStyle w:val="ListParagraph"/>
              <w:keepLines/>
              <w:numPr>
                <w:ilvl w:val="0"/>
                <w:numId w:val="0"/>
              </w:numPr>
              <w:spacing w:before="0" w:beforeAutospacing="0" w:after="0" w:afterAutospacing="0" w:line="276" w:lineRule="auto"/>
              <w:jc w:val="left"/>
              <w:rPr>
                <w:rFonts w:asciiTheme="minorHAnsi" w:hAnsiTheme="minorHAnsi" w:cstheme="minorHAnsi"/>
                <w:sz w:val="20"/>
                <w:szCs w:val="20"/>
              </w:rPr>
            </w:pPr>
            <w:r w:rsidRPr="00D40343">
              <w:rPr>
                <w:rFonts w:asciiTheme="minorHAnsi" w:hAnsiTheme="minorHAnsi" w:cstheme="minorHAnsi"/>
                <w:sz w:val="20"/>
                <w:szCs w:val="20"/>
              </w:rPr>
              <w:t>Assets</w:t>
            </w:r>
          </w:p>
        </w:tc>
        <w:tc>
          <w:tcPr>
            <w:tcW w:w="939" w:type="dxa"/>
            <w:shd w:val="clear" w:color="auto" w:fill="C6E8D7"/>
            <w:tcMar>
              <w:top w:w="43" w:type="dxa"/>
              <w:left w:w="115" w:type="dxa"/>
              <w:bottom w:w="43" w:type="dxa"/>
              <w:right w:w="115" w:type="dxa"/>
            </w:tcMar>
            <w:hideMark/>
          </w:tcPr>
          <w:p w14:paraId="09171280"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4,563.03</w:t>
            </w:r>
          </w:p>
        </w:tc>
        <w:tc>
          <w:tcPr>
            <w:tcW w:w="939" w:type="dxa"/>
            <w:shd w:val="clear" w:color="auto" w:fill="C6E8D7"/>
            <w:tcMar>
              <w:top w:w="43" w:type="dxa"/>
              <w:left w:w="115" w:type="dxa"/>
              <w:bottom w:w="43" w:type="dxa"/>
              <w:right w:w="115" w:type="dxa"/>
            </w:tcMar>
            <w:hideMark/>
          </w:tcPr>
          <w:p w14:paraId="552D6515"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4,835.12</w:t>
            </w:r>
          </w:p>
        </w:tc>
        <w:tc>
          <w:tcPr>
            <w:tcW w:w="939" w:type="dxa"/>
            <w:shd w:val="clear" w:color="auto" w:fill="C6E8D7"/>
            <w:tcMar>
              <w:top w:w="43" w:type="dxa"/>
              <w:left w:w="115" w:type="dxa"/>
              <w:bottom w:w="43" w:type="dxa"/>
              <w:right w:w="115" w:type="dxa"/>
            </w:tcMar>
            <w:hideMark/>
          </w:tcPr>
          <w:p w14:paraId="498BB364"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5,150.53</w:t>
            </w:r>
          </w:p>
        </w:tc>
        <w:tc>
          <w:tcPr>
            <w:tcW w:w="939" w:type="dxa"/>
            <w:shd w:val="clear" w:color="auto" w:fill="C6E8D7"/>
            <w:tcMar>
              <w:top w:w="43" w:type="dxa"/>
              <w:left w:w="115" w:type="dxa"/>
              <w:bottom w:w="43" w:type="dxa"/>
              <w:right w:w="115" w:type="dxa"/>
            </w:tcMar>
            <w:hideMark/>
          </w:tcPr>
          <w:p w14:paraId="0F6DD83A"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5,622.37</w:t>
            </w:r>
          </w:p>
        </w:tc>
        <w:tc>
          <w:tcPr>
            <w:tcW w:w="939" w:type="dxa"/>
            <w:shd w:val="clear" w:color="auto" w:fill="C6E8D7"/>
            <w:tcMar>
              <w:top w:w="43" w:type="dxa"/>
              <w:left w:w="115" w:type="dxa"/>
              <w:bottom w:w="43" w:type="dxa"/>
              <w:right w:w="115" w:type="dxa"/>
            </w:tcMar>
            <w:hideMark/>
          </w:tcPr>
          <w:p w14:paraId="040CD4D5"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6,077.17</w:t>
            </w:r>
          </w:p>
        </w:tc>
      </w:tr>
      <w:tr w:rsidR="00F76E53" w:rsidRPr="00D40343" w14:paraId="423CD0AE" w14:textId="77777777" w:rsidTr="00C04BF9">
        <w:trPr>
          <w:trHeight w:val="42"/>
          <w:tblCellSpacing w:w="57" w:type="dxa"/>
          <w:jc w:val="center"/>
        </w:trPr>
        <w:tc>
          <w:tcPr>
            <w:tcW w:w="2632" w:type="dxa"/>
            <w:shd w:val="clear" w:color="auto" w:fill="C6E8D7"/>
            <w:tcMar>
              <w:top w:w="43" w:type="dxa"/>
              <w:left w:w="115" w:type="dxa"/>
              <w:bottom w:w="43" w:type="dxa"/>
              <w:right w:w="115" w:type="dxa"/>
            </w:tcMar>
            <w:hideMark/>
          </w:tcPr>
          <w:p w14:paraId="6CE0780E" w14:textId="77777777" w:rsidR="00F76E53" w:rsidRPr="00D40343" w:rsidRDefault="00F76E53" w:rsidP="00DD5BB1">
            <w:pPr>
              <w:pStyle w:val="ListParagraph"/>
              <w:keepLines/>
              <w:numPr>
                <w:ilvl w:val="0"/>
                <w:numId w:val="0"/>
              </w:numPr>
              <w:spacing w:before="0" w:beforeAutospacing="0" w:after="0" w:afterAutospacing="0" w:line="276" w:lineRule="auto"/>
              <w:jc w:val="left"/>
              <w:rPr>
                <w:rFonts w:asciiTheme="minorHAnsi" w:hAnsiTheme="minorHAnsi" w:cstheme="minorHAnsi"/>
                <w:sz w:val="20"/>
                <w:szCs w:val="20"/>
              </w:rPr>
            </w:pPr>
            <w:r w:rsidRPr="00D40343">
              <w:rPr>
                <w:rFonts w:asciiTheme="minorHAnsi" w:hAnsiTheme="minorHAnsi" w:cstheme="minorHAnsi"/>
                <w:sz w:val="20"/>
                <w:szCs w:val="20"/>
              </w:rPr>
              <w:t>Total Comprehensive Income</w:t>
            </w:r>
          </w:p>
        </w:tc>
        <w:tc>
          <w:tcPr>
            <w:tcW w:w="939" w:type="dxa"/>
            <w:shd w:val="clear" w:color="auto" w:fill="C6E8D7"/>
            <w:tcMar>
              <w:top w:w="43" w:type="dxa"/>
              <w:left w:w="115" w:type="dxa"/>
              <w:bottom w:w="43" w:type="dxa"/>
              <w:right w:w="115" w:type="dxa"/>
            </w:tcMar>
            <w:hideMark/>
          </w:tcPr>
          <w:p w14:paraId="7A6AA599"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63.52</w:t>
            </w:r>
          </w:p>
        </w:tc>
        <w:tc>
          <w:tcPr>
            <w:tcW w:w="939" w:type="dxa"/>
            <w:shd w:val="clear" w:color="auto" w:fill="C6E8D7"/>
            <w:tcMar>
              <w:top w:w="43" w:type="dxa"/>
              <w:left w:w="115" w:type="dxa"/>
              <w:bottom w:w="43" w:type="dxa"/>
              <w:right w:w="115" w:type="dxa"/>
            </w:tcMar>
            <w:hideMark/>
          </w:tcPr>
          <w:p w14:paraId="685FC9CD"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99.12</w:t>
            </w:r>
          </w:p>
        </w:tc>
        <w:tc>
          <w:tcPr>
            <w:tcW w:w="939" w:type="dxa"/>
            <w:shd w:val="clear" w:color="auto" w:fill="C6E8D7"/>
            <w:tcMar>
              <w:top w:w="43" w:type="dxa"/>
              <w:left w:w="115" w:type="dxa"/>
              <w:bottom w:w="43" w:type="dxa"/>
              <w:right w:w="115" w:type="dxa"/>
            </w:tcMar>
            <w:hideMark/>
          </w:tcPr>
          <w:p w14:paraId="3DCDBAFA"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180.82</w:t>
            </w:r>
          </w:p>
        </w:tc>
        <w:tc>
          <w:tcPr>
            <w:tcW w:w="939" w:type="dxa"/>
            <w:shd w:val="clear" w:color="auto" w:fill="C6E8D7"/>
            <w:tcMar>
              <w:top w:w="43" w:type="dxa"/>
              <w:left w:w="115" w:type="dxa"/>
              <w:bottom w:w="43" w:type="dxa"/>
              <w:right w:w="115" w:type="dxa"/>
            </w:tcMar>
            <w:hideMark/>
          </w:tcPr>
          <w:p w14:paraId="188AEC2E"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118.98</w:t>
            </w:r>
          </w:p>
        </w:tc>
        <w:tc>
          <w:tcPr>
            <w:tcW w:w="939" w:type="dxa"/>
            <w:shd w:val="clear" w:color="auto" w:fill="C6E8D7"/>
            <w:tcMar>
              <w:top w:w="43" w:type="dxa"/>
              <w:left w:w="115" w:type="dxa"/>
              <w:bottom w:w="43" w:type="dxa"/>
              <w:right w:w="115" w:type="dxa"/>
            </w:tcMar>
            <w:hideMark/>
          </w:tcPr>
          <w:p w14:paraId="24934EA5"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263.7</w:t>
            </w:r>
          </w:p>
        </w:tc>
      </w:tr>
      <w:tr w:rsidR="00F76E53" w:rsidRPr="00D40343" w14:paraId="4790C993" w14:textId="77777777" w:rsidTr="00C04BF9">
        <w:trPr>
          <w:trHeight w:val="14"/>
          <w:tblCellSpacing w:w="57" w:type="dxa"/>
          <w:jc w:val="center"/>
        </w:trPr>
        <w:tc>
          <w:tcPr>
            <w:tcW w:w="2632" w:type="dxa"/>
            <w:shd w:val="clear" w:color="auto" w:fill="C6E8D7"/>
            <w:tcMar>
              <w:top w:w="43" w:type="dxa"/>
              <w:left w:w="115" w:type="dxa"/>
              <w:bottom w:w="43" w:type="dxa"/>
              <w:right w:w="115" w:type="dxa"/>
            </w:tcMar>
            <w:hideMark/>
          </w:tcPr>
          <w:p w14:paraId="321E7AA7" w14:textId="77777777" w:rsidR="00F76E53" w:rsidRPr="00D40343" w:rsidRDefault="00F76E53" w:rsidP="00DD5BB1">
            <w:pPr>
              <w:pStyle w:val="ListParagraph"/>
              <w:keepLines/>
              <w:numPr>
                <w:ilvl w:val="0"/>
                <w:numId w:val="0"/>
              </w:numPr>
              <w:spacing w:before="0" w:beforeAutospacing="0" w:after="0" w:afterAutospacing="0" w:line="276" w:lineRule="auto"/>
              <w:jc w:val="left"/>
              <w:rPr>
                <w:rFonts w:asciiTheme="minorHAnsi" w:hAnsiTheme="minorHAnsi" w:cstheme="minorHAnsi"/>
                <w:sz w:val="20"/>
                <w:szCs w:val="20"/>
              </w:rPr>
            </w:pPr>
            <w:r w:rsidRPr="00D40343">
              <w:rPr>
                <w:rFonts w:asciiTheme="minorHAnsi" w:hAnsiTheme="minorHAnsi" w:cstheme="minorHAnsi"/>
                <w:sz w:val="20"/>
                <w:szCs w:val="20"/>
              </w:rPr>
              <w:t>Dividends</w:t>
            </w:r>
          </w:p>
        </w:tc>
        <w:tc>
          <w:tcPr>
            <w:tcW w:w="939" w:type="dxa"/>
            <w:shd w:val="clear" w:color="auto" w:fill="C6E8D7"/>
            <w:tcMar>
              <w:top w:w="43" w:type="dxa"/>
              <w:left w:w="115" w:type="dxa"/>
              <w:bottom w:w="43" w:type="dxa"/>
              <w:right w:w="115" w:type="dxa"/>
            </w:tcMar>
            <w:hideMark/>
          </w:tcPr>
          <w:p w14:paraId="56543188"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12.01</w:t>
            </w:r>
          </w:p>
        </w:tc>
        <w:tc>
          <w:tcPr>
            <w:tcW w:w="939" w:type="dxa"/>
            <w:shd w:val="clear" w:color="auto" w:fill="C6E8D7"/>
            <w:tcMar>
              <w:top w:w="43" w:type="dxa"/>
              <w:left w:w="115" w:type="dxa"/>
              <w:bottom w:w="43" w:type="dxa"/>
              <w:right w:w="115" w:type="dxa"/>
            </w:tcMar>
            <w:hideMark/>
          </w:tcPr>
          <w:p w14:paraId="76FD1894"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28.71</w:t>
            </w:r>
          </w:p>
        </w:tc>
        <w:tc>
          <w:tcPr>
            <w:tcW w:w="939" w:type="dxa"/>
            <w:shd w:val="clear" w:color="auto" w:fill="C6E8D7"/>
            <w:tcMar>
              <w:top w:w="43" w:type="dxa"/>
              <w:left w:w="115" w:type="dxa"/>
              <w:bottom w:w="43" w:type="dxa"/>
              <w:right w:w="115" w:type="dxa"/>
            </w:tcMar>
            <w:hideMark/>
          </w:tcPr>
          <w:p w14:paraId="66A4CE5D"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24.86</w:t>
            </w:r>
          </w:p>
        </w:tc>
        <w:tc>
          <w:tcPr>
            <w:tcW w:w="939" w:type="dxa"/>
            <w:shd w:val="clear" w:color="auto" w:fill="C6E8D7"/>
            <w:tcMar>
              <w:top w:w="43" w:type="dxa"/>
              <w:left w:w="115" w:type="dxa"/>
              <w:bottom w:w="43" w:type="dxa"/>
              <w:right w:w="115" w:type="dxa"/>
            </w:tcMar>
            <w:hideMark/>
          </w:tcPr>
          <w:p w14:paraId="5B8DB580"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18.9</w:t>
            </w:r>
          </w:p>
        </w:tc>
        <w:tc>
          <w:tcPr>
            <w:tcW w:w="939" w:type="dxa"/>
            <w:shd w:val="clear" w:color="auto" w:fill="C6E8D7"/>
            <w:tcMar>
              <w:top w:w="43" w:type="dxa"/>
              <w:left w:w="115" w:type="dxa"/>
              <w:bottom w:w="43" w:type="dxa"/>
              <w:right w:w="115" w:type="dxa"/>
            </w:tcMar>
            <w:hideMark/>
          </w:tcPr>
          <w:p w14:paraId="6678E908"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24.37</w:t>
            </w:r>
          </w:p>
        </w:tc>
      </w:tr>
      <w:tr w:rsidR="00F76E53" w:rsidRPr="00D40343" w14:paraId="13A18F03" w14:textId="77777777" w:rsidTr="00C04BF9">
        <w:trPr>
          <w:trHeight w:val="14"/>
          <w:tblCellSpacing w:w="57" w:type="dxa"/>
          <w:jc w:val="center"/>
        </w:trPr>
        <w:tc>
          <w:tcPr>
            <w:tcW w:w="2632" w:type="dxa"/>
            <w:shd w:val="clear" w:color="auto" w:fill="C6E8D7"/>
            <w:tcMar>
              <w:top w:w="43" w:type="dxa"/>
              <w:left w:w="115" w:type="dxa"/>
              <w:bottom w:w="43" w:type="dxa"/>
              <w:right w:w="115" w:type="dxa"/>
            </w:tcMar>
            <w:hideMark/>
          </w:tcPr>
          <w:p w14:paraId="1891D4F0" w14:textId="77777777" w:rsidR="00F76E53" w:rsidRPr="00D40343" w:rsidRDefault="00F76E53" w:rsidP="00DD5BB1">
            <w:pPr>
              <w:pStyle w:val="ListParagraph"/>
              <w:keepLines/>
              <w:numPr>
                <w:ilvl w:val="0"/>
                <w:numId w:val="0"/>
              </w:numPr>
              <w:spacing w:before="0" w:beforeAutospacing="0" w:after="0" w:afterAutospacing="0" w:line="276" w:lineRule="auto"/>
              <w:jc w:val="left"/>
              <w:rPr>
                <w:rFonts w:asciiTheme="minorHAnsi" w:hAnsiTheme="minorHAnsi" w:cstheme="minorHAnsi"/>
                <w:sz w:val="20"/>
                <w:szCs w:val="20"/>
              </w:rPr>
            </w:pPr>
            <w:r w:rsidRPr="00D40343">
              <w:rPr>
                <w:rFonts w:asciiTheme="minorHAnsi" w:hAnsiTheme="minorHAnsi" w:cstheme="minorHAnsi"/>
                <w:sz w:val="20"/>
                <w:szCs w:val="20"/>
              </w:rPr>
              <w:t xml:space="preserve">Return on Equity </w:t>
            </w:r>
          </w:p>
        </w:tc>
        <w:tc>
          <w:tcPr>
            <w:tcW w:w="939" w:type="dxa"/>
            <w:shd w:val="clear" w:color="auto" w:fill="C6E8D7"/>
            <w:tcMar>
              <w:top w:w="43" w:type="dxa"/>
              <w:left w:w="115" w:type="dxa"/>
              <w:bottom w:w="43" w:type="dxa"/>
              <w:right w:w="115" w:type="dxa"/>
            </w:tcMar>
            <w:hideMark/>
          </w:tcPr>
          <w:p w14:paraId="2DA2A812"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3%</w:t>
            </w:r>
          </w:p>
        </w:tc>
        <w:tc>
          <w:tcPr>
            <w:tcW w:w="939" w:type="dxa"/>
            <w:shd w:val="clear" w:color="auto" w:fill="C6E8D7"/>
            <w:tcMar>
              <w:top w:w="43" w:type="dxa"/>
              <w:left w:w="115" w:type="dxa"/>
              <w:bottom w:w="43" w:type="dxa"/>
              <w:right w:w="115" w:type="dxa"/>
            </w:tcMar>
            <w:hideMark/>
          </w:tcPr>
          <w:p w14:paraId="54168CCF"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5%</w:t>
            </w:r>
          </w:p>
        </w:tc>
        <w:tc>
          <w:tcPr>
            <w:tcW w:w="939" w:type="dxa"/>
            <w:shd w:val="clear" w:color="auto" w:fill="C6E8D7"/>
            <w:tcMar>
              <w:top w:w="43" w:type="dxa"/>
              <w:left w:w="115" w:type="dxa"/>
              <w:bottom w:w="43" w:type="dxa"/>
              <w:right w:w="115" w:type="dxa"/>
            </w:tcMar>
            <w:hideMark/>
          </w:tcPr>
          <w:p w14:paraId="0024CBFA"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8%</w:t>
            </w:r>
          </w:p>
        </w:tc>
        <w:tc>
          <w:tcPr>
            <w:tcW w:w="939" w:type="dxa"/>
            <w:shd w:val="clear" w:color="auto" w:fill="C6E8D7"/>
            <w:tcMar>
              <w:top w:w="43" w:type="dxa"/>
              <w:left w:w="115" w:type="dxa"/>
              <w:bottom w:w="43" w:type="dxa"/>
              <w:right w:w="115" w:type="dxa"/>
            </w:tcMar>
            <w:hideMark/>
          </w:tcPr>
          <w:p w14:paraId="1EB1E314"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5%</w:t>
            </w:r>
          </w:p>
        </w:tc>
        <w:tc>
          <w:tcPr>
            <w:tcW w:w="939" w:type="dxa"/>
            <w:shd w:val="clear" w:color="auto" w:fill="C6E8D7"/>
            <w:tcMar>
              <w:top w:w="43" w:type="dxa"/>
              <w:left w:w="115" w:type="dxa"/>
              <w:bottom w:w="43" w:type="dxa"/>
              <w:right w:w="115" w:type="dxa"/>
            </w:tcMar>
            <w:hideMark/>
          </w:tcPr>
          <w:p w14:paraId="29614505"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9%</w:t>
            </w:r>
          </w:p>
        </w:tc>
      </w:tr>
      <w:tr w:rsidR="00F76E53" w:rsidRPr="00D40343" w14:paraId="6444C48F" w14:textId="77777777" w:rsidTr="00C04BF9">
        <w:trPr>
          <w:trHeight w:val="14"/>
          <w:tblCellSpacing w:w="57" w:type="dxa"/>
          <w:jc w:val="center"/>
        </w:trPr>
        <w:tc>
          <w:tcPr>
            <w:tcW w:w="2632" w:type="dxa"/>
            <w:shd w:val="clear" w:color="auto" w:fill="C6E8D7"/>
            <w:tcMar>
              <w:top w:w="43" w:type="dxa"/>
              <w:left w:w="115" w:type="dxa"/>
              <w:bottom w:w="43" w:type="dxa"/>
              <w:right w:w="115" w:type="dxa"/>
            </w:tcMar>
            <w:hideMark/>
          </w:tcPr>
          <w:p w14:paraId="37F8106D" w14:textId="77777777" w:rsidR="00F76E53" w:rsidRPr="00D40343" w:rsidRDefault="00F76E53" w:rsidP="00DD5BB1">
            <w:pPr>
              <w:pStyle w:val="ListParagraph"/>
              <w:keepLines/>
              <w:numPr>
                <w:ilvl w:val="0"/>
                <w:numId w:val="0"/>
              </w:numPr>
              <w:spacing w:before="0" w:beforeAutospacing="0" w:after="0" w:afterAutospacing="0" w:line="276" w:lineRule="auto"/>
              <w:jc w:val="left"/>
              <w:rPr>
                <w:rFonts w:asciiTheme="minorHAnsi" w:hAnsiTheme="minorHAnsi" w:cstheme="minorHAnsi"/>
                <w:sz w:val="20"/>
                <w:szCs w:val="20"/>
              </w:rPr>
            </w:pPr>
            <w:r w:rsidRPr="00D40343">
              <w:rPr>
                <w:rFonts w:asciiTheme="minorHAnsi" w:hAnsiTheme="minorHAnsi" w:cstheme="minorHAnsi"/>
                <w:sz w:val="20"/>
                <w:szCs w:val="20"/>
              </w:rPr>
              <w:t xml:space="preserve">Return on Assets </w:t>
            </w:r>
          </w:p>
        </w:tc>
        <w:tc>
          <w:tcPr>
            <w:tcW w:w="939" w:type="dxa"/>
            <w:shd w:val="clear" w:color="auto" w:fill="C6E8D7"/>
            <w:tcMar>
              <w:top w:w="43" w:type="dxa"/>
              <w:left w:w="115" w:type="dxa"/>
              <w:bottom w:w="43" w:type="dxa"/>
              <w:right w:w="115" w:type="dxa"/>
            </w:tcMar>
            <w:hideMark/>
          </w:tcPr>
          <w:p w14:paraId="429AF120"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1%</w:t>
            </w:r>
          </w:p>
        </w:tc>
        <w:tc>
          <w:tcPr>
            <w:tcW w:w="939" w:type="dxa"/>
            <w:shd w:val="clear" w:color="auto" w:fill="C6E8D7"/>
            <w:tcMar>
              <w:top w:w="43" w:type="dxa"/>
              <w:left w:w="115" w:type="dxa"/>
              <w:bottom w:w="43" w:type="dxa"/>
              <w:right w:w="115" w:type="dxa"/>
            </w:tcMar>
            <w:hideMark/>
          </w:tcPr>
          <w:p w14:paraId="4D21360F"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2%</w:t>
            </w:r>
          </w:p>
        </w:tc>
        <w:tc>
          <w:tcPr>
            <w:tcW w:w="939" w:type="dxa"/>
            <w:shd w:val="clear" w:color="auto" w:fill="C6E8D7"/>
            <w:tcMar>
              <w:top w:w="43" w:type="dxa"/>
              <w:left w:w="115" w:type="dxa"/>
              <w:bottom w:w="43" w:type="dxa"/>
              <w:right w:w="115" w:type="dxa"/>
            </w:tcMar>
            <w:hideMark/>
          </w:tcPr>
          <w:p w14:paraId="0E23CAB3"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3%</w:t>
            </w:r>
          </w:p>
        </w:tc>
        <w:tc>
          <w:tcPr>
            <w:tcW w:w="939" w:type="dxa"/>
            <w:shd w:val="clear" w:color="auto" w:fill="C6E8D7"/>
            <w:tcMar>
              <w:top w:w="43" w:type="dxa"/>
              <w:left w:w="115" w:type="dxa"/>
              <w:bottom w:w="43" w:type="dxa"/>
              <w:right w:w="115" w:type="dxa"/>
            </w:tcMar>
            <w:hideMark/>
          </w:tcPr>
          <w:p w14:paraId="0E23E210"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2%</w:t>
            </w:r>
          </w:p>
        </w:tc>
        <w:tc>
          <w:tcPr>
            <w:tcW w:w="939" w:type="dxa"/>
            <w:shd w:val="clear" w:color="auto" w:fill="C6E8D7"/>
            <w:tcMar>
              <w:top w:w="43" w:type="dxa"/>
              <w:left w:w="115" w:type="dxa"/>
              <w:bottom w:w="43" w:type="dxa"/>
              <w:right w:w="115" w:type="dxa"/>
            </w:tcMar>
            <w:hideMark/>
          </w:tcPr>
          <w:p w14:paraId="11A439A9" w14:textId="77777777" w:rsidR="00F76E53" w:rsidRPr="00D40343" w:rsidRDefault="00F76E53" w:rsidP="00DD5BB1">
            <w:pPr>
              <w:pStyle w:val="ListParagraph"/>
              <w:keepLines/>
              <w:numPr>
                <w:ilvl w:val="0"/>
                <w:numId w:val="0"/>
              </w:numPr>
              <w:spacing w:before="0" w:beforeAutospacing="0" w:after="0" w:afterAutospacing="0" w:line="276" w:lineRule="auto"/>
              <w:jc w:val="center"/>
              <w:rPr>
                <w:rFonts w:asciiTheme="minorHAnsi" w:hAnsiTheme="minorHAnsi" w:cstheme="minorHAnsi"/>
                <w:sz w:val="20"/>
                <w:szCs w:val="20"/>
              </w:rPr>
            </w:pPr>
            <w:r w:rsidRPr="00D40343">
              <w:rPr>
                <w:rFonts w:asciiTheme="minorHAnsi" w:hAnsiTheme="minorHAnsi" w:cstheme="minorHAnsi"/>
                <w:sz w:val="20"/>
                <w:szCs w:val="20"/>
              </w:rPr>
              <w:t>4%</w:t>
            </w:r>
          </w:p>
        </w:tc>
      </w:tr>
    </w:tbl>
    <w:p w14:paraId="3D359CAF" w14:textId="07FF8B45" w:rsidR="00F76E53" w:rsidRPr="008F1E62" w:rsidRDefault="00F76E53" w:rsidP="00290E25">
      <w:pPr>
        <w:pStyle w:val="Heading2"/>
      </w:pPr>
      <w:bookmarkStart w:id="32" w:name="_MON_1554984845"/>
      <w:bookmarkStart w:id="33" w:name="_Toc499825580"/>
      <w:bookmarkEnd w:id="32"/>
      <w:r w:rsidRPr="008F1E62">
        <w:t>L</w:t>
      </w:r>
      <w:r w:rsidRPr="00A23215">
        <w:t>inkage of the Assessment to the Philippines’ Development Agenda</w:t>
      </w:r>
      <w:bookmarkEnd w:id="33"/>
      <w:r w:rsidRPr="00A23215">
        <w:t xml:space="preserve"> </w:t>
      </w:r>
    </w:p>
    <w:p w14:paraId="4CC8AD48" w14:textId="77777777" w:rsidR="00F76E53" w:rsidRPr="008F1E62" w:rsidRDefault="00F76E53" w:rsidP="00F76E53">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ROSC A&amp;A update is relevant to the Government’s reform agenda and </w:t>
      </w:r>
      <w:r w:rsidR="00D82424" w:rsidRPr="008F1E62">
        <w:rPr>
          <w:rFonts w:asciiTheme="minorHAnsi" w:hAnsiTheme="minorHAnsi"/>
          <w:b/>
          <w:bCs/>
        </w:rPr>
        <w:t xml:space="preserve">The World Bank Group’s </w:t>
      </w:r>
      <w:r w:rsidRPr="008F1E62">
        <w:rPr>
          <w:rFonts w:asciiTheme="minorHAnsi" w:hAnsiTheme="minorHAnsi"/>
          <w:b/>
          <w:bCs/>
        </w:rPr>
        <w:t>Coun</w:t>
      </w:r>
      <w:r w:rsidR="00D82424" w:rsidRPr="008F1E62">
        <w:rPr>
          <w:rFonts w:asciiTheme="minorHAnsi" w:hAnsiTheme="minorHAnsi"/>
          <w:b/>
          <w:bCs/>
        </w:rPr>
        <w:t>try Partnership Strategy 2015–18 for the Philippines</w:t>
      </w:r>
      <w:r w:rsidRPr="008F1E62">
        <w:rPr>
          <w:rFonts w:asciiTheme="minorHAnsi" w:hAnsiTheme="minorHAnsi"/>
          <w:b/>
          <w:bCs/>
        </w:rPr>
        <w:t xml:space="preserve">. </w:t>
      </w:r>
      <w:r w:rsidRPr="008F1E62">
        <w:rPr>
          <w:rFonts w:asciiTheme="minorHAnsi" w:hAnsiTheme="minorHAnsi"/>
        </w:rPr>
        <w:t xml:space="preserve">The updated ROSC A&amp;A exercise was undertaken following a formal request from the DOF and the BOA. Adopting measures to further enhance the A&amp;A environment and thereby strengthen the financial architecture of the country will allow the </w:t>
      </w:r>
      <w:proofErr w:type="spellStart"/>
      <w:r w:rsidRPr="008F1E62">
        <w:rPr>
          <w:rFonts w:asciiTheme="minorHAnsi" w:hAnsiTheme="minorHAnsi"/>
        </w:rPr>
        <w:t>GoP</w:t>
      </w:r>
      <w:proofErr w:type="spellEnd"/>
      <w:r w:rsidRPr="008F1E62">
        <w:rPr>
          <w:rFonts w:asciiTheme="minorHAnsi" w:hAnsiTheme="minorHAnsi"/>
        </w:rPr>
        <w:t xml:space="preserve"> to make significant progress in achieving the reform agenda</w:t>
      </w:r>
      <w:r w:rsidR="00F8484A">
        <w:rPr>
          <w:rFonts w:asciiTheme="minorHAnsi" w:hAnsiTheme="minorHAnsi"/>
        </w:rPr>
        <w:t>. It will</w:t>
      </w:r>
      <w:r w:rsidRPr="008F1E62">
        <w:rPr>
          <w:rFonts w:asciiTheme="minorHAnsi" w:hAnsiTheme="minorHAnsi"/>
        </w:rPr>
        <w:t xml:space="preserve"> contribute to </w:t>
      </w:r>
      <w:r w:rsidR="00AB11FD">
        <w:rPr>
          <w:rFonts w:asciiTheme="minorHAnsi" w:hAnsiTheme="minorHAnsi"/>
        </w:rPr>
        <w:t>increased</w:t>
      </w:r>
      <w:r w:rsidR="00AB11FD" w:rsidRPr="008F1E62">
        <w:rPr>
          <w:rFonts w:asciiTheme="minorHAnsi" w:hAnsiTheme="minorHAnsi"/>
        </w:rPr>
        <w:t xml:space="preserve"> </w:t>
      </w:r>
      <w:r w:rsidRPr="008F1E62">
        <w:rPr>
          <w:rFonts w:asciiTheme="minorHAnsi" w:hAnsiTheme="minorHAnsi"/>
        </w:rPr>
        <w:t xml:space="preserve">GDP through </w:t>
      </w:r>
      <w:r w:rsidRPr="008F1E62">
        <w:rPr>
          <w:rFonts w:asciiTheme="minorHAnsi" w:hAnsiTheme="minorHAnsi"/>
          <w:bCs/>
          <w:szCs w:val="24"/>
        </w:rPr>
        <w:t>capital</w:t>
      </w:r>
      <w:r w:rsidRPr="008F1E62">
        <w:rPr>
          <w:rFonts w:asciiTheme="minorHAnsi" w:hAnsiTheme="minorHAnsi"/>
        </w:rPr>
        <w:t xml:space="preserve"> market and private sector development, improving service delivery of public sector entities, developing the knowledge economy, and building human capital through equitable opportunities. The outcome of the assessment directly relates to the strat</w:t>
      </w:r>
      <w:r w:rsidR="00D82424" w:rsidRPr="008F1E62">
        <w:rPr>
          <w:rFonts w:asciiTheme="minorHAnsi" w:hAnsiTheme="minorHAnsi"/>
        </w:rPr>
        <w:t>egic themes of the World Bank Group’s FY2015–18</w:t>
      </w:r>
      <w:r w:rsidRPr="008F1E62">
        <w:rPr>
          <w:rFonts w:ascii="Calibri" w:eastAsia="Calibri" w:hAnsi="Calibri"/>
        </w:rPr>
        <w:t xml:space="preserve"> Country Partnership Strategy</w:t>
      </w:r>
      <w:r w:rsidR="00D82424" w:rsidRPr="008F1E62">
        <w:rPr>
          <w:rFonts w:ascii="Calibri" w:eastAsia="Calibri" w:hAnsi="Calibri"/>
        </w:rPr>
        <w:t xml:space="preserve"> </w:t>
      </w:r>
      <w:r w:rsidR="00D82424" w:rsidRPr="008F1E62">
        <w:rPr>
          <w:rFonts w:ascii="Calibri" w:eastAsia="Calibri" w:hAnsi="Calibri"/>
          <w:szCs w:val="22"/>
        </w:rPr>
        <w:t>for the Philippines</w:t>
      </w:r>
      <w:r w:rsidRPr="008F1E62">
        <w:rPr>
          <w:rFonts w:asciiTheme="minorHAnsi" w:eastAsia="Calibri" w:hAnsiTheme="minorHAnsi"/>
        </w:rPr>
        <w:t>,</w:t>
      </w:r>
      <w:r w:rsidRPr="008F1E62">
        <w:rPr>
          <w:rFonts w:asciiTheme="minorHAnsi" w:hAnsiTheme="minorHAnsi"/>
        </w:rPr>
        <w:t xml:space="preserve"> which includes private sector development, inclusion, and service delivery. The ROSC A&amp;A provides actionable recommendations for the World Bank Group and donors to support </w:t>
      </w:r>
      <w:r w:rsidR="000A581B">
        <w:rPr>
          <w:rFonts w:asciiTheme="minorHAnsi" w:hAnsiTheme="minorHAnsi"/>
        </w:rPr>
        <w:t xml:space="preserve">the </w:t>
      </w:r>
      <w:proofErr w:type="spellStart"/>
      <w:r w:rsidR="000A581B">
        <w:rPr>
          <w:rFonts w:asciiTheme="minorHAnsi" w:hAnsiTheme="minorHAnsi"/>
        </w:rPr>
        <w:t>GoP</w:t>
      </w:r>
      <w:proofErr w:type="spellEnd"/>
      <w:r w:rsidR="000A581B" w:rsidRPr="008F1E62">
        <w:rPr>
          <w:rFonts w:asciiTheme="minorHAnsi" w:hAnsiTheme="minorHAnsi"/>
        </w:rPr>
        <w:t xml:space="preserve"> </w:t>
      </w:r>
      <w:r w:rsidRPr="008F1E62">
        <w:rPr>
          <w:rFonts w:asciiTheme="minorHAnsi" w:hAnsiTheme="minorHAnsi"/>
        </w:rPr>
        <w:t xml:space="preserve">in achieving its agenda. </w:t>
      </w:r>
    </w:p>
    <w:p w14:paraId="49AC767A" w14:textId="72DF2072" w:rsidR="00F76E53" w:rsidRPr="009E2E0A" w:rsidRDefault="00F76E53" w:rsidP="00F76E53">
      <w:pPr>
        <w:pStyle w:val="BodyText4"/>
        <w:numPr>
          <w:ilvl w:val="0"/>
          <w:numId w:val="2"/>
        </w:numPr>
        <w:spacing w:after="200" w:line="276" w:lineRule="auto"/>
        <w:ind w:left="0" w:hanging="567"/>
        <w:rPr>
          <w:rFonts w:asciiTheme="minorHAnsi" w:hAnsiTheme="minorHAnsi"/>
          <w:b/>
          <w:bCs/>
        </w:rPr>
      </w:pPr>
      <w:r w:rsidRPr="008F1E62">
        <w:rPr>
          <w:rFonts w:asciiTheme="minorHAnsi" w:hAnsiTheme="minorHAnsi" w:cstheme="minorBidi"/>
          <w:b/>
          <w:bCs/>
        </w:rPr>
        <w:t xml:space="preserve">In February 2017, the Philippine Development Plan 2017-2022 was approved, laying out the new administration’s policy goals over the next six years. </w:t>
      </w:r>
      <w:r w:rsidRPr="008F1E62">
        <w:rPr>
          <w:rFonts w:asciiTheme="minorHAnsi" w:hAnsiTheme="minorHAnsi" w:cstheme="minorBidi"/>
        </w:rPr>
        <w:t xml:space="preserve">The PDP was drafted through a consultative process involving a wide range of stakeholders from the private sector, academia, and civil society. It is grounded in the long-term vision advanced in the </w:t>
      </w:r>
      <w:proofErr w:type="spellStart"/>
      <w:r w:rsidRPr="008F1E62">
        <w:rPr>
          <w:rFonts w:asciiTheme="minorHAnsi" w:hAnsiTheme="minorHAnsi" w:cstheme="minorBidi"/>
          <w:i/>
          <w:iCs/>
        </w:rPr>
        <w:t>AmBisyon</w:t>
      </w:r>
      <w:proofErr w:type="spellEnd"/>
      <w:r w:rsidRPr="008F1E62">
        <w:rPr>
          <w:rFonts w:asciiTheme="minorHAnsi" w:hAnsiTheme="minorHAnsi" w:cstheme="minorBidi"/>
          <w:i/>
          <w:iCs/>
        </w:rPr>
        <w:t xml:space="preserve"> </w:t>
      </w:r>
      <w:proofErr w:type="spellStart"/>
      <w:r w:rsidRPr="008F1E62">
        <w:rPr>
          <w:rFonts w:asciiTheme="minorHAnsi" w:hAnsiTheme="minorHAnsi" w:cstheme="minorBidi"/>
          <w:i/>
          <w:iCs/>
        </w:rPr>
        <w:t>Natin</w:t>
      </w:r>
      <w:proofErr w:type="spellEnd"/>
      <w:r w:rsidRPr="008F1E62">
        <w:rPr>
          <w:rFonts w:asciiTheme="minorHAnsi" w:hAnsiTheme="minorHAnsi" w:cstheme="minorBidi"/>
          <w:i/>
          <w:iCs/>
        </w:rPr>
        <w:t xml:space="preserve"> </w:t>
      </w:r>
      <w:r w:rsidRPr="008F1E62">
        <w:rPr>
          <w:rFonts w:asciiTheme="minorHAnsi" w:hAnsiTheme="minorHAnsi" w:cstheme="minorBidi"/>
        </w:rPr>
        <w:t>2040</w:t>
      </w:r>
      <w:r w:rsidRPr="008F1E62">
        <w:rPr>
          <w:rFonts w:asciiTheme="minorHAnsi" w:hAnsiTheme="minorHAnsi" w:cstheme="minorBidi"/>
          <w:i/>
          <w:iCs/>
        </w:rPr>
        <w:t xml:space="preserve"> </w:t>
      </w:r>
      <w:r w:rsidRPr="008F1E62">
        <w:rPr>
          <w:rFonts w:asciiTheme="minorHAnsi" w:hAnsiTheme="minorHAnsi" w:cstheme="minorBidi"/>
        </w:rPr>
        <w:t>and expands on the administration’s 10-point socioeconomic agenda. The plan focuses on strategic trade and agricultural policy, as well as efforts to maximize the demographic dividend and promote macroeconomic and financial stability and fiscal prudence. With the passage of the PDP, the government has committed itself to policies that promote equitable tax reform, enhanced market competition, and improvements in the ease of doing business in the context of sustainable increases in public infrastructure investment and spending on social services. A strengthened A&amp;A environment will enable more effective monitoring of GOCCs delivering services, inform decision making by investors and other stakeholders, compel a rationalization of regulatory requirements, and provide a base for more efficient tax collection.</w:t>
      </w:r>
    </w:p>
    <w:tbl>
      <w:tblPr>
        <w:tblStyle w:val="TabelEcorys3"/>
        <w:tblpPr w:leftFromText="180" w:rightFromText="180" w:vertAnchor="text" w:horzAnchor="margin" w:tblpXSpec="right" w:tblpY="75"/>
        <w:tblOverlap w:val="never"/>
        <w:tblW w:w="2708" w:type="pct"/>
        <w:jc w:val="right"/>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4856"/>
      </w:tblGrid>
      <w:tr w:rsidR="00A23215" w:rsidRPr="008F1E62" w14:paraId="33F20EDD" w14:textId="77777777" w:rsidTr="004A1F83">
        <w:trPr>
          <w:trHeight w:val="22"/>
          <w:jc w:val="right"/>
        </w:trPr>
        <w:tc>
          <w:tcPr>
            <w:tcW w:w="4856" w:type="dxa"/>
            <w:shd w:val="clear" w:color="auto" w:fill="00AB51"/>
            <w:tcMar>
              <w:top w:w="144" w:type="dxa"/>
              <w:left w:w="144" w:type="dxa"/>
              <w:bottom w:w="144" w:type="dxa"/>
              <w:right w:w="144" w:type="dxa"/>
            </w:tcMar>
          </w:tcPr>
          <w:p w14:paraId="758CC1C1" w14:textId="122DEB77" w:rsidR="00A23215" w:rsidRPr="00D40343" w:rsidRDefault="00A23215" w:rsidP="00A90B64">
            <w:pPr>
              <w:pStyle w:val="Caption"/>
              <w:spacing w:before="0" w:after="0"/>
              <w:jc w:val="center"/>
              <w:rPr>
                <w:sz w:val="20"/>
                <w:szCs w:val="20"/>
                <w:lang w:val="en-US"/>
              </w:rPr>
            </w:pPr>
            <w:bookmarkStart w:id="34" w:name="_Toc478891605"/>
            <w:r w:rsidRPr="00D40343">
              <w:rPr>
                <w:color w:val="FFFFFF" w:themeColor="background1"/>
                <w:sz w:val="20"/>
                <w:szCs w:val="20"/>
                <w:lang w:val="en-US"/>
              </w:rPr>
              <w:t xml:space="preserve">Box </w:t>
            </w:r>
            <w:r w:rsidRPr="00D40343">
              <w:rPr>
                <w:color w:val="FFFFFF" w:themeColor="background1"/>
                <w:sz w:val="20"/>
                <w:szCs w:val="20"/>
                <w:lang w:val="en-US"/>
              </w:rPr>
              <w:fldChar w:fldCharType="begin"/>
            </w:r>
            <w:r w:rsidRPr="00D40343">
              <w:rPr>
                <w:color w:val="FFFFFF" w:themeColor="background1"/>
                <w:sz w:val="20"/>
                <w:szCs w:val="20"/>
                <w:lang w:val="en-US"/>
              </w:rPr>
              <w:instrText xml:space="preserve"> SEQ Box \* ARABIC </w:instrText>
            </w:r>
            <w:r w:rsidRPr="00D40343">
              <w:rPr>
                <w:color w:val="FFFFFF" w:themeColor="background1"/>
                <w:sz w:val="20"/>
                <w:szCs w:val="20"/>
                <w:lang w:val="en-US"/>
              </w:rPr>
              <w:fldChar w:fldCharType="separate"/>
            </w:r>
            <w:r w:rsidR="004310EC">
              <w:rPr>
                <w:noProof/>
                <w:color w:val="FFFFFF" w:themeColor="background1"/>
                <w:sz w:val="20"/>
                <w:szCs w:val="20"/>
                <w:lang w:val="en-US"/>
              </w:rPr>
              <w:t>1</w:t>
            </w:r>
            <w:r w:rsidRPr="00D40343">
              <w:rPr>
                <w:color w:val="FFFFFF" w:themeColor="background1"/>
                <w:sz w:val="20"/>
                <w:szCs w:val="20"/>
                <w:lang w:val="en-US"/>
              </w:rPr>
              <w:fldChar w:fldCharType="end"/>
            </w:r>
            <w:r w:rsidRPr="00D40343">
              <w:rPr>
                <w:color w:val="FFFFFF" w:themeColor="background1"/>
                <w:sz w:val="20"/>
                <w:szCs w:val="20"/>
                <w:lang w:val="en-US"/>
              </w:rPr>
              <w:t>. Philippine Development Plan 2017-2022</w:t>
            </w:r>
            <w:bookmarkEnd w:id="34"/>
          </w:p>
        </w:tc>
      </w:tr>
      <w:tr w:rsidR="00F76E53" w:rsidRPr="008F1E62" w14:paraId="6370A317" w14:textId="77777777" w:rsidTr="004A1F83">
        <w:trPr>
          <w:trHeight w:val="83"/>
          <w:jc w:val="right"/>
        </w:trPr>
        <w:tc>
          <w:tcPr>
            <w:tcW w:w="4856" w:type="dxa"/>
            <w:shd w:val="clear" w:color="auto" w:fill="C6E8D7"/>
            <w:tcMar>
              <w:top w:w="144" w:type="dxa"/>
              <w:left w:w="144" w:type="dxa"/>
              <w:bottom w:w="144" w:type="dxa"/>
              <w:right w:w="144" w:type="dxa"/>
            </w:tcMar>
          </w:tcPr>
          <w:p w14:paraId="49DDF79A" w14:textId="43AA0F88" w:rsidR="00F76E53" w:rsidRPr="008F1E62" w:rsidRDefault="00F76E53" w:rsidP="004A1F83">
            <w:pPr>
              <w:keepNext/>
              <w:spacing w:before="0" w:after="0" w:line="240" w:lineRule="auto"/>
              <w:rPr>
                <w:szCs w:val="24"/>
              </w:rPr>
            </w:pPr>
            <w:r w:rsidRPr="00D40343">
              <w:rPr>
                <w:b/>
                <w:sz w:val="20"/>
                <w:szCs w:val="24"/>
              </w:rPr>
              <w:t xml:space="preserve">The PDP 2017-2022 is founded on the pillars of </w:t>
            </w:r>
            <w:proofErr w:type="spellStart"/>
            <w:r w:rsidRPr="00D40343">
              <w:rPr>
                <w:b/>
                <w:i/>
                <w:sz w:val="20"/>
                <w:szCs w:val="24"/>
              </w:rPr>
              <w:t>Malasakit</w:t>
            </w:r>
            <w:proofErr w:type="spellEnd"/>
            <w:r w:rsidRPr="00D40343">
              <w:rPr>
                <w:b/>
                <w:i/>
                <w:sz w:val="20"/>
                <w:szCs w:val="24"/>
              </w:rPr>
              <w:t xml:space="preserve">, </w:t>
            </w:r>
            <w:proofErr w:type="spellStart"/>
            <w:r w:rsidRPr="00D40343">
              <w:rPr>
                <w:b/>
                <w:i/>
                <w:sz w:val="20"/>
                <w:szCs w:val="24"/>
              </w:rPr>
              <w:t>Pagbabago</w:t>
            </w:r>
            <w:proofErr w:type="spellEnd"/>
            <w:r w:rsidRPr="00D40343">
              <w:rPr>
                <w:b/>
                <w:i/>
                <w:sz w:val="20"/>
                <w:szCs w:val="24"/>
              </w:rPr>
              <w:t xml:space="preserve">, </w:t>
            </w:r>
            <w:r w:rsidRPr="00D40343">
              <w:rPr>
                <w:b/>
                <w:sz w:val="20"/>
                <w:szCs w:val="24"/>
              </w:rPr>
              <w:t xml:space="preserve">and </w:t>
            </w:r>
            <w:proofErr w:type="spellStart"/>
            <w:r w:rsidRPr="00D40343">
              <w:rPr>
                <w:b/>
                <w:i/>
                <w:sz w:val="20"/>
                <w:szCs w:val="24"/>
              </w:rPr>
              <w:t>Patuloy</w:t>
            </w:r>
            <w:proofErr w:type="spellEnd"/>
            <w:r w:rsidRPr="00D40343">
              <w:rPr>
                <w:b/>
                <w:i/>
                <w:sz w:val="20"/>
                <w:szCs w:val="24"/>
              </w:rPr>
              <w:t xml:space="preserve"> </w:t>
            </w:r>
            <w:proofErr w:type="spellStart"/>
            <w:r w:rsidRPr="00D40343">
              <w:rPr>
                <w:b/>
                <w:i/>
                <w:sz w:val="20"/>
                <w:szCs w:val="24"/>
              </w:rPr>
              <w:t>na</w:t>
            </w:r>
            <w:proofErr w:type="spellEnd"/>
            <w:r w:rsidRPr="00D40343">
              <w:rPr>
                <w:b/>
                <w:i/>
                <w:sz w:val="20"/>
                <w:szCs w:val="24"/>
              </w:rPr>
              <w:t xml:space="preserve"> Pag-</w:t>
            </w:r>
            <w:proofErr w:type="spellStart"/>
            <w:r w:rsidRPr="00D40343">
              <w:rPr>
                <w:b/>
                <w:i/>
                <w:sz w:val="20"/>
                <w:szCs w:val="24"/>
              </w:rPr>
              <w:t>unlad</w:t>
            </w:r>
            <w:proofErr w:type="spellEnd"/>
            <w:r w:rsidRPr="00D40343">
              <w:rPr>
                <w:b/>
                <w:sz w:val="20"/>
                <w:szCs w:val="24"/>
              </w:rPr>
              <w:t xml:space="preserve">, roughly translated as “Care, Change, and Continued Progress.” </w:t>
            </w:r>
            <w:r w:rsidRPr="00D40343">
              <w:rPr>
                <w:sz w:val="20"/>
                <w:szCs w:val="24"/>
              </w:rPr>
              <w:t>Under the first pillar (</w:t>
            </w:r>
            <w:proofErr w:type="spellStart"/>
            <w:r w:rsidRPr="00D40343">
              <w:rPr>
                <w:i/>
                <w:sz w:val="20"/>
                <w:szCs w:val="24"/>
              </w:rPr>
              <w:t>Malasakit</w:t>
            </w:r>
            <w:proofErr w:type="spellEnd"/>
            <w:r w:rsidRPr="00D40343">
              <w:rPr>
                <w:sz w:val="20"/>
                <w:szCs w:val="24"/>
              </w:rPr>
              <w:t xml:space="preserve">), the government aims to reinforce citizen trust in public institutions. Strategies under this pillar include promoting transparency within the government, improving the efficiency of the public sector, and pursuing regulatory reforms. Under the second pillar of </w:t>
            </w:r>
            <w:proofErr w:type="spellStart"/>
            <w:r w:rsidRPr="00D40343">
              <w:rPr>
                <w:i/>
                <w:sz w:val="20"/>
                <w:szCs w:val="24"/>
              </w:rPr>
              <w:t>Pagbabago</w:t>
            </w:r>
            <w:proofErr w:type="spellEnd"/>
            <w:r w:rsidRPr="00D40343">
              <w:rPr>
                <w:sz w:val="20"/>
                <w:szCs w:val="24"/>
              </w:rPr>
              <w:t xml:space="preserve">, or what the PDP refers to as inequality reducing transformation, the PDP aims to increase opportunities for output growth and income generation and improve access to human capital. Strategies under this pillar focus on enhancing access to quality basic education for all Filipinos, and increasing opportunities within the global market by streamlining bureaucratic processes for local and foreign businesses. Under the third pillar of </w:t>
            </w:r>
            <w:proofErr w:type="spellStart"/>
            <w:r w:rsidRPr="00D40343">
              <w:rPr>
                <w:i/>
                <w:sz w:val="20"/>
                <w:szCs w:val="24"/>
              </w:rPr>
              <w:t>Patuloy</w:t>
            </w:r>
            <w:proofErr w:type="spellEnd"/>
            <w:r w:rsidRPr="00D40343">
              <w:rPr>
                <w:i/>
                <w:sz w:val="20"/>
                <w:szCs w:val="24"/>
              </w:rPr>
              <w:t xml:space="preserve"> </w:t>
            </w:r>
            <w:proofErr w:type="spellStart"/>
            <w:r w:rsidRPr="00D40343">
              <w:rPr>
                <w:i/>
                <w:sz w:val="20"/>
                <w:szCs w:val="24"/>
              </w:rPr>
              <w:t>na</w:t>
            </w:r>
            <w:proofErr w:type="spellEnd"/>
            <w:r w:rsidRPr="00D40343">
              <w:rPr>
                <w:i/>
                <w:sz w:val="20"/>
                <w:szCs w:val="24"/>
              </w:rPr>
              <w:t xml:space="preserve"> Pag-</w:t>
            </w:r>
            <w:proofErr w:type="spellStart"/>
            <w:r w:rsidRPr="00D40343">
              <w:rPr>
                <w:i/>
                <w:sz w:val="20"/>
                <w:szCs w:val="24"/>
              </w:rPr>
              <w:t>unlad</w:t>
            </w:r>
            <w:proofErr w:type="spellEnd"/>
            <w:r w:rsidRPr="00D40343">
              <w:rPr>
                <w:i/>
                <w:sz w:val="20"/>
                <w:szCs w:val="24"/>
              </w:rPr>
              <w:t xml:space="preserve">, </w:t>
            </w:r>
            <w:r w:rsidRPr="00D40343">
              <w:rPr>
                <w:sz w:val="20"/>
                <w:szCs w:val="24"/>
              </w:rPr>
              <w:t>the government aims to increase the Philippine economy’s growth potential by maximizing the country’s potential demographic dividend and advancing science, technology, and innovation. Strategies under this pillar include maintaining macroeconomic, fiscal, and financial stability as the country undertakes critical tax reforms.</w:t>
            </w:r>
          </w:p>
        </w:tc>
      </w:tr>
    </w:tbl>
    <w:p w14:paraId="33F50800" w14:textId="5566A9EE" w:rsidR="00F76E53" w:rsidRPr="008F1E62" w:rsidRDefault="00F76E53" w:rsidP="00F76E53">
      <w:pPr>
        <w:pStyle w:val="BodyText4"/>
        <w:numPr>
          <w:ilvl w:val="0"/>
          <w:numId w:val="2"/>
        </w:numPr>
        <w:spacing w:after="200" w:line="276" w:lineRule="auto"/>
        <w:ind w:left="0" w:hanging="567"/>
        <w:rPr>
          <w:rFonts w:asciiTheme="minorHAnsi" w:hAnsiTheme="minorHAnsi"/>
          <w:b/>
          <w:bCs/>
        </w:rPr>
      </w:pPr>
      <w:r w:rsidRPr="008F1E62">
        <w:rPr>
          <w:rFonts w:asciiTheme="minorHAnsi" w:hAnsiTheme="minorHAnsi" w:cstheme="minorBidi"/>
          <w:b/>
          <w:bCs/>
        </w:rPr>
        <w:t>Under the PDP, the government aims to transition the Philippines to upper-middle-income status and significantly reduce poverty by 2022 while maintaining the country’s strong pace of economic growth.</w:t>
      </w:r>
      <w:r w:rsidRPr="008F1E62">
        <w:rPr>
          <w:rFonts w:asciiTheme="minorHAnsi" w:hAnsiTheme="minorHAnsi" w:cstheme="minorBidi"/>
        </w:rPr>
        <w:t xml:space="preserve"> The Duterte administration has outlined three key targets it hopes to achieve by the end its term: (i) a sustained 7-8 percent GDP growth rate over the medium-term; (ii) a 7.6 percent reduction in the poverty rate from 21.6 percent in 2015 to 14.0 percent by </w:t>
      </w:r>
      <w:r w:rsidRPr="008F1E62">
        <w:rPr>
          <w:rFonts w:asciiTheme="minorHAnsi" w:hAnsiTheme="minorHAnsi"/>
          <w:bCs/>
          <w:szCs w:val="24"/>
        </w:rPr>
        <w:t>2022</w:t>
      </w:r>
      <w:r w:rsidRPr="008F1E62">
        <w:rPr>
          <w:rFonts w:asciiTheme="minorHAnsi" w:hAnsiTheme="minorHAnsi" w:cstheme="minorBidi"/>
        </w:rPr>
        <w:t xml:space="preserve">, as well as a decrease in the rural poverty rate from 30.0 percent in 2015 to 20.0 percent in 2022; and (iii) a further reduction in the unemployment rate from 5.5 percent in 2016 to within the target range of 3-5 percent in 2022.  In view of these targets, the ROSC A&amp;A explores challenges to </w:t>
      </w:r>
      <w:r w:rsidR="001F7817">
        <w:rPr>
          <w:rFonts w:asciiTheme="minorHAnsi" w:hAnsiTheme="minorHAnsi" w:cstheme="minorBidi"/>
        </w:rPr>
        <w:t>M</w:t>
      </w:r>
      <w:r w:rsidRPr="008F1E62">
        <w:rPr>
          <w:rFonts w:asciiTheme="minorHAnsi" w:hAnsiTheme="minorHAnsi" w:cstheme="minorBidi"/>
        </w:rPr>
        <w:t>SME growth in the context of the current financial reporting framework and availability of qualified accountants to provide business support and advisory services, particularly in rural areas.</w:t>
      </w:r>
    </w:p>
    <w:p w14:paraId="5A40C030" w14:textId="77777777" w:rsidR="00F76E53" w:rsidRPr="008F1E62" w:rsidRDefault="00F76E53" w:rsidP="00F76E53">
      <w:pPr>
        <w:spacing w:after="160" w:line="259" w:lineRule="auto"/>
        <w:jc w:val="left"/>
        <w:rPr>
          <w:rFonts w:eastAsia="Times New Roman" w:cs="Times New Roman"/>
          <w:b/>
          <w:bCs/>
          <w:caps/>
          <w:sz w:val="28"/>
          <w:szCs w:val="28"/>
        </w:rPr>
      </w:pPr>
      <w:r w:rsidRPr="008F1E62">
        <w:br w:type="page"/>
      </w:r>
    </w:p>
    <w:p w14:paraId="0119E9A0" w14:textId="3C404634" w:rsidR="00F76E53" w:rsidRPr="008F1E62" w:rsidRDefault="00F76E53" w:rsidP="00F76E53">
      <w:pPr>
        <w:pStyle w:val="Heading1"/>
        <w:spacing w:after="60" w:line="276" w:lineRule="auto"/>
        <w:jc w:val="center"/>
        <w:rPr>
          <w:rFonts w:ascii="Century Gothic" w:eastAsia="MS Gothic" w:hAnsi="Century Gothic" w:cstheme="minorBidi"/>
          <w:caps w:val="0"/>
          <w:color w:val="00AB51"/>
          <w:kern w:val="32"/>
          <w:sz w:val="32"/>
          <w:szCs w:val="32"/>
          <w:lang w:val="en-US"/>
        </w:rPr>
      </w:pPr>
      <w:bookmarkStart w:id="35" w:name="_Toc499825581"/>
      <w:r w:rsidRPr="008F1E62">
        <w:rPr>
          <w:rFonts w:ascii="Century Gothic" w:eastAsia="MS Gothic" w:hAnsi="Century Gothic" w:cstheme="minorBidi"/>
          <w:caps w:val="0"/>
          <w:color w:val="00AB51"/>
          <w:kern w:val="32"/>
          <w:sz w:val="32"/>
          <w:szCs w:val="32"/>
          <w:lang w:val="en-US"/>
        </w:rPr>
        <w:t>II. ASSESSMENT</w:t>
      </w:r>
      <w:bookmarkEnd w:id="35"/>
    </w:p>
    <w:p w14:paraId="5A246016" w14:textId="06D9B752" w:rsidR="00F76E53" w:rsidRPr="008F1E62" w:rsidRDefault="00F76E53" w:rsidP="009E2E0A">
      <w:pPr>
        <w:pStyle w:val="Heading2"/>
      </w:pPr>
      <w:bookmarkStart w:id="36" w:name="_Toc499825582"/>
      <w:r w:rsidRPr="008F1E62">
        <w:t>A&amp;A Standards</w:t>
      </w:r>
      <w:bookmarkEnd w:id="36"/>
      <w:r w:rsidRPr="008F1E62">
        <w:t xml:space="preserve"> </w:t>
      </w:r>
    </w:p>
    <w:p w14:paraId="40871857" w14:textId="61229EA0" w:rsidR="00F76E53" w:rsidRDefault="00F76E53" w:rsidP="00F76E53">
      <w:pPr>
        <w:pStyle w:val="BodyText4"/>
        <w:numPr>
          <w:ilvl w:val="0"/>
          <w:numId w:val="2"/>
        </w:numPr>
        <w:spacing w:after="200" w:line="276" w:lineRule="auto"/>
        <w:ind w:left="0" w:hanging="567"/>
        <w:rPr>
          <w:rFonts w:asciiTheme="minorHAnsi" w:hAnsiTheme="minorHAnsi"/>
        </w:rPr>
      </w:pPr>
      <w:r w:rsidRPr="008F1E62">
        <w:rPr>
          <w:rFonts w:ascii="Calibri" w:eastAsia="MS Gothic" w:hAnsi="Calibri"/>
          <w:b/>
          <w:bCs/>
        </w:rPr>
        <w:t>Accounting standards are a critical ‘language’ of business for investors and other stakeholders</w:t>
      </w:r>
      <w:r w:rsidRPr="008F1E62">
        <w:rPr>
          <w:rFonts w:ascii="Calibri" w:eastAsia="MS Gothic" w:hAnsi="Calibri"/>
        </w:rPr>
        <w:t xml:space="preserve">. The </w:t>
      </w:r>
      <w:r w:rsidRPr="008F1E62">
        <w:rPr>
          <w:rFonts w:ascii="Calibri" w:hAnsi="Calibri" w:cs="Helvetica"/>
          <w:bdr w:val="none" w:sz="0" w:space="0" w:color="auto" w:frame="1"/>
        </w:rPr>
        <w:t>Philippines is seeking to improve the business climate to attract Foreign Direct Investment (FDI) and mobilize finance to support productive and job-creating activities</w:t>
      </w:r>
      <w:r w:rsidRPr="008F1E62">
        <w:rPr>
          <w:rFonts w:ascii="Calibri" w:eastAsia="MS Gothic" w:hAnsi="Calibri"/>
        </w:rPr>
        <w:t xml:space="preserve">. Adopted accounting standards for listed companies are based on the increasingly universal international benchmark, the </w:t>
      </w:r>
      <w:r w:rsidRPr="008F1E62">
        <w:rPr>
          <w:rFonts w:ascii="Calibri" w:hAnsi="Calibri"/>
        </w:rPr>
        <w:t>IFRS,</w:t>
      </w:r>
      <w:r w:rsidRPr="008F1E62">
        <w:rPr>
          <w:rStyle w:val="FootnoteReference"/>
          <w:rFonts w:ascii="Calibri" w:hAnsi="Calibri"/>
        </w:rPr>
        <w:footnoteReference w:id="36"/>
      </w:r>
      <w:r w:rsidRPr="008F1E62">
        <w:rPr>
          <w:rFonts w:ascii="Calibri" w:hAnsi="Calibri"/>
        </w:rPr>
        <w:t xml:space="preserve"> </w:t>
      </w:r>
      <w:r w:rsidRPr="008F1E62">
        <w:rPr>
          <w:rFonts w:ascii="Calibri" w:eastAsia="MS Gothic" w:hAnsi="Calibri"/>
        </w:rPr>
        <w:t xml:space="preserve">which better allow foreign investors to understand the financial reports of domestic companies, thus enabling potential investment and growth opportunities. </w:t>
      </w:r>
      <w:r w:rsidRPr="008F1E62">
        <w:rPr>
          <w:rFonts w:asciiTheme="minorHAnsi" w:hAnsiTheme="minorHAnsi"/>
        </w:rPr>
        <w:t xml:space="preserve"> Internationally recognized standards such as the IFRS and ISA bring increased credibility, comparability, and transparency at an international level, which fosters investor confidence. </w:t>
      </w:r>
    </w:p>
    <w:p w14:paraId="1F360C9F" w14:textId="23044B2A" w:rsidR="00F76E53" w:rsidRPr="008F1E62" w:rsidRDefault="00F76E53" w:rsidP="0077686B">
      <w:pPr>
        <w:pStyle w:val="Heading3"/>
      </w:pPr>
      <w:r w:rsidRPr="008F1E62">
        <w:t>Financial Reporting Standards Analysis</w:t>
      </w:r>
    </w:p>
    <w:p w14:paraId="778EECC0" w14:textId="68DCEB48" w:rsidR="00F76E53" w:rsidRPr="008F1E62" w:rsidRDefault="00F76E53" w:rsidP="00F76E53">
      <w:pPr>
        <w:pStyle w:val="BodyText4"/>
        <w:numPr>
          <w:ilvl w:val="0"/>
          <w:numId w:val="2"/>
        </w:numPr>
        <w:spacing w:after="200" w:line="276" w:lineRule="auto"/>
        <w:ind w:left="0" w:hanging="567"/>
        <w:rPr>
          <w:rFonts w:asciiTheme="minorHAnsi" w:hAnsiTheme="minorHAnsi"/>
          <w:b/>
          <w:bCs/>
        </w:rPr>
      </w:pPr>
      <w:r w:rsidRPr="008F1E62">
        <w:rPr>
          <w:rFonts w:asciiTheme="minorHAnsi" w:hAnsiTheme="minorHAnsi" w:cs="Calibri"/>
          <w:b/>
          <w:bCs/>
        </w:rPr>
        <w:t xml:space="preserve">The Philippines adopted IFRS-based standards as PFRS in 2005. </w:t>
      </w:r>
      <w:r w:rsidRPr="008F1E62">
        <w:rPr>
          <w:rFonts w:asciiTheme="minorHAnsi" w:hAnsiTheme="minorHAnsi" w:cs="Calibri"/>
        </w:rPr>
        <w:t xml:space="preserve"> PFRS are fully converged with IFRS except for the deferral of IFRS Interpretations Committee (IFRIC) 15, </w:t>
      </w:r>
      <w:r w:rsidRPr="008F1E62">
        <w:rPr>
          <w:rFonts w:asciiTheme="minorHAnsi" w:hAnsiTheme="minorHAnsi" w:cs="Calibri"/>
          <w:i/>
          <w:iCs/>
        </w:rPr>
        <w:t>Agreements for the Construction of Real Estate,</w:t>
      </w:r>
      <w:r w:rsidRPr="008F1E62">
        <w:rPr>
          <w:rFonts w:asciiTheme="minorHAnsi" w:hAnsiTheme="minorHAnsi" w:cs="Calibri"/>
        </w:rPr>
        <w:t xml:space="preserve"> which will be effective as PFRS 15 in 2018.  IFRIC 15 adoption is deferred due to perceived difficulties for companies to account for revenues on pre-completed real estate transactions based on percentage of completion.  All companies (listed, non-listed, corporations, banks, insurance) are required to adopt PFRS, except for those defined as SMEs for which the required standard is PFRS for SMEs (based on IFRS for SMEs with no differences).  Micro entities have the option to use as their financial reporting framework either the income tax basis, accounting standards in effect as of December 31, 2004</w:t>
      </w:r>
      <w:r w:rsidR="003A0212">
        <w:rPr>
          <w:rFonts w:asciiTheme="minorHAnsi" w:hAnsiTheme="minorHAnsi" w:cs="Calibri"/>
        </w:rPr>
        <w:t>,</w:t>
      </w:r>
      <w:r w:rsidRPr="008F1E62">
        <w:rPr>
          <w:rFonts w:asciiTheme="minorHAnsi" w:hAnsiTheme="minorHAnsi" w:cs="Calibri"/>
        </w:rPr>
        <w:t xml:space="preserve"> or PFRS for SMEs.</w:t>
      </w:r>
    </w:p>
    <w:p w14:paraId="411D7C68" w14:textId="77777777" w:rsidR="00F76E53" w:rsidRPr="008F1E62" w:rsidRDefault="00F76E53" w:rsidP="00F76E53">
      <w:pPr>
        <w:pStyle w:val="BodyText4"/>
        <w:numPr>
          <w:ilvl w:val="0"/>
          <w:numId w:val="2"/>
        </w:numPr>
        <w:spacing w:after="200" w:line="276" w:lineRule="auto"/>
        <w:ind w:left="0" w:hanging="567"/>
        <w:rPr>
          <w:rFonts w:asciiTheme="minorHAnsi" w:eastAsiaTheme="majorEastAsia" w:hAnsiTheme="minorHAnsi" w:cs="Calibri"/>
        </w:rPr>
      </w:pPr>
      <w:r w:rsidRPr="008F1E62">
        <w:rPr>
          <w:rFonts w:asciiTheme="minorHAnsi" w:hAnsiTheme="minorHAnsi" w:cs="Calibri"/>
          <w:b/>
          <w:bCs/>
        </w:rPr>
        <w:t>IFRS are renamed as PFRS when adopted by the Financial Reporting Standards Council (FRSC)</w:t>
      </w:r>
      <w:r w:rsidRPr="008F1E62">
        <w:rPr>
          <w:rStyle w:val="FootnoteReference"/>
          <w:rFonts w:asciiTheme="minorHAnsi" w:hAnsiTheme="minorHAnsi" w:cs="Calibri"/>
          <w:b/>
          <w:bCs/>
        </w:rPr>
        <w:footnoteReference w:id="37"/>
      </w:r>
      <w:r w:rsidRPr="008F1E62">
        <w:rPr>
          <w:rFonts w:asciiTheme="minorHAnsi" w:hAnsiTheme="minorHAnsi" w:cs="Calibri"/>
          <w:b/>
          <w:bCs/>
        </w:rPr>
        <w:t xml:space="preserve">. </w:t>
      </w:r>
      <w:r w:rsidRPr="008F1E62">
        <w:rPr>
          <w:rFonts w:asciiTheme="minorHAnsi" w:hAnsiTheme="minorHAnsi" w:cs="Calibri"/>
        </w:rPr>
        <w:t xml:space="preserve">Whenever new standards/amendments are issued by </w:t>
      </w:r>
      <w:r w:rsidR="007571C9">
        <w:rPr>
          <w:rFonts w:asciiTheme="minorHAnsi" w:hAnsiTheme="minorHAnsi" w:cs="Calibri"/>
        </w:rPr>
        <w:t xml:space="preserve">the </w:t>
      </w:r>
      <w:r w:rsidRPr="008F1E62">
        <w:rPr>
          <w:rFonts w:asciiTheme="minorHAnsi" w:hAnsiTheme="minorHAnsi" w:cs="Calibri"/>
        </w:rPr>
        <w:t>International Accounting Standards Board (IASB)/</w:t>
      </w:r>
      <w:r w:rsidRPr="008F1E62">
        <w:rPr>
          <w:rFonts w:asciiTheme="minorHAnsi" w:hAnsiTheme="minorHAnsi"/>
          <w:bCs/>
          <w:szCs w:val="24"/>
        </w:rPr>
        <w:t>IFRIC</w:t>
      </w:r>
      <w:r w:rsidRPr="008F1E62">
        <w:rPr>
          <w:rFonts w:asciiTheme="minorHAnsi" w:hAnsiTheme="minorHAnsi" w:cs="Calibri"/>
        </w:rPr>
        <w:t xml:space="preserve">, these are soon tabled for discussion in the FRSC then approved by </w:t>
      </w:r>
      <w:r w:rsidR="001D0C16">
        <w:rPr>
          <w:rFonts w:asciiTheme="minorHAnsi" w:hAnsiTheme="minorHAnsi" w:cs="Calibri"/>
        </w:rPr>
        <w:t xml:space="preserve">the </w:t>
      </w:r>
      <w:r w:rsidRPr="008F1E62">
        <w:rPr>
          <w:rFonts w:asciiTheme="minorHAnsi" w:hAnsiTheme="minorHAnsi" w:cs="Calibri"/>
        </w:rPr>
        <w:t xml:space="preserve">BOA and adopted by </w:t>
      </w:r>
      <w:r w:rsidR="001D0C16">
        <w:rPr>
          <w:rFonts w:asciiTheme="minorHAnsi" w:hAnsiTheme="minorHAnsi" w:cs="Calibri"/>
        </w:rPr>
        <w:t xml:space="preserve">the </w:t>
      </w:r>
      <w:r w:rsidRPr="008F1E62">
        <w:rPr>
          <w:rFonts w:asciiTheme="minorHAnsi" w:hAnsiTheme="minorHAnsi" w:cs="Calibri"/>
        </w:rPr>
        <w:t>SEC.</w:t>
      </w:r>
    </w:p>
    <w:p w14:paraId="233A88F6" w14:textId="77777777" w:rsidR="00F76E53" w:rsidRPr="008F1E62" w:rsidRDefault="00F76E53" w:rsidP="0077686B">
      <w:pPr>
        <w:pStyle w:val="Heading3"/>
      </w:pPr>
      <w:r w:rsidRPr="008F1E62">
        <w:t>Auditing Standards Analysis</w:t>
      </w:r>
    </w:p>
    <w:p w14:paraId="17A4FD6B" w14:textId="77777777" w:rsidR="00F76E53" w:rsidRPr="009C0C8B" w:rsidRDefault="00D92A74" w:rsidP="00F76E53">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ISA</w:t>
      </w:r>
      <w:r w:rsidR="00F76E53" w:rsidRPr="008F1E62">
        <w:rPr>
          <w:rStyle w:val="FootnoteReference"/>
          <w:rFonts w:asciiTheme="minorHAnsi" w:hAnsiTheme="minorHAnsi"/>
          <w:b/>
          <w:bCs/>
        </w:rPr>
        <w:footnoteReference w:id="38"/>
      </w:r>
      <w:r w:rsidR="00F76E53" w:rsidRPr="008F1E62">
        <w:rPr>
          <w:rFonts w:asciiTheme="minorHAnsi" w:hAnsiTheme="minorHAnsi"/>
          <w:b/>
          <w:bCs/>
        </w:rPr>
        <w:t xml:space="preserve"> have been fully adopted in </w:t>
      </w:r>
      <w:r>
        <w:rPr>
          <w:rFonts w:asciiTheme="minorHAnsi" w:hAnsiTheme="minorHAnsi"/>
          <w:b/>
          <w:bCs/>
        </w:rPr>
        <w:t xml:space="preserve">the </w:t>
      </w:r>
      <w:r w:rsidR="00F76E53" w:rsidRPr="008F1E62">
        <w:rPr>
          <w:rFonts w:asciiTheme="minorHAnsi" w:hAnsiTheme="minorHAnsi"/>
          <w:b/>
          <w:bCs/>
        </w:rPr>
        <w:t xml:space="preserve">Philippines.  </w:t>
      </w:r>
      <w:r w:rsidR="00F76E53" w:rsidRPr="008F1E62">
        <w:rPr>
          <w:rFonts w:ascii="Calibri" w:hAnsi="Calibri" w:cs="Calibri"/>
        </w:rPr>
        <w:t>All current ISA have been adopted by the Auditing and Assurance Standards Council (AASC)</w:t>
      </w:r>
      <w:r w:rsidR="00F76E53" w:rsidRPr="008F1E62">
        <w:rPr>
          <w:rStyle w:val="FootnoteReference"/>
          <w:rFonts w:ascii="Calibri" w:hAnsi="Calibri" w:cs="Calibri"/>
        </w:rPr>
        <w:footnoteReference w:id="39"/>
      </w:r>
      <w:r w:rsidR="003E5123" w:rsidRPr="008F1E62">
        <w:rPr>
          <w:rFonts w:ascii="Calibri" w:hAnsi="Calibri" w:cs="Calibri"/>
        </w:rPr>
        <w:t>, and several more recently adopted standards await publication in the Official Gazette, including</w:t>
      </w:r>
      <w:r w:rsidR="00F76E53" w:rsidRPr="008F1E62">
        <w:rPr>
          <w:rFonts w:ascii="Calibri" w:hAnsi="Calibri" w:cs="Calibri"/>
        </w:rPr>
        <w:t xml:space="preserve"> </w:t>
      </w:r>
      <w:r w:rsidR="003E5123" w:rsidRPr="008F1E62">
        <w:rPr>
          <w:rFonts w:ascii="Calibri" w:eastAsia="Calibri" w:hAnsi="Calibri"/>
          <w:szCs w:val="22"/>
        </w:rPr>
        <w:t xml:space="preserve">International Standards on Auditing (ISA) 700R (revised), Forming an Opinion and Reporting on Financial </w:t>
      </w:r>
      <w:r w:rsidR="003E5123" w:rsidRPr="009C0C8B">
        <w:rPr>
          <w:rFonts w:ascii="Calibri" w:eastAsia="Calibri" w:hAnsi="Calibri"/>
          <w:szCs w:val="22"/>
        </w:rPr>
        <w:t xml:space="preserve">Statements, and 701 (new), Communicating Key Audit Matters in the Independent Auditor’s Report. </w:t>
      </w:r>
      <w:r w:rsidR="00F76E53" w:rsidRPr="009C0C8B">
        <w:rPr>
          <w:rFonts w:ascii="Calibri" w:hAnsi="Calibri" w:cs="Calibri"/>
        </w:rPr>
        <w:t xml:space="preserve">The AASC submits to the PRC BOA all its </w:t>
      </w:r>
      <w:r w:rsidR="00F76E53" w:rsidRPr="009C0C8B">
        <w:rPr>
          <w:rFonts w:asciiTheme="minorHAnsi" w:hAnsiTheme="minorHAnsi"/>
          <w:bCs/>
          <w:szCs w:val="24"/>
        </w:rPr>
        <w:t>adopted</w:t>
      </w:r>
      <w:r w:rsidR="00F76E53" w:rsidRPr="009C0C8B">
        <w:rPr>
          <w:rFonts w:ascii="Calibri" w:hAnsi="Calibri" w:cs="Calibri"/>
        </w:rPr>
        <w:t xml:space="preserve"> standards for approval and publication.  </w:t>
      </w:r>
    </w:p>
    <w:p w14:paraId="2F9AA041" w14:textId="77777777" w:rsidR="00F76E53" w:rsidRPr="008F1E62" w:rsidRDefault="00F76E53" w:rsidP="006C3ADB">
      <w:pPr>
        <w:pStyle w:val="Heading2"/>
        <w:spacing w:before="840"/>
      </w:pPr>
      <w:bookmarkStart w:id="37" w:name="_Toc499825583"/>
      <w:r w:rsidRPr="008F1E62">
        <w:t>Institutional Framework for Corporate Financial Reporting</w:t>
      </w:r>
      <w:bookmarkEnd w:id="37"/>
      <w:r w:rsidRPr="008F1E62">
        <w:t xml:space="preserve"> </w:t>
      </w:r>
    </w:p>
    <w:p w14:paraId="5A02A1CC" w14:textId="77777777" w:rsidR="00F76E53" w:rsidRPr="008F1E62" w:rsidRDefault="00F76E53" w:rsidP="0077686B">
      <w:pPr>
        <w:pStyle w:val="Heading3"/>
      </w:pPr>
      <w:r w:rsidRPr="008F1E62">
        <w:t>General Financial Reporting Requirements</w:t>
      </w:r>
    </w:p>
    <w:p w14:paraId="3205F430" w14:textId="21033123" w:rsidR="00F76E53" w:rsidRPr="008F1E62" w:rsidRDefault="00F76E53" w:rsidP="00F76E53">
      <w:pPr>
        <w:pStyle w:val="BodyText4"/>
        <w:numPr>
          <w:ilvl w:val="0"/>
          <w:numId w:val="2"/>
        </w:numPr>
        <w:spacing w:after="200" w:line="276" w:lineRule="auto"/>
        <w:ind w:left="0" w:hanging="567"/>
        <w:rPr>
          <w:rFonts w:ascii="Calibri" w:hAnsi="Calibri"/>
        </w:rPr>
      </w:pPr>
      <w:r w:rsidRPr="008F1E62">
        <w:rPr>
          <w:rFonts w:asciiTheme="minorHAnsi" w:hAnsiTheme="minorHAnsi"/>
          <w:b/>
          <w:bCs/>
        </w:rPr>
        <w:t xml:space="preserve">General financial reporting and auditing requirements for the corporate sector are prescribed by law and are largely in line with international good practice. </w:t>
      </w:r>
      <w:r w:rsidRPr="008F1E62">
        <w:rPr>
          <w:rFonts w:asciiTheme="minorHAnsi" w:hAnsiTheme="minorHAnsi"/>
        </w:rPr>
        <w:t xml:space="preserve">Table 7 summarizes the </w:t>
      </w:r>
      <w:r w:rsidR="006047FE" w:rsidRPr="008F1E62">
        <w:rPr>
          <w:rFonts w:asciiTheme="minorHAnsi" w:hAnsiTheme="minorHAnsi"/>
        </w:rPr>
        <w:t xml:space="preserve">A&amp;A </w:t>
      </w:r>
      <w:r w:rsidR="006047FE" w:rsidRPr="008F1E62">
        <w:rPr>
          <w:rFonts w:asciiTheme="minorHAnsi" w:hAnsiTheme="minorHAnsi"/>
          <w:bCs/>
          <w:szCs w:val="24"/>
        </w:rPr>
        <w:t>requirements</w:t>
      </w:r>
      <w:r w:rsidR="006047FE" w:rsidRPr="008F1E62">
        <w:rPr>
          <w:rFonts w:asciiTheme="minorHAnsi" w:hAnsiTheme="minorHAnsi"/>
        </w:rPr>
        <w:t xml:space="preserve"> by type of enterprise</w:t>
      </w:r>
      <w:r w:rsidR="006047FE">
        <w:rPr>
          <w:rFonts w:asciiTheme="minorHAnsi" w:hAnsiTheme="minorHAnsi"/>
        </w:rPr>
        <w:t xml:space="preserve"> and Table 10 summarizes the</w:t>
      </w:r>
      <w:r w:rsidR="006047FE" w:rsidRPr="008F1E62">
        <w:rPr>
          <w:rFonts w:asciiTheme="minorHAnsi" w:hAnsiTheme="minorHAnsi"/>
        </w:rPr>
        <w:t xml:space="preserve"> </w:t>
      </w:r>
      <w:r w:rsidRPr="008F1E62">
        <w:rPr>
          <w:rFonts w:asciiTheme="minorHAnsi" w:hAnsiTheme="minorHAnsi"/>
        </w:rPr>
        <w:t>key legislation and regulations for corporate sector A&amp;A requirements.</w:t>
      </w:r>
    </w:p>
    <w:p w14:paraId="2975B08D" w14:textId="1280D094" w:rsidR="00F76E53" w:rsidRPr="00776095" w:rsidRDefault="00F76E53" w:rsidP="00D70C37">
      <w:pPr>
        <w:pStyle w:val="BodyText4"/>
        <w:numPr>
          <w:ilvl w:val="0"/>
          <w:numId w:val="2"/>
        </w:numPr>
        <w:spacing w:after="200" w:line="276" w:lineRule="auto"/>
        <w:ind w:left="0" w:hanging="567"/>
        <w:rPr>
          <w:rFonts w:cs="Helvetica"/>
          <w:color w:val="000000"/>
        </w:rPr>
      </w:pPr>
      <w:r w:rsidRPr="008F1E62">
        <w:rPr>
          <w:rFonts w:ascii="Calibri" w:hAnsi="Calibri"/>
          <w:b/>
          <w:bCs/>
        </w:rPr>
        <w:t xml:space="preserve">The </w:t>
      </w:r>
      <w:r w:rsidRPr="008F1E62">
        <w:rPr>
          <w:rFonts w:asciiTheme="minorHAnsi" w:hAnsiTheme="minorHAnsi" w:cs="Calibri"/>
          <w:b/>
          <w:bCs/>
        </w:rPr>
        <w:t>present</w:t>
      </w:r>
      <w:r w:rsidRPr="008F1E62">
        <w:rPr>
          <w:rFonts w:ascii="Calibri" w:hAnsi="Calibri"/>
          <w:b/>
          <w:bCs/>
        </w:rPr>
        <w:t xml:space="preserve"> thresholds that require submission of audited financial statements in the </w:t>
      </w:r>
      <w:r w:rsidRPr="00D70C37">
        <w:rPr>
          <w:rFonts w:asciiTheme="minorHAnsi" w:hAnsiTheme="minorHAnsi"/>
          <w:b/>
          <w:bCs/>
        </w:rPr>
        <w:t>Corporation</w:t>
      </w:r>
      <w:r w:rsidRPr="008F1E62">
        <w:rPr>
          <w:rFonts w:ascii="Calibri" w:hAnsi="Calibri"/>
          <w:b/>
          <w:bCs/>
        </w:rPr>
        <w:t xml:space="preserve"> Code of 1980 and National Internal Revenue Code of 1997 are no longer </w:t>
      </w:r>
      <w:r w:rsidR="003645FA">
        <w:rPr>
          <w:rFonts w:ascii="Calibri" w:hAnsi="Calibri"/>
          <w:b/>
          <w:bCs/>
        </w:rPr>
        <w:t>effective</w:t>
      </w:r>
      <w:r w:rsidR="003645FA" w:rsidRPr="008F1E62">
        <w:rPr>
          <w:rFonts w:ascii="Calibri" w:hAnsi="Calibri"/>
          <w:b/>
          <w:bCs/>
        </w:rPr>
        <w:t xml:space="preserve"> </w:t>
      </w:r>
      <w:r w:rsidRPr="008F1E62">
        <w:rPr>
          <w:rFonts w:ascii="Calibri" w:hAnsi="Calibri"/>
          <w:b/>
          <w:bCs/>
        </w:rPr>
        <w:t>in the current economic context.</w:t>
      </w:r>
      <w:r w:rsidRPr="008F1E62">
        <w:rPr>
          <w:rFonts w:ascii="Calibri" w:hAnsi="Calibri"/>
        </w:rPr>
        <w:t xml:space="preserve"> For the requirement to submit </w:t>
      </w:r>
      <w:r w:rsidR="00F151D0">
        <w:rPr>
          <w:rFonts w:ascii="Calibri" w:hAnsi="Calibri"/>
        </w:rPr>
        <w:t>audited financial statements</w:t>
      </w:r>
      <w:r w:rsidRPr="008F1E62">
        <w:rPr>
          <w:rFonts w:ascii="Calibri" w:hAnsi="Calibri"/>
        </w:rPr>
        <w:t xml:space="preserve">, the SEC threshold is paid up capital of 50,000 </w:t>
      </w:r>
      <w:r w:rsidR="00966C0D">
        <w:rPr>
          <w:rFonts w:ascii="Calibri" w:hAnsi="Calibri"/>
        </w:rPr>
        <w:t xml:space="preserve">pesos </w:t>
      </w:r>
      <w:r w:rsidRPr="008F1E62">
        <w:rPr>
          <w:rFonts w:ascii="Calibri" w:hAnsi="Calibri"/>
        </w:rPr>
        <w:t xml:space="preserve">(approximately $1,000) and the </w:t>
      </w:r>
      <w:r w:rsidRPr="00F83E6E">
        <w:rPr>
          <w:rFonts w:ascii="Calibri" w:hAnsi="Calibri"/>
        </w:rPr>
        <w:t>BIR</w:t>
      </w:r>
      <w:r w:rsidRPr="008F1E62">
        <w:rPr>
          <w:rFonts w:ascii="Calibri" w:hAnsi="Calibri"/>
        </w:rPr>
        <w:t xml:space="preserve"> threshold is gross quarterly sales of 150,000</w:t>
      </w:r>
      <w:r w:rsidR="00C61FEC">
        <w:rPr>
          <w:rFonts w:ascii="Calibri" w:hAnsi="Calibri"/>
        </w:rPr>
        <w:t xml:space="preserve"> pesos</w:t>
      </w:r>
      <w:r w:rsidRPr="008F1E62">
        <w:rPr>
          <w:rFonts w:ascii="Calibri" w:hAnsi="Calibri"/>
        </w:rPr>
        <w:t xml:space="preserve"> (approximately $3,000). </w:t>
      </w:r>
      <w:proofErr w:type="gramStart"/>
      <w:r w:rsidRPr="008F1E62">
        <w:rPr>
          <w:rFonts w:ascii="Calibri" w:hAnsi="Calibri"/>
        </w:rPr>
        <w:t>As a result of</w:t>
      </w:r>
      <w:proofErr w:type="gramEnd"/>
      <w:r w:rsidRPr="008F1E62">
        <w:rPr>
          <w:rFonts w:ascii="Calibri" w:hAnsi="Calibri"/>
        </w:rPr>
        <w:t xml:space="preserve"> </w:t>
      </w:r>
      <w:r w:rsidR="003645FA">
        <w:rPr>
          <w:rFonts w:ascii="Calibri" w:hAnsi="Calibri"/>
        </w:rPr>
        <w:t xml:space="preserve">these </w:t>
      </w:r>
      <w:r w:rsidRPr="008F1E62">
        <w:rPr>
          <w:rFonts w:ascii="Calibri" w:hAnsi="Calibri"/>
        </w:rPr>
        <w:t>low thresholds, the system by itself encourages below-standard audits since the sheer volume of audits required exceeds the available supply of CPAs</w:t>
      </w:r>
      <w:r w:rsidRPr="008F1E62">
        <w:rPr>
          <w:rStyle w:val="FootnoteReference"/>
          <w:rFonts w:ascii="Calibri" w:hAnsi="Calibri"/>
        </w:rPr>
        <w:footnoteReference w:id="40"/>
      </w:r>
      <w:r w:rsidRPr="008F1E62">
        <w:rPr>
          <w:rFonts w:ascii="Calibri" w:hAnsi="Calibri"/>
        </w:rPr>
        <w:t xml:space="preserve">. </w:t>
      </w:r>
      <w:r w:rsidRPr="00484744">
        <w:rPr>
          <w:rFonts w:ascii="Calibri" w:hAnsi="Calibri"/>
        </w:rPr>
        <w:t>Approximately 1.5 million entities are subject to audit in the Philippines</w:t>
      </w:r>
      <w:r w:rsidR="00433013" w:rsidRPr="00484744">
        <w:rPr>
          <w:rFonts w:ascii="Calibri" w:hAnsi="Calibri"/>
        </w:rPr>
        <w:t>. W</w:t>
      </w:r>
      <w:r w:rsidRPr="00484744">
        <w:rPr>
          <w:rFonts w:ascii="Calibri" w:hAnsi="Calibri"/>
        </w:rPr>
        <w:t>ith only 6,149 registered auditors, of which 5,500 operate as sole practitioners</w:t>
      </w:r>
      <w:r w:rsidR="00433013" w:rsidRPr="00484744">
        <w:rPr>
          <w:rFonts w:ascii="Calibri" w:hAnsi="Calibri"/>
        </w:rPr>
        <w:t>, t</w:t>
      </w:r>
      <w:r w:rsidRPr="00484744">
        <w:rPr>
          <w:rFonts w:ascii="Calibri" w:hAnsi="Calibri"/>
        </w:rPr>
        <w:t>his results in an average of 243 audits performed annually by each registered auditor.</w:t>
      </w:r>
      <w:r w:rsidRPr="00484744">
        <w:rPr>
          <w:rStyle w:val="FootnoteReference"/>
          <w:rFonts w:ascii="Calibri" w:hAnsi="Calibri"/>
        </w:rPr>
        <w:footnoteReference w:id="41"/>
      </w:r>
      <w:r w:rsidRPr="008F1E62">
        <w:rPr>
          <w:rFonts w:ascii="Calibri" w:hAnsi="Calibri"/>
        </w:rPr>
        <w:t xml:space="preserve"> While it is understandable that regulatory authorities would want to obtain assurance on financial statements reported by companies, a </w:t>
      </w:r>
      <w:r w:rsidR="00E60879" w:rsidRPr="008F1E62">
        <w:rPr>
          <w:rFonts w:ascii="Calibri" w:hAnsi="Calibri"/>
        </w:rPr>
        <w:t xml:space="preserve">risk-based </w:t>
      </w:r>
      <w:r w:rsidRPr="008F1E62">
        <w:rPr>
          <w:rFonts w:ascii="Calibri" w:hAnsi="Calibri"/>
        </w:rPr>
        <w:t xml:space="preserve">statutory audit exemption framework should be put in place </w:t>
      </w:r>
      <w:r w:rsidR="003645FA">
        <w:rPr>
          <w:rFonts w:ascii="Calibri" w:hAnsi="Calibri"/>
        </w:rPr>
        <w:t xml:space="preserve">to better focus available resources </w:t>
      </w:r>
      <w:r w:rsidRPr="008F1E62">
        <w:rPr>
          <w:rFonts w:ascii="Calibri" w:hAnsi="Calibri"/>
        </w:rPr>
        <w:t>and lower levels of service, such as compilation and review services, should also be considered</w:t>
      </w:r>
      <w:r w:rsidR="003645FA">
        <w:rPr>
          <w:rFonts w:ascii="Calibri" w:hAnsi="Calibri"/>
        </w:rPr>
        <w:t xml:space="preserve"> in order to better describe the level of service that is actually being provided</w:t>
      </w:r>
      <w:r w:rsidRPr="008F1E62">
        <w:rPr>
          <w:rFonts w:ascii="Calibri" w:hAnsi="Calibri"/>
        </w:rPr>
        <w:t>.</w:t>
      </w:r>
      <w:r w:rsidR="006047FE">
        <w:rPr>
          <w:rFonts w:ascii="Calibri" w:hAnsi="Calibri"/>
        </w:rPr>
        <w:t xml:space="preserve">  It is to be noted that </w:t>
      </w:r>
      <w:r w:rsidR="006047FE">
        <w:rPr>
          <w:rFonts w:asciiTheme="minorHAnsi" w:hAnsiTheme="minorHAnsi" w:cstheme="minorHAnsi"/>
        </w:rPr>
        <w:t>a</w:t>
      </w:r>
      <w:r w:rsidR="006047FE" w:rsidRPr="002C0750">
        <w:rPr>
          <w:rFonts w:asciiTheme="minorHAnsi" w:hAnsiTheme="minorHAnsi" w:cstheme="minorHAnsi"/>
        </w:rPr>
        <w:t xml:space="preserve"> 2017 tax reform package still under legislative review includes a proposal to increase the threshold to 750,000 pesos</w:t>
      </w:r>
      <w:r w:rsidR="006047FE">
        <w:rPr>
          <w:rFonts w:asciiTheme="minorHAnsi" w:hAnsiTheme="minorHAnsi" w:cstheme="minorHAnsi"/>
        </w:rPr>
        <w:t xml:space="preserve"> (gross quarterly sales)</w:t>
      </w:r>
      <w:r w:rsidR="006047FE" w:rsidRPr="002C0750">
        <w:rPr>
          <w:rFonts w:asciiTheme="minorHAnsi" w:hAnsiTheme="minorHAnsi" w:cstheme="minorHAnsi"/>
        </w:rPr>
        <w:t>. The SEC, BIR and DOF are working together to ensure consistency of rules and avoid conflicting regulations.</w:t>
      </w:r>
    </w:p>
    <w:p w14:paraId="29E017DA" w14:textId="553E9F9E" w:rsidR="00CB741E" w:rsidRPr="00CB741E" w:rsidRDefault="00CB741E" w:rsidP="00CB741E">
      <w:pPr>
        <w:pStyle w:val="BodyText4"/>
        <w:numPr>
          <w:ilvl w:val="0"/>
          <w:numId w:val="2"/>
        </w:numPr>
        <w:spacing w:after="200" w:line="276" w:lineRule="auto"/>
        <w:ind w:left="0" w:hanging="567"/>
        <w:rPr>
          <w:rFonts w:asciiTheme="minorHAnsi" w:hAnsiTheme="minorHAnsi" w:cs="Helvetica"/>
          <w:color w:val="000000"/>
        </w:rPr>
        <w:sectPr w:rsidR="00CB741E" w:rsidRPr="00CB741E" w:rsidSect="0002662F">
          <w:type w:val="nextColumn"/>
          <w:pgSz w:w="11906" w:h="16838" w:code="9"/>
          <w:pgMar w:top="1440" w:right="1440" w:bottom="1440" w:left="1440" w:header="720" w:footer="720" w:gutter="0"/>
          <w:pgNumType w:start="1"/>
          <w:cols w:space="720"/>
          <w:docGrid w:linePitch="360"/>
        </w:sectPr>
      </w:pPr>
      <w:proofErr w:type="gramStart"/>
      <w:r w:rsidRPr="00CB741E">
        <w:rPr>
          <w:rFonts w:asciiTheme="minorHAnsi" w:hAnsiTheme="minorHAnsi" w:cs="Helvetica"/>
          <w:b/>
          <w:color w:val="000000"/>
        </w:rPr>
        <w:t>In order to</w:t>
      </w:r>
      <w:proofErr w:type="gramEnd"/>
      <w:r w:rsidRPr="00CB741E">
        <w:rPr>
          <w:rFonts w:asciiTheme="minorHAnsi" w:hAnsiTheme="minorHAnsi" w:cs="Helvetica"/>
          <w:b/>
          <w:color w:val="000000"/>
        </w:rPr>
        <w:t xml:space="preserve"> address perceived self-review threats for a CPA in public practice, whereby the same practitioner both compiles and audits financial information, the BOA has required the submission of a Certificate of Compilation Services in its Resolution No. 3-2016 dated January 2016. </w:t>
      </w:r>
      <w:r w:rsidRPr="00CB741E">
        <w:rPr>
          <w:rFonts w:asciiTheme="minorHAnsi" w:hAnsiTheme="minorHAnsi" w:cs="Helvetica"/>
          <w:color w:val="000000"/>
        </w:rPr>
        <w:t xml:space="preserve">This requires a CPA employed by the company or a </w:t>
      </w:r>
      <w:proofErr w:type="gramStart"/>
      <w:r w:rsidRPr="00CB741E">
        <w:rPr>
          <w:rFonts w:asciiTheme="minorHAnsi" w:hAnsiTheme="minorHAnsi" w:cs="Helvetica"/>
          <w:color w:val="000000"/>
        </w:rPr>
        <w:t>third party</w:t>
      </w:r>
      <w:proofErr w:type="gramEnd"/>
      <w:r w:rsidRPr="00CB741E">
        <w:rPr>
          <w:rFonts w:asciiTheme="minorHAnsi" w:hAnsiTheme="minorHAnsi" w:cs="Helvetica"/>
          <w:color w:val="000000"/>
        </w:rPr>
        <w:t xml:space="preserve"> CPA contracted to perform a compilation to attach a certified statement to a compilation report attesting to compliance with compilation requirements.  This is meant to ensure that the accounting function of compiling financial statements is properly separated from the audit function. Separation of the compilation and auditing functions is already required under several other authoritative pronouncements, however, and the additional reporting burden imposed by the Certificate of Compilation Services is not offset by additional assurance in achieving this result.</w:t>
      </w:r>
    </w:p>
    <w:p w14:paraId="374CCB4B" w14:textId="7FE5049C" w:rsidR="00F76E53" w:rsidRDefault="00F76E53" w:rsidP="00F76E53">
      <w:pPr>
        <w:pStyle w:val="Caption"/>
        <w:spacing w:before="0" w:after="200" w:line="276" w:lineRule="auto"/>
        <w:jc w:val="center"/>
        <w:rPr>
          <w:sz w:val="24"/>
          <w:szCs w:val="24"/>
          <w:lang w:val="en-US"/>
        </w:rPr>
      </w:pPr>
      <w:bookmarkStart w:id="38" w:name="_Ref471994168"/>
      <w:r w:rsidRPr="008F1E62">
        <w:rPr>
          <w:sz w:val="24"/>
          <w:szCs w:val="24"/>
          <w:lang w:val="en-US"/>
        </w:rPr>
        <w:t xml:space="preserve">Table </w:t>
      </w:r>
      <w:r w:rsidRPr="008F1E62">
        <w:rPr>
          <w:sz w:val="24"/>
          <w:szCs w:val="24"/>
          <w:lang w:val="en-US"/>
        </w:rPr>
        <w:fldChar w:fldCharType="begin"/>
      </w:r>
      <w:r w:rsidRPr="008F1E62">
        <w:rPr>
          <w:sz w:val="24"/>
          <w:szCs w:val="24"/>
          <w:lang w:val="en-US"/>
        </w:rPr>
        <w:instrText xml:space="preserve"> SEQ Table \* ARABIC </w:instrText>
      </w:r>
      <w:r w:rsidRPr="008F1E62">
        <w:rPr>
          <w:sz w:val="24"/>
          <w:szCs w:val="24"/>
          <w:lang w:val="en-US"/>
        </w:rPr>
        <w:fldChar w:fldCharType="separate"/>
      </w:r>
      <w:r w:rsidR="004310EC">
        <w:rPr>
          <w:noProof/>
          <w:sz w:val="24"/>
          <w:szCs w:val="24"/>
          <w:lang w:val="en-US"/>
        </w:rPr>
        <w:t>7</w:t>
      </w:r>
      <w:r w:rsidRPr="008F1E62">
        <w:rPr>
          <w:sz w:val="24"/>
          <w:szCs w:val="24"/>
          <w:lang w:val="en-US"/>
        </w:rPr>
        <w:fldChar w:fldCharType="end"/>
      </w:r>
      <w:bookmarkEnd w:id="38"/>
      <w:r w:rsidRPr="008F1E62">
        <w:rPr>
          <w:sz w:val="24"/>
          <w:szCs w:val="24"/>
          <w:lang w:val="en-US"/>
        </w:rPr>
        <w:t xml:space="preserve">. Summary of A&amp;A </w:t>
      </w:r>
      <w:r w:rsidR="000F31E6">
        <w:rPr>
          <w:sz w:val="24"/>
          <w:szCs w:val="24"/>
          <w:lang w:val="en-US"/>
        </w:rPr>
        <w:t>R</w:t>
      </w:r>
      <w:r w:rsidR="000F31E6" w:rsidRPr="008F1E62">
        <w:rPr>
          <w:sz w:val="24"/>
          <w:szCs w:val="24"/>
          <w:lang w:val="en-US"/>
        </w:rPr>
        <w:t xml:space="preserve">equirements </w:t>
      </w:r>
      <w:r w:rsidRPr="008F1E62">
        <w:rPr>
          <w:sz w:val="24"/>
          <w:szCs w:val="24"/>
          <w:lang w:val="en-US"/>
        </w:rPr>
        <w:t xml:space="preserve">by </w:t>
      </w:r>
      <w:r w:rsidR="000F31E6">
        <w:rPr>
          <w:sz w:val="24"/>
          <w:szCs w:val="24"/>
          <w:lang w:val="en-US"/>
        </w:rPr>
        <w:t>T</w:t>
      </w:r>
      <w:r w:rsidR="000F31E6" w:rsidRPr="008F1E62">
        <w:rPr>
          <w:sz w:val="24"/>
          <w:szCs w:val="24"/>
          <w:lang w:val="en-US"/>
        </w:rPr>
        <w:t xml:space="preserve">ype </w:t>
      </w:r>
      <w:r w:rsidRPr="008F1E62">
        <w:rPr>
          <w:sz w:val="24"/>
          <w:szCs w:val="24"/>
          <w:lang w:val="en-US"/>
        </w:rPr>
        <w:t xml:space="preserve">of </w:t>
      </w:r>
      <w:r w:rsidR="000F31E6">
        <w:rPr>
          <w:sz w:val="24"/>
          <w:szCs w:val="24"/>
          <w:lang w:val="en-US"/>
        </w:rPr>
        <w:t>E</w:t>
      </w:r>
      <w:r w:rsidR="000F31E6" w:rsidRPr="008F1E62">
        <w:rPr>
          <w:sz w:val="24"/>
          <w:szCs w:val="24"/>
          <w:lang w:val="en-US"/>
        </w:rPr>
        <w:t>nterprise</w:t>
      </w:r>
    </w:p>
    <w:tbl>
      <w:tblPr>
        <w:tblStyle w:val="TableGrid"/>
        <w:tblW w:w="4997" w:type="pct"/>
        <w:jc w:val="center"/>
        <w:tblBorders>
          <w:top w:val="single" w:sz="4" w:space="0" w:color="8C8D90"/>
          <w:left w:val="none" w:sz="0" w:space="0" w:color="auto"/>
          <w:bottom w:val="single" w:sz="4" w:space="0" w:color="8C8D90"/>
          <w:right w:val="none" w:sz="0" w:space="0" w:color="auto"/>
          <w:insideH w:val="single" w:sz="4" w:space="0" w:color="8C8D90"/>
          <w:insideV w:val="single" w:sz="4" w:space="0" w:color="8C8D90"/>
        </w:tblBorders>
        <w:tblCellMar>
          <w:top w:w="43" w:type="dxa"/>
          <w:left w:w="115" w:type="dxa"/>
          <w:bottom w:w="43" w:type="dxa"/>
          <w:right w:w="115" w:type="dxa"/>
        </w:tblCellMar>
        <w:tblLook w:val="04A0" w:firstRow="1" w:lastRow="0" w:firstColumn="1" w:lastColumn="0" w:noHBand="0" w:noVBand="1"/>
      </w:tblPr>
      <w:tblGrid>
        <w:gridCol w:w="1350"/>
        <w:gridCol w:w="4410"/>
        <w:gridCol w:w="1890"/>
        <w:gridCol w:w="6300"/>
      </w:tblGrid>
      <w:tr w:rsidR="001D6382" w:rsidRPr="00A90B64" w14:paraId="33C334FD" w14:textId="77777777" w:rsidTr="00C04BF9">
        <w:trPr>
          <w:cantSplit/>
          <w:tblHeader/>
          <w:jc w:val="center"/>
        </w:trPr>
        <w:tc>
          <w:tcPr>
            <w:tcW w:w="1350" w:type="dxa"/>
            <w:tcBorders>
              <w:top w:val="nil"/>
              <w:right w:val="single" w:sz="4" w:space="0" w:color="FFFFFF" w:themeColor="background1"/>
            </w:tcBorders>
            <w:shd w:val="clear" w:color="auto" w:fill="4472C4"/>
            <w:vAlign w:val="center"/>
          </w:tcPr>
          <w:p w14:paraId="07292758" w14:textId="769E36F0" w:rsidR="001B2CDF" w:rsidRPr="00A90B64" w:rsidRDefault="001B2CDF" w:rsidP="001D6382">
            <w:pPr>
              <w:spacing w:after="0" w:line="240" w:lineRule="auto"/>
              <w:jc w:val="center"/>
              <w:rPr>
                <w:b/>
                <w:color w:val="FFFFFF" w:themeColor="background1"/>
                <w:sz w:val="20"/>
                <w:szCs w:val="20"/>
              </w:rPr>
            </w:pPr>
            <w:r w:rsidRPr="00A90B64">
              <w:rPr>
                <w:b/>
                <w:color w:val="FFFFFF" w:themeColor="background1"/>
                <w:sz w:val="20"/>
                <w:szCs w:val="20"/>
              </w:rPr>
              <w:t>Enterprise</w:t>
            </w:r>
          </w:p>
        </w:tc>
        <w:tc>
          <w:tcPr>
            <w:tcW w:w="4410" w:type="dxa"/>
            <w:tcBorders>
              <w:top w:val="nil"/>
              <w:left w:val="single" w:sz="4" w:space="0" w:color="FFFFFF" w:themeColor="background1"/>
              <w:right w:val="single" w:sz="4" w:space="0" w:color="FFFFFF" w:themeColor="background1"/>
            </w:tcBorders>
            <w:shd w:val="clear" w:color="auto" w:fill="4472C4"/>
            <w:vAlign w:val="center"/>
          </w:tcPr>
          <w:p w14:paraId="50D6FD23" w14:textId="4C6B91B3" w:rsidR="001B2CDF" w:rsidRPr="00A90B64" w:rsidRDefault="001B2CDF" w:rsidP="001D6382">
            <w:pPr>
              <w:spacing w:after="0" w:line="240" w:lineRule="auto"/>
              <w:jc w:val="center"/>
              <w:rPr>
                <w:b/>
                <w:color w:val="FFFFFF" w:themeColor="background1"/>
                <w:sz w:val="20"/>
                <w:szCs w:val="20"/>
              </w:rPr>
            </w:pPr>
            <w:r w:rsidRPr="00A90B64">
              <w:rPr>
                <w:b/>
                <w:color w:val="FFFFFF" w:themeColor="background1"/>
                <w:sz w:val="20"/>
                <w:szCs w:val="20"/>
              </w:rPr>
              <w:t>Legal definition</w:t>
            </w:r>
          </w:p>
        </w:tc>
        <w:tc>
          <w:tcPr>
            <w:tcW w:w="1890" w:type="dxa"/>
            <w:tcBorders>
              <w:top w:val="nil"/>
              <w:left w:val="single" w:sz="4" w:space="0" w:color="FFFFFF" w:themeColor="background1"/>
              <w:right w:val="single" w:sz="4" w:space="0" w:color="FFFFFF" w:themeColor="background1"/>
            </w:tcBorders>
            <w:shd w:val="clear" w:color="auto" w:fill="4472C4"/>
            <w:vAlign w:val="center"/>
          </w:tcPr>
          <w:p w14:paraId="62B9FAF5" w14:textId="60C093F8" w:rsidR="001B2CDF" w:rsidRPr="00A90B64" w:rsidRDefault="001B2CDF" w:rsidP="001D6382">
            <w:pPr>
              <w:spacing w:after="0" w:line="240" w:lineRule="auto"/>
              <w:jc w:val="center"/>
              <w:rPr>
                <w:b/>
                <w:color w:val="FFFFFF" w:themeColor="background1"/>
                <w:sz w:val="20"/>
                <w:szCs w:val="20"/>
              </w:rPr>
            </w:pPr>
            <w:r w:rsidRPr="00A90B64">
              <w:rPr>
                <w:b/>
                <w:color w:val="FFFFFF" w:themeColor="background1"/>
                <w:sz w:val="20"/>
                <w:szCs w:val="20"/>
              </w:rPr>
              <w:t>Accounting standards</w:t>
            </w:r>
          </w:p>
        </w:tc>
        <w:tc>
          <w:tcPr>
            <w:tcW w:w="6300" w:type="dxa"/>
            <w:tcBorders>
              <w:top w:val="nil"/>
              <w:left w:val="single" w:sz="4" w:space="0" w:color="FFFFFF" w:themeColor="background1"/>
            </w:tcBorders>
            <w:shd w:val="clear" w:color="auto" w:fill="4472C4"/>
            <w:vAlign w:val="center"/>
          </w:tcPr>
          <w:p w14:paraId="13DD81A4" w14:textId="221A62F4" w:rsidR="001B2CDF" w:rsidRPr="00A90B64" w:rsidRDefault="001B2CDF" w:rsidP="001D6382">
            <w:pPr>
              <w:spacing w:after="0" w:line="240" w:lineRule="auto"/>
              <w:jc w:val="center"/>
              <w:rPr>
                <w:b/>
                <w:color w:val="FFFFFF" w:themeColor="background1"/>
                <w:sz w:val="20"/>
                <w:szCs w:val="20"/>
              </w:rPr>
            </w:pPr>
            <w:r w:rsidRPr="00A90B64">
              <w:rPr>
                <w:b/>
                <w:color w:val="FFFFFF" w:themeColor="background1"/>
                <w:sz w:val="20"/>
                <w:szCs w:val="20"/>
              </w:rPr>
              <w:t>Statutory audit requirements</w:t>
            </w:r>
          </w:p>
        </w:tc>
      </w:tr>
      <w:tr w:rsidR="000E694F" w:rsidRPr="00A90B64" w14:paraId="72CAC66A" w14:textId="77777777" w:rsidTr="00A90B64">
        <w:trPr>
          <w:cantSplit/>
          <w:jc w:val="center"/>
        </w:trPr>
        <w:tc>
          <w:tcPr>
            <w:tcW w:w="1350" w:type="dxa"/>
            <w:vMerge w:val="restart"/>
            <w:vAlign w:val="center"/>
          </w:tcPr>
          <w:p w14:paraId="6300F411" w14:textId="46347BCD" w:rsidR="00174EFD" w:rsidRPr="00A90B64" w:rsidRDefault="00174EFD" w:rsidP="001D6382">
            <w:pPr>
              <w:spacing w:after="0" w:line="240" w:lineRule="auto"/>
              <w:jc w:val="left"/>
              <w:rPr>
                <w:b/>
                <w:sz w:val="20"/>
                <w:szCs w:val="20"/>
              </w:rPr>
            </w:pPr>
            <w:r w:rsidRPr="00A90B64">
              <w:rPr>
                <w:b/>
                <w:sz w:val="20"/>
                <w:szCs w:val="20"/>
              </w:rPr>
              <w:t xml:space="preserve">Listed </w:t>
            </w:r>
            <w:r w:rsidR="00857044">
              <w:rPr>
                <w:b/>
                <w:sz w:val="20"/>
                <w:szCs w:val="20"/>
              </w:rPr>
              <w:t>C</w:t>
            </w:r>
            <w:r w:rsidRPr="00A90B64">
              <w:rPr>
                <w:b/>
                <w:sz w:val="20"/>
                <w:szCs w:val="20"/>
              </w:rPr>
              <w:t>ompan</w:t>
            </w:r>
            <w:r w:rsidR="00857044">
              <w:rPr>
                <w:b/>
                <w:sz w:val="20"/>
                <w:szCs w:val="20"/>
              </w:rPr>
              <w:t>ies</w:t>
            </w:r>
          </w:p>
        </w:tc>
        <w:tc>
          <w:tcPr>
            <w:tcW w:w="4410" w:type="dxa"/>
            <w:vMerge w:val="restart"/>
            <w:vAlign w:val="center"/>
          </w:tcPr>
          <w:p w14:paraId="36A01328" w14:textId="6A8DCACE" w:rsidR="00174EFD" w:rsidRPr="00A90B64" w:rsidRDefault="00174EFD" w:rsidP="001D6382">
            <w:pPr>
              <w:spacing w:after="0" w:line="240" w:lineRule="auto"/>
              <w:jc w:val="left"/>
              <w:rPr>
                <w:sz w:val="20"/>
                <w:szCs w:val="20"/>
              </w:rPr>
            </w:pPr>
            <w:r w:rsidRPr="00A90B64">
              <w:rPr>
                <w:sz w:val="20"/>
                <w:szCs w:val="20"/>
              </w:rPr>
              <w:t>Entities with securities listed for trading in the Philippine Stock Exchange</w:t>
            </w:r>
          </w:p>
        </w:tc>
        <w:tc>
          <w:tcPr>
            <w:tcW w:w="1890" w:type="dxa"/>
            <w:vMerge w:val="restart"/>
            <w:vAlign w:val="center"/>
          </w:tcPr>
          <w:p w14:paraId="360BBD59" w14:textId="7E482EAD" w:rsidR="00174EFD" w:rsidRPr="00A90B64" w:rsidRDefault="00174EFD" w:rsidP="001D6382">
            <w:pPr>
              <w:spacing w:after="0" w:line="240" w:lineRule="auto"/>
              <w:jc w:val="center"/>
              <w:rPr>
                <w:sz w:val="20"/>
                <w:szCs w:val="20"/>
              </w:rPr>
            </w:pPr>
            <w:r w:rsidRPr="00A90B64">
              <w:rPr>
                <w:sz w:val="20"/>
                <w:szCs w:val="20"/>
              </w:rPr>
              <w:t>PFRS</w:t>
            </w:r>
          </w:p>
        </w:tc>
        <w:tc>
          <w:tcPr>
            <w:tcW w:w="6300" w:type="dxa"/>
            <w:vAlign w:val="center"/>
          </w:tcPr>
          <w:p w14:paraId="7B6BD4AC" w14:textId="667E3B51" w:rsidR="00174EFD" w:rsidRPr="00A90B64" w:rsidRDefault="00174EFD" w:rsidP="001D6382">
            <w:pPr>
              <w:spacing w:after="0" w:line="240" w:lineRule="auto"/>
              <w:jc w:val="left"/>
              <w:rPr>
                <w:sz w:val="20"/>
                <w:szCs w:val="20"/>
              </w:rPr>
            </w:pPr>
            <w:r w:rsidRPr="00A90B64">
              <w:rPr>
                <w:sz w:val="20"/>
                <w:szCs w:val="20"/>
              </w:rPr>
              <w:t xml:space="preserve">Annual audit of financial statements by an auditor with (i) Group A accreditation from the SEC, (ii) accreditation from the BIR, and (iii) accreditation from the BOA. In </w:t>
            </w:r>
            <w:r w:rsidR="00857044" w:rsidRPr="00A90B64">
              <w:rPr>
                <w:sz w:val="20"/>
                <w:szCs w:val="20"/>
              </w:rPr>
              <w:t>addition,</w:t>
            </w:r>
            <w:r w:rsidRPr="00A90B64">
              <w:rPr>
                <w:sz w:val="20"/>
                <w:szCs w:val="20"/>
              </w:rPr>
              <w:t xml:space="preserve"> the auditor must, (iv) for listed banks also be accredited by the BSP or for listed insurance companies by the IC.</w:t>
            </w:r>
          </w:p>
        </w:tc>
      </w:tr>
      <w:tr w:rsidR="000E694F" w:rsidRPr="00A90B64" w14:paraId="608F9E4D" w14:textId="77777777" w:rsidTr="00A90B64">
        <w:trPr>
          <w:cantSplit/>
          <w:jc w:val="center"/>
        </w:trPr>
        <w:tc>
          <w:tcPr>
            <w:tcW w:w="1350" w:type="dxa"/>
            <w:vMerge/>
            <w:vAlign w:val="center"/>
          </w:tcPr>
          <w:p w14:paraId="5EDCCCA4" w14:textId="77777777" w:rsidR="00174EFD" w:rsidRPr="00A90B64" w:rsidRDefault="00174EFD" w:rsidP="001D6382">
            <w:pPr>
              <w:spacing w:after="0" w:line="240" w:lineRule="auto"/>
              <w:jc w:val="left"/>
              <w:rPr>
                <w:b/>
                <w:sz w:val="20"/>
                <w:szCs w:val="20"/>
              </w:rPr>
            </w:pPr>
          </w:p>
        </w:tc>
        <w:tc>
          <w:tcPr>
            <w:tcW w:w="4410" w:type="dxa"/>
            <w:vMerge/>
            <w:vAlign w:val="center"/>
          </w:tcPr>
          <w:p w14:paraId="57A39F72" w14:textId="77777777" w:rsidR="00174EFD" w:rsidRPr="00A90B64" w:rsidRDefault="00174EFD" w:rsidP="001D6382">
            <w:pPr>
              <w:spacing w:after="0" w:line="240" w:lineRule="auto"/>
              <w:jc w:val="left"/>
              <w:rPr>
                <w:sz w:val="20"/>
                <w:szCs w:val="20"/>
              </w:rPr>
            </w:pPr>
          </w:p>
        </w:tc>
        <w:tc>
          <w:tcPr>
            <w:tcW w:w="1890" w:type="dxa"/>
            <w:vMerge/>
            <w:vAlign w:val="center"/>
          </w:tcPr>
          <w:p w14:paraId="3B28B986" w14:textId="77777777" w:rsidR="00174EFD" w:rsidRPr="00A90B64" w:rsidRDefault="00174EFD" w:rsidP="001D6382">
            <w:pPr>
              <w:spacing w:after="0" w:line="240" w:lineRule="auto"/>
              <w:jc w:val="center"/>
              <w:rPr>
                <w:sz w:val="20"/>
                <w:szCs w:val="20"/>
              </w:rPr>
            </w:pPr>
          </w:p>
        </w:tc>
        <w:tc>
          <w:tcPr>
            <w:tcW w:w="6300" w:type="dxa"/>
            <w:vAlign w:val="center"/>
          </w:tcPr>
          <w:p w14:paraId="24620CBE" w14:textId="4660B2E0" w:rsidR="00174EFD" w:rsidRPr="00A90B64" w:rsidRDefault="00174EFD" w:rsidP="001D6382">
            <w:pPr>
              <w:spacing w:after="0" w:line="240" w:lineRule="auto"/>
              <w:jc w:val="left"/>
              <w:rPr>
                <w:sz w:val="20"/>
                <w:szCs w:val="20"/>
              </w:rPr>
            </w:pPr>
            <w:r w:rsidRPr="00A90B64">
              <w:rPr>
                <w:sz w:val="20"/>
                <w:szCs w:val="20"/>
              </w:rPr>
              <w:t xml:space="preserve">Rotation of independent auditor (or in the case of an audit firm of the signing partner) after every five years of engagement with a </w:t>
            </w:r>
            <w:proofErr w:type="gramStart"/>
            <w:r w:rsidRPr="00A90B64">
              <w:rPr>
                <w:sz w:val="20"/>
                <w:szCs w:val="20"/>
              </w:rPr>
              <w:t>two year</w:t>
            </w:r>
            <w:proofErr w:type="gramEnd"/>
            <w:r w:rsidRPr="00A90B64">
              <w:rPr>
                <w:sz w:val="20"/>
                <w:szCs w:val="20"/>
              </w:rPr>
              <w:t xml:space="preserve"> cooling off period for re-engagement.</w:t>
            </w:r>
          </w:p>
        </w:tc>
      </w:tr>
      <w:tr w:rsidR="000E694F" w:rsidRPr="00A90B64" w14:paraId="06D2560D" w14:textId="77777777" w:rsidTr="00A90B64">
        <w:trPr>
          <w:cantSplit/>
          <w:jc w:val="center"/>
        </w:trPr>
        <w:tc>
          <w:tcPr>
            <w:tcW w:w="1350" w:type="dxa"/>
            <w:vMerge w:val="restart"/>
            <w:shd w:val="clear" w:color="auto" w:fill="D9D9D9" w:themeFill="background1" w:themeFillShade="D9"/>
            <w:vAlign w:val="center"/>
          </w:tcPr>
          <w:p w14:paraId="4E5A8B1A" w14:textId="17E413F1" w:rsidR="00174EFD" w:rsidRPr="00A90B64" w:rsidRDefault="00174EFD" w:rsidP="001D6382">
            <w:pPr>
              <w:spacing w:after="0" w:line="240" w:lineRule="auto"/>
              <w:jc w:val="left"/>
              <w:rPr>
                <w:b/>
                <w:sz w:val="20"/>
                <w:szCs w:val="20"/>
              </w:rPr>
            </w:pPr>
            <w:r w:rsidRPr="00A90B64">
              <w:rPr>
                <w:b/>
                <w:sz w:val="20"/>
                <w:szCs w:val="20"/>
              </w:rPr>
              <w:t>Bank</w:t>
            </w:r>
            <w:r w:rsidR="00857044">
              <w:rPr>
                <w:b/>
                <w:sz w:val="20"/>
                <w:szCs w:val="20"/>
              </w:rPr>
              <w:t>s</w:t>
            </w:r>
          </w:p>
        </w:tc>
        <w:tc>
          <w:tcPr>
            <w:tcW w:w="4410" w:type="dxa"/>
            <w:vMerge w:val="restart"/>
            <w:shd w:val="clear" w:color="auto" w:fill="D9D9D9" w:themeFill="background1" w:themeFillShade="D9"/>
            <w:vAlign w:val="center"/>
          </w:tcPr>
          <w:p w14:paraId="029733F3" w14:textId="5A6FB506" w:rsidR="00174EFD" w:rsidRPr="00A90B64" w:rsidRDefault="00174EFD" w:rsidP="001D6382">
            <w:pPr>
              <w:spacing w:after="0" w:line="240" w:lineRule="auto"/>
              <w:jc w:val="left"/>
              <w:rPr>
                <w:sz w:val="20"/>
                <w:szCs w:val="20"/>
              </w:rPr>
            </w:pPr>
            <w:r w:rsidRPr="00A90B64">
              <w:rPr>
                <w:rFonts w:cstheme="minorHAnsi"/>
                <w:sz w:val="20"/>
                <w:szCs w:val="20"/>
              </w:rPr>
              <w:t>Entities engaged in the lending of funds obtained in the form of deposits</w:t>
            </w:r>
          </w:p>
        </w:tc>
        <w:tc>
          <w:tcPr>
            <w:tcW w:w="1890" w:type="dxa"/>
            <w:vMerge w:val="restart"/>
            <w:shd w:val="clear" w:color="auto" w:fill="D9D9D9" w:themeFill="background1" w:themeFillShade="D9"/>
            <w:vAlign w:val="center"/>
          </w:tcPr>
          <w:p w14:paraId="7DB09A09" w14:textId="1A40E4E9" w:rsidR="00174EFD" w:rsidRPr="00A90B64" w:rsidRDefault="00174EFD" w:rsidP="001D6382">
            <w:pPr>
              <w:spacing w:after="0" w:line="240" w:lineRule="auto"/>
              <w:jc w:val="center"/>
              <w:rPr>
                <w:sz w:val="20"/>
                <w:szCs w:val="20"/>
              </w:rPr>
            </w:pPr>
            <w:r w:rsidRPr="00A90B64">
              <w:rPr>
                <w:rFonts w:cstheme="minorHAnsi"/>
                <w:sz w:val="20"/>
                <w:szCs w:val="20"/>
              </w:rPr>
              <w:t>PFRS</w:t>
            </w:r>
          </w:p>
        </w:tc>
        <w:tc>
          <w:tcPr>
            <w:tcW w:w="6300" w:type="dxa"/>
            <w:shd w:val="clear" w:color="auto" w:fill="D9D9D9" w:themeFill="background1" w:themeFillShade="D9"/>
            <w:vAlign w:val="center"/>
          </w:tcPr>
          <w:p w14:paraId="7B124447" w14:textId="26E859F8" w:rsidR="00174EFD" w:rsidRPr="00A90B64" w:rsidRDefault="00174EFD" w:rsidP="001D6382">
            <w:pPr>
              <w:pStyle w:val="BodyText4"/>
              <w:jc w:val="left"/>
              <w:rPr>
                <w:rFonts w:asciiTheme="minorHAnsi" w:hAnsiTheme="minorHAnsi" w:cstheme="minorHAnsi"/>
                <w:sz w:val="20"/>
              </w:rPr>
            </w:pPr>
            <w:r w:rsidRPr="00A90B64">
              <w:rPr>
                <w:rFonts w:asciiTheme="minorHAnsi" w:hAnsiTheme="minorHAnsi" w:cstheme="minorHAnsi"/>
                <w:sz w:val="20"/>
              </w:rPr>
              <w:t>Annual audit of financial statements by an auditor with (i) accreditation from BSP, (ii) at least Group B accreditation from the SEC for universal banks registered as underwriter of securities, (iii) accreditation from the BIR, and (iv) accreditation from the BOA.</w:t>
            </w:r>
          </w:p>
        </w:tc>
      </w:tr>
      <w:tr w:rsidR="000E694F" w:rsidRPr="00A90B64" w14:paraId="2099157B" w14:textId="77777777" w:rsidTr="00A90B64">
        <w:trPr>
          <w:cantSplit/>
          <w:trHeight w:val="53"/>
          <w:jc w:val="center"/>
        </w:trPr>
        <w:tc>
          <w:tcPr>
            <w:tcW w:w="1350" w:type="dxa"/>
            <w:vMerge/>
            <w:shd w:val="clear" w:color="auto" w:fill="D9D9D9" w:themeFill="background1" w:themeFillShade="D9"/>
            <w:vAlign w:val="center"/>
          </w:tcPr>
          <w:p w14:paraId="372989EF" w14:textId="77777777" w:rsidR="00174EFD" w:rsidRPr="00A90B64" w:rsidRDefault="00174EFD" w:rsidP="001D6382">
            <w:pPr>
              <w:spacing w:after="0" w:line="240" w:lineRule="auto"/>
              <w:jc w:val="left"/>
              <w:rPr>
                <w:b/>
                <w:sz w:val="20"/>
                <w:szCs w:val="20"/>
              </w:rPr>
            </w:pPr>
          </w:p>
        </w:tc>
        <w:tc>
          <w:tcPr>
            <w:tcW w:w="4410" w:type="dxa"/>
            <w:vMerge/>
            <w:shd w:val="clear" w:color="auto" w:fill="D9D9D9" w:themeFill="background1" w:themeFillShade="D9"/>
            <w:vAlign w:val="center"/>
          </w:tcPr>
          <w:p w14:paraId="4F9D73EF" w14:textId="77777777" w:rsidR="00174EFD" w:rsidRPr="00A90B64" w:rsidRDefault="00174EFD" w:rsidP="001D6382">
            <w:pPr>
              <w:spacing w:after="0" w:line="240" w:lineRule="auto"/>
              <w:jc w:val="left"/>
              <w:rPr>
                <w:rFonts w:cstheme="minorHAnsi"/>
                <w:sz w:val="20"/>
                <w:szCs w:val="20"/>
              </w:rPr>
            </w:pPr>
          </w:p>
        </w:tc>
        <w:tc>
          <w:tcPr>
            <w:tcW w:w="1890" w:type="dxa"/>
            <w:vMerge/>
            <w:shd w:val="clear" w:color="auto" w:fill="D9D9D9" w:themeFill="background1" w:themeFillShade="D9"/>
            <w:vAlign w:val="center"/>
          </w:tcPr>
          <w:p w14:paraId="6675770E" w14:textId="77777777" w:rsidR="00174EFD" w:rsidRPr="00A90B64" w:rsidRDefault="00174EFD" w:rsidP="001D6382">
            <w:pPr>
              <w:spacing w:after="0" w:line="240" w:lineRule="auto"/>
              <w:jc w:val="center"/>
              <w:rPr>
                <w:rFonts w:cstheme="minorHAnsi"/>
                <w:sz w:val="20"/>
                <w:szCs w:val="20"/>
              </w:rPr>
            </w:pPr>
          </w:p>
        </w:tc>
        <w:tc>
          <w:tcPr>
            <w:tcW w:w="6300" w:type="dxa"/>
            <w:shd w:val="clear" w:color="auto" w:fill="D9D9D9" w:themeFill="background1" w:themeFillShade="D9"/>
            <w:vAlign w:val="center"/>
          </w:tcPr>
          <w:p w14:paraId="43654F1E" w14:textId="4193059F" w:rsidR="00174EFD" w:rsidRPr="00A90B64" w:rsidRDefault="00174EFD" w:rsidP="001D6382">
            <w:pPr>
              <w:pStyle w:val="BodyText4"/>
              <w:jc w:val="left"/>
              <w:rPr>
                <w:rFonts w:asciiTheme="minorHAnsi" w:hAnsiTheme="minorHAnsi" w:cstheme="minorHAnsi"/>
                <w:sz w:val="20"/>
              </w:rPr>
            </w:pPr>
            <w:r w:rsidRPr="00A90B64">
              <w:rPr>
                <w:rFonts w:asciiTheme="minorHAnsi" w:hAnsiTheme="minorHAnsi" w:cstheme="minorHAnsi"/>
                <w:sz w:val="20"/>
              </w:rPr>
              <w:t>Rotation of independent auditor (or in the case of an audit firm of the signing partner) every five years or earlier and a cooling off period for re-engagement of at least two years.</w:t>
            </w:r>
          </w:p>
        </w:tc>
      </w:tr>
      <w:tr w:rsidR="000E694F" w:rsidRPr="00A90B64" w14:paraId="5D37D958" w14:textId="77777777" w:rsidTr="00A90B64">
        <w:trPr>
          <w:cantSplit/>
          <w:jc w:val="center"/>
        </w:trPr>
        <w:tc>
          <w:tcPr>
            <w:tcW w:w="1350" w:type="dxa"/>
            <w:vMerge/>
            <w:shd w:val="clear" w:color="auto" w:fill="D9D9D9" w:themeFill="background1" w:themeFillShade="D9"/>
            <w:vAlign w:val="center"/>
          </w:tcPr>
          <w:p w14:paraId="265AE234" w14:textId="77777777" w:rsidR="00174EFD" w:rsidRPr="00A90B64" w:rsidRDefault="00174EFD" w:rsidP="001D6382">
            <w:pPr>
              <w:spacing w:after="0" w:line="240" w:lineRule="auto"/>
              <w:jc w:val="left"/>
              <w:rPr>
                <w:b/>
                <w:sz w:val="20"/>
                <w:szCs w:val="20"/>
              </w:rPr>
            </w:pPr>
          </w:p>
        </w:tc>
        <w:tc>
          <w:tcPr>
            <w:tcW w:w="4410" w:type="dxa"/>
            <w:vMerge/>
            <w:shd w:val="clear" w:color="auto" w:fill="D9D9D9" w:themeFill="background1" w:themeFillShade="D9"/>
            <w:vAlign w:val="center"/>
          </w:tcPr>
          <w:p w14:paraId="07A4AB8D" w14:textId="77777777" w:rsidR="00174EFD" w:rsidRPr="00A90B64" w:rsidRDefault="00174EFD" w:rsidP="001D6382">
            <w:pPr>
              <w:spacing w:after="0" w:line="240" w:lineRule="auto"/>
              <w:jc w:val="left"/>
              <w:rPr>
                <w:rFonts w:cstheme="minorHAnsi"/>
                <w:sz w:val="20"/>
                <w:szCs w:val="20"/>
              </w:rPr>
            </w:pPr>
          </w:p>
        </w:tc>
        <w:tc>
          <w:tcPr>
            <w:tcW w:w="1890" w:type="dxa"/>
            <w:vMerge/>
            <w:shd w:val="clear" w:color="auto" w:fill="D9D9D9" w:themeFill="background1" w:themeFillShade="D9"/>
            <w:vAlign w:val="center"/>
          </w:tcPr>
          <w:p w14:paraId="5355FEB6" w14:textId="77777777" w:rsidR="00174EFD" w:rsidRPr="00A90B64" w:rsidRDefault="00174EFD" w:rsidP="001D6382">
            <w:pPr>
              <w:spacing w:after="0" w:line="240" w:lineRule="auto"/>
              <w:jc w:val="center"/>
              <w:rPr>
                <w:rFonts w:cstheme="minorHAnsi"/>
                <w:sz w:val="20"/>
                <w:szCs w:val="20"/>
              </w:rPr>
            </w:pPr>
          </w:p>
        </w:tc>
        <w:tc>
          <w:tcPr>
            <w:tcW w:w="6300" w:type="dxa"/>
            <w:shd w:val="clear" w:color="auto" w:fill="D9D9D9" w:themeFill="background1" w:themeFillShade="D9"/>
            <w:vAlign w:val="center"/>
          </w:tcPr>
          <w:p w14:paraId="251978B1" w14:textId="05FEBECB" w:rsidR="00174EFD" w:rsidRPr="00A90B64" w:rsidRDefault="00174EFD" w:rsidP="001D6382">
            <w:pPr>
              <w:spacing w:after="0" w:line="240" w:lineRule="auto"/>
              <w:rPr>
                <w:sz w:val="20"/>
                <w:szCs w:val="20"/>
              </w:rPr>
            </w:pPr>
            <w:r w:rsidRPr="00A90B64">
              <w:rPr>
                <w:rFonts w:cstheme="minorHAnsi"/>
                <w:sz w:val="20"/>
                <w:szCs w:val="20"/>
              </w:rPr>
              <w:t>BSP provides guidelines on expectations for an effective external audit function</w:t>
            </w:r>
          </w:p>
        </w:tc>
      </w:tr>
      <w:tr w:rsidR="001D6382" w:rsidRPr="00A90B64" w14:paraId="07631196" w14:textId="77777777" w:rsidTr="00A90B64">
        <w:trPr>
          <w:cantSplit/>
          <w:trHeight w:val="588"/>
          <w:jc w:val="center"/>
        </w:trPr>
        <w:tc>
          <w:tcPr>
            <w:tcW w:w="1350" w:type="dxa"/>
            <w:vMerge w:val="restart"/>
            <w:vAlign w:val="center"/>
          </w:tcPr>
          <w:p w14:paraId="75C375C0" w14:textId="13B67615" w:rsidR="00174EFD" w:rsidRPr="00A90B64" w:rsidRDefault="00174EFD" w:rsidP="001D6382">
            <w:pPr>
              <w:spacing w:after="0" w:line="240" w:lineRule="auto"/>
              <w:jc w:val="left"/>
              <w:rPr>
                <w:b/>
                <w:sz w:val="20"/>
                <w:szCs w:val="20"/>
              </w:rPr>
            </w:pPr>
            <w:r w:rsidRPr="00A90B64">
              <w:rPr>
                <w:b/>
                <w:sz w:val="20"/>
                <w:szCs w:val="20"/>
              </w:rPr>
              <w:t>Insurance Compan</w:t>
            </w:r>
            <w:r w:rsidR="00857044">
              <w:rPr>
                <w:b/>
                <w:sz w:val="20"/>
                <w:szCs w:val="20"/>
              </w:rPr>
              <w:t>ies</w:t>
            </w:r>
          </w:p>
        </w:tc>
        <w:tc>
          <w:tcPr>
            <w:tcW w:w="4410" w:type="dxa"/>
            <w:vMerge w:val="restart"/>
            <w:vAlign w:val="center"/>
          </w:tcPr>
          <w:p w14:paraId="66894A66" w14:textId="28A2D0CB" w:rsidR="00174EFD" w:rsidRPr="00A90B64" w:rsidRDefault="00174EFD" w:rsidP="001D6382">
            <w:pPr>
              <w:spacing w:after="0" w:line="240" w:lineRule="auto"/>
              <w:jc w:val="left"/>
              <w:rPr>
                <w:sz w:val="20"/>
                <w:szCs w:val="20"/>
              </w:rPr>
            </w:pPr>
            <w:r w:rsidRPr="00A90B64">
              <w:rPr>
                <w:sz w:val="20"/>
                <w:szCs w:val="20"/>
              </w:rPr>
              <w:t>Entities doing an insurance business or transacting an insurance business</w:t>
            </w:r>
          </w:p>
        </w:tc>
        <w:tc>
          <w:tcPr>
            <w:tcW w:w="1890" w:type="dxa"/>
            <w:vMerge w:val="restart"/>
            <w:vAlign w:val="center"/>
          </w:tcPr>
          <w:p w14:paraId="3BF80A70" w14:textId="47C7E05F" w:rsidR="00174EFD" w:rsidRPr="00A90B64" w:rsidRDefault="00174EFD" w:rsidP="001D6382">
            <w:pPr>
              <w:spacing w:after="0" w:line="240" w:lineRule="auto"/>
              <w:jc w:val="center"/>
              <w:rPr>
                <w:sz w:val="20"/>
                <w:szCs w:val="20"/>
              </w:rPr>
            </w:pPr>
            <w:r w:rsidRPr="00A90B64">
              <w:rPr>
                <w:rFonts w:cstheme="minorHAnsi"/>
                <w:sz w:val="20"/>
                <w:szCs w:val="20"/>
              </w:rPr>
              <w:t>PFRS</w:t>
            </w:r>
          </w:p>
        </w:tc>
        <w:tc>
          <w:tcPr>
            <w:tcW w:w="6300" w:type="dxa"/>
            <w:vAlign w:val="center"/>
          </w:tcPr>
          <w:p w14:paraId="35B54D4B" w14:textId="0CA0438E" w:rsidR="00174EFD" w:rsidRPr="00A90B64" w:rsidRDefault="00174EFD" w:rsidP="001D6382">
            <w:pPr>
              <w:pStyle w:val="BodyText4"/>
              <w:jc w:val="left"/>
              <w:rPr>
                <w:rFonts w:asciiTheme="minorHAnsi" w:hAnsiTheme="minorHAnsi" w:cstheme="minorHAnsi"/>
                <w:sz w:val="20"/>
              </w:rPr>
            </w:pPr>
            <w:r w:rsidRPr="00A90B64">
              <w:rPr>
                <w:rFonts w:asciiTheme="minorHAnsi" w:hAnsiTheme="minorHAnsi" w:cstheme="minorHAnsi"/>
                <w:sz w:val="20"/>
              </w:rPr>
              <w:t>Annual audit of financial statements by an auditor with (i) accreditation from IC</w:t>
            </w:r>
            <w:r w:rsidR="00857044">
              <w:rPr>
                <w:rFonts w:asciiTheme="minorHAnsi" w:hAnsiTheme="minorHAnsi" w:cstheme="minorHAnsi"/>
                <w:sz w:val="20"/>
              </w:rPr>
              <w:t>,</w:t>
            </w:r>
            <w:r w:rsidRPr="00A90B64">
              <w:rPr>
                <w:rFonts w:asciiTheme="minorHAnsi" w:hAnsiTheme="minorHAnsi" w:cstheme="minorHAnsi"/>
                <w:sz w:val="20"/>
              </w:rPr>
              <w:t xml:space="preserve"> (ii) accreditation from the BIR, and (i</w:t>
            </w:r>
            <w:r w:rsidR="00857044">
              <w:rPr>
                <w:rFonts w:asciiTheme="minorHAnsi" w:hAnsiTheme="minorHAnsi" w:cstheme="minorHAnsi"/>
                <w:sz w:val="20"/>
              </w:rPr>
              <w:t>ii</w:t>
            </w:r>
            <w:r w:rsidRPr="00A90B64">
              <w:rPr>
                <w:rFonts w:asciiTheme="minorHAnsi" w:hAnsiTheme="minorHAnsi" w:cstheme="minorHAnsi"/>
                <w:sz w:val="20"/>
              </w:rPr>
              <w:t>) accreditation from the BOA.</w:t>
            </w:r>
          </w:p>
        </w:tc>
      </w:tr>
      <w:tr w:rsidR="001D6382" w:rsidRPr="00A90B64" w14:paraId="6B36EE4D" w14:textId="77777777" w:rsidTr="00A90B64">
        <w:trPr>
          <w:cantSplit/>
          <w:trHeight w:val="587"/>
          <w:jc w:val="center"/>
        </w:trPr>
        <w:tc>
          <w:tcPr>
            <w:tcW w:w="1350" w:type="dxa"/>
            <w:vMerge/>
            <w:vAlign w:val="center"/>
          </w:tcPr>
          <w:p w14:paraId="1FAD8A67" w14:textId="77777777" w:rsidR="00174EFD" w:rsidRPr="00A90B64" w:rsidRDefault="00174EFD" w:rsidP="001D6382">
            <w:pPr>
              <w:spacing w:after="0" w:line="240" w:lineRule="auto"/>
              <w:jc w:val="left"/>
              <w:rPr>
                <w:sz w:val="20"/>
                <w:szCs w:val="20"/>
              </w:rPr>
            </w:pPr>
          </w:p>
        </w:tc>
        <w:tc>
          <w:tcPr>
            <w:tcW w:w="4410" w:type="dxa"/>
            <w:vMerge/>
            <w:vAlign w:val="center"/>
          </w:tcPr>
          <w:p w14:paraId="5FA345B7" w14:textId="77777777" w:rsidR="00174EFD" w:rsidRPr="00A90B64" w:rsidRDefault="00174EFD" w:rsidP="001D6382">
            <w:pPr>
              <w:spacing w:after="0" w:line="240" w:lineRule="auto"/>
              <w:jc w:val="center"/>
              <w:rPr>
                <w:sz w:val="20"/>
                <w:szCs w:val="20"/>
              </w:rPr>
            </w:pPr>
          </w:p>
        </w:tc>
        <w:tc>
          <w:tcPr>
            <w:tcW w:w="1890" w:type="dxa"/>
            <w:vMerge/>
            <w:vAlign w:val="center"/>
          </w:tcPr>
          <w:p w14:paraId="15B67572" w14:textId="77777777" w:rsidR="00174EFD" w:rsidRPr="00A90B64" w:rsidRDefault="00174EFD" w:rsidP="001D6382">
            <w:pPr>
              <w:spacing w:after="0" w:line="240" w:lineRule="auto"/>
              <w:jc w:val="center"/>
              <w:rPr>
                <w:rFonts w:cstheme="minorHAnsi"/>
                <w:sz w:val="20"/>
                <w:szCs w:val="20"/>
              </w:rPr>
            </w:pPr>
          </w:p>
        </w:tc>
        <w:tc>
          <w:tcPr>
            <w:tcW w:w="6300" w:type="dxa"/>
            <w:vAlign w:val="center"/>
          </w:tcPr>
          <w:p w14:paraId="13C4427A" w14:textId="7B14BA2C" w:rsidR="00174EFD" w:rsidRPr="00A90B64" w:rsidRDefault="00174EFD" w:rsidP="001D6382">
            <w:pPr>
              <w:pStyle w:val="BodyText4"/>
              <w:jc w:val="left"/>
              <w:rPr>
                <w:rFonts w:asciiTheme="minorHAnsi" w:hAnsiTheme="minorHAnsi" w:cstheme="minorHAnsi"/>
                <w:sz w:val="20"/>
              </w:rPr>
            </w:pPr>
            <w:r w:rsidRPr="00A90B64">
              <w:rPr>
                <w:rFonts w:asciiTheme="minorHAnsi" w:hAnsiTheme="minorHAnsi" w:cstheme="minorHAnsi"/>
                <w:sz w:val="20"/>
              </w:rPr>
              <w:t>Rotation of independent auditor (or in the case of an audit firm of the signing partner) every five years.</w:t>
            </w:r>
          </w:p>
        </w:tc>
      </w:tr>
      <w:tr w:rsidR="001D6382" w:rsidRPr="00A90B64" w14:paraId="170DD0A1" w14:textId="77777777" w:rsidTr="00A90B64">
        <w:trPr>
          <w:cantSplit/>
          <w:trHeight w:val="53"/>
          <w:jc w:val="center"/>
        </w:trPr>
        <w:tc>
          <w:tcPr>
            <w:tcW w:w="1350" w:type="dxa"/>
            <w:vMerge/>
            <w:vAlign w:val="center"/>
          </w:tcPr>
          <w:p w14:paraId="3560F1B7" w14:textId="77777777" w:rsidR="00174EFD" w:rsidRPr="00A90B64" w:rsidRDefault="00174EFD" w:rsidP="001D6382">
            <w:pPr>
              <w:spacing w:after="0" w:line="240" w:lineRule="auto"/>
              <w:jc w:val="left"/>
              <w:rPr>
                <w:sz w:val="20"/>
                <w:szCs w:val="20"/>
              </w:rPr>
            </w:pPr>
          </w:p>
        </w:tc>
        <w:tc>
          <w:tcPr>
            <w:tcW w:w="4410" w:type="dxa"/>
            <w:vMerge/>
            <w:vAlign w:val="center"/>
          </w:tcPr>
          <w:p w14:paraId="6325C921" w14:textId="77777777" w:rsidR="00174EFD" w:rsidRPr="00A90B64" w:rsidRDefault="00174EFD" w:rsidP="001D6382">
            <w:pPr>
              <w:spacing w:after="0" w:line="240" w:lineRule="auto"/>
              <w:jc w:val="center"/>
              <w:rPr>
                <w:sz w:val="20"/>
                <w:szCs w:val="20"/>
              </w:rPr>
            </w:pPr>
          </w:p>
        </w:tc>
        <w:tc>
          <w:tcPr>
            <w:tcW w:w="1890" w:type="dxa"/>
            <w:vMerge/>
            <w:vAlign w:val="center"/>
          </w:tcPr>
          <w:p w14:paraId="3BA1D40D" w14:textId="77777777" w:rsidR="00174EFD" w:rsidRPr="00A90B64" w:rsidRDefault="00174EFD" w:rsidP="001D6382">
            <w:pPr>
              <w:spacing w:after="0" w:line="240" w:lineRule="auto"/>
              <w:jc w:val="center"/>
              <w:rPr>
                <w:rFonts w:cstheme="minorHAnsi"/>
                <w:sz w:val="20"/>
                <w:szCs w:val="20"/>
              </w:rPr>
            </w:pPr>
          </w:p>
        </w:tc>
        <w:tc>
          <w:tcPr>
            <w:tcW w:w="6300" w:type="dxa"/>
            <w:vAlign w:val="center"/>
          </w:tcPr>
          <w:p w14:paraId="4A50C120" w14:textId="59BD9EB7" w:rsidR="00174EFD" w:rsidRPr="00A90B64" w:rsidRDefault="00174EFD" w:rsidP="001D6382">
            <w:pPr>
              <w:spacing w:after="0" w:line="240" w:lineRule="auto"/>
              <w:rPr>
                <w:sz w:val="20"/>
                <w:szCs w:val="20"/>
              </w:rPr>
            </w:pPr>
            <w:r w:rsidRPr="00A90B64">
              <w:rPr>
                <w:rFonts w:cstheme="minorHAnsi"/>
                <w:sz w:val="20"/>
                <w:szCs w:val="20"/>
              </w:rPr>
              <w:t>IC provides guidelines on expectations for an effective external audit function</w:t>
            </w:r>
          </w:p>
        </w:tc>
      </w:tr>
      <w:tr w:rsidR="000E694F" w:rsidRPr="00A90B64" w14:paraId="03DBA950" w14:textId="77777777" w:rsidTr="00A90B64">
        <w:trPr>
          <w:cantSplit/>
          <w:trHeight w:val="910"/>
          <w:jc w:val="center"/>
        </w:trPr>
        <w:tc>
          <w:tcPr>
            <w:tcW w:w="1350" w:type="dxa"/>
            <w:vMerge w:val="restart"/>
            <w:shd w:val="clear" w:color="auto" w:fill="D9D9D9" w:themeFill="background1" w:themeFillShade="D9"/>
            <w:vAlign w:val="center"/>
          </w:tcPr>
          <w:p w14:paraId="288E974B" w14:textId="7B4C5CB3" w:rsidR="00993009" w:rsidRPr="00A90B64" w:rsidRDefault="00993009" w:rsidP="001D6382">
            <w:pPr>
              <w:spacing w:after="0" w:line="240" w:lineRule="auto"/>
              <w:jc w:val="left"/>
              <w:rPr>
                <w:b/>
                <w:sz w:val="20"/>
                <w:szCs w:val="20"/>
              </w:rPr>
            </w:pPr>
            <w:r w:rsidRPr="00A90B64">
              <w:rPr>
                <w:b/>
                <w:sz w:val="20"/>
                <w:szCs w:val="20"/>
              </w:rPr>
              <w:t>Large and/or Publicly Accountable Entit</w:t>
            </w:r>
            <w:r w:rsidR="00857044">
              <w:rPr>
                <w:b/>
                <w:sz w:val="20"/>
                <w:szCs w:val="20"/>
              </w:rPr>
              <w:t>ies</w:t>
            </w:r>
          </w:p>
        </w:tc>
        <w:tc>
          <w:tcPr>
            <w:tcW w:w="4410" w:type="dxa"/>
            <w:vMerge w:val="restart"/>
            <w:shd w:val="clear" w:color="auto" w:fill="D9D9D9" w:themeFill="background1" w:themeFillShade="D9"/>
            <w:vAlign w:val="center"/>
          </w:tcPr>
          <w:p w14:paraId="57BB8662" w14:textId="76D21C2E" w:rsidR="000F31E6" w:rsidRDefault="00993009" w:rsidP="00A90B64">
            <w:pPr>
              <w:keepNext/>
              <w:keepLines/>
              <w:spacing w:after="0" w:line="240" w:lineRule="auto"/>
              <w:jc w:val="left"/>
              <w:rPr>
                <w:sz w:val="20"/>
                <w:szCs w:val="20"/>
              </w:rPr>
            </w:pPr>
            <w:r w:rsidRPr="00A90B64">
              <w:rPr>
                <w:sz w:val="20"/>
                <w:szCs w:val="20"/>
              </w:rPr>
              <w:t xml:space="preserve">A company that meets </w:t>
            </w:r>
            <w:r w:rsidRPr="00A90B64">
              <w:rPr>
                <w:sz w:val="20"/>
                <w:szCs w:val="20"/>
                <w:u w:val="single"/>
              </w:rPr>
              <w:t>any</w:t>
            </w:r>
            <w:r w:rsidRPr="00A90B64">
              <w:rPr>
                <w:sz w:val="20"/>
                <w:szCs w:val="20"/>
              </w:rPr>
              <w:t xml:space="preserve"> of the following criteria:</w:t>
            </w:r>
            <w:r w:rsidR="000E694F" w:rsidRPr="00A90B64">
              <w:rPr>
                <w:sz w:val="20"/>
                <w:szCs w:val="20"/>
              </w:rPr>
              <w:t xml:space="preserve"> a) </w:t>
            </w:r>
            <w:r w:rsidRPr="00A90B64">
              <w:rPr>
                <w:sz w:val="20"/>
                <w:szCs w:val="20"/>
              </w:rPr>
              <w:t>Total assets of &gt; 350 million pesos or total liabilities of &gt; 250 million pesos; or</w:t>
            </w:r>
            <w:r w:rsidR="000E694F" w:rsidRPr="00A90B64">
              <w:rPr>
                <w:sz w:val="20"/>
                <w:szCs w:val="20"/>
              </w:rPr>
              <w:t xml:space="preserve"> </w:t>
            </w:r>
          </w:p>
          <w:p w14:paraId="07B7DCE9" w14:textId="75900D8A" w:rsidR="000F31E6" w:rsidRDefault="000E694F" w:rsidP="00A90B64">
            <w:pPr>
              <w:keepNext/>
              <w:keepLines/>
              <w:spacing w:after="0" w:line="240" w:lineRule="auto"/>
              <w:jc w:val="left"/>
              <w:rPr>
                <w:sz w:val="20"/>
                <w:szCs w:val="20"/>
              </w:rPr>
            </w:pPr>
            <w:r w:rsidRPr="00A90B64">
              <w:rPr>
                <w:sz w:val="20"/>
                <w:szCs w:val="20"/>
              </w:rPr>
              <w:t xml:space="preserve">b) </w:t>
            </w:r>
            <w:r w:rsidR="00993009" w:rsidRPr="00A90B64">
              <w:rPr>
                <w:sz w:val="20"/>
                <w:szCs w:val="20"/>
              </w:rPr>
              <w:t>Required to file financial statements under Part II of SRC Rule 68 (i.e., issuers of securities to the public); or</w:t>
            </w:r>
            <w:r w:rsidRPr="00A90B64">
              <w:rPr>
                <w:sz w:val="20"/>
                <w:szCs w:val="20"/>
              </w:rPr>
              <w:t xml:space="preserve"> </w:t>
            </w:r>
          </w:p>
          <w:p w14:paraId="273FDF25" w14:textId="326458A6" w:rsidR="000F31E6" w:rsidRDefault="000E694F" w:rsidP="00A90B64">
            <w:pPr>
              <w:keepNext/>
              <w:keepLines/>
              <w:spacing w:after="0" w:line="240" w:lineRule="auto"/>
              <w:jc w:val="left"/>
              <w:rPr>
                <w:sz w:val="20"/>
                <w:szCs w:val="20"/>
              </w:rPr>
            </w:pPr>
            <w:r w:rsidRPr="00A90B64">
              <w:rPr>
                <w:sz w:val="20"/>
                <w:szCs w:val="20"/>
              </w:rPr>
              <w:t xml:space="preserve">c) </w:t>
            </w:r>
            <w:r w:rsidR="00993009" w:rsidRPr="00A90B64">
              <w:rPr>
                <w:sz w:val="20"/>
                <w:szCs w:val="20"/>
              </w:rPr>
              <w:t xml:space="preserve">In the process of filing their financial statements </w:t>
            </w:r>
            <w:proofErr w:type="gramStart"/>
            <w:r w:rsidR="00993009" w:rsidRPr="00A90B64">
              <w:rPr>
                <w:sz w:val="20"/>
                <w:szCs w:val="20"/>
              </w:rPr>
              <w:t>for the purpose of</w:t>
            </w:r>
            <w:proofErr w:type="gramEnd"/>
            <w:r w:rsidR="00993009" w:rsidRPr="00A90B64">
              <w:rPr>
                <w:sz w:val="20"/>
                <w:szCs w:val="20"/>
              </w:rPr>
              <w:t xml:space="preserve"> issuing any class of instruments in a public market; or</w:t>
            </w:r>
            <w:r w:rsidRPr="00A90B64">
              <w:rPr>
                <w:sz w:val="20"/>
                <w:szCs w:val="20"/>
              </w:rPr>
              <w:t xml:space="preserve"> </w:t>
            </w:r>
          </w:p>
          <w:p w14:paraId="014ED76A" w14:textId="4EA9B956" w:rsidR="00993009" w:rsidRPr="00A90B64" w:rsidRDefault="000E694F" w:rsidP="00A90B64">
            <w:pPr>
              <w:keepNext/>
              <w:keepLines/>
              <w:spacing w:after="0" w:line="240" w:lineRule="auto"/>
              <w:jc w:val="left"/>
              <w:rPr>
                <w:sz w:val="20"/>
                <w:szCs w:val="20"/>
              </w:rPr>
            </w:pPr>
            <w:r w:rsidRPr="00A90B64">
              <w:rPr>
                <w:sz w:val="20"/>
                <w:szCs w:val="20"/>
              </w:rPr>
              <w:t xml:space="preserve">d) </w:t>
            </w:r>
            <w:r w:rsidR="00993009" w:rsidRPr="00A90B64">
              <w:rPr>
                <w:sz w:val="20"/>
                <w:szCs w:val="20"/>
              </w:rPr>
              <w:t>Holder of secondary licenses issued by regulatory agencies.</w:t>
            </w:r>
          </w:p>
        </w:tc>
        <w:tc>
          <w:tcPr>
            <w:tcW w:w="1890" w:type="dxa"/>
            <w:vMerge w:val="restart"/>
            <w:shd w:val="clear" w:color="auto" w:fill="D9D9D9" w:themeFill="background1" w:themeFillShade="D9"/>
            <w:vAlign w:val="center"/>
          </w:tcPr>
          <w:p w14:paraId="48AAB5B4" w14:textId="4E6C5338" w:rsidR="00993009" w:rsidRPr="00A90B64" w:rsidRDefault="00993009" w:rsidP="001D6382">
            <w:pPr>
              <w:spacing w:after="0" w:line="240" w:lineRule="auto"/>
              <w:jc w:val="center"/>
              <w:rPr>
                <w:sz w:val="20"/>
                <w:szCs w:val="20"/>
              </w:rPr>
            </w:pPr>
            <w:r w:rsidRPr="00A90B64">
              <w:rPr>
                <w:rFonts w:cstheme="minorHAnsi"/>
                <w:sz w:val="20"/>
                <w:szCs w:val="20"/>
              </w:rPr>
              <w:t>PFRS</w:t>
            </w:r>
          </w:p>
        </w:tc>
        <w:tc>
          <w:tcPr>
            <w:tcW w:w="6300" w:type="dxa"/>
            <w:shd w:val="clear" w:color="auto" w:fill="D9D9D9" w:themeFill="background1" w:themeFillShade="D9"/>
            <w:vAlign w:val="center"/>
          </w:tcPr>
          <w:p w14:paraId="58099D12" w14:textId="6604B27C" w:rsidR="00993009" w:rsidRPr="00A90B64" w:rsidRDefault="00993009" w:rsidP="00A90B64">
            <w:pPr>
              <w:pStyle w:val="BodyText4"/>
              <w:keepNext/>
              <w:keepLines/>
              <w:jc w:val="left"/>
              <w:rPr>
                <w:rFonts w:asciiTheme="minorHAnsi" w:hAnsiTheme="minorHAnsi" w:cstheme="minorBidi"/>
                <w:sz w:val="20"/>
              </w:rPr>
            </w:pPr>
            <w:r w:rsidRPr="00A90B64">
              <w:rPr>
                <w:rFonts w:asciiTheme="minorHAnsi" w:hAnsiTheme="minorHAnsi" w:cstheme="minorBidi"/>
                <w:sz w:val="20"/>
              </w:rPr>
              <w:t>Annual audit of financial statements for covered SEC-registered corporations by an independent auditor duly registered with the BOA</w:t>
            </w:r>
            <w:r w:rsidRPr="00A90B64">
              <w:rPr>
                <w:rStyle w:val="FootnoteReference"/>
                <w:rFonts w:asciiTheme="minorHAnsi" w:hAnsiTheme="minorHAnsi" w:cstheme="minorBidi"/>
                <w:sz w:val="20"/>
              </w:rPr>
              <w:footnoteReference w:id="42"/>
            </w:r>
            <w:r w:rsidRPr="00A90B64">
              <w:rPr>
                <w:rFonts w:asciiTheme="minorHAnsi" w:hAnsiTheme="minorHAnsi" w:cstheme="minorBidi"/>
                <w:sz w:val="20"/>
              </w:rPr>
              <w:t>. Regulated entities, in addition, should have independent auditors that are accredited by the SEC</w:t>
            </w:r>
            <w:r w:rsidRPr="00A90B64">
              <w:rPr>
                <w:rStyle w:val="FootnoteReference"/>
                <w:rFonts w:asciiTheme="minorHAnsi" w:hAnsiTheme="minorHAnsi" w:cstheme="minorBidi"/>
                <w:sz w:val="20"/>
              </w:rPr>
              <w:footnoteReference w:id="43"/>
            </w:r>
            <w:r w:rsidRPr="00A90B64">
              <w:rPr>
                <w:rFonts w:asciiTheme="minorHAnsi" w:hAnsiTheme="minorHAnsi" w:cstheme="minorBidi"/>
                <w:sz w:val="20"/>
              </w:rPr>
              <w:t xml:space="preserve"> (i.e., Group A, B, C, or D).</w:t>
            </w:r>
          </w:p>
        </w:tc>
      </w:tr>
      <w:tr w:rsidR="000E694F" w:rsidRPr="00A90B64" w14:paraId="2A609669" w14:textId="77777777" w:rsidTr="00A90B64">
        <w:trPr>
          <w:cantSplit/>
          <w:trHeight w:val="53"/>
          <w:jc w:val="center"/>
        </w:trPr>
        <w:tc>
          <w:tcPr>
            <w:tcW w:w="1350" w:type="dxa"/>
            <w:vMerge/>
            <w:shd w:val="clear" w:color="auto" w:fill="D9D9D9" w:themeFill="background1" w:themeFillShade="D9"/>
            <w:vAlign w:val="center"/>
          </w:tcPr>
          <w:p w14:paraId="35E2814E" w14:textId="77777777" w:rsidR="00993009" w:rsidRPr="00A90B64" w:rsidRDefault="00993009" w:rsidP="001D6382">
            <w:pPr>
              <w:spacing w:after="0" w:line="240" w:lineRule="auto"/>
              <w:jc w:val="left"/>
              <w:rPr>
                <w:b/>
                <w:sz w:val="20"/>
                <w:szCs w:val="20"/>
              </w:rPr>
            </w:pPr>
          </w:p>
        </w:tc>
        <w:tc>
          <w:tcPr>
            <w:tcW w:w="4410" w:type="dxa"/>
            <w:vMerge/>
            <w:shd w:val="clear" w:color="auto" w:fill="D9D9D9" w:themeFill="background1" w:themeFillShade="D9"/>
            <w:vAlign w:val="center"/>
          </w:tcPr>
          <w:p w14:paraId="4D87550B" w14:textId="77777777" w:rsidR="00993009" w:rsidRPr="00A90B64" w:rsidRDefault="00993009" w:rsidP="001D6382">
            <w:pPr>
              <w:spacing w:after="100" w:line="240" w:lineRule="auto"/>
              <w:rPr>
                <w:sz w:val="20"/>
                <w:szCs w:val="20"/>
              </w:rPr>
            </w:pPr>
          </w:p>
        </w:tc>
        <w:tc>
          <w:tcPr>
            <w:tcW w:w="1890" w:type="dxa"/>
            <w:vMerge/>
            <w:shd w:val="clear" w:color="auto" w:fill="D9D9D9" w:themeFill="background1" w:themeFillShade="D9"/>
            <w:vAlign w:val="center"/>
          </w:tcPr>
          <w:p w14:paraId="5BD65A51" w14:textId="77777777" w:rsidR="00993009" w:rsidRPr="00A90B64" w:rsidRDefault="00993009" w:rsidP="001D6382">
            <w:pPr>
              <w:spacing w:after="0" w:line="240" w:lineRule="auto"/>
              <w:jc w:val="center"/>
              <w:rPr>
                <w:rFonts w:cstheme="minorHAnsi"/>
                <w:sz w:val="20"/>
                <w:szCs w:val="20"/>
              </w:rPr>
            </w:pPr>
          </w:p>
        </w:tc>
        <w:tc>
          <w:tcPr>
            <w:tcW w:w="6300" w:type="dxa"/>
            <w:shd w:val="clear" w:color="auto" w:fill="D9D9D9" w:themeFill="background1" w:themeFillShade="D9"/>
            <w:vAlign w:val="center"/>
          </w:tcPr>
          <w:p w14:paraId="4953AEAA" w14:textId="54EAD845" w:rsidR="00993009" w:rsidRPr="00A90B64" w:rsidRDefault="00993009" w:rsidP="00A90B64">
            <w:pPr>
              <w:pStyle w:val="BodyText4"/>
              <w:keepNext/>
              <w:keepLines/>
              <w:jc w:val="left"/>
              <w:rPr>
                <w:rFonts w:asciiTheme="minorHAnsi" w:hAnsiTheme="minorHAnsi" w:cstheme="minorBidi"/>
                <w:sz w:val="20"/>
              </w:rPr>
            </w:pPr>
            <w:r w:rsidRPr="00A90B64">
              <w:rPr>
                <w:rFonts w:asciiTheme="minorHAnsi" w:hAnsiTheme="minorHAnsi" w:cstheme="minorBidi"/>
                <w:sz w:val="20"/>
              </w:rPr>
              <w:t>Audited financial statements must have been stamped “received” by the BIR or its authorized banks</w:t>
            </w:r>
            <w:r w:rsidRPr="00A90B64">
              <w:rPr>
                <w:rStyle w:val="FootnoteReference"/>
                <w:rFonts w:asciiTheme="minorHAnsi" w:hAnsiTheme="minorHAnsi" w:cstheme="minorBidi"/>
                <w:sz w:val="20"/>
              </w:rPr>
              <w:footnoteReference w:id="44"/>
            </w:r>
            <w:r w:rsidRPr="00A90B64">
              <w:rPr>
                <w:rFonts w:asciiTheme="minorHAnsi" w:hAnsiTheme="minorHAnsi" w:cstheme="minorBidi"/>
                <w:sz w:val="20"/>
              </w:rPr>
              <w:t>, wherein the BIR only considers as valid document/attachment to tax returns the financial statements prepared, signed, and certified by duly accredited tax practitioners</w:t>
            </w:r>
            <w:r w:rsidRPr="00A90B64">
              <w:rPr>
                <w:rStyle w:val="FootnoteReference"/>
                <w:rFonts w:asciiTheme="minorHAnsi" w:hAnsiTheme="minorHAnsi" w:cstheme="minorBidi"/>
                <w:sz w:val="20"/>
              </w:rPr>
              <w:footnoteReference w:id="45"/>
            </w:r>
            <w:r w:rsidRPr="00A90B64">
              <w:rPr>
                <w:rFonts w:asciiTheme="minorHAnsi" w:hAnsiTheme="minorHAnsi" w:cstheme="minorBidi"/>
                <w:sz w:val="20"/>
              </w:rPr>
              <w:t xml:space="preserve"> (i.e., BIR accreditation). </w:t>
            </w:r>
          </w:p>
        </w:tc>
      </w:tr>
      <w:tr w:rsidR="000E694F" w:rsidRPr="00A90B64" w14:paraId="391464A7" w14:textId="77777777" w:rsidTr="00A90B64">
        <w:trPr>
          <w:cantSplit/>
          <w:trHeight w:val="53"/>
          <w:jc w:val="center"/>
        </w:trPr>
        <w:tc>
          <w:tcPr>
            <w:tcW w:w="1350" w:type="dxa"/>
            <w:vMerge/>
            <w:shd w:val="clear" w:color="auto" w:fill="D9D9D9" w:themeFill="background1" w:themeFillShade="D9"/>
            <w:vAlign w:val="center"/>
          </w:tcPr>
          <w:p w14:paraId="56770E23" w14:textId="77777777" w:rsidR="00993009" w:rsidRPr="00A90B64" w:rsidRDefault="00993009" w:rsidP="001D6382">
            <w:pPr>
              <w:spacing w:after="0" w:line="240" w:lineRule="auto"/>
              <w:jc w:val="left"/>
              <w:rPr>
                <w:b/>
                <w:sz w:val="20"/>
                <w:szCs w:val="20"/>
              </w:rPr>
            </w:pPr>
          </w:p>
        </w:tc>
        <w:tc>
          <w:tcPr>
            <w:tcW w:w="4410" w:type="dxa"/>
            <w:vMerge/>
            <w:shd w:val="clear" w:color="auto" w:fill="D9D9D9" w:themeFill="background1" w:themeFillShade="D9"/>
            <w:vAlign w:val="center"/>
          </w:tcPr>
          <w:p w14:paraId="3066464F" w14:textId="77777777" w:rsidR="00993009" w:rsidRPr="00A90B64" w:rsidRDefault="00993009" w:rsidP="001D6382">
            <w:pPr>
              <w:spacing w:after="100" w:line="240" w:lineRule="auto"/>
              <w:rPr>
                <w:sz w:val="20"/>
                <w:szCs w:val="20"/>
              </w:rPr>
            </w:pPr>
          </w:p>
        </w:tc>
        <w:tc>
          <w:tcPr>
            <w:tcW w:w="1890" w:type="dxa"/>
            <w:vMerge/>
            <w:shd w:val="clear" w:color="auto" w:fill="D9D9D9" w:themeFill="background1" w:themeFillShade="D9"/>
            <w:vAlign w:val="center"/>
          </w:tcPr>
          <w:p w14:paraId="5EA40643" w14:textId="77777777" w:rsidR="00993009" w:rsidRPr="00A90B64" w:rsidRDefault="00993009" w:rsidP="001D6382">
            <w:pPr>
              <w:spacing w:after="0" w:line="240" w:lineRule="auto"/>
              <w:jc w:val="center"/>
              <w:rPr>
                <w:rFonts w:cstheme="minorHAnsi"/>
                <w:sz w:val="20"/>
                <w:szCs w:val="20"/>
              </w:rPr>
            </w:pPr>
          </w:p>
        </w:tc>
        <w:tc>
          <w:tcPr>
            <w:tcW w:w="6300" w:type="dxa"/>
            <w:shd w:val="clear" w:color="auto" w:fill="D9D9D9" w:themeFill="background1" w:themeFillShade="D9"/>
            <w:vAlign w:val="center"/>
          </w:tcPr>
          <w:p w14:paraId="55910FB5" w14:textId="78FEF71E" w:rsidR="00993009" w:rsidRPr="00A90B64" w:rsidRDefault="00993009" w:rsidP="00A90B64">
            <w:pPr>
              <w:keepNext/>
              <w:keepLines/>
              <w:spacing w:after="0" w:line="240" w:lineRule="auto"/>
              <w:jc w:val="left"/>
              <w:rPr>
                <w:sz w:val="20"/>
                <w:szCs w:val="20"/>
              </w:rPr>
            </w:pPr>
            <w:r w:rsidRPr="00A90B64">
              <w:rPr>
                <w:rFonts w:eastAsia="MS Gothic"/>
                <w:sz w:val="20"/>
                <w:szCs w:val="20"/>
              </w:rPr>
              <w:t xml:space="preserve">Rotation of independent auditor (or in the case of an audit firm of the signing partner) </w:t>
            </w:r>
            <w:r w:rsidRPr="00A90B64">
              <w:rPr>
                <w:rFonts w:cstheme="minorHAnsi"/>
                <w:sz w:val="20"/>
                <w:szCs w:val="20"/>
              </w:rPr>
              <w:t>of</w:t>
            </w:r>
            <w:r w:rsidRPr="00A90B64">
              <w:rPr>
                <w:rFonts w:eastAsia="MS Gothic"/>
                <w:sz w:val="20"/>
                <w:szCs w:val="20"/>
              </w:rPr>
              <w:t xml:space="preserve"> regulated entities after every five years of engagement. A </w:t>
            </w:r>
            <w:proofErr w:type="gramStart"/>
            <w:r w:rsidRPr="00A90B64">
              <w:rPr>
                <w:rFonts w:eastAsia="MS Gothic"/>
                <w:sz w:val="20"/>
                <w:szCs w:val="20"/>
              </w:rPr>
              <w:t>two year</w:t>
            </w:r>
            <w:proofErr w:type="gramEnd"/>
            <w:r w:rsidRPr="00A90B64">
              <w:rPr>
                <w:rFonts w:eastAsia="MS Gothic"/>
                <w:sz w:val="20"/>
                <w:szCs w:val="20"/>
              </w:rPr>
              <w:t xml:space="preserve"> cooling off period is required before the re-engagement of the same signing partner or individual auditor</w:t>
            </w:r>
            <w:r w:rsidRPr="00A90B64">
              <w:rPr>
                <w:rStyle w:val="FootnoteReference"/>
                <w:rFonts w:eastAsia="MS Gothic"/>
                <w:sz w:val="20"/>
                <w:szCs w:val="20"/>
              </w:rPr>
              <w:footnoteReference w:id="46"/>
            </w:r>
            <w:r w:rsidRPr="00A90B64">
              <w:rPr>
                <w:rFonts w:eastAsia="MS Gothic"/>
                <w:sz w:val="20"/>
                <w:szCs w:val="20"/>
              </w:rPr>
              <w:t>.</w:t>
            </w:r>
          </w:p>
        </w:tc>
      </w:tr>
      <w:tr w:rsidR="001D6382" w:rsidRPr="00A90B64" w14:paraId="0897C26A" w14:textId="77777777" w:rsidTr="00A90B64">
        <w:trPr>
          <w:cantSplit/>
          <w:trHeight w:val="2305"/>
          <w:jc w:val="center"/>
        </w:trPr>
        <w:tc>
          <w:tcPr>
            <w:tcW w:w="1350" w:type="dxa"/>
            <w:vAlign w:val="center"/>
          </w:tcPr>
          <w:p w14:paraId="2F632183" w14:textId="2E1E870C" w:rsidR="00505677" w:rsidRPr="00A90B64" w:rsidRDefault="00505677" w:rsidP="001D6382">
            <w:pPr>
              <w:spacing w:after="0" w:line="240" w:lineRule="auto"/>
              <w:jc w:val="left"/>
              <w:rPr>
                <w:b/>
                <w:sz w:val="20"/>
                <w:szCs w:val="20"/>
              </w:rPr>
            </w:pPr>
            <w:r w:rsidRPr="00A90B64">
              <w:rPr>
                <w:b/>
                <w:sz w:val="20"/>
                <w:szCs w:val="20"/>
              </w:rPr>
              <w:t>Small and Medium-sized Entities</w:t>
            </w:r>
          </w:p>
        </w:tc>
        <w:tc>
          <w:tcPr>
            <w:tcW w:w="4410" w:type="dxa"/>
            <w:vAlign w:val="center"/>
          </w:tcPr>
          <w:p w14:paraId="17E25C17" w14:textId="6037FAB2" w:rsidR="000F31E6" w:rsidRDefault="00505677" w:rsidP="001D6382">
            <w:pPr>
              <w:spacing w:after="0" w:line="240" w:lineRule="auto"/>
              <w:jc w:val="left"/>
              <w:rPr>
                <w:sz w:val="20"/>
                <w:szCs w:val="20"/>
              </w:rPr>
            </w:pPr>
            <w:r w:rsidRPr="00A90B64">
              <w:rPr>
                <w:sz w:val="20"/>
                <w:szCs w:val="20"/>
              </w:rPr>
              <w:t xml:space="preserve">A company that meets </w:t>
            </w:r>
            <w:proofErr w:type="gramStart"/>
            <w:r w:rsidRPr="00A90B64">
              <w:rPr>
                <w:sz w:val="20"/>
                <w:szCs w:val="20"/>
                <w:u w:val="single"/>
              </w:rPr>
              <w:t>all</w:t>
            </w:r>
            <w:r w:rsidRPr="00A90B64">
              <w:rPr>
                <w:sz w:val="20"/>
                <w:szCs w:val="20"/>
              </w:rPr>
              <w:t xml:space="preserve"> of</w:t>
            </w:r>
            <w:proofErr w:type="gramEnd"/>
            <w:r w:rsidRPr="00A90B64">
              <w:rPr>
                <w:sz w:val="20"/>
                <w:szCs w:val="20"/>
              </w:rPr>
              <w:t xml:space="preserve"> the following criteria:</w:t>
            </w:r>
            <w:r w:rsidR="000E694F" w:rsidRPr="00A90B64">
              <w:rPr>
                <w:sz w:val="20"/>
                <w:szCs w:val="20"/>
              </w:rPr>
              <w:t xml:space="preserve"> a) </w:t>
            </w:r>
            <w:r w:rsidRPr="00A90B64">
              <w:rPr>
                <w:sz w:val="20"/>
                <w:szCs w:val="20"/>
              </w:rPr>
              <w:t>Total assets of 3 million pesos to 350 million pesos or total liabilities of 3 million pesos to 250 million pesos;</w:t>
            </w:r>
            <w:r w:rsidR="000E694F" w:rsidRPr="00A90B64">
              <w:rPr>
                <w:sz w:val="20"/>
                <w:szCs w:val="20"/>
              </w:rPr>
              <w:t xml:space="preserve"> </w:t>
            </w:r>
          </w:p>
          <w:p w14:paraId="4AE7412E" w14:textId="5E99726D" w:rsidR="000F31E6" w:rsidRDefault="000E694F" w:rsidP="001D6382">
            <w:pPr>
              <w:spacing w:after="0" w:line="240" w:lineRule="auto"/>
              <w:jc w:val="left"/>
              <w:rPr>
                <w:sz w:val="20"/>
                <w:szCs w:val="20"/>
              </w:rPr>
            </w:pPr>
            <w:r w:rsidRPr="00A90B64">
              <w:rPr>
                <w:sz w:val="20"/>
                <w:szCs w:val="20"/>
              </w:rPr>
              <w:t xml:space="preserve">b) </w:t>
            </w:r>
            <w:r w:rsidR="00505677" w:rsidRPr="00A90B64">
              <w:rPr>
                <w:sz w:val="20"/>
                <w:szCs w:val="20"/>
                <w:u w:val="single"/>
              </w:rPr>
              <w:t>Not</w:t>
            </w:r>
            <w:r w:rsidR="00505677" w:rsidRPr="00A90B64">
              <w:rPr>
                <w:sz w:val="20"/>
                <w:szCs w:val="20"/>
              </w:rPr>
              <w:t xml:space="preserve"> required to file financial statements under Part II of SRC Rule 68 (i.e., issuers of securities to the public);</w:t>
            </w:r>
            <w:r w:rsidRPr="00A90B64">
              <w:rPr>
                <w:sz w:val="20"/>
                <w:szCs w:val="20"/>
              </w:rPr>
              <w:t xml:space="preserve"> </w:t>
            </w:r>
          </w:p>
          <w:p w14:paraId="2A56D94B" w14:textId="3FC7B1CA" w:rsidR="000F31E6" w:rsidRDefault="000E694F" w:rsidP="001D6382">
            <w:pPr>
              <w:spacing w:after="0" w:line="240" w:lineRule="auto"/>
              <w:jc w:val="left"/>
              <w:rPr>
                <w:sz w:val="20"/>
                <w:szCs w:val="20"/>
              </w:rPr>
            </w:pPr>
            <w:r w:rsidRPr="00A90B64">
              <w:rPr>
                <w:sz w:val="20"/>
                <w:szCs w:val="20"/>
              </w:rPr>
              <w:t xml:space="preserve">c) </w:t>
            </w:r>
            <w:r w:rsidR="00505677" w:rsidRPr="00A90B64">
              <w:rPr>
                <w:sz w:val="20"/>
                <w:szCs w:val="20"/>
                <w:u w:val="single"/>
              </w:rPr>
              <w:t>Not</w:t>
            </w:r>
            <w:r w:rsidR="00505677" w:rsidRPr="00A90B64">
              <w:rPr>
                <w:sz w:val="20"/>
                <w:szCs w:val="20"/>
              </w:rPr>
              <w:t xml:space="preserve"> in the process of filing their financial statements </w:t>
            </w:r>
            <w:proofErr w:type="gramStart"/>
            <w:r w:rsidR="00505677" w:rsidRPr="00A90B64">
              <w:rPr>
                <w:sz w:val="20"/>
                <w:szCs w:val="20"/>
              </w:rPr>
              <w:t>for the purpose of</w:t>
            </w:r>
            <w:proofErr w:type="gramEnd"/>
            <w:r w:rsidR="00505677" w:rsidRPr="00A90B64">
              <w:rPr>
                <w:sz w:val="20"/>
                <w:szCs w:val="20"/>
              </w:rPr>
              <w:t xml:space="preserve"> issuing any class of instruments in a public market; and</w:t>
            </w:r>
            <w:r w:rsidRPr="00A90B64">
              <w:rPr>
                <w:sz w:val="20"/>
                <w:szCs w:val="20"/>
              </w:rPr>
              <w:t xml:space="preserve"> </w:t>
            </w:r>
          </w:p>
          <w:p w14:paraId="090959A3" w14:textId="6AFC6553" w:rsidR="00505677" w:rsidRPr="00A90B64" w:rsidRDefault="000E694F" w:rsidP="001D6382">
            <w:pPr>
              <w:spacing w:after="0" w:line="240" w:lineRule="auto"/>
              <w:jc w:val="left"/>
              <w:rPr>
                <w:sz w:val="20"/>
                <w:szCs w:val="20"/>
              </w:rPr>
            </w:pPr>
            <w:r w:rsidRPr="00A90B64">
              <w:rPr>
                <w:sz w:val="20"/>
                <w:szCs w:val="20"/>
              </w:rPr>
              <w:t xml:space="preserve">d) </w:t>
            </w:r>
            <w:r w:rsidR="00505677" w:rsidRPr="00A90B64">
              <w:rPr>
                <w:sz w:val="20"/>
                <w:szCs w:val="20"/>
                <w:u w:val="single"/>
              </w:rPr>
              <w:t>Not</w:t>
            </w:r>
            <w:r w:rsidR="00505677" w:rsidRPr="00A90B64">
              <w:rPr>
                <w:sz w:val="20"/>
                <w:szCs w:val="20"/>
              </w:rPr>
              <w:t xml:space="preserve"> a holder of secondary licenses issued by regulatory agencies.</w:t>
            </w:r>
          </w:p>
        </w:tc>
        <w:tc>
          <w:tcPr>
            <w:tcW w:w="1890" w:type="dxa"/>
            <w:vAlign w:val="center"/>
          </w:tcPr>
          <w:p w14:paraId="46C07AC9" w14:textId="1A1B01D3" w:rsidR="00505677" w:rsidRPr="00A90B64" w:rsidRDefault="00505677" w:rsidP="001D6382">
            <w:pPr>
              <w:spacing w:after="0" w:line="240" w:lineRule="auto"/>
              <w:jc w:val="center"/>
              <w:rPr>
                <w:sz w:val="20"/>
                <w:szCs w:val="20"/>
              </w:rPr>
            </w:pPr>
            <w:r w:rsidRPr="00A90B64">
              <w:rPr>
                <w:rFonts w:cstheme="minorHAnsi"/>
                <w:sz w:val="20"/>
                <w:szCs w:val="20"/>
              </w:rPr>
              <w:t>PFRS for SMEs</w:t>
            </w:r>
          </w:p>
        </w:tc>
        <w:tc>
          <w:tcPr>
            <w:tcW w:w="6300" w:type="dxa"/>
            <w:vAlign w:val="center"/>
          </w:tcPr>
          <w:p w14:paraId="6133502D" w14:textId="7A2D75D2" w:rsidR="00505677" w:rsidRPr="00A90B64" w:rsidRDefault="00505677" w:rsidP="001D6382">
            <w:pPr>
              <w:spacing w:after="0" w:line="240" w:lineRule="auto"/>
              <w:jc w:val="left"/>
              <w:rPr>
                <w:sz w:val="20"/>
                <w:szCs w:val="20"/>
              </w:rPr>
            </w:pPr>
            <w:r w:rsidRPr="00A90B64">
              <w:rPr>
                <w:rFonts w:cstheme="minorHAnsi"/>
                <w:sz w:val="20"/>
                <w:szCs w:val="20"/>
              </w:rPr>
              <w:t>Annual audit of financial statements for covered SEC-registered corporations by an independent auditor duly registered with the BOA and accredited by the BIR.</w:t>
            </w:r>
          </w:p>
        </w:tc>
      </w:tr>
      <w:tr w:rsidR="000E694F" w:rsidRPr="00A90B64" w14:paraId="5257DA53" w14:textId="77777777" w:rsidTr="00A90B64">
        <w:trPr>
          <w:cantSplit/>
          <w:trHeight w:val="42"/>
          <w:jc w:val="center"/>
        </w:trPr>
        <w:tc>
          <w:tcPr>
            <w:tcW w:w="1350" w:type="dxa"/>
            <w:vMerge w:val="restart"/>
            <w:shd w:val="clear" w:color="auto" w:fill="D9D9D9" w:themeFill="background1" w:themeFillShade="D9"/>
            <w:vAlign w:val="center"/>
          </w:tcPr>
          <w:p w14:paraId="3B73B559" w14:textId="3B8D2F1F" w:rsidR="00505677" w:rsidRPr="00A90B64" w:rsidRDefault="00505677" w:rsidP="001D6382">
            <w:pPr>
              <w:keepNext/>
              <w:keepLines/>
              <w:spacing w:after="0" w:line="240" w:lineRule="auto"/>
              <w:jc w:val="left"/>
              <w:rPr>
                <w:b/>
                <w:sz w:val="20"/>
                <w:szCs w:val="20"/>
              </w:rPr>
            </w:pPr>
            <w:r w:rsidRPr="00A90B64">
              <w:rPr>
                <w:b/>
                <w:sz w:val="20"/>
                <w:szCs w:val="20"/>
              </w:rPr>
              <w:t xml:space="preserve">Micro </w:t>
            </w:r>
            <w:r w:rsidR="00857044">
              <w:rPr>
                <w:b/>
                <w:sz w:val="20"/>
                <w:szCs w:val="20"/>
              </w:rPr>
              <w:t>E</w:t>
            </w:r>
            <w:r w:rsidR="00857044" w:rsidRPr="00A90B64">
              <w:rPr>
                <w:b/>
                <w:sz w:val="20"/>
                <w:szCs w:val="20"/>
              </w:rPr>
              <w:t>ntities</w:t>
            </w:r>
          </w:p>
        </w:tc>
        <w:tc>
          <w:tcPr>
            <w:tcW w:w="4410" w:type="dxa"/>
            <w:vMerge w:val="restart"/>
            <w:shd w:val="clear" w:color="auto" w:fill="D9D9D9" w:themeFill="background1" w:themeFillShade="D9"/>
            <w:vAlign w:val="center"/>
          </w:tcPr>
          <w:p w14:paraId="5B17EA47" w14:textId="6FC82446" w:rsidR="000F31E6" w:rsidRDefault="00505677" w:rsidP="001D6382">
            <w:pPr>
              <w:keepNext/>
              <w:keepLines/>
              <w:spacing w:after="0" w:line="240" w:lineRule="auto"/>
              <w:rPr>
                <w:sz w:val="20"/>
                <w:szCs w:val="20"/>
              </w:rPr>
            </w:pPr>
            <w:r w:rsidRPr="00A90B64">
              <w:rPr>
                <w:sz w:val="20"/>
                <w:szCs w:val="20"/>
              </w:rPr>
              <w:t xml:space="preserve">A company that meets </w:t>
            </w:r>
            <w:proofErr w:type="gramStart"/>
            <w:r w:rsidRPr="00A90B64">
              <w:rPr>
                <w:sz w:val="20"/>
                <w:szCs w:val="20"/>
                <w:u w:val="single"/>
              </w:rPr>
              <w:t>all</w:t>
            </w:r>
            <w:r w:rsidRPr="00A90B64">
              <w:rPr>
                <w:sz w:val="20"/>
                <w:szCs w:val="20"/>
              </w:rPr>
              <w:t xml:space="preserve"> of</w:t>
            </w:r>
            <w:proofErr w:type="gramEnd"/>
            <w:r w:rsidRPr="00A90B64">
              <w:rPr>
                <w:sz w:val="20"/>
                <w:szCs w:val="20"/>
              </w:rPr>
              <w:t xml:space="preserve"> the following criteria:</w:t>
            </w:r>
            <w:r w:rsidR="000E694F" w:rsidRPr="00A90B64">
              <w:rPr>
                <w:sz w:val="20"/>
                <w:szCs w:val="20"/>
              </w:rPr>
              <w:t xml:space="preserve"> a) </w:t>
            </w:r>
            <w:r w:rsidRPr="00A90B64">
              <w:rPr>
                <w:sz w:val="20"/>
                <w:szCs w:val="20"/>
              </w:rPr>
              <w:t>Total assets and liabilities of &lt; 3 million pesos;</w:t>
            </w:r>
            <w:r w:rsidR="000E694F" w:rsidRPr="00A90B64">
              <w:rPr>
                <w:sz w:val="20"/>
                <w:szCs w:val="20"/>
              </w:rPr>
              <w:t xml:space="preserve"> </w:t>
            </w:r>
          </w:p>
          <w:p w14:paraId="0182327E" w14:textId="6C248CD6" w:rsidR="000F31E6" w:rsidRDefault="000E694F" w:rsidP="001D6382">
            <w:pPr>
              <w:keepNext/>
              <w:keepLines/>
              <w:spacing w:after="0" w:line="240" w:lineRule="auto"/>
              <w:rPr>
                <w:sz w:val="20"/>
                <w:szCs w:val="20"/>
              </w:rPr>
            </w:pPr>
            <w:r w:rsidRPr="00A90B64">
              <w:rPr>
                <w:sz w:val="20"/>
                <w:szCs w:val="20"/>
              </w:rPr>
              <w:t xml:space="preserve">b) </w:t>
            </w:r>
            <w:r w:rsidR="00505677" w:rsidRPr="00A90B64">
              <w:rPr>
                <w:sz w:val="20"/>
                <w:szCs w:val="20"/>
                <w:u w:val="single"/>
              </w:rPr>
              <w:t>Not</w:t>
            </w:r>
            <w:r w:rsidR="00505677" w:rsidRPr="00A90B64">
              <w:rPr>
                <w:sz w:val="20"/>
                <w:szCs w:val="20"/>
              </w:rPr>
              <w:t xml:space="preserve"> required to file financial statements under Part II of SRC Rule 68 (i.e., issuers of securities to the public);</w:t>
            </w:r>
            <w:r w:rsidRPr="00A90B64">
              <w:rPr>
                <w:sz w:val="20"/>
                <w:szCs w:val="20"/>
              </w:rPr>
              <w:t xml:space="preserve"> </w:t>
            </w:r>
          </w:p>
          <w:p w14:paraId="0438BC20" w14:textId="513BCDE0" w:rsidR="000F31E6" w:rsidRDefault="000E694F" w:rsidP="001D6382">
            <w:pPr>
              <w:keepNext/>
              <w:keepLines/>
              <w:spacing w:after="0" w:line="240" w:lineRule="auto"/>
              <w:rPr>
                <w:sz w:val="20"/>
                <w:szCs w:val="20"/>
              </w:rPr>
            </w:pPr>
            <w:r w:rsidRPr="00A90B64">
              <w:rPr>
                <w:sz w:val="20"/>
                <w:szCs w:val="20"/>
              </w:rPr>
              <w:t xml:space="preserve">c) </w:t>
            </w:r>
            <w:r w:rsidR="00505677" w:rsidRPr="00A90B64">
              <w:rPr>
                <w:sz w:val="20"/>
                <w:szCs w:val="20"/>
                <w:u w:val="single"/>
              </w:rPr>
              <w:t>Not</w:t>
            </w:r>
            <w:r w:rsidR="00505677" w:rsidRPr="00A90B64">
              <w:rPr>
                <w:sz w:val="20"/>
                <w:szCs w:val="20"/>
              </w:rPr>
              <w:t xml:space="preserve"> in the process of filing their financial statements </w:t>
            </w:r>
            <w:proofErr w:type="gramStart"/>
            <w:r w:rsidR="00505677" w:rsidRPr="00A90B64">
              <w:rPr>
                <w:sz w:val="20"/>
                <w:szCs w:val="20"/>
              </w:rPr>
              <w:t>for the purpose of</w:t>
            </w:r>
            <w:proofErr w:type="gramEnd"/>
            <w:r w:rsidR="00505677" w:rsidRPr="00A90B64">
              <w:rPr>
                <w:sz w:val="20"/>
                <w:szCs w:val="20"/>
              </w:rPr>
              <w:t xml:space="preserve"> issuing any class of instruments in a public market; and</w:t>
            </w:r>
            <w:r w:rsidRPr="00A90B64">
              <w:rPr>
                <w:sz w:val="20"/>
                <w:szCs w:val="20"/>
              </w:rPr>
              <w:t xml:space="preserve"> </w:t>
            </w:r>
          </w:p>
          <w:p w14:paraId="6100E2B5" w14:textId="7E55E602" w:rsidR="00505677" w:rsidRPr="00A90B64" w:rsidRDefault="000E694F" w:rsidP="001D6382">
            <w:pPr>
              <w:keepNext/>
              <w:keepLines/>
              <w:spacing w:after="0" w:line="240" w:lineRule="auto"/>
              <w:rPr>
                <w:sz w:val="20"/>
                <w:szCs w:val="20"/>
              </w:rPr>
            </w:pPr>
            <w:r w:rsidRPr="00A90B64">
              <w:rPr>
                <w:sz w:val="20"/>
                <w:szCs w:val="20"/>
              </w:rPr>
              <w:t xml:space="preserve">d) </w:t>
            </w:r>
            <w:r w:rsidR="00505677" w:rsidRPr="00A90B64">
              <w:rPr>
                <w:sz w:val="20"/>
                <w:szCs w:val="20"/>
                <w:u w:val="single"/>
              </w:rPr>
              <w:t>Not</w:t>
            </w:r>
            <w:r w:rsidR="00505677" w:rsidRPr="00A90B64">
              <w:rPr>
                <w:sz w:val="20"/>
                <w:szCs w:val="20"/>
              </w:rPr>
              <w:t xml:space="preserve"> a holder of secondary licenses issued by regulatory agencies.</w:t>
            </w:r>
          </w:p>
        </w:tc>
        <w:tc>
          <w:tcPr>
            <w:tcW w:w="1890" w:type="dxa"/>
            <w:vMerge w:val="restart"/>
            <w:shd w:val="clear" w:color="auto" w:fill="D9D9D9" w:themeFill="background1" w:themeFillShade="D9"/>
            <w:vAlign w:val="center"/>
          </w:tcPr>
          <w:p w14:paraId="7A062F9D" w14:textId="12F467E1" w:rsidR="00505677" w:rsidRPr="00A90B64" w:rsidRDefault="00505677" w:rsidP="001D6382">
            <w:pPr>
              <w:keepNext/>
              <w:keepLines/>
              <w:spacing w:after="0" w:line="240" w:lineRule="auto"/>
              <w:jc w:val="center"/>
              <w:rPr>
                <w:sz w:val="20"/>
                <w:szCs w:val="20"/>
              </w:rPr>
            </w:pPr>
            <w:r w:rsidRPr="00A90B64">
              <w:rPr>
                <w:rFonts w:cstheme="minorHAnsi"/>
                <w:sz w:val="20"/>
                <w:szCs w:val="20"/>
              </w:rPr>
              <w:t>Income tax basis or PFRS for SMEs</w:t>
            </w:r>
          </w:p>
        </w:tc>
        <w:tc>
          <w:tcPr>
            <w:tcW w:w="6300" w:type="dxa"/>
            <w:shd w:val="clear" w:color="auto" w:fill="D9D9D9" w:themeFill="background1" w:themeFillShade="D9"/>
            <w:vAlign w:val="center"/>
          </w:tcPr>
          <w:p w14:paraId="5A5D8F85" w14:textId="52B14CC3" w:rsidR="00505677" w:rsidRPr="00A90B64" w:rsidRDefault="00505677" w:rsidP="001D6382">
            <w:pPr>
              <w:pStyle w:val="BodyText4"/>
              <w:keepNext/>
              <w:keepLines/>
              <w:spacing w:after="100"/>
              <w:jc w:val="left"/>
              <w:rPr>
                <w:rFonts w:asciiTheme="minorHAnsi" w:hAnsiTheme="minorHAnsi" w:cstheme="minorHAnsi"/>
                <w:sz w:val="20"/>
              </w:rPr>
            </w:pPr>
            <w:r w:rsidRPr="00A90B64">
              <w:rPr>
                <w:rFonts w:asciiTheme="minorHAnsi" w:hAnsiTheme="minorHAnsi" w:cstheme="minorHAnsi"/>
                <w:sz w:val="20"/>
              </w:rPr>
              <w:t>Annual audit of financial statements for covered SEC-registered corporations by an independent auditor duly registered with the</w:t>
            </w:r>
            <w:r w:rsidR="00980D94" w:rsidRPr="00A90B64">
              <w:rPr>
                <w:rFonts w:asciiTheme="minorHAnsi" w:hAnsiTheme="minorHAnsi" w:cstheme="minorHAnsi"/>
                <w:sz w:val="20"/>
              </w:rPr>
              <w:t xml:space="preserve"> BOA and accredited by the BIR.</w:t>
            </w:r>
          </w:p>
        </w:tc>
      </w:tr>
      <w:tr w:rsidR="000E694F" w:rsidRPr="00A90B64" w14:paraId="723BC343" w14:textId="77777777" w:rsidTr="00A90B64">
        <w:trPr>
          <w:cantSplit/>
          <w:trHeight w:val="53"/>
          <w:jc w:val="center"/>
        </w:trPr>
        <w:tc>
          <w:tcPr>
            <w:tcW w:w="1350" w:type="dxa"/>
            <w:vMerge/>
            <w:shd w:val="clear" w:color="auto" w:fill="D9D9D9" w:themeFill="background1" w:themeFillShade="D9"/>
            <w:vAlign w:val="center"/>
          </w:tcPr>
          <w:p w14:paraId="4E7D08A8" w14:textId="77777777" w:rsidR="00505677" w:rsidRPr="00A90B64" w:rsidRDefault="00505677" w:rsidP="001D6382">
            <w:pPr>
              <w:keepNext/>
              <w:keepLines/>
              <w:spacing w:after="0" w:line="240" w:lineRule="auto"/>
              <w:jc w:val="left"/>
              <w:rPr>
                <w:b/>
                <w:sz w:val="20"/>
                <w:szCs w:val="20"/>
              </w:rPr>
            </w:pPr>
          </w:p>
        </w:tc>
        <w:tc>
          <w:tcPr>
            <w:tcW w:w="4410" w:type="dxa"/>
            <w:vMerge/>
            <w:shd w:val="clear" w:color="auto" w:fill="D9D9D9" w:themeFill="background1" w:themeFillShade="D9"/>
            <w:vAlign w:val="center"/>
          </w:tcPr>
          <w:p w14:paraId="2DC1FCA9" w14:textId="77777777" w:rsidR="00505677" w:rsidRPr="00A90B64" w:rsidRDefault="00505677" w:rsidP="001D6382">
            <w:pPr>
              <w:keepNext/>
              <w:keepLines/>
              <w:spacing w:after="100" w:line="240" w:lineRule="auto"/>
              <w:rPr>
                <w:sz w:val="20"/>
                <w:szCs w:val="20"/>
              </w:rPr>
            </w:pPr>
          </w:p>
        </w:tc>
        <w:tc>
          <w:tcPr>
            <w:tcW w:w="1890" w:type="dxa"/>
            <w:vMerge/>
            <w:shd w:val="clear" w:color="auto" w:fill="D9D9D9" w:themeFill="background1" w:themeFillShade="D9"/>
          </w:tcPr>
          <w:p w14:paraId="06069AE4" w14:textId="77777777" w:rsidR="00505677" w:rsidRPr="00A90B64" w:rsidRDefault="00505677" w:rsidP="001D6382">
            <w:pPr>
              <w:keepNext/>
              <w:keepLines/>
              <w:spacing w:after="0" w:line="240" w:lineRule="auto"/>
              <w:jc w:val="center"/>
              <w:rPr>
                <w:rFonts w:cstheme="minorHAnsi"/>
                <w:sz w:val="20"/>
                <w:szCs w:val="20"/>
              </w:rPr>
            </w:pPr>
          </w:p>
        </w:tc>
        <w:tc>
          <w:tcPr>
            <w:tcW w:w="6300" w:type="dxa"/>
            <w:shd w:val="clear" w:color="auto" w:fill="D9D9D9" w:themeFill="background1" w:themeFillShade="D9"/>
            <w:vAlign w:val="center"/>
          </w:tcPr>
          <w:p w14:paraId="4670D8D8" w14:textId="3B3847A4" w:rsidR="00505677" w:rsidRPr="00A90B64" w:rsidRDefault="00505677" w:rsidP="001D6382">
            <w:pPr>
              <w:keepNext/>
              <w:keepLines/>
              <w:spacing w:after="0" w:line="240" w:lineRule="auto"/>
              <w:jc w:val="left"/>
              <w:rPr>
                <w:sz w:val="20"/>
                <w:szCs w:val="20"/>
              </w:rPr>
            </w:pPr>
            <w:r w:rsidRPr="00A90B64">
              <w:rPr>
                <w:sz w:val="20"/>
                <w:szCs w:val="20"/>
              </w:rPr>
              <w:t xml:space="preserve">Corporations, companies, partnerships, or persons </w:t>
            </w:r>
            <w:r w:rsidRPr="00A90B64">
              <w:rPr>
                <w:color w:val="000000"/>
                <w:sz w:val="20"/>
                <w:szCs w:val="20"/>
              </w:rPr>
              <w:t xml:space="preserve">whose gross quarterly sales, </w:t>
            </w:r>
            <w:r w:rsidRPr="00A90B64">
              <w:rPr>
                <w:rFonts w:cstheme="minorHAnsi"/>
                <w:sz w:val="20"/>
                <w:szCs w:val="20"/>
              </w:rPr>
              <w:t>earnings</w:t>
            </w:r>
            <w:r w:rsidRPr="00A90B64">
              <w:rPr>
                <w:color w:val="000000"/>
                <w:sz w:val="20"/>
                <w:szCs w:val="20"/>
              </w:rPr>
              <w:t xml:space="preserve">, receipts, or outputs exceed 150 thousand pesos (i.e., 600 thousand pesos </w:t>
            </w:r>
            <w:r w:rsidRPr="00A90B64">
              <w:rPr>
                <w:rFonts w:cstheme="minorHAnsi"/>
                <w:sz w:val="20"/>
                <w:szCs w:val="20"/>
              </w:rPr>
              <w:t>annually</w:t>
            </w:r>
            <w:r w:rsidRPr="00A90B64">
              <w:rPr>
                <w:color w:val="000000"/>
                <w:sz w:val="20"/>
                <w:szCs w:val="20"/>
              </w:rPr>
              <w:t>) should have their books of accounts audited and examined yearly by an independent CPA.</w:t>
            </w:r>
            <w:r w:rsidRPr="00A90B64">
              <w:rPr>
                <w:rStyle w:val="FootnoteReference"/>
                <w:color w:val="000000"/>
                <w:sz w:val="20"/>
                <w:szCs w:val="20"/>
              </w:rPr>
              <w:footnoteReference w:id="47"/>
            </w:r>
          </w:p>
        </w:tc>
      </w:tr>
      <w:tr w:rsidR="00AC75DE" w:rsidRPr="00A90B64" w14:paraId="607BF52D" w14:textId="77777777" w:rsidTr="00A90B64">
        <w:trPr>
          <w:cantSplit/>
          <w:jc w:val="center"/>
        </w:trPr>
        <w:tc>
          <w:tcPr>
            <w:tcW w:w="1350" w:type="dxa"/>
            <w:vAlign w:val="center"/>
          </w:tcPr>
          <w:p w14:paraId="2C15BFC0" w14:textId="66CC338E" w:rsidR="00980D94" w:rsidRPr="00A90B64" w:rsidRDefault="00980D94" w:rsidP="001D6382">
            <w:pPr>
              <w:spacing w:after="0" w:line="240" w:lineRule="auto"/>
              <w:jc w:val="left"/>
              <w:rPr>
                <w:b/>
                <w:sz w:val="20"/>
                <w:szCs w:val="20"/>
              </w:rPr>
            </w:pPr>
            <w:r w:rsidRPr="00A90B64">
              <w:rPr>
                <w:b/>
                <w:sz w:val="20"/>
                <w:szCs w:val="20"/>
              </w:rPr>
              <w:t>Cooperatives</w:t>
            </w:r>
          </w:p>
        </w:tc>
        <w:tc>
          <w:tcPr>
            <w:tcW w:w="4410" w:type="dxa"/>
            <w:vAlign w:val="center"/>
          </w:tcPr>
          <w:p w14:paraId="5969F879" w14:textId="165FBBB5" w:rsidR="00980D94" w:rsidRPr="00A90B64" w:rsidRDefault="00980D94" w:rsidP="002C3314">
            <w:pPr>
              <w:spacing w:after="0" w:line="240" w:lineRule="auto"/>
              <w:jc w:val="left"/>
              <w:rPr>
                <w:sz w:val="20"/>
                <w:szCs w:val="20"/>
              </w:rPr>
            </w:pPr>
            <w:r w:rsidRPr="00A90B64">
              <w:rPr>
                <w:rFonts w:cstheme="minorHAnsi"/>
                <w:sz w:val="20"/>
                <w:szCs w:val="20"/>
              </w:rPr>
              <w:t>An autonomous association of persons duly registered association with the Cooperative Development Authority (CDA).</w:t>
            </w:r>
          </w:p>
        </w:tc>
        <w:tc>
          <w:tcPr>
            <w:tcW w:w="1890" w:type="dxa"/>
            <w:vAlign w:val="center"/>
          </w:tcPr>
          <w:p w14:paraId="516E1DFC" w14:textId="3B299BD7" w:rsidR="00980D94" w:rsidRPr="00A90B64" w:rsidRDefault="00980D94" w:rsidP="001D6382">
            <w:pPr>
              <w:spacing w:after="0" w:line="240" w:lineRule="auto"/>
              <w:jc w:val="center"/>
              <w:rPr>
                <w:sz w:val="20"/>
                <w:szCs w:val="20"/>
              </w:rPr>
            </w:pPr>
            <w:r w:rsidRPr="00A90B64">
              <w:rPr>
                <w:sz w:val="20"/>
                <w:szCs w:val="20"/>
              </w:rPr>
              <w:t>Philippine Financial Reporting Framework for Cooperatives</w:t>
            </w:r>
          </w:p>
        </w:tc>
        <w:tc>
          <w:tcPr>
            <w:tcW w:w="6300" w:type="dxa"/>
            <w:vAlign w:val="center"/>
          </w:tcPr>
          <w:p w14:paraId="08813932" w14:textId="0861389F" w:rsidR="00980D94" w:rsidRPr="00A90B64" w:rsidRDefault="00980D94" w:rsidP="001D6382">
            <w:pPr>
              <w:spacing w:after="0" w:line="240" w:lineRule="auto"/>
              <w:jc w:val="left"/>
              <w:rPr>
                <w:sz w:val="20"/>
                <w:szCs w:val="20"/>
              </w:rPr>
            </w:pPr>
            <w:r w:rsidRPr="00A90B64">
              <w:rPr>
                <w:sz w:val="20"/>
                <w:szCs w:val="20"/>
              </w:rPr>
              <w:t xml:space="preserve">Annual financial audit conducted by an external auditor, who is: (a) independent of the cooperative or any of its subsidiary that is being audited; and (b) a member in good standing of the PICPA and is accredited by both the BOA and the CDA.  </w:t>
            </w:r>
          </w:p>
        </w:tc>
      </w:tr>
      <w:tr w:rsidR="002F69D1" w:rsidRPr="00A90B64" w14:paraId="7E2E5A2F" w14:textId="77777777" w:rsidTr="00C04BF9">
        <w:trPr>
          <w:cantSplit/>
          <w:jc w:val="center"/>
        </w:trPr>
        <w:tc>
          <w:tcPr>
            <w:tcW w:w="1350" w:type="dxa"/>
            <w:tcBorders>
              <w:bottom w:val="single" w:sz="4" w:space="0" w:color="8C8D90"/>
            </w:tcBorders>
            <w:shd w:val="clear" w:color="auto" w:fill="D9D9D9" w:themeFill="background1" w:themeFillShade="D9"/>
            <w:vAlign w:val="center"/>
          </w:tcPr>
          <w:p w14:paraId="0994D647" w14:textId="325587E9" w:rsidR="00980D94" w:rsidRPr="00A90B64" w:rsidRDefault="00980D94" w:rsidP="001D6382">
            <w:pPr>
              <w:spacing w:after="0" w:line="240" w:lineRule="auto"/>
              <w:jc w:val="left"/>
              <w:rPr>
                <w:b/>
                <w:sz w:val="20"/>
                <w:szCs w:val="20"/>
              </w:rPr>
            </w:pPr>
            <w:r w:rsidRPr="00A90B64">
              <w:rPr>
                <w:b/>
                <w:sz w:val="20"/>
                <w:szCs w:val="20"/>
              </w:rPr>
              <w:t xml:space="preserve">Electric </w:t>
            </w:r>
            <w:r w:rsidR="00857044">
              <w:rPr>
                <w:b/>
                <w:sz w:val="20"/>
                <w:szCs w:val="20"/>
              </w:rPr>
              <w:t>C</w:t>
            </w:r>
            <w:r w:rsidR="00857044" w:rsidRPr="00A90B64">
              <w:rPr>
                <w:b/>
                <w:sz w:val="20"/>
                <w:szCs w:val="20"/>
              </w:rPr>
              <w:t>ooperatives</w:t>
            </w:r>
          </w:p>
        </w:tc>
        <w:tc>
          <w:tcPr>
            <w:tcW w:w="4410" w:type="dxa"/>
            <w:tcBorders>
              <w:bottom w:val="single" w:sz="4" w:space="0" w:color="8C8D90"/>
            </w:tcBorders>
            <w:shd w:val="clear" w:color="auto" w:fill="D9D9D9" w:themeFill="background1" w:themeFillShade="D9"/>
            <w:vAlign w:val="center"/>
          </w:tcPr>
          <w:p w14:paraId="2DED19C4" w14:textId="0E296890" w:rsidR="00980D94" w:rsidRPr="00A90B64" w:rsidRDefault="00980D94" w:rsidP="001D6382">
            <w:pPr>
              <w:spacing w:after="0" w:line="240" w:lineRule="auto"/>
              <w:jc w:val="left"/>
              <w:rPr>
                <w:sz w:val="20"/>
                <w:szCs w:val="20"/>
              </w:rPr>
            </w:pPr>
            <w:r w:rsidRPr="00A90B64">
              <w:rPr>
                <w:rFonts w:cstheme="minorHAnsi"/>
                <w:sz w:val="20"/>
                <w:szCs w:val="20"/>
              </w:rPr>
              <w:t>Electric distribution utilities organized and registered with the National Electrification Administration (NEA).</w:t>
            </w:r>
          </w:p>
        </w:tc>
        <w:tc>
          <w:tcPr>
            <w:tcW w:w="1890" w:type="dxa"/>
            <w:tcBorders>
              <w:bottom w:val="single" w:sz="4" w:space="0" w:color="8C8D90"/>
            </w:tcBorders>
            <w:shd w:val="clear" w:color="auto" w:fill="D9D9D9" w:themeFill="background1" w:themeFillShade="D9"/>
            <w:vAlign w:val="center"/>
          </w:tcPr>
          <w:p w14:paraId="7C0241FA" w14:textId="5827EA4B" w:rsidR="00980D94" w:rsidRPr="00A90B64" w:rsidRDefault="00980D94" w:rsidP="001D6382">
            <w:pPr>
              <w:spacing w:after="0" w:line="240" w:lineRule="auto"/>
              <w:jc w:val="center"/>
              <w:rPr>
                <w:sz w:val="20"/>
                <w:szCs w:val="20"/>
              </w:rPr>
            </w:pPr>
            <w:r w:rsidRPr="00A90B64">
              <w:rPr>
                <w:rFonts w:eastAsia="MS Gothic" w:cstheme="minorHAnsi"/>
                <w:sz w:val="20"/>
                <w:szCs w:val="20"/>
              </w:rPr>
              <w:t>PFRS</w:t>
            </w:r>
          </w:p>
        </w:tc>
        <w:tc>
          <w:tcPr>
            <w:tcW w:w="6300" w:type="dxa"/>
            <w:tcBorders>
              <w:bottom w:val="single" w:sz="4" w:space="0" w:color="8C8D90"/>
            </w:tcBorders>
            <w:shd w:val="clear" w:color="auto" w:fill="D9D9D9" w:themeFill="background1" w:themeFillShade="D9"/>
            <w:vAlign w:val="center"/>
          </w:tcPr>
          <w:p w14:paraId="7DAA027C" w14:textId="4D2E0176" w:rsidR="00980D94" w:rsidRPr="00A90B64" w:rsidRDefault="00980D94" w:rsidP="001D6382">
            <w:pPr>
              <w:spacing w:after="0" w:line="240" w:lineRule="auto"/>
              <w:jc w:val="left"/>
              <w:rPr>
                <w:sz w:val="20"/>
                <w:szCs w:val="20"/>
              </w:rPr>
            </w:pPr>
            <w:r w:rsidRPr="00A90B64">
              <w:rPr>
                <w:sz w:val="20"/>
                <w:szCs w:val="20"/>
              </w:rPr>
              <w:t>Annual audit of financial statements by external auditor with accreditation approved by the NEA Administrator.</w:t>
            </w:r>
          </w:p>
        </w:tc>
      </w:tr>
      <w:tr w:rsidR="002F69D1" w:rsidRPr="00A90B64" w14:paraId="01EE1D2F" w14:textId="77777777" w:rsidTr="00C04BF9">
        <w:trPr>
          <w:cantSplit/>
          <w:jc w:val="center"/>
        </w:trPr>
        <w:tc>
          <w:tcPr>
            <w:tcW w:w="1350" w:type="dxa"/>
            <w:tcBorders>
              <w:bottom w:val="single" w:sz="4" w:space="0" w:color="4472C4"/>
            </w:tcBorders>
            <w:vAlign w:val="center"/>
          </w:tcPr>
          <w:p w14:paraId="28FCD716" w14:textId="164BD2B5" w:rsidR="00980D94" w:rsidRPr="00A90B64" w:rsidRDefault="00980D94" w:rsidP="001D6382">
            <w:pPr>
              <w:spacing w:after="0" w:line="240" w:lineRule="auto"/>
              <w:jc w:val="left"/>
              <w:rPr>
                <w:b/>
                <w:sz w:val="20"/>
                <w:szCs w:val="20"/>
              </w:rPr>
            </w:pPr>
            <w:r w:rsidRPr="00A90B64">
              <w:rPr>
                <w:b/>
                <w:sz w:val="20"/>
                <w:szCs w:val="20"/>
              </w:rPr>
              <w:t xml:space="preserve">State-owned </w:t>
            </w:r>
            <w:r w:rsidR="00857044">
              <w:rPr>
                <w:b/>
                <w:sz w:val="20"/>
                <w:szCs w:val="20"/>
              </w:rPr>
              <w:t>E</w:t>
            </w:r>
            <w:r w:rsidR="00857044" w:rsidRPr="00A90B64">
              <w:rPr>
                <w:b/>
                <w:sz w:val="20"/>
                <w:szCs w:val="20"/>
              </w:rPr>
              <w:t>ntities</w:t>
            </w:r>
          </w:p>
        </w:tc>
        <w:tc>
          <w:tcPr>
            <w:tcW w:w="4410" w:type="dxa"/>
            <w:tcBorders>
              <w:bottom w:val="single" w:sz="4" w:space="0" w:color="4472C4"/>
            </w:tcBorders>
            <w:vAlign w:val="center"/>
          </w:tcPr>
          <w:p w14:paraId="06D4311A" w14:textId="5F6067B5" w:rsidR="00980D94" w:rsidRPr="00A90B64" w:rsidRDefault="00980D94" w:rsidP="001D6382">
            <w:pPr>
              <w:spacing w:after="0" w:line="240" w:lineRule="auto"/>
              <w:jc w:val="left"/>
              <w:rPr>
                <w:sz w:val="20"/>
                <w:szCs w:val="20"/>
              </w:rPr>
            </w:pPr>
            <w:r w:rsidRPr="00A90B64">
              <w:rPr>
                <w:rFonts w:cstheme="minorHAnsi"/>
                <w:sz w:val="20"/>
                <w:szCs w:val="20"/>
              </w:rPr>
              <w:t>Government-owned and controlled corporations</w:t>
            </w:r>
          </w:p>
        </w:tc>
        <w:tc>
          <w:tcPr>
            <w:tcW w:w="1890" w:type="dxa"/>
            <w:tcBorders>
              <w:bottom w:val="single" w:sz="4" w:space="0" w:color="4472C4"/>
            </w:tcBorders>
            <w:vAlign w:val="center"/>
          </w:tcPr>
          <w:p w14:paraId="156C5836" w14:textId="13909EA1" w:rsidR="00980D94" w:rsidRPr="00A90B64" w:rsidRDefault="00980D94" w:rsidP="001D6382">
            <w:pPr>
              <w:spacing w:after="0" w:line="240" w:lineRule="auto"/>
              <w:jc w:val="center"/>
              <w:rPr>
                <w:sz w:val="20"/>
                <w:szCs w:val="20"/>
              </w:rPr>
            </w:pPr>
            <w:r w:rsidRPr="00A90B64">
              <w:rPr>
                <w:sz w:val="20"/>
                <w:szCs w:val="20"/>
              </w:rPr>
              <w:t>PFRS and PFRS for SME (for those classified as Government Business Entity and those qualifying as SME, respectively under COA Circular No. 2015-003)</w:t>
            </w:r>
          </w:p>
        </w:tc>
        <w:tc>
          <w:tcPr>
            <w:tcW w:w="6300" w:type="dxa"/>
            <w:tcBorders>
              <w:bottom w:val="single" w:sz="4" w:space="0" w:color="4472C4"/>
            </w:tcBorders>
            <w:vAlign w:val="center"/>
          </w:tcPr>
          <w:p w14:paraId="7880D812" w14:textId="4D69AE57" w:rsidR="00980D94" w:rsidRPr="00A90B64" w:rsidRDefault="00980D94" w:rsidP="001D6382">
            <w:pPr>
              <w:spacing w:after="0" w:line="240" w:lineRule="auto"/>
              <w:jc w:val="center"/>
              <w:rPr>
                <w:sz w:val="20"/>
                <w:szCs w:val="20"/>
              </w:rPr>
            </w:pPr>
            <w:r w:rsidRPr="00A90B64">
              <w:rPr>
                <w:sz w:val="20"/>
                <w:szCs w:val="20"/>
              </w:rPr>
              <w:t>Annual audit of financial statements by the COA.</w:t>
            </w:r>
          </w:p>
        </w:tc>
      </w:tr>
    </w:tbl>
    <w:p w14:paraId="77B70FC5" w14:textId="44D519CD" w:rsidR="005E2A62" w:rsidRDefault="005E2A62" w:rsidP="00F76E53">
      <w:pPr>
        <w:sectPr w:rsidR="005E2A62" w:rsidSect="0002662F">
          <w:footerReference w:type="default" r:id="rId19"/>
          <w:type w:val="nextColumn"/>
          <w:pgSz w:w="16838" w:h="11906" w:orient="landscape" w:code="9"/>
          <w:pgMar w:top="1440" w:right="1440" w:bottom="1440" w:left="1440" w:header="720" w:footer="720" w:gutter="0"/>
          <w:cols w:space="720"/>
          <w:docGrid w:linePitch="360"/>
        </w:sectPr>
      </w:pPr>
    </w:p>
    <w:p w14:paraId="0AA55BA5" w14:textId="77777777" w:rsidR="00990EB9" w:rsidRPr="008F1E62" w:rsidRDefault="00990EB9" w:rsidP="00232BA0">
      <w:pPr>
        <w:pStyle w:val="BodyText4"/>
        <w:numPr>
          <w:ilvl w:val="0"/>
          <w:numId w:val="2"/>
        </w:numPr>
        <w:tabs>
          <w:tab w:val="clear" w:pos="360"/>
          <w:tab w:val="num" w:pos="0"/>
        </w:tabs>
        <w:spacing w:after="100" w:line="276" w:lineRule="auto"/>
        <w:ind w:left="0" w:hanging="540"/>
        <w:rPr>
          <w:rFonts w:asciiTheme="minorHAnsi" w:hAnsiTheme="minorHAnsi"/>
          <w:b/>
          <w:bCs/>
        </w:rPr>
      </w:pPr>
      <w:r w:rsidRPr="008F1E62">
        <w:rPr>
          <w:rFonts w:asciiTheme="minorHAnsi" w:hAnsiTheme="minorHAnsi"/>
          <w:b/>
        </w:rPr>
        <w:t>In the Philippines, separation of the compilation and auditing functions is required under the following authoritative pronouncements:</w:t>
      </w:r>
    </w:p>
    <w:p w14:paraId="5965B7DF" w14:textId="2B2EEA91" w:rsidR="00D225F6" w:rsidRPr="008F1E62" w:rsidRDefault="00990EB9" w:rsidP="00FF7A94">
      <w:pPr>
        <w:pStyle w:val="BodyText4"/>
        <w:numPr>
          <w:ilvl w:val="0"/>
          <w:numId w:val="30"/>
        </w:numPr>
        <w:spacing w:after="100" w:line="276" w:lineRule="auto"/>
        <w:rPr>
          <w:rFonts w:asciiTheme="minorHAnsi" w:hAnsiTheme="minorHAnsi"/>
          <w:b/>
          <w:bCs/>
        </w:rPr>
      </w:pPr>
      <w:r w:rsidRPr="008F1E62">
        <w:rPr>
          <w:rFonts w:asciiTheme="minorHAnsi" w:hAnsiTheme="minorHAnsi"/>
          <w:bCs/>
        </w:rPr>
        <w:t>The Philippine Code of Ethics for Professional Accountants addresses, among other things, self-review threats, which may occur when a previous judgment needs to be re-evaluated by the professional accountant responsible for that judgment</w:t>
      </w:r>
      <w:r w:rsidR="00D225F6" w:rsidRPr="008F1E62">
        <w:rPr>
          <w:rFonts w:asciiTheme="minorHAnsi" w:hAnsiTheme="minorHAnsi"/>
          <w:bCs/>
        </w:rPr>
        <w:t>;</w:t>
      </w:r>
      <w:r w:rsidRPr="008F1E62">
        <w:rPr>
          <w:rFonts w:asciiTheme="minorHAnsi" w:hAnsiTheme="minorHAnsi"/>
          <w:bCs/>
        </w:rPr>
        <w:t xml:space="preserve"> </w:t>
      </w:r>
    </w:p>
    <w:p w14:paraId="2E4BCE8A" w14:textId="77777777" w:rsidR="00D225F6" w:rsidRPr="008F1E62" w:rsidRDefault="00F76E53" w:rsidP="00FF7A94">
      <w:pPr>
        <w:pStyle w:val="BodyText4"/>
        <w:numPr>
          <w:ilvl w:val="0"/>
          <w:numId w:val="30"/>
        </w:numPr>
        <w:spacing w:after="100" w:line="276" w:lineRule="auto"/>
        <w:rPr>
          <w:rFonts w:asciiTheme="minorHAnsi" w:hAnsiTheme="minorHAnsi"/>
          <w:b/>
          <w:bCs/>
        </w:rPr>
      </w:pPr>
      <w:r w:rsidRPr="008F1E62">
        <w:rPr>
          <w:rFonts w:asciiTheme="minorHAnsi" w:hAnsiTheme="minorHAnsi"/>
          <w:bCs/>
        </w:rPr>
        <w:t>Separation of the compilation and audit functions are required under PSA, which require auditor independence</w:t>
      </w:r>
      <w:r w:rsidR="003645FA">
        <w:rPr>
          <w:rFonts w:asciiTheme="minorHAnsi" w:hAnsiTheme="minorHAnsi"/>
          <w:bCs/>
        </w:rPr>
        <w:t>.  If auditors are not independent, then this must be disclosed in the auditors’ report</w:t>
      </w:r>
      <w:r w:rsidR="00D225F6" w:rsidRPr="008F1E62">
        <w:rPr>
          <w:rFonts w:asciiTheme="minorHAnsi" w:hAnsiTheme="minorHAnsi"/>
          <w:bCs/>
        </w:rPr>
        <w:t>;</w:t>
      </w:r>
      <w:r w:rsidRPr="008F1E62">
        <w:rPr>
          <w:rFonts w:asciiTheme="minorHAnsi" w:hAnsiTheme="minorHAnsi"/>
        </w:rPr>
        <w:t xml:space="preserve">  </w:t>
      </w:r>
    </w:p>
    <w:p w14:paraId="2D3F4685" w14:textId="77777777" w:rsidR="00D225F6" w:rsidRPr="008F1E62" w:rsidRDefault="00D225F6" w:rsidP="00FF7A94">
      <w:pPr>
        <w:pStyle w:val="BodyText4"/>
        <w:numPr>
          <w:ilvl w:val="0"/>
          <w:numId w:val="30"/>
        </w:numPr>
        <w:spacing w:after="100" w:line="276" w:lineRule="auto"/>
        <w:rPr>
          <w:rFonts w:asciiTheme="minorHAnsi" w:hAnsiTheme="minorHAnsi"/>
          <w:b/>
          <w:bCs/>
        </w:rPr>
      </w:pPr>
      <w:r w:rsidRPr="008F1E62">
        <w:rPr>
          <w:rFonts w:asciiTheme="minorHAnsi" w:hAnsiTheme="minorHAnsi"/>
        </w:rPr>
        <w:t>F</w:t>
      </w:r>
      <w:r w:rsidR="00F76E53" w:rsidRPr="008F1E62">
        <w:rPr>
          <w:rFonts w:asciiTheme="minorHAnsi" w:hAnsiTheme="minorHAnsi"/>
        </w:rPr>
        <w:t xml:space="preserve">inancial statements compiled by third parties are subject to </w:t>
      </w:r>
      <w:r w:rsidR="00F76E53" w:rsidRPr="008F1E62">
        <w:rPr>
          <w:rFonts w:asciiTheme="minorHAnsi" w:hAnsiTheme="minorHAnsi"/>
          <w:i/>
          <w:iCs/>
        </w:rPr>
        <w:t>Philippine Standard on Related Services (PSRS) 4410</w:t>
      </w:r>
      <w:r w:rsidR="00F76E53" w:rsidRPr="008F1E62">
        <w:rPr>
          <w:rFonts w:asciiTheme="minorHAnsi" w:hAnsiTheme="minorHAnsi"/>
        </w:rPr>
        <w:t xml:space="preserve"> and therefore must include a report stating, among other things “a description of the practitioner’s responsibilities in compiling the financial information, including that the engagement was performed in accordance with this PSRS, and that the practitioner has complied with relevant ethical requirements”</w:t>
      </w:r>
      <w:r w:rsidRPr="008F1E62">
        <w:rPr>
          <w:rFonts w:asciiTheme="minorHAnsi" w:hAnsiTheme="minorHAnsi"/>
        </w:rPr>
        <w:t>;</w:t>
      </w:r>
      <w:r w:rsidR="00F76E53" w:rsidRPr="008F1E62">
        <w:rPr>
          <w:rFonts w:asciiTheme="minorHAnsi" w:hAnsiTheme="minorHAnsi"/>
        </w:rPr>
        <w:t xml:space="preserve"> </w:t>
      </w:r>
    </w:p>
    <w:p w14:paraId="6F81339B" w14:textId="73A379B7" w:rsidR="00D225F6" w:rsidRPr="008F1E62" w:rsidRDefault="00F76E53" w:rsidP="00FF7A94">
      <w:pPr>
        <w:pStyle w:val="BodyText4"/>
        <w:numPr>
          <w:ilvl w:val="0"/>
          <w:numId w:val="30"/>
        </w:numPr>
        <w:spacing w:after="100" w:line="276" w:lineRule="auto"/>
        <w:rPr>
          <w:rFonts w:asciiTheme="minorHAnsi" w:hAnsiTheme="minorHAnsi"/>
          <w:b/>
          <w:bCs/>
        </w:rPr>
      </w:pPr>
      <w:r w:rsidRPr="008F1E62">
        <w:rPr>
          <w:rFonts w:asciiTheme="minorHAnsi" w:hAnsiTheme="minorHAnsi"/>
        </w:rPr>
        <w:t>Financial statements of corporations include a statement of management responsibility signed by the Chairman of the Board, Chief Executive Officer</w:t>
      </w:r>
      <w:r w:rsidR="00074730">
        <w:rPr>
          <w:rFonts w:asciiTheme="minorHAnsi" w:hAnsiTheme="minorHAnsi"/>
        </w:rPr>
        <w:t>,</w:t>
      </w:r>
      <w:r w:rsidRPr="008F1E62">
        <w:rPr>
          <w:rFonts w:asciiTheme="minorHAnsi" w:hAnsiTheme="minorHAnsi"/>
        </w:rPr>
        <w:t xml:space="preserve"> and Chief Financial Officer of the corporations, which attest that management “is responsible for the preparation and fair presentation of the financial statements”.</w:t>
      </w:r>
      <w:r w:rsidR="005F1148" w:rsidRPr="008F1E62">
        <w:rPr>
          <w:rFonts w:asciiTheme="minorHAnsi" w:hAnsiTheme="minorHAnsi"/>
        </w:rPr>
        <w:t xml:space="preserve">  </w:t>
      </w:r>
    </w:p>
    <w:p w14:paraId="4AA5B29A" w14:textId="4731142E" w:rsidR="00F76E53" w:rsidRPr="00D34360" w:rsidRDefault="005F1148" w:rsidP="00FF7A94">
      <w:pPr>
        <w:pStyle w:val="BodyText4"/>
        <w:numPr>
          <w:ilvl w:val="0"/>
          <w:numId w:val="30"/>
        </w:numPr>
        <w:spacing w:after="300" w:line="276" w:lineRule="auto"/>
        <w:rPr>
          <w:rFonts w:asciiTheme="minorHAnsi" w:hAnsiTheme="minorHAnsi"/>
          <w:b/>
          <w:bCs/>
        </w:rPr>
      </w:pPr>
      <w:r w:rsidRPr="008F1E62">
        <w:rPr>
          <w:rFonts w:asciiTheme="minorHAnsi" w:hAnsiTheme="minorHAnsi"/>
        </w:rPr>
        <w:t>Finally, the SEC requires all SEC accredited auditors to submit a certification attesting their adherence to the Code of Ethics for Professional Accountants in the Philippines.</w:t>
      </w:r>
      <w:r w:rsidRPr="008F1E62">
        <w:rPr>
          <w:rStyle w:val="FootnoteReference"/>
          <w:rFonts w:asciiTheme="minorHAnsi" w:hAnsiTheme="minorHAnsi"/>
        </w:rPr>
        <w:footnoteReference w:id="48"/>
      </w:r>
    </w:p>
    <w:p w14:paraId="56FCDD64" w14:textId="77777777" w:rsidR="00232BA0" w:rsidRPr="008F1E62" w:rsidRDefault="00232BA0" w:rsidP="00232BA0">
      <w:pPr>
        <w:pStyle w:val="BodyText4"/>
        <w:numPr>
          <w:ilvl w:val="0"/>
          <w:numId w:val="2"/>
        </w:numPr>
        <w:spacing w:after="200" w:line="276" w:lineRule="auto"/>
        <w:ind w:left="0" w:hanging="567"/>
        <w:rPr>
          <w:rFonts w:asciiTheme="minorHAnsi" w:hAnsiTheme="minorHAnsi"/>
        </w:rPr>
      </w:pPr>
      <w:r w:rsidRPr="008F1E62">
        <w:rPr>
          <w:rFonts w:asciiTheme="minorHAnsi" w:eastAsia="Arial" w:hAnsiTheme="minorHAnsi" w:cs="Arial"/>
          <w:b/>
          <w:bCs/>
          <w:color w:val="000000"/>
        </w:rPr>
        <w:t>The additional compilation requirement faces objections and opposition from different stakeholders.</w:t>
      </w:r>
      <w:r w:rsidRPr="008F1E62">
        <w:rPr>
          <w:rFonts w:asciiTheme="minorHAnsi" w:hAnsiTheme="minorHAnsi" w:cs="Arial"/>
          <w:color w:val="000000"/>
        </w:rPr>
        <w:t xml:space="preserve"> The DOF has indicated in a press report that this requirement is burdensome and costly for taxpayers, particularly MSMEs. Also, the BIR in its </w:t>
      </w:r>
      <w:r>
        <w:rPr>
          <w:rFonts w:asciiTheme="minorHAnsi" w:hAnsiTheme="minorHAnsi" w:cs="Arial"/>
          <w:color w:val="000000"/>
        </w:rPr>
        <w:t>R</w:t>
      </w:r>
      <w:r w:rsidRPr="00845FB7">
        <w:rPr>
          <w:rFonts w:asciiTheme="minorHAnsi" w:hAnsiTheme="minorHAnsi" w:cs="Arial"/>
          <w:color w:val="000000"/>
        </w:rPr>
        <w:t>evenue Memorandum Circula</w:t>
      </w:r>
      <w:r>
        <w:rPr>
          <w:rFonts w:asciiTheme="minorHAnsi" w:hAnsiTheme="minorHAnsi" w:cs="Arial"/>
          <w:color w:val="000000"/>
        </w:rPr>
        <w:t>r</w:t>
      </w:r>
      <w:r w:rsidRPr="00845FB7" w:rsidDel="00845FB7">
        <w:rPr>
          <w:rFonts w:asciiTheme="minorHAnsi" w:hAnsiTheme="minorHAnsi" w:cs="Arial"/>
          <w:color w:val="000000"/>
        </w:rPr>
        <w:t xml:space="preserve"> </w:t>
      </w:r>
      <w:r w:rsidRPr="008F1E62">
        <w:rPr>
          <w:rFonts w:asciiTheme="minorHAnsi" w:hAnsiTheme="minorHAnsi" w:cs="Arial"/>
          <w:color w:val="000000"/>
        </w:rPr>
        <w:t xml:space="preserve">16-2017 dated Feb 22, 2017 clarified previous circulars and stated that only the existing documentary requirements in the filing of income tax returns should be submitted to the BIR in line with the government’s thrust on improving ease of doing business and streamlining of bureaucratic requirements.  </w:t>
      </w:r>
    </w:p>
    <w:p w14:paraId="0829F084" w14:textId="77777777" w:rsidR="00232BA0" w:rsidRPr="00484744" w:rsidRDefault="00232BA0" w:rsidP="00232BA0">
      <w:pPr>
        <w:pStyle w:val="BodyText4"/>
        <w:numPr>
          <w:ilvl w:val="0"/>
          <w:numId w:val="2"/>
        </w:numPr>
        <w:spacing w:after="200" w:line="276" w:lineRule="auto"/>
        <w:ind w:left="0" w:hanging="567"/>
        <w:rPr>
          <w:rFonts w:asciiTheme="minorHAnsi" w:hAnsiTheme="minorHAnsi"/>
        </w:rPr>
      </w:pPr>
      <w:proofErr w:type="gramStart"/>
      <w:r w:rsidRPr="008F1E62">
        <w:rPr>
          <w:rFonts w:asciiTheme="minorHAnsi" w:eastAsia="Arial" w:hAnsiTheme="minorHAnsi" w:cs="Arial"/>
          <w:b/>
          <w:bCs/>
          <w:color w:val="000000"/>
        </w:rPr>
        <w:t>In order to</w:t>
      </w:r>
      <w:proofErr w:type="gramEnd"/>
      <w:r w:rsidRPr="008F1E62">
        <w:rPr>
          <w:rFonts w:asciiTheme="minorHAnsi" w:eastAsia="Arial" w:hAnsiTheme="minorHAnsi" w:cs="Arial"/>
          <w:b/>
          <w:bCs/>
          <w:color w:val="000000"/>
        </w:rPr>
        <w:t xml:space="preserve"> effectively address the threat of self-review, the requirement and necessity for </w:t>
      </w:r>
      <w:r w:rsidRPr="008F1E62">
        <w:rPr>
          <w:rFonts w:asciiTheme="minorHAnsi" w:hAnsiTheme="minorHAnsi" w:cs="Calibri"/>
          <w:b/>
          <w:bCs/>
        </w:rPr>
        <w:t>separation</w:t>
      </w:r>
      <w:r w:rsidRPr="008F1E62">
        <w:rPr>
          <w:rFonts w:asciiTheme="minorHAnsi" w:eastAsia="Arial" w:hAnsiTheme="minorHAnsi" w:cs="Arial"/>
          <w:b/>
          <w:bCs/>
          <w:color w:val="000000"/>
        </w:rPr>
        <w:t xml:space="preserve"> of duties between the accounting and auditing functions must be understood by both CPAs and stakeholders alike.  </w:t>
      </w:r>
      <w:r w:rsidRPr="008F1E62">
        <w:rPr>
          <w:rFonts w:asciiTheme="minorHAnsi" w:eastAsia="Arial" w:hAnsiTheme="minorHAnsi" w:cs="Arial"/>
          <w:color w:val="000000"/>
        </w:rPr>
        <w:t>The capacity of SMEs to compile financial statements internally must be built to avoid the practice of over-reliance on external auditors in the process.  In practice, many SMEs do not have the expertise internally to compile financial statements under the prescribed financial reporting framework.  This further emphasizes the need for both simplified reporting requirements of SMEs and increased access to competent financial professionals.</w:t>
      </w:r>
    </w:p>
    <w:p w14:paraId="49F8A709" w14:textId="0A7ADAD0" w:rsidR="00FB3DC8" w:rsidRDefault="00FB3DC8" w:rsidP="00FB3DC8">
      <w:pPr>
        <w:pStyle w:val="BodyText4"/>
        <w:numPr>
          <w:ilvl w:val="0"/>
          <w:numId w:val="2"/>
        </w:numPr>
        <w:tabs>
          <w:tab w:val="clear" w:pos="360"/>
          <w:tab w:val="num" w:pos="0"/>
        </w:tabs>
        <w:spacing w:after="200" w:line="276" w:lineRule="auto"/>
        <w:ind w:left="0" w:hanging="540"/>
      </w:pPr>
      <w:r w:rsidRPr="008F1E62">
        <w:rPr>
          <w:rFonts w:asciiTheme="minorHAnsi" w:hAnsiTheme="minorHAnsi"/>
          <w:b/>
          <w:bCs/>
        </w:rPr>
        <w:t xml:space="preserve">Because </w:t>
      </w:r>
      <w:r w:rsidRPr="00FB3DC8">
        <w:rPr>
          <w:rFonts w:asciiTheme="minorHAnsi" w:hAnsiTheme="minorHAnsi"/>
          <w:b/>
          <w:bCs/>
        </w:rPr>
        <w:t>any position in any business or company in the private sector which requires supervising the recording of financial transactions, preparation of financial statements, coordinating with the external auditors for the audit of such financial statements, and other related functions shall be occupied only by a duly registered</w:t>
      </w:r>
      <w:r w:rsidR="009315BA">
        <w:rPr>
          <w:rFonts w:asciiTheme="minorHAnsi" w:hAnsiTheme="minorHAnsi"/>
          <w:b/>
          <w:bCs/>
        </w:rPr>
        <w:t xml:space="preserve"> </w:t>
      </w:r>
      <w:r w:rsidRPr="008F1E62">
        <w:rPr>
          <w:rFonts w:asciiTheme="minorHAnsi" w:hAnsiTheme="minorHAnsi"/>
          <w:b/>
          <w:bCs/>
        </w:rPr>
        <w:t>CPA</w:t>
      </w:r>
      <w:r w:rsidRPr="008F1E62">
        <w:rPr>
          <w:rStyle w:val="FootnoteReference"/>
          <w:rFonts w:asciiTheme="minorHAnsi" w:hAnsiTheme="minorHAnsi"/>
          <w:b/>
          <w:bCs/>
        </w:rPr>
        <w:footnoteReference w:id="49"/>
      </w:r>
      <w:r w:rsidRPr="008F1E62">
        <w:rPr>
          <w:rFonts w:asciiTheme="minorHAnsi" w:hAnsiTheme="minorHAnsi"/>
          <w:b/>
          <w:bCs/>
        </w:rPr>
        <w:t xml:space="preserve">, small businesses which do not employ a CPA </w:t>
      </w:r>
      <w:r w:rsidRPr="008F1E62">
        <w:rPr>
          <w:rFonts w:asciiTheme="minorHAnsi" w:hAnsiTheme="minorHAnsi" w:cs="Calibri"/>
          <w:b/>
          <w:bCs/>
        </w:rPr>
        <w:t>must</w:t>
      </w:r>
      <w:r w:rsidRPr="008F1E62">
        <w:rPr>
          <w:rFonts w:asciiTheme="minorHAnsi" w:hAnsiTheme="minorHAnsi"/>
          <w:b/>
          <w:bCs/>
        </w:rPr>
        <w:t xml:space="preserve"> incur additional cost to engage a CPA to </w:t>
      </w:r>
      <w:r>
        <w:rPr>
          <w:rFonts w:asciiTheme="minorHAnsi" w:hAnsiTheme="minorHAnsi"/>
          <w:b/>
          <w:bCs/>
        </w:rPr>
        <w:t>perform these services</w:t>
      </w:r>
      <w:r w:rsidRPr="008F1E62">
        <w:rPr>
          <w:rFonts w:asciiTheme="minorHAnsi" w:hAnsiTheme="minorHAnsi"/>
          <w:b/>
          <w:bCs/>
        </w:rPr>
        <w:t xml:space="preserve">.  </w:t>
      </w:r>
      <w:r w:rsidRPr="008F1E62">
        <w:rPr>
          <w:rFonts w:asciiTheme="minorHAnsi" w:hAnsiTheme="minorHAnsi"/>
        </w:rPr>
        <w:t>Many major jurisdictions,</w:t>
      </w:r>
      <w:r w:rsidRPr="008F1E62">
        <w:rPr>
          <w:rFonts w:asciiTheme="minorHAnsi" w:hAnsiTheme="minorHAnsi"/>
          <w:b/>
          <w:bCs/>
        </w:rPr>
        <w:t xml:space="preserve"> </w:t>
      </w:r>
      <w:r>
        <w:rPr>
          <w:rFonts w:asciiTheme="minorHAnsi" w:hAnsiTheme="minorHAnsi"/>
        </w:rPr>
        <w:t>such as</w:t>
      </w:r>
      <w:r w:rsidRPr="008F1E62">
        <w:rPr>
          <w:rFonts w:asciiTheme="minorHAnsi" w:hAnsiTheme="minorHAnsi"/>
        </w:rPr>
        <w:t xml:space="preserve"> the United States,</w:t>
      </w:r>
      <w:r w:rsidRPr="008F1E62">
        <w:rPr>
          <w:rFonts w:asciiTheme="minorHAnsi" w:hAnsiTheme="minorHAnsi"/>
          <w:b/>
          <w:bCs/>
        </w:rPr>
        <w:t xml:space="preserve"> </w:t>
      </w:r>
      <w:r w:rsidRPr="008F1E62">
        <w:rPr>
          <w:rFonts w:asciiTheme="minorHAnsi" w:hAnsiTheme="minorHAnsi"/>
        </w:rPr>
        <w:t xml:space="preserve">Australia, New Zealand, and the EU, do not require </w:t>
      </w:r>
      <w:r>
        <w:rPr>
          <w:rFonts w:asciiTheme="minorHAnsi" w:hAnsiTheme="minorHAnsi"/>
        </w:rPr>
        <w:t>the private sector to internally employ</w:t>
      </w:r>
      <w:r w:rsidRPr="008F1E62">
        <w:rPr>
          <w:rFonts w:asciiTheme="minorHAnsi" w:hAnsiTheme="minorHAnsi"/>
        </w:rPr>
        <w:t xml:space="preserve"> a CPA.  It is not uncommon for small businesses in these jurisdictions to employ non-CPA finance personnel, such as accounting technicians, to perform accounting functions and compile internally prepared financial statements for the entity.  Eliminating the requirement that a CPA must prepare internally compiled financial information would ease the cost of doing business for small and </w:t>
      </w:r>
      <w:r>
        <w:rPr>
          <w:rFonts w:asciiTheme="minorHAnsi" w:hAnsiTheme="minorHAnsi"/>
        </w:rPr>
        <w:t>medium</w:t>
      </w:r>
      <w:r w:rsidRPr="008F1E62">
        <w:rPr>
          <w:rFonts w:asciiTheme="minorHAnsi" w:hAnsiTheme="minorHAnsi"/>
        </w:rPr>
        <w:t xml:space="preserve"> enterprises </w:t>
      </w:r>
      <w:r>
        <w:rPr>
          <w:rFonts w:asciiTheme="minorHAnsi" w:hAnsiTheme="minorHAnsi"/>
        </w:rPr>
        <w:t xml:space="preserve">currently </w:t>
      </w:r>
      <w:r w:rsidRPr="008F1E62">
        <w:rPr>
          <w:rFonts w:asciiTheme="minorHAnsi" w:hAnsiTheme="minorHAnsi"/>
        </w:rPr>
        <w:t xml:space="preserve">subject to </w:t>
      </w:r>
      <w:r>
        <w:rPr>
          <w:rFonts w:asciiTheme="minorHAnsi" w:hAnsiTheme="minorHAnsi"/>
        </w:rPr>
        <w:t>this requirement</w:t>
      </w:r>
      <w:r w:rsidRPr="008F1E62">
        <w:rPr>
          <w:rFonts w:asciiTheme="minorHAnsi" w:hAnsiTheme="minorHAnsi"/>
        </w:rPr>
        <w:t>.</w:t>
      </w:r>
    </w:p>
    <w:p w14:paraId="49913E05" w14:textId="77777777" w:rsidR="00F76E53" w:rsidRPr="008F1E62" w:rsidRDefault="00F76E53" w:rsidP="0077686B">
      <w:pPr>
        <w:pStyle w:val="Heading3"/>
      </w:pPr>
      <w:r w:rsidRPr="008F1E62">
        <w:t>Publicly Listed Companies</w:t>
      </w:r>
    </w:p>
    <w:p w14:paraId="640515EA" w14:textId="77777777" w:rsidR="00F76E53" w:rsidRPr="008F1E62" w:rsidRDefault="00F76E53" w:rsidP="00FB3DC8">
      <w:pPr>
        <w:pStyle w:val="BodyText4"/>
        <w:numPr>
          <w:ilvl w:val="0"/>
          <w:numId w:val="2"/>
        </w:numPr>
        <w:spacing w:after="200" w:line="276" w:lineRule="auto"/>
        <w:ind w:left="0" w:hanging="567"/>
        <w:rPr>
          <w:rFonts w:ascii="Calibri" w:hAnsi="Calibri" w:cs="Arial"/>
        </w:rPr>
      </w:pPr>
      <w:r w:rsidRPr="008F1E62">
        <w:rPr>
          <w:rFonts w:ascii="Calibri" w:hAnsi="Calibri" w:cs="Arial"/>
          <w:b/>
          <w:bCs/>
        </w:rPr>
        <w:t>The SEC has established supervision procedures over the securities market.</w:t>
      </w:r>
      <w:r w:rsidRPr="008F1E62">
        <w:rPr>
          <w:rFonts w:ascii="Calibri" w:hAnsi="Calibri" w:cs="Arial"/>
        </w:rPr>
        <w:t xml:space="preserve"> SEC’s Markets and Securities Regulation Department monitors and regulates all market participants such as </w:t>
      </w:r>
      <w:r w:rsidRPr="008F1E62">
        <w:rPr>
          <w:rFonts w:ascii="Calibri" w:eastAsiaTheme="minorEastAsia" w:hAnsi="Calibri" w:cs="Arial"/>
        </w:rPr>
        <w:t xml:space="preserve">broker-dealers, securities underwriters, transfer agents, clearing houses, exchanges, SROs, depository registries, and other entities involved in the country’s capital market. </w:t>
      </w:r>
      <w:r w:rsidRPr="008F1E62">
        <w:rPr>
          <w:rFonts w:ascii="Calibri" w:hAnsi="Calibri" w:cs="Arial"/>
        </w:rPr>
        <w:t>At present, there are 22 specialists that review financial regulatory requirements of regulated entities. The staff hold Bachelor’s Degrees in Law, Accountancy, Finance, Economics, Mathematics, Statistics, or a related area.</w:t>
      </w:r>
    </w:p>
    <w:p w14:paraId="32269284" w14:textId="77777777" w:rsidR="00F76E53" w:rsidRPr="008F1E62" w:rsidRDefault="00F76E53" w:rsidP="00FB3DC8">
      <w:pPr>
        <w:pStyle w:val="BodyText4"/>
        <w:numPr>
          <w:ilvl w:val="0"/>
          <w:numId w:val="2"/>
        </w:numPr>
        <w:spacing w:after="200" w:line="276" w:lineRule="auto"/>
        <w:ind w:left="0" w:hanging="567"/>
        <w:rPr>
          <w:rFonts w:ascii="Calibri" w:hAnsi="Calibri"/>
        </w:rPr>
      </w:pPr>
      <w:r w:rsidRPr="008F1E62">
        <w:rPr>
          <w:rFonts w:ascii="Calibri" w:hAnsi="Calibri" w:cs="Arial"/>
          <w:b/>
          <w:bCs/>
        </w:rPr>
        <w:t xml:space="preserve">There are existing rules and regulations over statutory and audit quality requirements of </w:t>
      </w:r>
      <w:r w:rsidRPr="008F1E62">
        <w:rPr>
          <w:rFonts w:asciiTheme="minorHAnsi" w:hAnsiTheme="minorHAnsi" w:cs="Calibri"/>
          <w:b/>
          <w:bCs/>
        </w:rPr>
        <w:t>listed</w:t>
      </w:r>
      <w:r w:rsidRPr="008F1E62">
        <w:rPr>
          <w:rFonts w:ascii="Calibri" w:hAnsi="Calibri" w:cs="Arial"/>
          <w:b/>
          <w:bCs/>
        </w:rPr>
        <w:t xml:space="preserve"> companies. </w:t>
      </w:r>
      <w:r w:rsidRPr="008F1E62">
        <w:rPr>
          <w:rFonts w:ascii="Calibri" w:hAnsi="Calibri" w:cs="Arial"/>
        </w:rPr>
        <w:t>The</w:t>
      </w:r>
      <w:r w:rsidRPr="008F1E62">
        <w:rPr>
          <w:rFonts w:ascii="Calibri" w:hAnsi="Calibri" w:cs="Arial"/>
          <w:b/>
          <w:bCs/>
        </w:rPr>
        <w:t xml:space="preserve"> </w:t>
      </w:r>
      <w:r w:rsidRPr="008F1E62">
        <w:rPr>
          <w:rFonts w:ascii="Calibri" w:hAnsi="Calibri" w:cs="Arial"/>
        </w:rPr>
        <w:t xml:space="preserve">SRC Rule 68 requires that the annual financial statements of listed companies submitted to </w:t>
      </w:r>
      <w:r w:rsidR="00FB3DC8">
        <w:rPr>
          <w:rFonts w:ascii="Calibri" w:hAnsi="Calibri" w:cs="Arial"/>
        </w:rPr>
        <w:t xml:space="preserve">the </w:t>
      </w:r>
      <w:r w:rsidRPr="008F1E62">
        <w:rPr>
          <w:rFonts w:ascii="Calibri" w:hAnsi="Calibri" w:cs="Arial"/>
        </w:rPr>
        <w:t>SEC be accompanied by an auditor’s report issued by an independent auditor duly accredited by the SEC. T</w:t>
      </w:r>
      <w:r w:rsidRPr="008F1E62">
        <w:rPr>
          <w:rFonts w:ascii="Calibri" w:hAnsi="Calibri" w:cs="Arial"/>
          <w:color w:val="000000"/>
        </w:rPr>
        <w:t>he SEC through subsequent issuances of rules and regulation has prescribed other obligations of accredited external auditors to improve transparency, audit quality</w:t>
      </w:r>
      <w:r w:rsidR="0094266B">
        <w:rPr>
          <w:rFonts w:ascii="Calibri" w:hAnsi="Calibri" w:cs="Arial"/>
          <w:color w:val="000000"/>
        </w:rPr>
        <w:t>,</w:t>
      </w:r>
      <w:r w:rsidRPr="008F1E62">
        <w:rPr>
          <w:rFonts w:ascii="Calibri" w:hAnsi="Calibri" w:cs="Arial"/>
          <w:color w:val="000000"/>
        </w:rPr>
        <w:t xml:space="preserve"> and independence of external auditors. </w:t>
      </w:r>
      <w:r w:rsidRPr="008F1E62">
        <w:rPr>
          <w:rFonts w:ascii="Calibri" w:hAnsi="Calibri" w:cs="Arial"/>
        </w:rPr>
        <w:t>The audited financial statements of listed companies are reviewed by the SEC’s Office of the General Accountant.</w:t>
      </w:r>
    </w:p>
    <w:p w14:paraId="0CCFA9FF" w14:textId="77777777" w:rsidR="00F76E53" w:rsidRPr="008F1E62" w:rsidRDefault="00F76E53" w:rsidP="00FB3DC8">
      <w:pPr>
        <w:pStyle w:val="BodyText4"/>
        <w:numPr>
          <w:ilvl w:val="0"/>
          <w:numId w:val="2"/>
        </w:numPr>
        <w:spacing w:after="200" w:line="276" w:lineRule="auto"/>
        <w:ind w:left="0" w:hanging="567"/>
        <w:rPr>
          <w:rFonts w:ascii="Calibri" w:hAnsi="Calibri"/>
        </w:rPr>
      </w:pPr>
      <w:r w:rsidRPr="008F1E62">
        <w:rPr>
          <w:rFonts w:ascii="Calibri" w:hAnsi="Calibri"/>
          <w:b/>
        </w:rPr>
        <w:t>Under the SRC Rules, the independent auditors or, in the case of an audit firm, the signing partner, of a listed company should be rotated after every five years of engagement</w:t>
      </w:r>
      <w:r w:rsidRPr="008F1E62">
        <w:rPr>
          <w:rFonts w:ascii="Calibri" w:hAnsi="Calibri"/>
        </w:rPr>
        <w:t xml:space="preserve">. A </w:t>
      </w:r>
      <w:proofErr w:type="gramStart"/>
      <w:r w:rsidRPr="008F1E62">
        <w:rPr>
          <w:rFonts w:ascii="Calibri" w:hAnsi="Calibri"/>
        </w:rPr>
        <w:t xml:space="preserve">two </w:t>
      </w:r>
      <w:r w:rsidR="00D851F0">
        <w:rPr>
          <w:rFonts w:ascii="Calibri" w:hAnsi="Calibri"/>
        </w:rPr>
        <w:t xml:space="preserve"> </w:t>
      </w:r>
      <w:r w:rsidRPr="008F1E62">
        <w:rPr>
          <w:rFonts w:ascii="Calibri" w:hAnsi="Calibri"/>
        </w:rPr>
        <w:t>year</w:t>
      </w:r>
      <w:proofErr w:type="gramEnd"/>
      <w:r w:rsidRPr="008F1E62">
        <w:rPr>
          <w:rFonts w:ascii="Calibri" w:hAnsi="Calibri"/>
        </w:rPr>
        <w:t xml:space="preserve"> cooling off period shall be observed in the re-engagement of the same signing partner or individual auditor.  This is also reiterated in the revised code of corporate governance under Article 5 of SEC Memorandum Circular No. 6 Series of 2009 as part of Accountability and Audit.</w:t>
      </w:r>
    </w:p>
    <w:p w14:paraId="15B95F86" w14:textId="77777777" w:rsidR="00F76E53" w:rsidRPr="00FB3DC8" w:rsidRDefault="00E57C3E" w:rsidP="00FB3DC8">
      <w:pPr>
        <w:pStyle w:val="BodyText4"/>
        <w:numPr>
          <w:ilvl w:val="0"/>
          <w:numId w:val="2"/>
        </w:numPr>
        <w:spacing w:after="200" w:line="276" w:lineRule="auto"/>
        <w:ind w:left="0" w:hanging="567"/>
        <w:rPr>
          <w:rFonts w:ascii="Calibri" w:hAnsi="Calibri"/>
        </w:rPr>
      </w:pPr>
      <w:r w:rsidRPr="00484744">
        <w:rPr>
          <w:rFonts w:ascii="Calibri" w:hAnsi="Calibri" w:cs="Arial"/>
          <w:b/>
          <w:color w:val="000000"/>
        </w:rPr>
        <w:t xml:space="preserve">In 2015, the SEC launched the Philippine Corporate Governance Blueprint, a corporate governance roadmap for the next five years to create specific and concrete guidelines for all Philippine corporations, </w:t>
      </w:r>
      <w:proofErr w:type="gramStart"/>
      <w:r w:rsidRPr="00484744">
        <w:rPr>
          <w:rFonts w:ascii="Calibri" w:hAnsi="Calibri" w:cs="Arial"/>
          <w:b/>
          <w:color w:val="000000"/>
        </w:rPr>
        <w:t>taking into account</w:t>
      </w:r>
      <w:proofErr w:type="gramEnd"/>
      <w:r w:rsidRPr="00484744">
        <w:rPr>
          <w:rFonts w:ascii="Calibri" w:hAnsi="Calibri" w:cs="Arial"/>
          <w:b/>
          <w:color w:val="000000"/>
        </w:rPr>
        <w:t xml:space="preserve"> the Philippine context and the G20/OECD Principles of Corporate Governance and ASEAN best practices.</w:t>
      </w:r>
      <w:r w:rsidRPr="00E57C3E">
        <w:rPr>
          <w:rFonts w:ascii="Calibri" w:hAnsi="Calibri" w:cs="Arial"/>
          <w:color w:val="000000"/>
        </w:rPr>
        <w:t xml:space="preserve"> </w:t>
      </w:r>
      <w:r w:rsidR="00F76E53" w:rsidRPr="00484744">
        <w:rPr>
          <w:rFonts w:asciiTheme="minorHAnsi" w:hAnsiTheme="minorHAnsi" w:cs="Calibri"/>
          <w:bCs/>
        </w:rPr>
        <w:t>T</w:t>
      </w:r>
      <w:r w:rsidR="00F76E53" w:rsidRPr="00484744">
        <w:rPr>
          <w:rFonts w:asciiTheme="minorHAnsi" w:hAnsiTheme="minorHAnsi" w:cs="Calibri"/>
          <w:bCs/>
          <w:color w:val="000000"/>
        </w:rPr>
        <w:t>he</w:t>
      </w:r>
      <w:r w:rsidR="00F76E53" w:rsidRPr="00484744">
        <w:rPr>
          <w:rFonts w:ascii="Calibri" w:hAnsi="Calibri" w:cs="Arial"/>
          <w:bCs/>
          <w:color w:val="000000"/>
        </w:rPr>
        <w:t xml:space="preserve"> Revised Code of Corporate Governance requires all Publicly-Listed Companies to establish a separate Board Audit Committee.</w:t>
      </w:r>
      <w:r w:rsidR="00F76E53" w:rsidRPr="008F1E62">
        <w:rPr>
          <w:rFonts w:ascii="Calibri" w:hAnsi="Calibri" w:cs="Arial"/>
          <w:color w:val="000000"/>
        </w:rPr>
        <w:t xml:space="preserve"> </w:t>
      </w:r>
      <w:r w:rsidR="00F76E53" w:rsidRPr="008F1E62">
        <w:rPr>
          <w:rFonts w:ascii="Calibri" w:hAnsi="Calibri" w:cs="Arial"/>
        </w:rPr>
        <w:t xml:space="preserve">The Board Audit Committee shall be composed of at least three directors, one of whom shall be an independent director and the appointed chair of the Audit Committee should be an independent director. </w:t>
      </w:r>
      <w:r w:rsidR="00F76E53" w:rsidRPr="008F1E62">
        <w:rPr>
          <w:rFonts w:ascii="Calibri" w:hAnsi="Calibri" w:cs="Arial"/>
          <w:color w:val="000000"/>
        </w:rPr>
        <w:t xml:space="preserve"> The Board, after consultations with the Audit Committee, shall recommend to the stockholders an external auditor duly accredited by the SEC Commission. </w:t>
      </w:r>
      <w:r w:rsidR="00F76E53" w:rsidRPr="008F1E62">
        <w:rPr>
          <w:rFonts w:asciiTheme="minorHAnsi" w:hAnsiTheme="minorHAnsi" w:cstheme="minorBidi"/>
        </w:rPr>
        <w:t>If the external auditor resigns, is dismissed</w:t>
      </w:r>
      <w:r w:rsidR="00992A0F">
        <w:rPr>
          <w:rFonts w:asciiTheme="minorHAnsi" w:hAnsiTheme="minorHAnsi" w:cstheme="minorBidi"/>
        </w:rPr>
        <w:t>,</w:t>
      </w:r>
      <w:r w:rsidR="00F76E53" w:rsidRPr="008F1E62">
        <w:rPr>
          <w:rFonts w:asciiTheme="minorHAnsi" w:hAnsiTheme="minorHAnsi" w:cstheme="minorBidi"/>
        </w:rPr>
        <w:t xml:space="preserve"> or ceases to perform </w:t>
      </w:r>
      <w:r w:rsidR="007D3C5F">
        <w:rPr>
          <w:rFonts w:asciiTheme="minorHAnsi" w:hAnsiTheme="minorHAnsi" w:cstheme="minorBidi"/>
        </w:rPr>
        <w:t>the</w:t>
      </w:r>
      <w:r w:rsidR="007D3C5F" w:rsidRPr="008F1E62">
        <w:rPr>
          <w:rFonts w:asciiTheme="minorHAnsi" w:hAnsiTheme="minorHAnsi" w:cstheme="minorBidi"/>
        </w:rPr>
        <w:t xml:space="preserve"> </w:t>
      </w:r>
      <w:r w:rsidR="00F76E53" w:rsidRPr="008F1E62">
        <w:rPr>
          <w:rFonts w:asciiTheme="minorHAnsi" w:hAnsiTheme="minorHAnsi" w:cstheme="minorBidi"/>
        </w:rPr>
        <w:t xml:space="preserve">service, the reasons for and the date of effectivity of such action shall be reported in the corporation’s annual and current reports. The report shall include a discussion of any disagreement between </w:t>
      </w:r>
      <w:r w:rsidR="00392A4B">
        <w:rPr>
          <w:rFonts w:asciiTheme="minorHAnsi" w:hAnsiTheme="minorHAnsi" w:cstheme="minorBidi"/>
        </w:rPr>
        <w:t>the external auditor</w:t>
      </w:r>
      <w:r w:rsidR="00392A4B" w:rsidRPr="008F1E62">
        <w:rPr>
          <w:rFonts w:asciiTheme="minorHAnsi" w:hAnsiTheme="minorHAnsi" w:cstheme="minorBidi"/>
        </w:rPr>
        <w:t xml:space="preserve"> </w:t>
      </w:r>
      <w:r w:rsidR="00F76E53" w:rsidRPr="008F1E62">
        <w:rPr>
          <w:rFonts w:asciiTheme="minorHAnsi" w:hAnsiTheme="minorHAnsi" w:cstheme="minorBidi"/>
        </w:rPr>
        <w:t>and the corporation on accounting principles or practices, financial disclosures</w:t>
      </w:r>
      <w:r w:rsidR="00392A4B">
        <w:rPr>
          <w:rFonts w:asciiTheme="minorHAnsi" w:hAnsiTheme="minorHAnsi" w:cstheme="minorBidi"/>
        </w:rPr>
        <w:t>,</w:t>
      </w:r>
      <w:r w:rsidR="00F76E53" w:rsidRPr="008F1E62">
        <w:rPr>
          <w:rFonts w:asciiTheme="minorHAnsi" w:hAnsiTheme="minorHAnsi" w:cstheme="minorBidi"/>
        </w:rPr>
        <w:t xml:space="preserve"> or audit procedures which the former auditor and the corporation failed to resolve satisfactorily</w:t>
      </w:r>
      <w:r w:rsidR="00FB3DC8">
        <w:rPr>
          <w:rFonts w:asciiTheme="minorHAnsi" w:hAnsiTheme="minorHAnsi" w:cstheme="minorHAnsi"/>
          <w:b/>
        </w:rPr>
        <w:t xml:space="preserve">.  </w:t>
      </w:r>
      <w:r w:rsidR="00F76E53" w:rsidRPr="00484744">
        <w:rPr>
          <w:rFonts w:asciiTheme="minorHAnsi" w:hAnsiTheme="minorHAnsi" w:cstheme="minorHAnsi"/>
        </w:rPr>
        <w:t xml:space="preserve">The Disclosure Rules of </w:t>
      </w:r>
      <w:r w:rsidR="00F76E53" w:rsidRPr="00484744">
        <w:rPr>
          <w:rFonts w:asciiTheme="minorHAnsi" w:hAnsiTheme="minorHAnsi" w:cs="Calibri"/>
          <w:bCs/>
        </w:rPr>
        <w:t>the</w:t>
      </w:r>
      <w:r w:rsidR="00F76E53" w:rsidRPr="00484744">
        <w:rPr>
          <w:rFonts w:asciiTheme="minorHAnsi" w:hAnsiTheme="minorHAnsi" w:cstheme="minorHAnsi"/>
        </w:rPr>
        <w:t xml:space="preserve"> PSE require the immediate disclosure to the PSE of a change in a listed company’s external auditor, which is considered a material event.</w:t>
      </w:r>
      <w:r w:rsidR="00F76E53" w:rsidRPr="00FB3DC8">
        <w:rPr>
          <w:rFonts w:cstheme="minorHAnsi"/>
        </w:rPr>
        <w:t xml:space="preserve"> </w:t>
      </w:r>
    </w:p>
    <w:p w14:paraId="039260E3" w14:textId="77777777" w:rsidR="00F76E53" w:rsidRPr="008F1E62" w:rsidRDefault="00F76E53" w:rsidP="00FB3DC8">
      <w:pPr>
        <w:pStyle w:val="BodyText4"/>
        <w:numPr>
          <w:ilvl w:val="0"/>
          <w:numId w:val="2"/>
        </w:numPr>
        <w:spacing w:after="200" w:line="276" w:lineRule="auto"/>
        <w:ind w:left="0" w:hanging="567"/>
        <w:rPr>
          <w:rFonts w:ascii="Calibri" w:hAnsi="Calibri"/>
        </w:rPr>
      </w:pPr>
      <w:r w:rsidRPr="008F1E62">
        <w:rPr>
          <w:rFonts w:ascii="Calibri" w:hAnsi="Calibri"/>
          <w:b/>
          <w:bCs/>
        </w:rPr>
        <w:t xml:space="preserve">The </w:t>
      </w:r>
      <w:r w:rsidRPr="008F1E62">
        <w:rPr>
          <w:rFonts w:asciiTheme="minorHAnsi" w:hAnsiTheme="minorHAnsi" w:cs="Calibri"/>
          <w:b/>
          <w:bCs/>
        </w:rPr>
        <w:t>audited</w:t>
      </w:r>
      <w:r w:rsidRPr="008F1E62">
        <w:rPr>
          <w:rFonts w:ascii="Calibri" w:hAnsi="Calibri"/>
          <w:b/>
          <w:bCs/>
        </w:rPr>
        <w:t xml:space="preserve"> financial statements of a listed company form part of its annual report which is required to be posted on the company’s website</w:t>
      </w:r>
      <w:r w:rsidRPr="008F1E62">
        <w:rPr>
          <w:rFonts w:ascii="Calibri" w:hAnsi="Calibri"/>
        </w:rPr>
        <w:t>.</w:t>
      </w:r>
      <w:r w:rsidRPr="008F1E62">
        <w:rPr>
          <w:rStyle w:val="FootnoteReference"/>
          <w:rFonts w:ascii="Calibri" w:hAnsi="Calibri"/>
        </w:rPr>
        <w:footnoteReference w:id="50"/>
      </w:r>
      <w:r w:rsidRPr="008F1E62">
        <w:rPr>
          <w:rFonts w:ascii="Calibri" w:hAnsi="Calibri"/>
        </w:rPr>
        <w:t xml:space="preserve"> Further, the PSE has required listed companies since 2008 to also post on their respective websites such annual reports, current reports, quarterly reports</w:t>
      </w:r>
      <w:r w:rsidR="004577CD">
        <w:rPr>
          <w:rFonts w:ascii="Calibri" w:hAnsi="Calibri"/>
        </w:rPr>
        <w:t>,</w:t>
      </w:r>
      <w:r w:rsidRPr="008F1E62">
        <w:rPr>
          <w:rFonts w:ascii="Calibri" w:hAnsi="Calibri"/>
        </w:rPr>
        <w:t xml:space="preserve"> and information statements.</w:t>
      </w:r>
      <w:r w:rsidRPr="008F1E62">
        <w:rPr>
          <w:rStyle w:val="FootnoteReference"/>
          <w:rFonts w:ascii="Calibri" w:hAnsi="Calibri"/>
        </w:rPr>
        <w:footnoteReference w:id="51"/>
      </w:r>
    </w:p>
    <w:p w14:paraId="219BA9B3" w14:textId="77777777" w:rsidR="00F76E53" w:rsidRPr="008F1E62" w:rsidRDefault="00F76E53" w:rsidP="00FB3DC8">
      <w:pPr>
        <w:pStyle w:val="BodyText4"/>
        <w:numPr>
          <w:ilvl w:val="0"/>
          <w:numId w:val="2"/>
        </w:numPr>
        <w:spacing w:after="200" w:line="276" w:lineRule="auto"/>
        <w:ind w:left="0" w:hanging="567"/>
        <w:rPr>
          <w:rFonts w:ascii="Calibri" w:hAnsi="Calibri"/>
        </w:rPr>
      </w:pPr>
      <w:r w:rsidRPr="008F1E62">
        <w:rPr>
          <w:rFonts w:asciiTheme="minorHAnsi" w:hAnsiTheme="minorHAnsi" w:cs="Calibri"/>
          <w:b/>
          <w:bCs/>
        </w:rPr>
        <w:t>Monitoring</w:t>
      </w:r>
      <w:r w:rsidRPr="008F1E62">
        <w:rPr>
          <w:rFonts w:ascii="Calibri" w:hAnsi="Calibri" w:cs="Arial"/>
          <w:b/>
          <w:bCs/>
        </w:rPr>
        <w:t xml:space="preserve"> and enforcement of regulations over listed companies are conducted by the SEC and PSE. </w:t>
      </w:r>
      <w:r w:rsidRPr="008F1E62">
        <w:rPr>
          <w:rFonts w:ascii="Calibri" w:hAnsi="Calibri" w:cs="Arial"/>
        </w:rPr>
        <w:t>The</w:t>
      </w:r>
      <w:r w:rsidRPr="008F1E62">
        <w:rPr>
          <w:rFonts w:ascii="Calibri" w:hAnsi="Calibri" w:cs="Arial"/>
          <w:b/>
          <w:bCs/>
        </w:rPr>
        <w:t xml:space="preserve"> </w:t>
      </w:r>
      <w:r w:rsidRPr="008F1E62">
        <w:rPr>
          <w:rFonts w:ascii="Calibri" w:hAnsi="Calibri" w:cs="Arial"/>
        </w:rPr>
        <w:t>SEC imposes fines and sanctions within its mandate to erring companies to effectively regulate the capital market and to protect the interest of the investors. Likewise, the PSE monitors compliance with accounting, financial reporting</w:t>
      </w:r>
      <w:r w:rsidR="003C6582">
        <w:rPr>
          <w:rFonts w:ascii="Calibri" w:hAnsi="Calibri" w:cs="Arial"/>
        </w:rPr>
        <w:t>,</w:t>
      </w:r>
      <w:r w:rsidRPr="008F1E62">
        <w:rPr>
          <w:rFonts w:ascii="Calibri" w:hAnsi="Calibri" w:cs="Arial"/>
        </w:rPr>
        <w:t xml:space="preserve"> and disclosure requirements for listed companies; and as a self-regulatory organization, it is empowered to formulate and implement its rules and impose penalties and sanctions on erring listed companies.  </w:t>
      </w:r>
      <w:r w:rsidRPr="008F1E62">
        <w:rPr>
          <w:rFonts w:ascii="Calibri" w:hAnsi="Calibri"/>
        </w:rPr>
        <w:t>Auditors are asked to explain findings, may require companies to correct or reissue the financial statements and audit reports, and are subject to fines and penalties.  Both the companies and auditors are subjected to penalties for violation of SEC rules, and for monetary penalties. Auditors are subject to fines equal to 50% of those imposed upon issuers.</w:t>
      </w:r>
    </w:p>
    <w:p w14:paraId="6BCA0B92" w14:textId="77777777" w:rsidR="00F76E53" w:rsidRPr="008F1E62" w:rsidRDefault="00F76E53" w:rsidP="00FB3DC8">
      <w:pPr>
        <w:pStyle w:val="BodyText4"/>
        <w:numPr>
          <w:ilvl w:val="0"/>
          <w:numId w:val="2"/>
        </w:numPr>
        <w:spacing w:after="200" w:line="276" w:lineRule="auto"/>
        <w:ind w:left="0" w:hanging="567"/>
        <w:rPr>
          <w:rFonts w:ascii="Calibri" w:hAnsi="Calibri"/>
        </w:rPr>
      </w:pPr>
      <w:r w:rsidRPr="008F1E62">
        <w:rPr>
          <w:rFonts w:asciiTheme="minorHAnsi" w:hAnsiTheme="minorHAnsi" w:cs="Calibri"/>
          <w:b/>
          <w:bCs/>
        </w:rPr>
        <w:t>There</w:t>
      </w:r>
      <w:r w:rsidRPr="008F1E62">
        <w:rPr>
          <w:rFonts w:ascii="Calibri" w:hAnsi="Calibri" w:cs="Arial"/>
          <w:b/>
          <w:bCs/>
        </w:rPr>
        <w:t xml:space="preserve"> are ongoing reforms </w:t>
      </w:r>
      <w:r w:rsidR="00FB3DC8">
        <w:rPr>
          <w:rFonts w:ascii="Calibri" w:hAnsi="Calibri" w:cs="Arial"/>
          <w:b/>
          <w:bCs/>
        </w:rPr>
        <w:t xml:space="preserve">within the SEC </w:t>
      </w:r>
      <w:r w:rsidRPr="008F1E62">
        <w:rPr>
          <w:rFonts w:ascii="Calibri" w:hAnsi="Calibri" w:cs="Arial"/>
          <w:b/>
          <w:bCs/>
        </w:rPr>
        <w:t xml:space="preserve">to align with recent international developments. </w:t>
      </w:r>
      <w:r w:rsidRPr="008F1E62">
        <w:rPr>
          <w:rFonts w:ascii="Calibri" w:hAnsi="Calibri" w:cs="Arial"/>
        </w:rPr>
        <w:t>The SEC is a member of the IOSCO</w:t>
      </w:r>
      <w:r w:rsidRPr="008F1E62">
        <w:rPr>
          <w:rStyle w:val="FootnoteReference"/>
          <w:rFonts w:ascii="Calibri" w:hAnsi="Calibri" w:cs="Arial"/>
        </w:rPr>
        <w:footnoteReference w:id="52"/>
      </w:r>
      <w:r w:rsidRPr="008F1E62">
        <w:rPr>
          <w:rFonts w:ascii="Calibri" w:hAnsi="Calibri" w:cs="Arial"/>
        </w:rPr>
        <w:t xml:space="preserve"> and is seeking to become a full signatory to the IOSCO Multilateral Memorandum of Understanding. Recently, the SEC also released the Code of Corporate Governance for Publicly-Listed Companies as part of its roadmap to provide direction in promoting a strong corporate governance culture guided by the recent changes in the Organization for Economic Co-operation and Development (OECD) principles of corporate governance.</w:t>
      </w:r>
    </w:p>
    <w:p w14:paraId="412ACE2F" w14:textId="77777777" w:rsidR="00F76E53" w:rsidRPr="008F1E62" w:rsidRDefault="00FB3DC8" w:rsidP="00FB3DC8">
      <w:pPr>
        <w:pStyle w:val="BodyText4"/>
        <w:numPr>
          <w:ilvl w:val="0"/>
          <w:numId w:val="2"/>
        </w:numPr>
        <w:spacing w:after="200" w:line="276" w:lineRule="auto"/>
        <w:ind w:left="0" w:hanging="567"/>
        <w:rPr>
          <w:rFonts w:asciiTheme="minorHAnsi" w:hAnsiTheme="minorHAnsi"/>
        </w:rPr>
      </w:pPr>
      <w:r>
        <w:rPr>
          <w:rFonts w:asciiTheme="minorHAnsi" w:hAnsiTheme="minorHAnsi"/>
          <w:b/>
        </w:rPr>
        <w:t>As part of its reform process, t</w:t>
      </w:r>
      <w:r w:rsidR="00F76E53" w:rsidRPr="008F1E62">
        <w:rPr>
          <w:rFonts w:asciiTheme="minorHAnsi" w:hAnsiTheme="minorHAnsi"/>
          <w:b/>
        </w:rPr>
        <w:t>he SEC is also in the process of rolling out the SEC Oversight Assurance Review (SOAR)</w:t>
      </w:r>
      <w:r>
        <w:rPr>
          <w:rFonts w:asciiTheme="minorHAnsi" w:hAnsiTheme="minorHAnsi"/>
          <w:b/>
        </w:rPr>
        <w:t xml:space="preserve"> inspection program</w:t>
      </w:r>
      <w:r w:rsidR="00F76E53" w:rsidRPr="008F1E62">
        <w:rPr>
          <w:rFonts w:asciiTheme="minorHAnsi" w:hAnsiTheme="minorHAnsi"/>
          <w:b/>
        </w:rPr>
        <w:t>.</w:t>
      </w:r>
      <w:r w:rsidR="00F76E53" w:rsidRPr="008F1E62">
        <w:rPr>
          <w:rFonts w:asciiTheme="minorHAnsi" w:hAnsiTheme="minorHAnsi"/>
        </w:rPr>
        <w:t xml:space="preserve">  The SOAR inspection program will involve an on-site review of the quality control policies and procedures of SEC accredited auditing firms and a review of portions of the audit work of selected audit engagements from time to time.  The SEC reports that the SOAR program will also support covered auditors’ compliance with PSQC 1, which is based on International Standard on Quality Control (Redrafted) “Quality Control for Firms that Perform Audits and Reviews of Financial Statements, and Other Assurance and Related Services Engagements”</w:t>
      </w:r>
      <w:r w:rsidR="00632B47" w:rsidRPr="008F1E62">
        <w:rPr>
          <w:rFonts w:asciiTheme="minorHAnsi" w:hAnsiTheme="minorHAnsi"/>
        </w:rPr>
        <w:t>,</w:t>
      </w:r>
      <w:r w:rsidR="00F76E53" w:rsidRPr="008F1E62">
        <w:rPr>
          <w:rFonts w:asciiTheme="minorHAnsi" w:hAnsiTheme="minorHAnsi"/>
        </w:rPr>
        <w:t xml:space="preserve"> issued by the International Auditing and Assurance Standards Board.</w:t>
      </w:r>
      <w:r w:rsidR="00F76E53" w:rsidRPr="008F1E62">
        <w:rPr>
          <w:rStyle w:val="FootnoteReference"/>
          <w:rFonts w:asciiTheme="minorHAnsi" w:hAnsiTheme="minorHAnsi"/>
        </w:rPr>
        <w:footnoteReference w:id="53"/>
      </w:r>
      <w:r w:rsidR="00F76E53" w:rsidRPr="008F1E62">
        <w:rPr>
          <w:rFonts w:asciiTheme="minorHAnsi" w:hAnsiTheme="minorHAnsi"/>
        </w:rPr>
        <w:t xml:space="preserve"> </w:t>
      </w:r>
      <w:r w:rsidR="00F76E53" w:rsidRPr="008F1E62">
        <w:rPr>
          <w:rFonts w:asciiTheme="minorHAnsi" w:eastAsia="SimSun" w:hAnsiTheme="minorHAnsi"/>
          <w:szCs w:val="24"/>
        </w:rPr>
        <w:t>Measures to ensure that reviewers will be adequately qualified and compensated are not yet known.</w:t>
      </w:r>
    </w:p>
    <w:p w14:paraId="2234BB84" w14:textId="77777777" w:rsidR="00F76E53" w:rsidRPr="008F1E62" w:rsidRDefault="00F76E53" w:rsidP="0077686B">
      <w:pPr>
        <w:pStyle w:val="Heading3"/>
      </w:pPr>
      <w:r w:rsidRPr="008F1E62">
        <w:t>Banking Sector</w:t>
      </w:r>
    </w:p>
    <w:p w14:paraId="5C0A73A5" w14:textId="2FD59005" w:rsidR="00F76E53" w:rsidRPr="008F1E62" w:rsidRDefault="00F76E53" w:rsidP="009315BA">
      <w:pPr>
        <w:pStyle w:val="BodyText4"/>
        <w:numPr>
          <w:ilvl w:val="0"/>
          <w:numId w:val="2"/>
        </w:numPr>
        <w:spacing w:after="200" w:line="276" w:lineRule="auto"/>
        <w:ind w:left="0" w:hanging="567"/>
        <w:rPr>
          <w:rFonts w:asciiTheme="minorHAnsi" w:hAnsiTheme="minorHAnsi" w:cstheme="minorBidi"/>
          <w:b/>
          <w:bCs/>
        </w:rPr>
      </w:pPr>
      <w:r w:rsidRPr="008F1E62">
        <w:rPr>
          <w:rFonts w:asciiTheme="minorHAnsi" w:hAnsiTheme="minorHAnsi" w:cs="Calibri"/>
          <w:b/>
          <w:bCs/>
        </w:rPr>
        <w:t>Banks</w:t>
      </w:r>
      <w:r w:rsidRPr="008F1E62">
        <w:rPr>
          <w:rFonts w:asciiTheme="minorHAnsi" w:hAnsiTheme="minorHAnsi"/>
          <w:b/>
          <w:bCs/>
        </w:rPr>
        <w:t xml:space="preserve"> are required to comply with the financial reporting requirements of PFRS and submit additional prudential reports</w:t>
      </w:r>
      <w:r w:rsidR="00B5550E">
        <w:rPr>
          <w:rFonts w:asciiTheme="minorHAnsi" w:hAnsiTheme="minorHAnsi"/>
        </w:rPr>
        <w:t>.</w:t>
      </w:r>
      <w:r w:rsidRPr="008F1E62">
        <w:rPr>
          <w:rStyle w:val="FootnoteReference"/>
          <w:rFonts w:asciiTheme="minorHAnsi" w:hAnsiTheme="minorHAnsi"/>
        </w:rPr>
        <w:footnoteReference w:id="54"/>
      </w:r>
      <w:r w:rsidRPr="008F1E62">
        <w:rPr>
          <w:rFonts w:asciiTheme="minorHAnsi" w:hAnsiTheme="minorHAnsi" w:cstheme="minorBidi"/>
        </w:rPr>
        <w:t xml:space="preserve"> </w:t>
      </w:r>
      <w:r w:rsidRPr="008F1E62">
        <w:rPr>
          <w:rFonts w:asciiTheme="minorHAnsi" w:eastAsia="SimSun" w:hAnsiTheme="minorHAnsi" w:cstheme="minorBidi"/>
        </w:rPr>
        <w:t>In cases where the standard provides more than one option in accounting, the option or limit prescribed by BSP regulations shall be adopted by banks. In addition to BSP reporting, banks also comply with SEC, PSE (if listed) and BIR requirements.</w:t>
      </w:r>
      <w:r w:rsidRPr="008F1E62">
        <w:rPr>
          <w:rFonts w:asciiTheme="minorHAnsi" w:hAnsiTheme="minorHAnsi"/>
        </w:rPr>
        <w:t xml:space="preserve"> </w:t>
      </w:r>
      <w:r w:rsidRPr="008F1E62">
        <w:rPr>
          <w:rFonts w:asciiTheme="minorHAnsi" w:eastAsia="SimSun" w:hAnsiTheme="minorHAnsi" w:cstheme="minorBidi"/>
        </w:rPr>
        <w:t>For prudential reporting purposes, the BSP issued the Financial Reporting Package for Banks</w:t>
      </w:r>
      <w:r w:rsidRPr="008F1E62">
        <w:rPr>
          <w:rStyle w:val="FootnoteReference"/>
          <w:rFonts w:asciiTheme="minorHAnsi" w:eastAsia="SimSun" w:hAnsiTheme="minorHAnsi" w:cstheme="minorBidi"/>
        </w:rPr>
        <w:footnoteReference w:id="55"/>
      </w:r>
      <w:r w:rsidRPr="008F1E62">
        <w:rPr>
          <w:rFonts w:asciiTheme="minorHAnsi" w:eastAsia="SimSun" w:hAnsiTheme="minorHAnsi" w:cstheme="minorBidi"/>
        </w:rPr>
        <w:t xml:space="preserve">.  The </w:t>
      </w:r>
      <w:r w:rsidR="00BB7408" w:rsidRPr="00BB7408">
        <w:rPr>
          <w:rFonts w:asciiTheme="minorHAnsi" w:eastAsia="SimSun" w:hAnsiTheme="minorHAnsi" w:cstheme="minorBidi"/>
        </w:rPr>
        <w:t xml:space="preserve">Financial Reporting Package </w:t>
      </w:r>
      <w:r w:rsidRPr="008F1E62">
        <w:rPr>
          <w:rFonts w:asciiTheme="minorHAnsi" w:eastAsia="SimSun" w:hAnsiTheme="minorHAnsi" w:cstheme="minorBidi"/>
        </w:rPr>
        <w:t>is a set of financial statements that is primarily designed to align the BSP’s reporting requirements with PFRS/Philippine Accounting Standards (PAS)</w:t>
      </w:r>
      <w:r w:rsidR="001D2A25">
        <w:rPr>
          <w:rFonts w:asciiTheme="minorHAnsi" w:eastAsia="SimSun" w:hAnsiTheme="minorHAnsi" w:cstheme="minorBidi"/>
        </w:rPr>
        <w:t>. D</w:t>
      </w:r>
      <w:r w:rsidRPr="008F1E62">
        <w:rPr>
          <w:rFonts w:asciiTheme="minorHAnsi" w:eastAsia="SimSun" w:hAnsiTheme="minorHAnsi" w:cstheme="minorBidi"/>
        </w:rPr>
        <w:t>epending on the type of report</w:t>
      </w:r>
      <w:r w:rsidR="001D2A25">
        <w:rPr>
          <w:rFonts w:asciiTheme="minorHAnsi" w:eastAsia="SimSun" w:hAnsiTheme="minorHAnsi" w:cstheme="minorBidi"/>
        </w:rPr>
        <w:t>, they</w:t>
      </w:r>
      <w:r w:rsidRPr="008F1E62">
        <w:rPr>
          <w:rFonts w:asciiTheme="minorHAnsi" w:eastAsia="SimSun" w:hAnsiTheme="minorHAnsi" w:cstheme="minorBidi"/>
        </w:rPr>
        <w:t xml:space="preserve"> are submitted to BSP on a monthly, quarterly</w:t>
      </w:r>
      <w:r w:rsidR="00466FEC">
        <w:rPr>
          <w:rFonts w:asciiTheme="minorHAnsi" w:eastAsia="SimSun" w:hAnsiTheme="minorHAnsi" w:cstheme="minorBidi"/>
        </w:rPr>
        <w:t>,</w:t>
      </w:r>
      <w:r w:rsidRPr="008F1E62">
        <w:rPr>
          <w:rFonts w:asciiTheme="minorHAnsi" w:eastAsia="SimSun" w:hAnsiTheme="minorHAnsi" w:cstheme="minorBidi"/>
        </w:rPr>
        <w:t xml:space="preserve"> or annual basis.  </w:t>
      </w:r>
      <w:r w:rsidRPr="008F1E62">
        <w:rPr>
          <w:rFonts w:asciiTheme="minorHAnsi" w:hAnsiTheme="minorHAnsi" w:cstheme="minorBidi"/>
        </w:rPr>
        <w:t>In case there are differences between the general purpose financial statements and the regulatory prudential reporting, reconciliation is required to be submitted by the banks to the BSP.</w:t>
      </w:r>
      <w:r w:rsidRPr="008F1E62">
        <w:rPr>
          <w:rFonts w:asciiTheme="minorHAnsi" w:hAnsiTheme="minorHAnsi" w:cstheme="minorBidi"/>
          <w:b/>
          <w:bCs/>
        </w:rPr>
        <w:t xml:space="preserve"> </w:t>
      </w:r>
    </w:p>
    <w:p w14:paraId="18035FBA" w14:textId="63CE3243" w:rsidR="00F76E53" w:rsidRPr="008F1E62" w:rsidRDefault="00F76E53" w:rsidP="009315BA">
      <w:pPr>
        <w:pStyle w:val="BodyText4"/>
        <w:numPr>
          <w:ilvl w:val="0"/>
          <w:numId w:val="2"/>
        </w:numPr>
        <w:spacing w:after="200" w:line="276" w:lineRule="auto"/>
        <w:ind w:left="0" w:hanging="567"/>
        <w:rPr>
          <w:rFonts w:asciiTheme="minorHAnsi" w:eastAsia="SimSun" w:hAnsiTheme="minorHAnsi" w:cstheme="minorBidi"/>
        </w:rPr>
      </w:pPr>
      <w:r w:rsidRPr="008F1E62">
        <w:rPr>
          <w:rFonts w:asciiTheme="minorHAnsi" w:hAnsiTheme="minorHAnsi"/>
          <w:b/>
          <w:bCs/>
        </w:rPr>
        <w:t xml:space="preserve">Banks </w:t>
      </w:r>
      <w:r w:rsidRPr="009315BA">
        <w:rPr>
          <w:rFonts w:ascii="Calibri" w:hAnsi="Calibri"/>
          <w:b/>
          <w:bCs/>
        </w:rPr>
        <w:t>and</w:t>
      </w:r>
      <w:r w:rsidRPr="008F1E62">
        <w:rPr>
          <w:rFonts w:asciiTheme="minorHAnsi" w:eastAsia="SimSun" w:hAnsiTheme="minorHAnsi" w:cstheme="minorBidi"/>
        </w:rPr>
        <w:t xml:space="preserve"> </w:t>
      </w:r>
      <w:r w:rsidRPr="008F1E62">
        <w:rPr>
          <w:rFonts w:asciiTheme="minorHAnsi" w:eastAsia="SimSun" w:hAnsiTheme="minorHAnsi" w:cstheme="minorBidi"/>
          <w:b/>
          <w:bCs/>
        </w:rPr>
        <w:t>BSP- Supervised Financial Institutions (BSFIs)</w:t>
      </w:r>
      <w:r w:rsidRPr="008F1E62">
        <w:rPr>
          <w:rFonts w:asciiTheme="minorHAnsi" w:hAnsiTheme="minorHAnsi"/>
          <w:b/>
          <w:bCs/>
        </w:rPr>
        <w:t xml:space="preserve"> are subject to well-defined </w:t>
      </w:r>
      <w:r w:rsidRPr="008F1E62">
        <w:rPr>
          <w:rFonts w:ascii="Calibri" w:hAnsi="Calibri"/>
          <w:b/>
          <w:bCs/>
        </w:rPr>
        <w:t>recordkeeping</w:t>
      </w:r>
      <w:r w:rsidRPr="008F1E62">
        <w:rPr>
          <w:rFonts w:asciiTheme="minorHAnsi" w:hAnsiTheme="minorHAnsi"/>
          <w:b/>
          <w:bCs/>
        </w:rPr>
        <w:t xml:space="preserve"> and data integrity policies</w:t>
      </w:r>
      <w:r w:rsidRPr="008F1E62">
        <w:rPr>
          <w:rFonts w:asciiTheme="minorHAnsi" w:hAnsiTheme="minorHAnsi"/>
        </w:rPr>
        <w:t>. The</w:t>
      </w:r>
      <w:r w:rsidR="003C60E4">
        <w:rPr>
          <w:rFonts w:asciiTheme="minorHAnsi" w:hAnsiTheme="minorHAnsi"/>
        </w:rPr>
        <w:t>y</w:t>
      </w:r>
      <w:r w:rsidRPr="008F1E62">
        <w:rPr>
          <w:rFonts w:asciiTheme="minorHAnsi" w:hAnsiTheme="minorHAnsi"/>
        </w:rPr>
        <w:t xml:space="preserve"> are </w:t>
      </w:r>
      <w:r w:rsidRPr="008F1E62">
        <w:rPr>
          <w:rFonts w:asciiTheme="minorHAnsi" w:eastAsia="SimSun" w:hAnsiTheme="minorHAnsi" w:cstheme="minorBidi"/>
        </w:rPr>
        <w:t xml:space="preserve">required to comply with certain laws such as the Bank Secrecy Law and Anti-Money Laundering Law. The </w:t>
      </w:r>
      <w:r w:rsidR="00365D2F" w:rsidRPr="00365D2F">
        <w:rPr>
          <w:rFonts w:asciiTheme="minorHAnsi" w:eastAsia="SimSun" w:hAnsiTheme="minorHAnsi" w:cstheme="minorBidi"/>
        </w:rPr>
        <w:t xml:space="preserve">BSP Manual of Regulations for Banks </w:t>
      </w:r>
      <w:r w:rsidRPr="008F1E62">
        <w:rPr>
          <w:rFonts w:asciiTheme="minorHAnsi" w:eastAsia="SimSun" w:hAnsiTheme="minorHAnsi" w:cstheme="minorBidi"/>
        </w:rPr>
        <w:t xml:space="preserve">(Subsection X185.3) also requires that as part of banks’ control activities they should have adequate accounting policies, records, and processes. </w:t>
      </w:r>
    </w:p>
    <w:p w14:paraId="547C33CB" w14:textId="77777777" w:rsidR="00F76E53" w:rsidRPr="008F1E62" w:rsidRDefault="00F76E53" w:rsidP="009315BA">
      <w:pPr>
        <w:pStyle w:val="BodyText4"/>
        <w:numPr>
          <w:ilvl w:val="0"/>
          <w:numId w:val="2"/>
        </w:numPr>
        <w:spacing w:after="200" w:line="276" w:lineRule="auto"/>
        <w:ind w:left="0" w:hanging="567"/>
        <w:rPr>
          <w:rFonts w:asciiTheme="minorHAnsi" w:eastAsia="SimSun" w:hAnsiTheme="minorHAnsi" w:cstheme="minorBidi"/>
        </w:rPr>
      </w:pPr>
      <w:r w:rsidRPr="008F1E62">
        <w:rPr>
          <w:rFonts w:asciiTheme="minorHAnsi" w:hAnsiTheme="minorHAnsi"/>
          <w:b/>
          <w:bCs/>
        </w:rPr>
        <w:t xml:space="preserve">The </w:t>
      </w:r>
      <w:r w:rsidRPr="008F1E62">
        <w:rPr>
          <w:rFonts w:ascii="Calibri" w:hAnsi="Calibri"/>
          <w:b/>
          <w:bCs/>
        </w:rPr>
        <w:t>BSP</w:t>
      </w:r>
      <w:r w:rsidRPr="008F1E62">
        <w:rPr>
          <w:rFonts w:asciiTheme="minorHAnsi" w:hAnsiTheme="minorHAnsi"/>
          <w:b/>
          <w:bCs/>
        </w:rPr>
        <w:t xml:space="preserve"> has adequate resources to perform comprehensive reviews of</w:t>
      </w:r>
      <w:r w:rsidR="00FC642C">
        <w:rPr>
          <w:rFonts w:asciiTheme="minorHAnsi" w:hAnsiTheme="minorHAnsi"/>
          <w:b/>
          <w:bCs/>
        </w:rPr>
        <w:t xml:space="preserve"> the</w:t>
      </w:r>
      <w:r w:rsidRPr="008F1E62">
        <w:rPr>
          <w:rFonts w:asciiTheme="minorHAnsi" w:hAnsiTheme="minorHAnsi"/>
          <w:b/>
          <w:bCs/>
        </w:rPr>
        <w:t xml:space="preserve"> financial statements </w:t>
      </w:r>
      <w:r w:rsidRPr="009315BA">
        <w:rPr>
          <w:rFonts w:ascii="Calibri" w:hAnsi="Calibri"/>
          <w:b/>
          <w:bCs/>
        </w:rPr>
        <w:t>of</w:t>
      </w:r>
      <w:r w:rsidRPr="008F1E62">
        <w:rPr>
          <w:rFonts w:asciiTheme="minorHAnsi" w:hAnsiTheme="minorHAnsi"/>
          <w:b/>
          <w:bCs/>
        </w:rPr>
        <w:t xml:space="preserve"> regulated banks</w:t>
      </w:r>
      <w:r w:rsidRPr="008F1E62">
        <w:rPr>
          <w:rFonts w:asciiTheme="minorHAnsi" w:hAnsiTheme="minorHAnsi"/>
        </w:rPr>
        <w:t xml:space="preserve">. </w:t>
      </w:r>
      <w:r w:rsidR="00476756" w:rsidRPr="008F1E62">
        <w:rPr>
          <w:rFonts w:asciiTheme="minorHAnsi" w:hAnsiTheme="minorHAnsi" w:cstheme="minorBidi"/>
          <w:szCs w:val="24"/>
        </w:rPr>
        <w:t>The BSP -</w:t>
      </w:r>
      <w:r w:rsidRPr="008F1E62">
        <w:rPr>
          <w:rFonts w:asciiTheme="minorHAnsi" w:hAnsiTheme="minorHAnsi" w:cstheme="minorBidi"/>
          <w:szCs w:val="24"/>
        </w:rPr>
        <w:t xml:space="preserve"> Supervision and Examination Sector </w:t>
      </w:r>
      <w:r w:rsidR="00476756" w:rsidRPr="008F1E62">
        <w:rPr>
          <w:rFonts w:ascii="Calibri" w:hAnsi="Calibri" w:cs="Calibri"/>
          <w:iCs/>
          <w:color w:val="000000" w:themeColor="text1"/>
          <w:szCs w:val="24"/>
        </w:rPr>
        <w:t xml:space="preserve">uses </w:t>
      </w:r>
      <w:r w:rsidR="00E57C3E">
        <w:rPr>
          <w:rFonts w:ascii="Calibri" w:hAnsi="Calibri" w:cs="Calibri"/>
          <w:iCs/>
          <w:color w:val="000000" w:themeColor="text1"/>
          <w:szCs w:val="24"/>
        </w:rPr>
        <w:t>a</w:t>
      </w:r>
      <w:r w:rsidR="00476756" w:rsidRPr="008F1E62">
        <w:rPr>
          <w:rFonts w:ascii="Calibri" w:hAnsi="Calibri" w:cs="Calibri"/>
          <w:iCs/>
          <w:color w:val="000000" w:themeColor="text1"/>
          <w:szCs w:val="24"/>
        </w:rPr>
        <w:t xml:space="preserve"> risk-based supervisory approach in the review and examination of supervised financial institutions, wherein the scope of review and examination focus on the business areas which pose the greatest risk to the soundness of the financial institutions. </w:t>
      </w:r>
      <w:r w:rsidR="00946F3E" w:rsidRPr="008F1E62">
        <w:rPr>
          <w:rFonts w:ascii="Calibri" w:hAnsi="Calibri" w:cs="Calibri"/>
          <w:iCs/>
          <w:color w:val="000000" w:themeColor="text1"/>
          <w:szCs w:val="24"/>
        </w:rPr>
        <w:t>A</w:t>
      </w:r>
      <w:r w:rsidR="00476756" w:rsidRPr="008F1E62">
        <w:rPr>
          <w:rFonts w:ascii="Calibri" w:hAnsi="Calibri" w:cs="Calibri"/>
          <w:iCs/>
          <w:color w:val="000000" w:themeColor="text1"/>
          <w:szCs w:val="24"/>
        </w:rPr>
        <w:t>s provided under Section 28 of RA No. 7653 (The New Central Bank Act), all banking institutions shall be examined once every year with an interval of at least 12 months between annual examination</w:t>
      </w:r>
      <w:r w:rsidR="00946F3E" w:rsidRPr="008F1E62">
        <w:rPr>
          <w:rFonts w:ascii="Calibri" w:hAnsi="Calibri" w:cs="Calibri"/>
          <w:iCs/>
          <w:color w:val="000000" w:themeColor="text1"/>
          <w:szCs w:val="24"/>
        </w:rPr>
        <w:t>s</w:t>
      </w:r>
      <w:r w:rsidR="00476756" w:rsidRPr="008F1E62">
        <w:rPr>
          <w:rFonts w:ascii="Calibri" w:hAnsi="Calibri" w:cs="Calibri"/>
          <w:iCs/>
          <w:color w:val="000000" w:themeColor="text1"/>
          <w:szCs w:val="24"/>
        </w:rPr>
        <w:t xml:space="preserve">. In 2016, a total of 549 banks/banking groups </w:t>
      </w:r>
      <w:r w:rsidR="00946F3E" w:rsidRPr="008F1E62">
        <w:rPr>
          <w:rFonts w:ascii="Calibri" w:hAnsi="Calibri" w:cs="Calibri"/>
          <w:iCs/>
          <w:color w:val="000000" w:themeColor="text1"/>
          <w:szCs w:val="24"/>
        </w:rPr>
        <w:t>were</w:t>
      </w:r>
      <w:r w:rsidR="00476756" w:rsidRPr="008F1E62">
        <w:rPr>
          <w:rFonts w:ascii="Calibri" w:hAnsi="Calibri" w:cs="Calibri"/>
          <w:iCs/>
          <w:color w:val="000000" w:themeColor="text1"/>
          <w:szCs w:val="24"/>
        </w:rPr>
        <w:t xml:space="preserve"> examined</w:t>
      </w:r>
      <w:r w:rsidR="00A85129">
        <w:rPr>
          <w:rFonts w:ascii="Calibri" w:hAnsi="Calibri" w:cs="Calibri"/>
          <w:iCs/>
          <w:color w:val="000000" w:themeColor="text1"/>
          <w:szCs w:val="24"/>
        </w:rPr>
        <w:t>,</w:t>
      </w:r>
      <w:r w:rsidR="00476756" w:rsidRPr="008F1E62">
        <w:rPr>
          <w:rFonts w:ascii="Calibri" w:hAnsi="Calibri" w:cs="Calibri"/>
          <w:iCs/>
          <w:color w:val="000000" w:themeColor="text1"/>
          <w:szCs w:val="24"/>
        </w:rPr>
        <w:t xml:space="preserve"> or 94.7 percent of the total 579 financial institutions programmed for examination.</w:t>
      </w:r>
      <w:r w:rsidR="00476756" w:rsidRPr="008F1E62">
        <w:rPr>
          <w:rFonts w:asciiTheme="minorHAnsi" w:eastAsia="SimSun" w:hAnsiTheme="minorHAnsi" w:cstheme="minorBidi"/>
        </w:rPr>
        <w:t xml:space="preserve">  </w:t>
      </w:r>
      <w:r w:rsidR="00476756" w:rsidRPr="008F1E62">
        <w:rPr>
          <w:rFonts w:asciiTheme="minorHAnsi" w:hAnsiTheme="minorHAnsi" w:cstheme="minorBidi"/>
        </w:rPr>
        <w:t xml:space="preserve">As of September </w:t>
      </w:r>
      <w:r w:rsidR="00A16968" w:rsidRPr="008F1E62">
        <w:rPr>
          <w:rFonts w:asciiTheme="minorHAnsi" w:hAnsiTheme="minorHAnsi" w:cstheme="minorBidi"/>
        </w:rPr>
        <w:t>30</w:t>
      </w:r>
      <w:r w:rsidR="00A16968">
        <w:rPr>
          <w:rFonts w:asciiTheme="minorHAnsi" w:hAnsiTheme="minorHAnsi" w:cstheme="minorBidi"/>
        </w:rPr>
        <w:t>,</w:t>
      </w:r>
      <w:r w:rsidR="00A16968" w:rsidRPr="008F1E62">
        <w:rPr>
          <w:rFonts w:asciiTheme="minorHAnsi" w:hAnsiTheme="minorHAnsi" w:cstheme="minorBidi"/>
        </w:rPr>
        <w:t xml:space="preserve"> </w:t>
      </w:r>
      <w:r w:rsidR="00476756" w:rsidRPr="008F1E62">
        <w:rPr>
          <w:rFonts w:asciiTheme="minorHAnsi" w:hAnsiTheme="minorHAnsi" w:cstheme="minorBidi"/>
        </w:rPr>
        <w:t>2016, the BSP-</w:t>
      </w:r>
      <w:r w:rsidR="00AD075F" w:rsidRPr="00AD075F">
        <w:t xml:space="preserve"> </w:t>
      </w:r>
      <w:r w:rsidR="00AD075F" w:rsidRPr="00AD075F">
        <w:rPr>
          <w:rFonts w:asciiTheme="minorHAnsi" w:hAnsiTheme="minorHAnsi" w:cstheme="minorBidi"/>
        </w:rPr>
        <w:t xml:space="preserve">Supervision and Examination Sector </w:t>
      </w:r>
      <w:r w:rsidR="00476756" w:rsidRPr="008F1E62">
        <w:rPr>
          <w:rFonts w:asciiTheme="minorHAnsi" w:hAnsiTheme="minorHAnsi" w:cstheme="minorBidi"/>
        </w:rPr>
        <w:t>ha</w:t>
      </w:r>
      <w:r w:rsidR="00946F3E" w:rsidRPr="008F1E62">
        <w:rPr>
          <w:rFonts w:asciiTheme="minorHAnsi" w:hAnsiTheme="minorHAnsi" w:cstheme="minorBidi"/>
        </w:rPr>
        <w:t>d</w:t>
      </w:r>
      <w:r w:rsidR="00476756" w:rsidRPr="008F1E62">
        <w:rPr>
          <w:rFonts w:asciiTheme="minorHAnsi" w:hAnsiTheme="minorHAnsi" w:cstheme="minorBidi"/>
        </w:rPr>
        <w:t xml:space="preserve"> a total of 906 bank supervisors. </w:t>
      </w:r>
      <w:r w:rsidRPr="008F1E62">
        <w:rPr>
          <w:rFonts w:asciiTheme="minorHAnsi" w:hAnsiTheme="minorHAnsi" w:cstheme="minorBidi"/>
        </w:rPr>
        <w:t>BSP has a stringent recruitment process</w:t>
      </w:r>
      <w:r w:rsidR="00476756" w:rsidRPr="008F1E62">
        <w:rPr>
          <w:rFonts w:asciiTheme="minorHAnsi" w:hAnsiTheme="minorHAnsi" w:cstheme="minorBidi"/>
        </w:rPr>
        <w:t>. T</w:t>
      </w:r>
      <w:r w:rsidRPr="008F1E62">
        <w:rPr>
          <w:rFonts w:asciiTheme="minorHAnsi" w:hAnsiTheme="minorHAnsi" w:cstheme="minorBidi"/>
        </w:rPr>
        <w:t xml:space="preserve">he applicants go through </w:t>
      </w:r>
      <w:r w:rsidR="00946F3E" w:rsidRPr="008F1E62">
        <w:rPr>
          <w:rFonts w:asciiTheme="minorHAnsi" w:hAnsiTheme="minorHAnsi" w:cstheme="minorBidi"/>
        </w:rPr>
        <w:t xml:space="preserve">a </w:t>
      </w:r>
      <w:r w:rsidRPr="008F1E62">
        <w:rPr>
          <w:rFonts w:asciiTheme="minorHAnsi" w:hAnsiTheme="minorHAnsi" w:cstheme="minorBidi"/>
        </w:rPr>
        <w:t>rigorous examination and must have relevant qualifications such as</w:t>
      </w:r>
      <w:r w:rsidR="00E57C3E">
        <w:rPr>
          <w:rFonts w:asciiTheme="minorHAnsi" w:hAnsiTheme="minorHAnsi" w:cstheme="minorBidi"/>
        </w:rPr>
        <w:t xml:space="preserve"> a</w:t>
      </w:r>
      <w:r w:rsidRPr="008F1E62">
        <w:rPr>
          <w:rFonts w:asciiTheme="minorHAnsi" w:hAnsiTheme="minorHAnsi" w:cstheme="minorBidi"/>
        </w:rPr>
        <w:t xml:space="preserve"> CPA, masters in finance, business administration</w:t>
      </w:r>
      <w:r w:rsidR="005715A3">
        <w:rPr>
          <w:rFonts w:asciiTheme="minorHAnsi" w:hAnsiTheme="minorHAnsi" w:cstheme="minorBidi"/>
        </w:rPr>
        <w:t>,</w:t>
      </w:r>
      <w:r w:rsidRPr="008F1E62">
        <w:rPr>
          <w:rFonts w:asciiTheme="minorHAnsi" w:hAnsiTheme="minorHAnsi" w:cstheme="minorBidi"/>
        </w:rPr>
        <w:t xml:space="preserve"> </w:t>
      </w:r>
      <w:r w:rsidR="00946F3E" w:rsidRPr="008F1E62">
        <w:rPr>
          <w:rFonts w:asciiTheme="minorHAnsi" w:hAnsiTheme="minorHAnsi" w:cstheme="minorBidi"/>
        </w:rPr>
        <w:t xml:space="preserve">or </w:t>
      </w:r>
      <w:r w:rsidRPr="008F1E62">
        <w:rPr>
          <w:rFonts w:asciiTheme="minorHAnsi" w:hAnsiTheme="minorHAnsi" w:cstheme="minorBidi"/>
        </w:rPr>
        <w:t xml:space="preserve">public administration. </w:t>
      </w:r>
      <w:r w:rsidRPr="008F1E62">
        <w:rPr>
          <w:rFonts w:asciiTheme="minorHAnsi" w:eastAsia="SimSun" w:hAnsiTheme="minorHAnsi" w:cstheme="minorBidi"/>
        </w:rPr>
        <w:t>BSP is currently in the process of strengthening its capacity in preparation for the adoption of IFRS 9 – Financial Instruments.</w:t>
      </w:r>
    </w:p>
    <w:p w14:paraId="3BDBC8B0" w14:textId="4065E08C" w:rsidR="00F76E53" w:rsidRPr="008F1E62" w:rsidRDefault="00F76E53" w:rsidP="009315BA">
      <w:pPr>
        <w:pStyle w:val="BodyText4"/>
        <w:numPr>
          <w:ilvl w:val="0"/>
          <w:numId w:val="2"/>
        </w:numPr>
        <w:spacing w:after="200" w:line="276" w:lineRule="auto"/>
        <w:ind w:left="0" w:hanging="567"/>
        <w:rPr>
          <w:rFonts w:asciiTheme="minorHAnsi" w:eastAsia="SimSun" w:hAnsiTheme="minorHAnsi" w:cstheme="minorBidi"/>
        </w:rPr>
      </w:pPr>
      <w:r w:rsidRPr="008F1E62">
        <w:rPr>
          <w:rFonts w:asciiTheme="minorHAnsi" w:hAnsiTheme="minorHAnsi"/>
          <w:b/>
          <w:bCs/>
        </w:rPr>
        <w:t>BSP performs on-</w:t>
      </w:r>
      <w:r w:rsidRPr="009315BA">
        <w:rPr>
          <w:rFonts w:ascii="Calibri" w:hAnsi="Calibri"/>
          <w:b/>
          <w:bCs/>
        </w:rPr>
        <w:t>site</w:t>
      </w:r>
      <w:r w:rsidRPr="008F1E62">
        <w:rPr>
          <w:rFonts w:asciiTheme="minorHAnsi" w:hAnsiTheme="minorHAnsi"/>
          <w:b/>
          <w:bCs/>
        </w:rPr>
        <w:t xml:space="preserve"> and off-site supervision to determine compliance with applicable A&amp;A requirements.</w:t>
      </w:r>
      <w:r w:rsidRPr="008F1E62">
        <w:rPr>
          <w:rFonts w:asciiTheme="minorHAnsi" w:hAnsiTheme="minorHAnsi"/>
        </w:rPr>
        <w:t xml:space="preserve"> </w:t>
      </w:r>
      <w:r w:rsidR="00202A8C" w:rsidRPr="008F1E62">
        <w:rPr>
          <w:rFonts w:ascii="Calibri" w:hAnsi="Calibri" w:cs="Calibri"/>
          <w:iCs/>
          <w:color w:val="000000" w:themeColor="text1"/>
          <w:szCs w:val="24"/>
        </w:rPr>
        <w:t xml:space="preserve">A </w:t>
      </w:r>
      <w:r w:rsidR="0052375C" w:rsidRPr="008F1E62">
        <w:rPr>
          <w:rFonts w:ascii="Calibri" w:hAnsi="Calibri" w:cs="Calibri"/>
          <w:iCs/>
          <w:color w:val="000000" w:themeColor="text1"/>
          <w:szCs w:val="24"/>
        </w:rPr>
        <w:t xml:space="preserve">bank’s compliance with applicable </w:t>
      </w:r>
      <w:r w:rsidR="00202A8C" w:rsidRPr="008F1E62">
        <w:rPr>
          <w:rFonts w:ascii="Calibri" w:hAnsi="Calibri" w:cs="Calibri"/>
          <w:iCs/>
          <w:color w:val="000000" w:themeColor="text1"/>
          <w:szCs w:val="24"/>
        </w:rPr>
        <w:t>a</w:t>
      </w:r>
      <w:r w:rsidR="0052375C" w:rsidRPr="008F1E62">
        <w:rPr>
          <w:rFonts w:ascii="Calibri" w:hAnsi="Calibri" w:cs="Calibri"/>
          <w:iCs/>
          <w:color w:val="000000" w:themeColor="text1"/>
          <w:szCs w:val="24"/>
        </w:rPr>
        <w:t xml:space="preserve">ccounting and </w:t>
      </w:r>
      <w:r w:rsidR="00202A8C" w:rsidRPr="008F1E62">
        <w:rPr>
          <w:rFonts w:ascii="Calibri" w:hAnsi="Calibri" w:cs="Calibri"/>
          <w:iCs/>
          <w:color w:val="000000" w:themeColor="text1"/>
          <w:szCs w:val="24"/>
        </w:rPr>
        <w:t>a</w:t>
      </w:r>
      <w:r w:rsidR="0052375C" w:rsidRPr="008F1E62">
        <w:rPr>
          <w:rFonts w:ascii="Calibri" w:hAnsi="Calibri" w:cs="Calibri"/>
          <w:iCs/>
          <w:color w:val="000000" w:themeColor="text1"/>
          <w:szCs w:val="24"/>
        </w:rPr>
        <w:t>uditing requirements</w:t>
      </w:r>
      <w:r w:rsidR="00946F3E" w:rsidRPr="008F1E62">
        <w:rPr>
          <w:rFonts w:ascii="Calibri" w:hAnsi="Calibri" w:cs="Calibri"/>
          <w:iCs/>
          <w:color w:val="000000" w:themeColor="text1"/>
          <w:szCs w:val="24"/>
        </w:rPr>
        <w:t xml:space="preserve"> is determined by BSP</w:t>
      </w:r>
      <w:r w:rsidR="0052375C" w:rsidRPr="008F1E62">
        <w:rPr>
          <w:rFonts w:ascii="Calibri" w:hAnsi="Calibri" w:cs="Calibri"/>
          <w:iCs/>
          <w:color w:val="000000" w:themeColor="text1"/>
          <w:szCs w:val="24"/>
        </w:rPr>
        <w:t xml:space="preserve"> as part and parcel of its supervisory process. Supervisors are guided by </w:t>
      </w:r>
      <w:r w:rsidR="00202A8C" w:rsidRPr="008F1E62">
        <w:rPr>
          <w:rFonts w:ascii="Calibri" w:hAnsi="Calibri" w:cs="Calibri"/>
          <w:iCs/>
          <w:color w:val="000000" w:themeColor="text1"/>
          <w:szCs w:val="24"/>
        </w:rPr>
        <w:t xml:space="preserve">a </w:t>
      </w:r>
      <w:r w:rsidR="0052375C" w:rsidRPr="008F1E62">
        <w:rPr>
          <w:rFonts w:ascii="Calibri" w:hAnsi="Calibri" w:cs="Calibri"/>
          <w:iCs/>
          <w:color w:val="000000" w:themeColor="text1"/>
          <w:szCs w:val="24"/>
        </w:rPr>
        <w:t xml:space="preserve">Manual of Regulations and various internal guidelines to assess </w:t>
      </w:r>
      <w:r w:rsidR="00202A8C" w:rsidRPr="008F1E62">
        <w:rPr>
          <w:rFonts w:ascii="Calibri" w:hAnsi="Calibri" w:cs="Calibri"/>
          <w:iCs/>
          <w:color w:val="000000" w:themeColor="text1"/>
          <w:szCs w:val="24"/>
        </w:rPr>
        <w:t xml:space="preserve">each respective </w:t>
      </w:r>
      <w:r w:rsidR="0052375C" w:rsidRPr="008F1E62">
        <w:rPr>
          <w:rFonts w:ascii="Calibri" w:hAnsi="Calibri" w:cs="Calibri"/>
          <w:iCs/>
          <w:color w:val="000000" w:themeColor="text1"/>
          <w:szCs w:val="24"/>
        </w:rPr>
        <w:t>bank’s compliance with financial and prudential reporting requirements.</w:t>
      </w:r>
      <w:r w:rsidR="0052375C" w:rsidRPr="008F1E62">
        <w:rPr>
          <w:rFonts w:asciiTheme="minorHAnsi" w:eastAsia="SimSun" w:hAnsiTheme="minorHAnsi" w:cstheme="minorBidi"/>
        </w:rPr>
        <w:t xml:space="preserve"> </w:t>
      </w:r>
      <w:r w:rsidRPr="008F1E62">
        <w:rPr>
          <w:rFonts w:asciiTheme="minorHAnsi" w:eastAsia="SimSun" w:hAnsiTheme="minorHAnsi" w:cstheme="minorBidi"/>
        </w:rPr>
        <w:t>Off-site bank supervisors (Central Point of Contact Departments and Integrated Supervision Departments) are responsible for the continuing supervision and monitoring of BSFIs in between on-site examination. The evaluation of</w:t>
      </w:r>
      <w:r w:rsidR="0007632E" w:rsidRPr="0007632E">
        <w:t xml:space="preserve"> </w:t>
      </w:r>
      <w:r w:rsidR="0007632E" w:rsidRPr="0007632E">
        <w:rPr>
          <w:rFonts w:asciiTheme="minorHAnsi" w:eastAsia="SimSun" w:hAnsiTheme="minorHAnsi" w:cstheme="minorBidi"/>
        </w:rPr>
        <w:t>audited financial statements</w:t>
      </w:r>
      <w:r w:rsidRPr="008F1E62">
        <w:rPr>
          <w:rFonts w:asciiTheme="minorHAnsi" w:eastAsia="SimSun" w:hAnsiTheme="minorHAnsi" w:cstheme="minorBidi"/>
        </w:rPr>
        <w:t xml:space="preserve"> aims to ensure that the</w:t>
      </w:r>
      <w:r w:rsidR="0007632E">
        <w:rPr>
          <w:rFonts w:asciiTheme="minorHAnsi" w:eastAsia="SimSun" w:hAnsiTheme="minorHAnsi" w:cstheme="minorBidi"/>
        </w:rPr>
        <w:t>se</w:t>
      </w:r>
      <w:r w:rsidRPr="008F1E62">
        <w:rPr>
          <w:rFonts w:asciiTheme="minorHAnsi" w:eastAsia="SimSun" w:hAnsiTheme="minorHAnsi" w:cstheme="minorBidi"/>
        </w:rPr>
        <w:t xml:space="preserve"> fairly reflect the financial condition of the BSFI, and appropriately reflects key matters for informed decision making.  The results of evaluation of the </w:t>
      </w:r>
      <w:r w:rsidR="002905FE" w:rsidRPr="002905FE">
        <w:rPr>
          <w:rFonts w:asciiTheme="minorHAnsi" w:eastAsia="SimSun" w:hAnsiTheme="minorHAnsi" w:cstheme="minorBidi"/>
        </w:rPr>
        <w:t xml:space="preserve">audited financial statements </w:t>
      </w:r>
      <w:r w:rsidRPr="008F1E62">
        <w:rPr>
          <w:rFonts w:asciiTheme="minorHAnsi" w:eastAsia="SimSun" w:hAnsiTheme="minorHAnsi" w:cstheme="minorBidi"/>
        </w:rPr>
        <w:t>also provide relevant inputs to the assessment of the quality of the external auditors’ performance.  This will then feed into the supervisory plan for the BSFI and the assessment of the continuing inclusion of the external auditors in the BSP list of selected external auditors.</w:t>
      </w:r>
    </w:p>
    <w:tbl>
      <w:tblPr>
        <w:tblStyle w:val="TabelEcorys3"/>
        <w:tblpPr w:leftFromText="180" w:rightFromText="180" w:vertAnchor="text" w:horzAnchor="margin" w:tblpXSpec="right" w:tblpY="122"/>
        <w:tblOverlap w:val="never"/>
        <w:tblW w:w="0" w:type="auto"/>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5156"/>
      </w:tblGrid>
      <w:tr w:rsidR="000F502E" w:rsidRPr="008F1E62" w14:paraId="0764507E" w14:textId="77777777" w:rsidTr="000F502E">
        <w:tc>
          <w:tcPr>
            <w:tcW w:w="5156" w:type="dxa"/>
            <w:shd w:val="clear" w:color="auto" w:fill="00AB51"/>
            <w:tcMar>
              <w:top w:w="144" w:type="dxa"/>
              <w:left w:w="144" w:type="dxa"/>
              <w:bottom w:w="144" w:type="dxa"/>
              <w:right w:w="144" w:type="dxa"/>
            </w:tcMar>
          </w:tcPr>
          <w:p w14:paraId="28F2D865" w14:textId="77777777" w:rsidR="000F502E" w:rsidRPr="00550E31" w:rsidRDefault="000F502E" w:rsidP="000F502E">
            <w:pPr>
              <w:pStyle w:val="Caption"/>
              <w:spacing w:before="0" w:after="0"/>
              <w:jc w:val="center"/>
              <w:rPr>
                <w:sz w:val="20"/>
                <w:szCs w:val="20"/>
                <w:lang w:val="en-US"/>
              </w:rPr>
            </w:pPr>
            <w:r w:rsidRPr="00550E31">
              <w:rPr>
                <w:color w:val="FFFFFF" w:themeColor="background1"/>
                <w:sz w:val="20"/>
                <w:szCs w:val="20"/>
                <w:lang w:val="en-US"/>
              </w:rPr>
              <w:t xml:space="preserve">Box </w:t>
            </w:r>
            <w:r>
              <w:rPr>
                <w:color w:val="FFFFFF" w:themeColor="background1"/>
                <w:sz w:val="20"/>
                <w:szCs w:val="20"/>
                <w:lang w:val="en-US"/>
              </w:rPr>
              <w:t>2</w:t>
            </w:r>
            <w:r w:rsidRPr="00550E31">
              <w:rPr>
                <w:color w:val="FFFFFF" w:themeColor="background1"/>
                <w:sz w:val="20"/>
                <w:szCs w:val="20"/>
                <w:lang w:val="en-US"/>
              </w:rPr>
              <w:t>. Reporting Responsibilities of External Auditors of Banks to Oversight Agencies</w:t>
            </w:r>
          </w:p>
        </w:tc>
      </w:tr>
      <w:tr w:rsidR="000F502E" w:rsidRPr="008F1E62" w14:paraId="7B576F53" w14:textId="77777777" w:rsidTr="000F502E">
        <w:tc>
          <w:tcPr>
            <w:tcW w:w="5156" w:type="dxa"/>
            <w:shd w:val="clear" w:color="auto" w:fill="C6E8D7"/>
            <w:tcMar>
              <w:top w:w="144" w:type="dxa"/>
              <w:left w:w="144" w:type="dxa"/>
              <w:bottom w:w="144" w:type="dxa"/>
              <w:right w:w="144" w:type="dxa"/>
            </w:tcMar>
          </w:tcPr>
          <w:p w14:paraId="2E70B549" w14:textId="77777777" w:rsidR="000F502E" w:rsidRPr="00550E31" w:rsidRDefault="000F502E" w:rsidP="000F502E">
            <w:pPr>
              <w:pStyle w:val="Heading4"/>
              <w:spacing w:before="0" w:after="100" w:line="240" w:lineRule="auto"/>
              <w:outlineLvl w:val="3"/>
              <w:rPr>
                <w:b/>
                <w:color w:val="auto"/>
                <w:sz w:val="20"/>
                <w:szCs w:val="20"/>
              </w:rPr>
            </w:pPr>
            <w:proofErr w:type="spellStart"/>
            <w:r w:rsidRPr="00550E31">
              <w:rPr>
                <w:b/>
                <w:color w:val="auto"/>
                <w:sz w:val="20"/>
                <w:szCs w:val="20"/>
              </w:rPr>
              <w:t>Bangko</w:t>
            </w:r>
            <w:proofErr w:type="spellEnd"/>
            <w:r w:rsidRPr="00550E31">
              <w:rPr>
                <w:b/>
                <w:color w:val="auto"/>
                <w:sz w:val="20"/>
                <w:szCs w:val="20"/>
              </w:rPr>
              <w:t xml:space="preserve"> </w:t>
            </w:r>
            <w:proofErr w:type="spellStart"/>
            <w:r w:rsidRPr="00550E31">
              <w:rPr>
                <w:b/>
                <w:color w:val="auto"/>
                <w:sz w:val="20"/>
                <w:szCs w:val="20"/>
              </w:rPr>
              <w:t>Sentral</w:t>
            </w:r>
            <w:proofErr w:type="spellEnd"/>
            <w:r w:rsidRPr="00550E31">
              <w:rPr>
                <w:b/>
                <w:color w:val="auto"/>
                <w:sz w:val="20"/>
                <w:szCs w:val="20"/>
              </w:rPr>
              <w:t xml:space="preserve"> ng </w:t>
            </w:r>
            <w:proofErr w:type="spellStart"/>
            <w:r w:rsidRPr="00550E31">
              <w:rPr>
                <w:b/>
                <w:color w:val="auto"/>
                <w:sz w:val="20"/>
                <w:szCs w:val="20"/>
              </w:rPr>
              <w:t>Pilipinas</w:t>
            </w:r>
            <w:proofErr w:type="spellEnd"/>
          </w:p>
          <w:p w14:paraId="34E77E3F" w14:textId="77777777" w:rsidR="000F502E" w:rsidRPr="00550E31" w:rsidRDefault="000F502E" w:rsidP="000F502E">
            <w:pPr>
              <w:pStyle w:val="ListParagraph"/>
              <w:numPr>
                <w:ilvl w:val="0"/>
                <w:numId w:val="0"/>
              </w:numPr>
              <w:tabs>
                <w:tab w:val="left" w:pos="720"/>
              </w:tabs>
              <w:autoSpaceDE w:val="0"/>
              <w:autoSpaceDN w:val="0"/>
              <w:adjustRightInd w:val="0"/>
              <w:spacing w:before="0" w:beforeAutospacing="0" w:after="0" w:afterAutospacing="0" w:line="240" w:lineRule="auto"/>
              <w:rPr>
                <w:rFonts w:asciiTheme="minorHAnsi" w:eastAsia="SimSun" w:hAnsiTheme="minorHAnsi" w:cstheme="minorHAnsi"/>
                <w:bCs/>
                <w:sz w:val="20"/>
                <w:szCs w:val="20"/>
              </w:rPr>
            </w:pPr>
            <w:r w:rsidRPr="00550E31">
              <w:rPr>
                <w:rFonts w:asciiTheme="minorHAnsi" w:eastAsia="SimSun" w:hAnsiTheme="minorHAnsi" w:cstheme="minorHAnsi"/>
                <w:bCs/>
                <w:iCs/>
                <w:sz w:val="20"/>
                <w:szCs w:val="20"/>
              </w:rPr>
              <w:t>External auditors are required to report to the BSP within 30 calendar days after discovery of any of the following cases</w:t>
            </w:r>
            <w:r w:rsidRPr="00550E31">
              <w:rPr>
                <w:rFonts w:asciiTheme="minorHAnsi" w:eastAsia="SimSun" w:hAnsiTheme="minorHAnsi" w:cstheme="minorHAnsi"/>
                <w:sz w:val="20"/>
                <w:szCs w:val="20"/>
              </w:rPr>
              <w:t xml:space="preserve">: </w:t>
            </w:r>
          </w:p>
          <w:p w14:paraId="2FE310BA" w14:textId="77777777" w:rsidR="000F502E" w:rsidRPr="00550E31" w:rsidRDefault="000F502E" w:rsidP="000F502E">
            <w:pPr>
              <w:pStyle w:val="ListParagraph"/>
              <w:numPr>
                <w:ilvl w:val="0"/>
                <w:numId w:val="11"/>
              </w:numPr>
              <w:spacing w:before="0" w:beforeAutospacing="0" w:after="0" w:afterAutospacing="0" w:line="240" w:lineRule="auto"/>
              <w:ind w:left="360"/>
              <w:rPr>
                <w:rFonts w:asciiTheme="minorHAnsi" w:eastAsia="SimSun" w:hAnsiTheme="minorHAnsi" w:cstheme="minorHAnsi"/>
                <w:sz w:val="20"/>
                <w:szCs w:val="20"/>
              </w:rPr>
            </w:pPr>
            <w:r w:rsidRPr="00550E31">
              <w:rPr>
                <w:rFonts w:asciiTheme="minorHAnsi" w:eastAsia="SimSun" w:hAnsiTheme="minorHAnsi" w:cstheme="minorHAnsi"/>
                <w:sz w:val="20"/>
                <w:szCs w:val="20"/>
              </w:rPr>
              <w:t xml:space="preserve">Any </w:t>
            </w:r>
            <w:r w:rsidRPr="00550E31">
              <w:rPr>
                <w:rFonts w:asciiTheme="minorHAnsi" w:eastAsia="SimSun" w:hAnsiTheme="minorHAnsi" w:cstheme="minorHAnsi"/>
                <w:bCs/>
                <w:iCs/>
                <w:sz w:val="20"/>
                <w:szCs w:val="20"/>
              </w:rPr>
              <w:t>material finding involving fraud or dishonesty</w:t>
            </w:r>
            <w:r w:rsidRPr="00550E31">
              <w:rPr>
                <w:rFonts w:asciiTheme="minorHAnsi" w:eastAsia="SimSun" w:hAnsiTheme="minorHAnsi" w:cstheme="minorHAnsi"/>
                <w:sz w:val="20"/>
                <w:szCs w:val="20"/>
              </w:rPr>
              <w:t xml:space="preserve"> (including cases that were resolved during the period of audit); </w:t>
            </w:r>
          </w:p>
          <w:p w14:paraId="3505813E" w14:textId="77777777" w:rsidR="000F502E" w:rsidRPr="00550E31" w:rsidRDefault="000F502E" w:rsidP="000F502E">
            <w:pPr>
              <w:pStyle w:val="ListParagraph"/>
              <w:numPr>
                <w:ilvl w:val="0"/>
                <w:numId w:val="11"/>
              </w:numPr>
              <w:spacing w:before="0" w:beforeAutospacing="0" w:after="0" w:afterAutospacing="0" w:line="240" w:lineRule="auto"/>
              <w:ind w:left="360"/>
              <w:rPr>
                <w:rFonts w:asciiTheme="minorHAnsi" w:eastAsia="SimSun" w:hAnsiTheme="minorHAnsi" w:cstheme="minorHAnsi"/>
                <w:sz w:val="20"/>
                <w:szCs w:val="20"/>
              </w:rPr>
            </w:pPr>
            <w:r w:rsidRPr="00550E31">
              <w:rPr>
                <w:rFonts w:asciiTheme="minorHAnsi" w:eastAsia="SimSun" w:hAnsiTheme="minorHAnsi" w:cstheme="minorHAnsi"/>
                <w:bCs/>
                <w:iCs/>
                <w:sz w:val="20"/>
                <w:szCs w:val="20"/>
              </w:rPr>
              <w:t>Any potential losses</w:t>
            </w:r>
            <w:r w:rsidRPr="00550E31">
              <w:rPr>
                <w:rFonts w:asciiTheme="minorHAnsi" w:eastAsia="SimSun" w:hAnsiTheme="minorHAnsi" w:cstheme="minorHAnsi"/>
                <w:sz w:val="20"/>
                <w:szCs w:val="20"/>
              </w:rPr>
              <w:t xml:space="preserve"> the aggregate of which amounts to at least 1% of the capital; </w:t>
            </w:r>
          </w:p>
          <w:p w14:paraId="2F3C00EA" w14:textId="77777777" w:rsidR="000F502E" w:rsidRPr="00550E31" w:rsidRDefault="000F502E" w:rsidP="000F502E">
            <w:pPr>
              <w:pStyle w:val="ListParagraph"/>
              <w:numPr>
                <w:ilvl w:val="0"/>
                <w:numId w:val="11"/>
              </w:numPr>
              <w:spacing w:before="0" w:beforeAutospacing="0" w:after="0" w:afterAutospacing="0" w:line="240" w:lineRule="auto"/>
              <w:ind w:left="360"/>
              <w:rPr>
                <w:rFonts w:asciiTheme="minorHAnsi" w:eastAsia="SimSun" w:hAnsiTheme="minorHAnsi" w:cstheme="minorHAnsi"/>
                <w:sz w:val="20"/>
                <w:szCs w:val="20"/>
              </w:rPr>
            </w:pPr>
            <w:r w:rsidRPr="00550E31">
              <w:rPr>
                <w:rFonts w:asciiTheme="minorHAnsi" w:eastAsia="SimSun" w:hAnsiTheme="minorHAnsi" w:cstheme="minorHAnsi"/>
                <w:bCs/>
                <w:iCs/>
                <w:sz w:val="20"/>
                <w:szCs w:val="20"/>
              </w:rPr>
              <w:t>Any finding to the effect that the consolidated assets of the company</w:t>
            </w:r>
            <w:r w:rsidRPr="00550E31">
              <w:rPr>
                <w:rFonts w:asciiTheme="minorHAnsi" w:eastAsia="SimSun" w:hAnsiTheme="minorHAnsi" w:cstheme="minorHAnsi"/>
                <w:sz w:val="20"/>
                <w:szCs w:val="20"/>
              </w:rPr>
              <w:t xml:space="preserve">, on a going concern basis, are no longer adequate to cover the total claims of creditors; </w:t>
            </w:r>
          </w:p>
          <w:p w14:paraId="2BFBDF3C" w14:textId="77777777" w:rsidR="000F502E" w:rsidRPr="00550E31" w:rsidRDefault="000F502E" w:rsidP="000F502E">
            <w:pPr>
              <w:pStyle w:val="ListParagraph"/>
              <w:numPr>
                <w:ilvl w:val="0"/>
                <w:numId w:val="11"/>
              </w:numPr>
              <w:spacing w:before="0" w:beforeAutospacing="0" w:after="300" w:afterAutospacing="0" w:line="240" w:lineRule="auto"/>
              <w:ind w:left="360"/>
              <w:rPr>
                <w:rFonts w:asciiTheme="minorHAnsi" w:eastAsia="SimSun" w:hAnsiTheme="minorHAnsi" w:cstheme="minorHAnsi"/>
                <w:sz w:val="20"/>
                <w:szCs w:val="20"/>
              </w:rPr>
            </w:pPr>
            <w:r w:rsidRPr="00550E31">
              <w:rPr>
                <w:rFonts w:asciiTheme="minorHAnsi" w:eastAsia="SimSun" w:hAnsiTheme="minorHAnsi" w:cstheme="minorHAnsi"/>
                <w:bCs/>
                <w:iCs/>
                <w:sz w:val="20"/>
                <w:szCs w:val="20"/>
              </w:rPr>
              <w:t>Material internal control weaknesses</w:t>
            </w:r>
            <w:r w:rsidRPr="00550E31">
              <w:rPr>
                <w:rFonts w:asciiTheme="minorHAnsi" w:eastAsia="SimSun" w:hAnsiTheme="minorHAnsi" w:cstheme="minorHAnsi"/>
                <w:sz w:val="20"/>
                <w:szCs w:val="20"/>
              </w:rPr>
              <w:t xml:space="preserve"> which may lead to financial reporting problems. </w:t>
            </w:r>
          </w:p>
          <w:p w14:paraId="78AFCC8C" w14:textId="77777777" w:rsidR="000F502E" w:rsidRPr="00550E31" w:rsidRDefault="000F502E" w:rsidP="000F502E">
            <w:pPr>
              <w:pStyle w:val="ListParagraph"/>
              <w:numPr>
                <w:ilvl w:val="0"/>
                <w:numId w:val="0"/>
              </w:numPr>
              <w:tabs>
                <w:tab w:val="left" w:pos="720"/>
              </w:tabs>
              <w:autoSpaceDE w:val="0"/>
              <w:autoSpaceDN w:val="0"/>
              <w:adjustRightInd w:val="0"/>
              <w:spacing w:before="0" w:beforeAutospacing="0" w:after="0" w:afterAutospacing="0" w:line="240" w:lineRule="auto"/>
              <w:rPr>
                <w:rFonts w:asciiTheme="minorHAnsi" w:eastAsia="SimSun" w:hAnsiTheme="minorHAnsi" w:cstheme="minorHAnsi"/>
                <w:sz w:val="20"/>
                <w:szCs w:val="20"/>
              </w:rPr>
            </w:pPr>
            <w:r w:rsidRPr="00550E31">
              <w:rPr>
                <w:rFonts w:asciiTheme="minorHAnsi" w:eastAsia="SimSun" w:hAnsiTheme="minorHAnsi" w:cstheme="minorHAnsi"/>
                <w:sz w:val="20"/>
                <w:szCs w:val="20"/>
              </w:rPr>
              <w:t xml:space="preserve">In addition, the external auditors are required to </w:t>
            </w:r>
            <w:r w:rsidRPr="00550E31">
              <w:rPr>
                <w:rFonts w:asciiTheme="minorHAnsi" w:eastAsia="SimSun" w:hAnsiTheme="minorHAnsi" w:cstheme="minorHAnsi"/>
                <w:bCs/>
                <w:iCs/>
                <w:sz w:val="20"/>
                <w:szCs w:val="20"/>
              </w:rPr>
              <w:t>report directly to the BSP within 15 calendar days</w:t>
            </w:r>
            <w:r w:rsidRPr="00550E31">
              <w:rPr>
                <w:rFonts w:asciiTheme="minorHAnsi" w:eastAsia="SimSun" w:hAnsiTheme="minorHAnsi" w:cstheme="minorHAnsi"/>
                <w:sz w:val="20"/>
                <w:szCs w:val="20"/>
              </w:rPr>
              <w:t xml:space="preserve"> from the occurrence of any of the following: </w:t>
            </w:r>
          </w:p>
          <w:p w14:paraId="0B470934" w14:textId="77777777" w:rsidR="000F502E" w:rsidRPr="00550E31" w:rsidRDefault="000F502E" w:rsidP="000F502E">
            <w:pPr>
              <w:pStyle w:val="ListParagraph"/>
              <w:numPr>
                <w:ilvl w:val="0"/>
                <w:numId w:val="20"/>
              </w:numPr>
              <w:spacing w:before="0" w:beforeAutospacing="0" w:after="0" w:afterAutospacing="0" w:line="240" w:lineRule="auto"/>
              <w:ind w:left="360"/>
              <w:rPr>
                <w:rFonts w:asciiTheme="minorHAnsi" w:eastAsia="SimSun" w:hAnsiTheme="minorHAnsi" w:cstheme="minorHAnsi"/>
                <w:sz w:val="20"/>
                <w:szCs w:val="20"/>
              </w:rPr>
            </w:pPr>
            <w:r w:rsidRPr="00550E31">
              <w:rPr>
                <w:rFonts w:asciiTheme="minorHAnsi" w:eastAsia="SimSun" w:hAnsiTheme="minorHAnsi" w:cstheme="minorHAnsi"/>
                <w:sz w:val="20"/>
                <w:szCs w:val="20"/>
              </w:rPr>
              <w:t>Termination or resignation as external auditor and stating the reason thereof;</w:t>
            </w:r>
          </w:p>
          <w:p w14:paraId="3F38CA8F" w14:textId="77777777" w:rsidR="000F502E" w:rsidRPr="00550E31" w:rsidRDefault="000F502E" w:rsidP="000F502E">
            <w:pPr>
              <w:pStyle w:val="ListParagraph"/>
              <w:numPr>
                <w:ilvl w:val="0"/>
                <w:numId w:val="20"/>
              </w:numPr>
              <w:spacing w:before="0" w:beforeAutospacing="0" w:after="0" w:afterAutospacing="0" w:line="240" w:lineRule="auto"/>
              <w:ind w:left="360"/>
              <w:rPr>
                <w:rFonts w:asciiTheme="minorHAnsi" w:eastAsia="SimSun" w:hAnsiTheme="minorHAnsi" w:cstheme="minorHAnsi"/>
                <w:sz w:val="20"/>
                <w:szCs w:val="20"/>
              </w:rPr>
            </w:pPr>
            <w:r w:rsidRPr="00550E31">
              <w:rPr>
                <w:rFonts w:asciiTheme="minorHAnsi" w:eastAsia="SimSun" w:hAnsiTheme="minorHAnsi" w:cstheme="minorHAnsi"/>
                <w:sz w:val="20"/>
                <w:szCs w:val="20"/>
              </w:rPr>
              <w:t xml:space="preserve">Discovery of a material breach of laws of BSP rules and regulations such as, but not limited to, capital adequacy ratio, and loans and other risk assets review and classification; </w:t>
            </w:r>
          </w:p>
          <w:p w14:paraId="00BFB269" w14:textId="77777777" w:rsidR="000F502E" w:rsidRPr="00550E31" w:rsidRDefault="000F502E" w:rsidP="000F502E">
            <w:pPr>
              <w:pStyle w:val="ListParagraph"/>
              <w:numPr>
                <w:ilvl w:val="0"/>
                <w:numId w:val="20"/>
              </w:numPr>
              <w:spacing w:before="0" w:beforeAutospacing="0" w:afterAutospacing="0" w:line="240" w:lineRule="auto"/>
              <w:ind w:left="360"/>
              <w:rPr>
                <w:rFonts w:asciiTheme="minorHAnsi" w:eastAsia="SimSun" w:hAnsiTheme="minorHAnsi" w:cstheme="minorHAnsi"/>
                <w:sz w:val="20"/>
                <w:szCs w:val="20"/>
              </w:rPr>
            </w:pPr>
            <w:r w:rsidRPr="00550E31">
              <w:rPr>
                <w:rFonts w:asciiTheme="minorHAnsi" w:eastAsia="SimSun" w:hAnsiTheme="minorHAnsi" w:cstheme="minorHAnsi"/>
                <w:sz w:val="20"/>
                <w:szCs w:val="20"/>
              </w:rPr>
              <w:t>Findings on matters of corporate governance that may require urgent action by the BSP.</w:t>
            </w:r>
          </w:p>
          <w:p w14:paraId="552C0D2E" w14:textId="77777777" w:rsidR="000F502E" w:rsidRPr="00550E31" w:rsidRDefault="000F502E" w:rsidP="000F502E">
            <w:pPr>
              <w:pStyle w:val="Heading4"/>
              <w:spacing w:before="200" w:after="100" w:line="240" w:lineRule="auto"/>
              <w:outlineLvl w:val="3"/>
              <w:rPr>
                <w:b/>
                <w:color w:val="auto"/>
                <w:sz w:val="20"/>
                <w:szCs w:val="20"/>
              </w:rPr>
            </w:pPr>
            <w:r w:rsidRPr="00550E31">
              <w:rPr>
                <w:b/>
                <w:color w:val="auto"/>
                <w:sz w:val="20"/>
                <w:szCs w:val="20"/>
              </w:rPr>
              <w:t>Securities and Exchange Commission and Philippine Stock Exchange</w:t>
            </w:r>
          </w:p>
          <w:p w14:paraId="16028FE8" w14:textId="77777777" w:rsidR="000F502E" w:rsidRPr="00550E31" w:rsidRDefault="000F502E" w:rsidP="000F502E">
            <w:pPr>
              <w:pStyle w:val="ListParagraph"/>
              <w:numPr>
                <w:ilvl w:val="0"/>
                <w:numId w:val="0"/>
              </w:numPr>
              <w:tabs>
                <w:tab w:val="left" w:pos="720"/>
              </w:tabs>
              <w:autoSpaceDE w:val="0"/>
              <w:autoSpaceDN w:val="0"/>
              <w:adjustRightInd w:val="0"/>
              <w:spacing w:before="0" w:beforeAutospacing="0" w:after="0" w:afterAutospacing="0" w:line="240" w:lineRule="auto"/>
              <w:rPr>
                <w:rFonts w:asciiTheme="minorHAnsi" w:hAnsiTheme="minorHAnsi" w:cs="Times New Roman"/>
                <w:b/>
                <w:sz w:val="20"/>
                <w:szCs w:val="20"/>
              </w:rPr>
            </w:pPr>
            <w:r w:rsidRPr="00550E31">
              <w:rPr>
                <w:rFonts w:asciiTheme="minorHAnsi" w:hAnsiTheme="minorHAnsi" w:cstheme="minorHAnsi"/>
                <w:sz w:val="20"/>
                <w:szCs w:val="20"/>
              </w:rPr>
              <w:t>External auditors of publicly listed banks are required to disclose to SEC and PSE receipt of any material information or knowledge of a corporate act, development, or event within ten minutes. The disclosure must be made to the regulatory bodies before its release to the news media. The original copy of the disclosure must be delivered to the SEC within 24 hours from the time of initial disclosure.</w:t>
            </w:r>
          </w:p>
        </w:tc>
      </w:tr>
    </w:tbl>
    <w:p w14:paraId="79AEEEE3" w14:textId="77777777" w:rsidR="00F76E53" w:rsidRPr="008F1E62" w:rsidRDefault="00F76E53" w:rsidP="00FB3DC8">
      <w:pPr>
        <w:pStyle w:val="BodyText4"/>
        <w:numPr>
          <w:ilvl w:val="0"/>
          <w:numId w:val="2"/>
        </w:numPr>
        <w:spacing w:after="200" w:line="276" w:lineRule="auto"/>
        <w:ind w:left="0" w:hanging="567"/>
        <w:rPr>
          <w:rFonts w:asciiTheme="minorHAnsi" w:eastAsia="SimSun" w:hAnsiTheme="minorHAnsi" w:cstheme="minorBidi"/>
        </w:rPr>
      </w:pPr>
      <w:r w:rsidRPr="008F1E62">
        <w:rPr>
          <w:rFonts w:asciiTheme="minorHAnsi" w:eastAsia="SimSun" w:hAnsiTheme="minorHAnsi" w:cstheme="minorBidi"/>
          <w:b/>
          <w:bCs/>
        </w:rPr>
        <w:t xml:space="preserve">BSP </w:t>
      </w:r>
      <w:r w:rsidRPr="008F1E62">
        <w:rPr>
          <w:rFonts w:ascii="Calibri" w:hAnsi="Calibri"/>
          <w:b/>
          <w:bCs/>
        </w:rPr>
        <w:t>and</w:t>
      </w:r>
      <w:r w:rsidRPr="008F1E62">
        <w:rPr>
          <w:rFonts w:asciiTheme="minorHAnsi" w:eastAsia="SimSun" w:hAnsiTheme="minorHAnsi" w:cstheme="minorBidi"/>
          <w:b/>
          <w:bCs/>
        </w:rPr>
        <w:t xml:space="preserve"> SEC have established policies on non-compliance with accounting/financial reporting requirements.  </w:t>
      </w:r>
      <w:r w:rsidRPr="008F1E62">
        <w:rPr>
          <w:rFonts w:asciiTheme="minorHAnsi" w:eastAsia="SimSun" w:hAnsiTheme="minorHAnsi" w:cstheme="minorBidi"/>
        </w:rPr>
        <w:t>BSP Circular No. 875</w:t>
      </w:r>
      <w:r w:rsidR="003B0224">
        <w:rPr>
          <w:rFonts w:asciiTheme="minorHAnsi" w:eastAsia="SimSun" w:hAnsiTheme="minorHAnsi" w:cstheme="minorBidi"/>
        </w:rPr>
        <w:t>,</w:t>
      </w:r>
      <w:r w:rsidRPr="008F1E62">
        <w:rPr>
          <w:rFonts w:asciiTheme="minorHAnsi" w:eastAsia="SimSun" w:hAnsiTheme="minorHAnsi" w:cstheme="minorBidi"/>
        </w:rPr>
        <w:t xml:space="preserve"> dated April 2015</w:t>
      </w:r>
      <w:r w:rsidR="003B0224">
        <w:rPr>
          <w:rFonts w:asciiTheme="minorHAnsi" w:eastAsia="SimSun" w:hAnsiTheme="minorHAnsi" w:cstheme="minorBidi"/>
        </w:rPr>
        <w:t>,</w:t>
      </w:r>
      <w:r w:rsidRPr="008F1E62">
        <w:rPr>
          <w:rFonts w:asciiTheme="minorHAnsi" w:hAnsiTheme="minorHAnsi" w:cstheme="minorBidi"/>
        </w:rPr>
        <w:t xml:space="preserve"> </w:t>
      </w:r>
      <w:r w:rsidRPr="008F1E62">
        <w:rPr>
          <w:rFonts w:asciiTheme="minorHAnsi" w:eastAsia="SimSun" w:hAnsiTheme="minorHAnsi" w:cstheme="minorBidi"/>
        </w:rPr>
        <w:t>provides the supervisory enforcement policy governing financial institutions under BSP’s jurisdiction.  It puts together, in a holistic manner, all the enforcement tools available to the BSP as contained in various laws, rules</w:t>
      </w:r>
      <w:r w:rsidR="009B3898">
        <w:rPr>
          <w:rFonts w:asciiTheme="minorHAnsi" w:eastAsia="SimSun" w:hAnsiTheme="minorHAnsi" w:cstheme="minorBidi"/>
        </w:rPr>
        <w:t>,</w:t>
      </w:r>
      <w:r w:rsidRPr="008F1E62">
        <w:rPr>
          <w:rFonts w:asciiTheme="minorHAnsi" w:eastAsia="SimSun" w:hAnsiTheme="minorHAnsi" w:cstheme="minorBidi"/>
        </w:rPr>
        <w:t xml:space="preserve"> and regulation and communicates the deployment thereof </w:t>
      </w:r>
      <w:proofErr w:type="gramStart"/>
      <w:r w:rsidRPr="008F1E62">
        <w:rPr>
          <w:rFonts w:asciiTheme="minorHAnsi" w:eastAsia="SimSun" w:hAnsiTheme="minorHAnsi" w:cstheme="minorBidi"/>
        </w:rPr>
        <w:t>in the course of</w:t>
      </w:r>
      <w:proofErr w:type="gramEnd"/>
      <w:r w:rsidRPr="008F1E62">
        <w:rPr>
          <w:rFonts w:asciiTheme="minorHAnsi" w:eastAsia="SimSun" w:hAnsiTheme="minorHAnsi" w:cstheme="minorBidi"/>
        </w:rPr>
        <w:t xml:space="preserve"> performing its supervisory function.  </w:t>
      </w:r>
      <w:r w:rsidRPr="008F1E62">
        <w:rPr>
          <w:rFonts w:asciiTheme="minorHAnsi" w:hAnsiTheme="minorHAnsi" w:cstheme="minorBidi"/>
        </w:rPr>
        <w:t xml:space="preserve">Likewise, </w:t>
      </w:r>
      <w:r w:rsidR="002A32D0" w:rsidRPr="008F1E62">
        <w:rPr>
          <w:rFonts w:asciiTheme="minorHAnsi" w:hAnsiTheme="minorHAnsi" w:cstheme="minorBidi"/>
        </w:rPr>
        <w:t xml:space="preserve">SEC </w:t>
      </w:r>
      <w:r w:rsidRPr="008F1E62">
        <w:rPr>
          <w:rFonts w:asciiTheme="minorHAnsi" w:hAnsiTheme="minorHAnsi" w:cstheme="minorBidi"/>
        </w:rPr>
        <w:t xml:space="preserve">MC No. 8, Series of 2009, contains a scale of fines for non-compliance with the financial reporting requirements. </w:t>
      </w:r>
      <w:r w:rsidRPr="008F1E62">
        <w:rPr>
          <w:rFonts w:asciiTheme="minorHAnsi" w:hAnsiTheme="minorHAnsi"/>
        </w:rPr>
        <w:t>The enforcement measures and actions by regulators are summarized in Annex 7.</w:t>
      </w:r>
    </w:p>
    <w:p w14:paraId="470F6A55" w14:textId="05DEFE4A" w:rsidR="00F76E53" w:rsidRPr="00354961" w:rsidRDefault="00F76E53" w:rsidP="00FB3DC8">
      <w:pPr>
        <w:pStyle w:val="BodyText4"/>
        <w:numPr>
          <w:ilvl w:val="0"/>
          <w:numId w:val="2"/>
        </w:numPr>
        <w:spacing w:after="200" w:line="276" w:lineRule="auto"/>
        <w:ind w:left="0" w:hanging="567"/>
        <w:rPr>
          <w:rFonts w:asciiTheme="minorHAnsi" w:eastAsia="SimSun" w:hAnsiTheme="minorHAnsi" w:cstheme="minorHAnsi"/>
          <w:bCs/>
        </w:rPr>
      </w:pPr>
      <w:r w:rsidRPr="008F1E62">
        <w:rPr>
          <w:rFonts w:asciiTheme="minorHAnsi" w:hAnsiTheme="minorHAnsi"/>
          <w:b/>
        </w:rPr>
        <w:t>Banks are only permitted to select auditors accredited by BSP.</w:t>
      </w:r>
      <w:r w:rsidRPr="008F1E62">
        <w:rPr>
          <w:rFonts w:asciiTheme="minorHAnsi" w:hAnsiTheme="minorHAnsi"/>
        </w:rPr>
        <w:t xml:space="preserve"> </w:t>
      </w:r>
      <w:r w:rsidR="00E57C3E">
        <w:rPr>
          <w:rFonts w:asciiTheme="minorHAnsi" w:hAnsiTheme="minorHAnsi"/>
        </w:rPr>
        <w:t xml:space="preserve">Like the SEC, </w:t>
      </w:r>
      <w:r w:rsidR="00E57C3E">
        <w:rPr>
          <w:rFonts w:asciiTheme="minorHAnsi" w:hAnsiTheme="minorHAnsi" w:cstheme="minorHAnsi"/>
          <w:bCs/>
          <w:iCs/>
        </w:rPr>
        <w:t>t</w:t>
      </w:r>
      <w:r w:rsidRPr="008F1E62">
        <w:rPr>
          <w:rFonts w:asciiTheme="minorHAnsi" w:hAnsiTheme="minorHAnsi" w:cstheme="minorHAnsi"/>
          <w:bCs/>
          <w:iCs/>
        </w:rPr>
        <w:t>he BSP require</w:t>
      </w:r>
      <w:r w:rsidR="00E57C3E">
        <w:rPr>
          <w:rFonts w:asciiTheme="minorHAnsi" w:hAnsiTheme="minorHAnsi" w:cstheme="minorHAnsi"/>
          <w:bCs/>
          <w:iCs/>
        </w:rPr>
        <w:t>s</w:t>
      </w:r>
      <w:r w:rsidRPr="008F1E62">
        <w:rPr>
          <w:rFonts w:asciiTheme="minorHAnsi" w:hAnsiTheme="minorHAnsi" w:cstheme="minorHAnsi"/>
          <w:bCs/>
          <w:iCs/>
        </w:rPr>
        <w:t xml:space="preserve"> an annual financial audit by an external auditor accredited by the regulator. </w:t>
      </w:r>
      <w:r w:rsidRPr="008F1E62">
        <w:rPr>
          <w:rFonts w:asciiTheme="minorHAnsi" w:hAnsiTheme="minorHAnsi" w:cstheme="minorHAnsi"/>
        </w:rPr>
        <w:t xml:space="preserve">As of </w:t>
      </w:r>
      <w:r w:rsidR="002A597A">
        <w:rPr>
          <w:rFonts w:asciiTheme="minorHAnsi" w:hAnsiTheme="minorHAnsi" w:cstheme="minorHAnsi"/>
        </w:rPr>
        <w:t xml:space="preserve">the </w:t>
      </w:r>
      <w:r w:rsidRPr="008F1E62">
        <w:rPr>
          <w:rFonts w:asciiTheme="minorHAnsi" w:hAnsiTheme="minorHAnsi" w:cstheme="minorHAnsi"/>
        </w:rPr>
        <w:t xml:space="preserve">review date there are 84 BSP accredited auditors (partners and sole practitioners) </w:t>
      </w:r>
      <w:r w:rsidR="00C45D7F">
        <w:rPr>
          <w:rFonts w:asciiTheme="minorHAnsi" w:hAnsiTheme="minorHAnsi" w:cstheme="minorHAnsi"/>
        </w:rPr>
        <w:t>for</w:t>
      </w:r>
      <w:r w:rsidR="00C45D7F" w:rsidRPr="008F1E62">
        <w:rPr>
          <w:rFonts w:asciiTheme="minorHAnsi" w:hAnsiTheme="minorHAnsi" w:cstheme="minorHAnsi"/>
        </w:rPr>
        <w:t xml:space="preserve"> </w:t>
      </w:r>
      <w:r w:rsidRPr="008F1E62">
        <w:rPr>
          <w:rFonts w:asciiTheme="minorHAnsi" w:hAnsiTheme="minorHAnsi" w:cstheme="minorHAnsi"/>
        </w:rPr>
        <w:t xml:space="preserve">the 613 banking institutions in the Philippines.  </w:t>
      </w:r>
      <w:r w:rsidR="00132F26">
        <w:rPr>
          <w:rFonts w:asciiTheme="minorHAnsi" w:hAnsiTheme="minorHAnsi" w:cstheme="minorHAnsi"/>
        </w:rPr>
        <w:t>The a</w:t>
      </w:r>
      <w:r w:rsidRPr="008F1E62">
        <w:rPr>
          <w:rFonts w:asciiTheme="minorHAnsi" w:hAnsiTheme="minorHAnsi" w:cstheme="minorHAnsi"/>
        </w:rPr>
        <w:t xml:space="preserve">vailability of auditors </w:t>
      </w:r>
      <w:r w:rsidR="00132F26">
        <w:rPr>
          <w:rFonts w:asciiTheme="minorHAnsi" w:hAnsiTheme="minorHAnsi" w:cstheme="minorHAnsi"/>
        </w:rPr>
        <w:t xml:space="preserve">diminishes </w:t>
      </w:r>
      <w:r w:rsidRPr="008F1E62">
        <w:rPr>
          <w:rFonts w:asciiTheme="minorHAnsi" w:hAnsiTheme="minorHAnsi" w:cstheme="minorHAnsi"/>
        </w:rPr>
        <w:t>in the provinces outside Manila. It was noted in one province that there is no available BSP accredited certified public accountant to audit thrift banks.</w:t>
      </w:r>
      <w:r w:rsidRPr="008F1E62">
        <w:rPr>
          <w:rFonts w:asciiTheme="minorHAnsi" w:hAnsiTheme="minorHAnsi"/>
        </w:rPr>
        <w:t xml:space="preserve"> </w:t>
      </w:r>
    </w:p>
    <w:p w14:paraId="324A4DBB" w14:textId="4BFEBA7F" w:rsidR="00354961" w:rsidRPr="00550E31" w:rsidRDefault="00354961" w:rsidP="00550E31">
      <w:pPr>
        <w:pStyle w:val="BodyText4"/>
        <w:numPr>
          <w:ilvl w:val="0"/>
          <w:numId w:val="2"/>
        </w:numPr>
        <w:spacing w:after="200" w:line="276" w:lineRule="auto"/>
        <w:ind w:left="0" w:hanging="567"/>
        <w:rPr>
          <w:rFonts w:asciiTheme="minorHAnsi" w:hAnsiTheme="minorHAnsi" w:cstheme="minorBidi"/>
        </w:rPr>
      </w:pPr>
      <w:r w:rsidRPr="008F1E62">
        <w:rPr>
          <w:rFonts w:ascii="Calibri" w:hAnsi="Calibri"/>
          <w:b/>
          <w:bCs/>
        </w:rPr>
        <w:t>Auditor</w:t>
      </w:r>
      <w:r w:rsidRPr="008F1E62">
        <w:rPr>
          <w:rFonts w:asciiTheme="minorHAnsi" w:hAnsiTheme="minorHAnsi"/>
          <w:b/>
          <w:bCs/>
        </w:rPr>
        <w:t xml:space="preserve"> performance is continuously assessed by BSP.</w:t>
      </w:r>
      <w:r w:rsidRPr="008F1E62">
        <w:rPr>
          <w:rFonts w:asciiTheme="minorHAnsi" w:hAnsiTheme="minorHAnsi"/>
        </w:rPr>
        <w:t xml:space="preserve"> </w:t>
      </w:r>
      <w:r w:rsidRPr="008F1E62">
        <w:rPr>
          <w:rFonts w:asciiTheme="minorHAnsi" w:hAnsiTheme="minorHAnsi" w:cstheme="minorBidi"/>
        </w:rPr>
        <w:t>Under the BSP Monetary Board Resolution No. 1352 dated September 16</w:t>
      </w:r>
      <w:r>
        <w:rPr>
          <w:rFonts w:asciiTheme="minorHAnsi" w:hAnsiTheme="minorHAnsi" w:cstheme="minorBidi"/>
        </w:rPr>
        <w:t>,</w:t>
      </w:r>
      <w:r w:rsidRPr="008F1E62">
        <w:rPr>
          <w:rFonts w:asciiTheme="minorHAnsi" w:hAnsiTheme="minorHAnsi" w:cstheme="minorBidi"/>
        </w:rPr>
        <w:t xml:space="preserve"> 2004, external auditors included in the BSP list shall be valid for three years. After that, external auditors may apply for renewal. The</w:t>
      </w:r>
      <w:r w:rsidRPr="001C6F25">
        <w:t xml:space="preserve"> </w:t>
      </w:r>
      <w:r w:rsidRPr="001C6F25">
        <w:rPr>
          <w:rFonts w:asciiTheme="minorHAnsi" w:hAnsiTheme="minorHAnsi" w:cstheme="minorBidi"/>
        </w:rPr>
        <w:t>Supervision and Examination Sector</w:t>
      </w:r>
      <w:r w:rsidRPr="008F1E62">
        <w:rPr>
          <w:rFonts w:asciiTheme="minorHAnsi" w:hAnsiTheme="minorHAnsi" w:cstheme="minorBidi"/>
        </w:rPr>
        <w:t xml:space="preserve"> makes an annual assessment of the performance of external auditors and recommends deletion from the list even before the 3-year renewal period if</w:t>
      </w:r>
      <w:r>
        <w:rPr>
          <w:rFonts w:asciiTheme="minorHAnsi" w:hAnsiTheme="minorHAnsi" w:cstheme="minorBidi"/>
        </w:rPr>
        <w:t>,</w:t>
      </w:r>
      <w:r w:rsidRPr="008F1E62">
        <w:rPr>
          <w:rFonts w:asciiTheme="minorHAnsi" w:hAnsiTheme="minorHAnsi" w:cstheme="minorBidi"/>
        </w:rPr>
        <w:t xml:space="preserve"> based on assessment, the external auditors’ report did not comply with BSP requirements</w:t>
      </w:r>
      <w:r w:rsidR="00EB541B">
        <w:rPr>
          <w:rFonts w:asciiTheme="minorHAnsi" w:hAnsiTheme="minorHAnsi" w:cstheme="minorBidi"/>
        </w:rPr>
        <w:t xml:space="preserve"> and other pertinent provisions</w:t>
      </w:r>
      <w:r w:rsidRPr="008F1E62">
        <w:rPr>
          <w:rStyle w:val="FootnoteReference"/>
          <w:rFonts w:asciiTheme="minorHAnsi" w:hAnsiTheme="minorHAnsi" w:cstheme="minorBidi"/>
        </w:rPr>
        <w:footnoteReference w:id="56"/>
      </w:r>
      <w:r w:rsidRPr="008F1E62">
        <w:rPr>
          <w:rFonts w:asciiTheme="minorHAnsi" w:hAnsiTheme="minorHAnsi" w:cstheme="minorBidi"/>
        </w:rPr>
        <w:t>.  Refer to Annex 7 for enforcement measures and actions over accredited auditors.  BSP accredited external auditors must comply with measures to ensure independence</w:t>
      </w:r>
      <w:r>
        <w:rPr>
          <w:rFonts w:asciiTheme="minorHAnsi" w:hAnsiTheme="minorHAnsi" w:cstheme="minorBidi"/>
        </w:rPr>
        <w:t xml:space="preserve"> and</w:t>
      </w:r>
      <w:r w:rsidRPr="008F1E62">
        <w:rPr>
          <w:rFonts w:asciiTheme="minorHAnsi" w:hAnsiTheme="minorHAnsi" w:cstheme="minorBidi"/>
        </w:rPr>
        <w:t xml:space="preserve"> professional ethics and avoid situations where there are possible conflicts of interest.</w:t>
      </w:r>
    </w:p>
    <w:p w14:paraId="21A9CC29" w14:textId="7D4745B6" w:rsidR="00F76E53" w:rsidRPr="008F1E62" w:rsidRDefault="00F76E53" w:rsidP="00FB3DC8">
      <w:pPr>
        <w:pStyle w:val="BodyText4"/>
        <w:numPr>
          <w:ilvl w:val="0"/>
          <w:numId w:val="2"/>
        </w:numPr>
        <w:spacing w:after="200" w:line="276" w:lineRule="auto"/>
        <w:ind w:left="0" w:hanging="567"/>
        <w:rPr>
          <w:rFonts w:asciiTheme="minorHAnsi" w:hAnsiTheme="minorHAnsi" w:cstheme="minorBidi"/>
        </w:rPr>
      </w:pPr>
      <w:r w:rsidRPr="008F1E62">
        <w:rPr>
          <w:rFonts w:asciiTheme="minorHAnsi" w:eastAsia="SimSun" w:hAnsiTheme="minorHAnsi" w:cstheme="minorBidi"/>
          <w:b/>
          <w:bCs/>
        </w:rPr>
        <w:t xml:space="preserve">Banks </w:t>
      </w:r>
      <w:r w:rsidRPr="008F1E62">
        <w:rPr>
          <w:rFonts w:ascii="Calibri" w:hAnsi="Calibri"/>
          <w:b/>
          <w:bCs/>
        </w:rPr>
        <w:t>are</w:t>
      </w:r>
      <w:r w:rsidRPr="008F1E62">
        <w:rPr>
          <w:rFonts w:asciiTheme="minorHAnsi" w:eastAsia="SimSun" w:hAnsiTheme="minorHAnsi" w:cstheme="minorBidi"/>
          <w:b/>
          <w:bCs/>
        </w:rPr>
        <w:t xml:space="preserve"> required to create an Audit Committee to provide oversight on financial reporting </w:t>
      </w:r>
      <w:r w:rsidRPr="008F1E62">
        <w:rPr>
          <w:rFonts w:asciiTheme="minorHAnsi" w:hAnsiTheme="minorHAnsi" w:cstheme="minorBidi"/>
          <w:b/>
          <w:bCs/>
        </w:rPr>
        <w:t>policies, practices and control</w:t>
      </w:r>
      <w:r w:rsidR="00D83E09">
        <w:rPr>
          <w:rFonts w:asciiTheme="minorHAnsi" w:hAnsiTheme="minorHAnsi" w:cstheme="minorBidi"/>
          <w:b/>
          <w:bCs/>
        </w:rPr>
        <w:t>,</w:t>
      </w:r>
      <w:r w:rsidRPr="008F1E62">
        <w:rPr>
          <w:rFonts w:asciiTheme="minorHAnsi" w:hAnsiTheme="minorHAnsi" w:cstheme="minorBidi"/>
          <w:b/>
          <w:bCs/>
        </w:rPr>
        <w:t xml:space="preserve"> and internal and external audit functions.  </w:t>
      </w:r>
      <w:r w:rsidRPr="008F1E62">
        <w:rPr>
          <w:rFonts w:asciiTheme="minorHAnsi" w:hAnsiTheme="minorHAnsi" w:cstheme="minorBidi"/>
        </w:rPr>
        <w:t>The Bank’s Corporate Governance Manual</w:t>
      </w:r>
      <w:r w:rsidRPr="008F1E62">
        <w:rPr>
          <w:rStyle w:val="FootnoteReference"/>
          <w:rFonts w:asciiTheme="minorHAnsi" w:hAnsiTheme="minorHAnsi" w:cstheme="minorBidi"/>
        </w:rPr>
        <w:footnoteReference w:id="57"/>
      </w:r>
      <w:r w:rsidRPr="008F1E62">
        <w:rPr>
          <w:rFonts w:asciiTheme="minorHAnsi" w:hAnsiTheme="minorHAnsi" w:cstheme="minorBidi"/>
        </w:rPr>
        <w:t xml:space="preserve"> states that the Board of Directors shall create board-level committees including </w:t>
      </w:r>
      <w:r w:rsidR="003D38F5">
        <w:rPr>
          <w:rFonts w:asciiTheme="minorHAnsi" w:hAnsiTheme="minorHAnsi" w:cstheme="minorBidi"/>
        </w:rPr>
        <w:t>an</w:t>
      </w:r>
      <w:r w:rsidR="003D38F5" w:rsidRPr="008F1E62">
        <w:rPr>
          <w:rFonts w:asciiTheme="minorHAnsi" w:hAnsiTheme="minorHAnsi" w:cstheme="minorBidi"/>
        </w:rPr>
        <w:t xml:space="preserve"> audit committee</w:t>
      </w:r>
      <w:r w:rsidRPr="008F1E62">
        <w:rPr>
          <w:rFonts w:asciiTheme="minorHAnsi" w:hAnsiTheme="minorHAnsi" w:cstheme="minorBidi"/>
        </w:rPr>
        <w:t xml:space="preserve">.  </w:t>
      </w:r>
      <w:r w:rsidR="00AA6BB5">
        <w:rPr>
          <w:rFonts w:asciiTheme="minorHAnsi" w:hAnsiTheme="minorHAnsi" w:cstheme="minorBidi"/>
        </w:rPr>
        <w:t>The</w:t>
      </w:r>
      <w:r w:rsidR="00AA6BB5" w:rsidRPr="008F1E62">
        <w:rPr>
          <w:rFonts w:asciiTheme="minorHAnsi" w:hAnsiTheme="minorHAnsi" w:cstheme="minorBidi"/>
        </w:rPr>
        <w:t xml:space="preserve"> </w:t>
      </w:r>
      <w:r w:rsidRPr="008F1E62">
        <w:rPr>
          <w:rFonts w:asciiTheme="minorHAnsi" w:hAnsiTheme="minorHAnsi" w:cstheme="minorBidi"/>
        </w:rPr>
        <w:t>audit committee shall be composed of at least three members of the board of directors, wherein two of whom shall be independent directors, including the chairperson, preferably with accounting, auditing, or related financial management expertise or experience commensurate with the size, complexity of operations</w:t>
      </w:r>
      <w:r w:rsidR="00460452">
        <w:rPr>
          <w:rFonts w:asciiTheme="minorHAnsi" w:hAnsiTheme="minorHAnsi" w:cstheme="minorBidi"/>
        </w:rPr>
        <w:t>,</w:t>
      </w:r>
      <w:r w:rsidRPr="008F1E62">
        <w:rPr>
          <w:rFonts w:asciiTheme="minorHAnsi" w:hAnsiTheme="minorHAnsi" w:cstheme="minorBidi"/>
        </w:rPr>
        <w:t xml:space="preserve"> and risk profile of the bank.</w:t>
      </w:r>
    </w:p>
    <w:p w14:paraId="0A0A05FB" w14:textId="5B4B2AAA" w:rsidR="00F76E53" w:rsidRPr="008F1E62" w:rsidRDefault="00F76E53" w:rsidP="00FB3DC8">
      <w:pPr>
        <w:pStyle w:val="BodyText4"/>
        <w:numPr>
          <w:ilvl w:val="0"/>
          <w:numId w:val="2"/>
        </w:numPr>
        <w:spacing w:after="200" w:line="276" w:lineRule="auto"/>
        <w:ind w:left="0" w:hanging="630"/>
        <w:rPr>
          <w:rFonts w:asciiTheme="minorHAnsi" w:hAnsiTheme="minorHAnsi"/>
          <w:b/>
          <w:bCs/>
        </w:rPr>
      </w:pPr>
      <w:r w:rsidRPr="008F1E62">
        <w:rPr>
          <w:rFonts w:asciiTheme="minorHAnsi" w:eastAsia="SimSun" w:hAnsiTheme="minorHAnsi" w:cstheme="minorBidi"/>
          <w:b/>
          <w:bCs/>
        </w:rPr>
        <w:t xml:space="preserve">Banks are </w:t>
      </w:r>
      <w:r w:rsidRPr="008F1E62">
        <w:rPr>
          <w:rFonts w:ascii="Calibri" w:hAnsi="Calibri"/>
          <w:b/>
          <w:bCs/>
        </w:rPr>
        <w:t>required</w:t>
      </w:r>
      <w:r w:rsidRPr="008F1E62">
        <w:rPr>
          <w:rFonts w:asciiTheme="minorHAnsi" w:eastAsia="SimSun" w:hAnsiTheme="minorHAnsi" w:cstheme="minorBidi"/>
          <w:b/>
          <w:bCs/>
        </w:rPr>
        <w:t xml:space="preserve"> to comply with public disclosure requirements.</w:t>
      </w:r>
      <w:r w:rsidRPr="008F1E62">
        <w:rPr>
          <w:rFonts w:asciiTheme="minorHAnsi" w:hAnsiTheme="minorHAnsi" w:cstheme="minorBidi"/>
        </w:rPr>
        <w:t xml:space="preserve"> Under BSP’s Manual of Regulations for Banks</w:t>
      </w:r>
      <w:r w:rsidRPr="008F1E62">
        <w:rPr>
          <w:rStyle w:val="FootnoteReference"/>
          <w:rFonts w:asciiTheme="minorHAnsi" w:hAnsiTheme="minorHAnsi" w:cstheme="minorBidi"/>
        </w:rPr>
        <w:footnoteReference w:id="58"/>
      </w:r>
      <w:r w:rsidRPr="008F1E62">
        <w:rPr>
          <w:rFonts w:asciiTheme="minorHAnsi" w:hAnsiTheme="minorHAnsi" w:cstheme="minorBidi"/>
        </w:rPr>
        <w:t xml:space="preserve"> the audited financial statements and annual report must be posted in a conspicuous place in head offices, all branches</w:t>
      </w:r>
      <w:r w:rsidR="00460452">
        <w:rPr>
          <w:rFonts w:asciiTheme="minorHAnsi" w:hAnsiTheme="minorHAnsi" w:cstheme="minorBidi"/>
        </w:rPr>
        <w:t>,</w:t>
      </w:r>
      <w:r w:rsidRPr="008F1E62">
        <w:rPr>
          <w:rFonts w:asciiTheme="minorHAnsi" w:hAnsiTheme="minorHAnsi" w:cstheme="minorBidi"/>
        </w:rPr>
        <w:t xml:space="preserve"> and </w:t>
      </w:r>
      <w:r w:rsidR="00460452">
        <w:rPr>
          <w:rFonts w:asciiTheme="minorHAnsi" w:hAnsiTheme="minorHAnsi" w:cstheme="minorBidi"/>
        </w:rPr>
        <w:t xml:space="preserve">on </w:t>
      </w:r>
      <w:r w:rsidRPr="008F1E62">
        <w:rPr>
          <w:rFonts w:asciiTheme="minorHAnsi" w:hAnsiTheme="minorHAnsi" w:cstheme="minorBidi"/>
        </w:rPr>
        <w:t>the company website</w:t>
      </w:r>
      <w:r w:rsidR="001624D3" w:rsidRPr="008F1E62">
        <w:rPr>
          <w:rFonts w:asciiTheme="minorHAnsi" w:hAnsiTheme="minorHAnsi" w:cstheme="minorBidi"/>
        </w:rPr>
        <w:t xml:space="preserve">. </w:t>
      </w:r>
      <w:r w:rsidRPr="008F1E62">
        <w:rPr>
          <w:rFonts w:asciiTheme="minorHAnsi" w:hAnsiTheme="minorHAnsi" w:cstheme="minorBidi"/>
        </w:rPr>
        <w:t xml:space="preserve">The financial statements of publicly listed banks are available </w:t>
      </w:r>
      <w:r w:rsidR="00460452">
        <w:rPr>
          <w:rFonts w:asciiTheme="minorHAnsi" w:hAnsiTheme="minorHAnsi" w:cstheme="minorBidi"/>
        </w:rPr>
        <w:t>o</w:t>
      </w:r>
      <w:r w:rsidRPr="008F1E62">
        <w:rPr>
          <w:rFonts w:asciiTheme="minorHAnsi" w:hAnsiTheme="minorHAnsi" w:cstheme="minorBidi"/>
        </w:rPr>
        <w:t>n respective website</w:t>
      </w:r>
      <w:r w:rsidR="006E620E">
        <w:rPr>
          <w:rFonts w:asciiTheme="minorHAnsi" w:hAnsiTheme="minorHAnsi" w:cstheme="minorBidi"/>
        </w:rPr>
        <w:t>s</w:t>
      </w:r>
      <w:r w:rsidRPr="008F1E62">
        <w:rPr>
          <w:rFonts w:asciiTheme="minorHAnsi" w:hAnsiTheme="minorHAnsi" w:cstheme="minorBidi"/>
        </w:rPr>
        <w:t xml:space="preserve">, </w:t>
      </w:r>
      <w:r w:rsidR="00A005ED">
        <w:rPr>
          <w:rFonts w:asciiTheme="minorHAnsi" w:hAnsiTheme="minorHAnsi" w:cstheme="minorBidi"/>
        </w:rPr>
        <w:t xml:space="preserve">from </w:t>
      </w:r>
      <w:r w:rsidRPr="008F1E62">
        <w:rPr>
          <w:rFonts w:asciiTheme="minorHAnsi" w:hAnsiTheme="minorHAnsi" w:cstheme="minorBidi"/>
        </w:rPr>
        <w:t>the PSE, newspapers when published</w:t>
      </w:r>
      <w:r w:rsidR="00A005ED">
        <w:rPr>
          <w:rFonts w:asciiTheme="minorHAnsi" w:hAnsiTheme="minorHAnsi" w:cstheme="minorBidi"/>
        </w:rPr>
        <w:t>,</w:t>
      </w:r>
      <w:r w:rsidRPr="008F1E62">
        <w:rPr>
          <w:rFonts w:asciiTheme="minorHAnsi" w:hAnsiTheme="minorHAnsi" w:cstheme="minorBidi"/>
        </w:rPr>
        <w:t xml:space="preserve"> and the SEC. PSE-listed banks are also governed by the stock exchange's material information disclosure rules and procedures. </w:t>
      </w:r>
      <w:r w:rsidR="00943447">
        <w:rPr>
          <w:rFonts w:asciiTheme="minorHAnsi" w:hAnsiTheme="minorHAnsi" w:cstheme="minorBidi"/>
        </w:rPr>
        <w:t>N</w:t>
      </w:r>
      <w:r w:rsidR="00943447" w:rsidRPr="008F1E62">
        <w:rPr>
          <w:rFonts w:asciiTheme="minorHAnsi" w:hAnsiTheme="minorHAnsi" w:cstheme="minorBidi"/>
        </w:rPr>
        <w:t xml:space="preserve">on-listed banks complete financial statements are only available </w:t>
      </w:r>
      <w:r w:rsidR="00943447">
        <w:rPr>
          <w:rFonts w:asciiTheme="minorHAnsi" w:hAnsiTheme="minorHAnsi" w:cstheme="minorBidi"/>
        </w:rPr>
        <w:t>from</w:t>
      </w:r>
      <w:r w:rsidR="00943447" w:rsidRPr="008F1E62">
        <w:rPr>
          <w:rFonts w:asciiTheme="minorHAnsi" w:hAnsiTheme="minorHAnsi" w:cstheme="minorBidi"/>
        </w:rPr>
        <w:t xml:space="preserve"> the SEC.  </w:t>
      </w:r>
    </w:p>
    <w:p w14:paraId="3D9433CB" w14:textId="77777777" w:rsidR="00F76E53" w:rsidRPr="008F1E62" w:rsidRDefault="00F76E53" w:rsidP="009315BA">
      <w:pPr>
        <w:pStyle w:val="BodyText4"/>
        <w:numPr>
          <w:ilvl w:val="0"/>
          <w:numId w:val="2"/>
        </w:numPr>
        <w:spacing w:after="200" w:line="276" w:lineRule="auto"/>
        <w:ind w:left="0" w:hanging="567"/>
        <w:rPr>
          <w:rFonts w:asciiTheme="minorHAnsi" w:hAnsiTheme="minorHAnsi"/>
          <w:b/>
          <w:bCs/>
        </w:rPr>
      </w:pPr>
      <w:r w:rsidRPr="008F1E62">
        <w:rPr>
          <w:rFonts w:asciiTheme="minorHAnsi" w:hAnsiTheme="minorHAnsi" w:cs="Arial"/>
          <w:b/>
          <w:bCs/>
        </w:rPr>
        <w:t xml:space="preserve">Philippine banks follow </w:t>
      </w:r>
      <w:r w:rsidR="00E57C3E">
        <w:rPr>
          <w:rFonts w:asciiTheme="minorHAnsi" w:hAnsiTheme="minorHAnsi" w:cs="Arial"/>
          <w:b/>
          <w:bCs/>
        </w:rPr>
        <w:t xml:space="preserve">the </w:t>
      </w:r>
      <w:r w:rsidRPr="008F1E62">
        <w:rPr>
          <w:rFonts w:asciiTheme="minorHAnsi" w:hAnsiTheme="minorHAnsi" w:cs="Arial"/>
          <w:b/>
          <w:bCs/>
        </w:rPr>
        <w:t>SEC’s Revised Code of Corporate Governance</w:t>
      </w:r>
      <w:r w:rsidRPr="008F1E62">
        <w:rPr>
          <w:rStyle w:val="FootnoteReference"/>
          <w:rFonts w:asciiTheme="minorHAnsi" w:hAnsiTheme="minorHAnsi" w:cs="Arial"/>
        </w:rPr>
        <w:footnoteReference w:id="59"/>
      </w:r>
      <w:r w:rsidRPr="008F1E62">
        <w:rPr>
          <w:rFonts w:asciiTheme="minorHAnsi" w:hAnsiTheme="minorHAnsi" w:cs="Arial"/>
          <w:b/>
          <w:bCs/>
        </w:rPr>
        <w:t xml:space="preserve"> which is based on OECD guidelines </w:t>
      </w:r>
      <w:r w:rsidRPr="008F1E62">
        <w:rPr>
          <w:rFonts w:ascii="Calibri" w:hAnsi="Calibri"/>
          <w:b/>
          <w:bCs/>
        </w:rPr>
        <w:t>and</w:t>
      </w:r>
      <w:r w:rsidRPr="008F1E62">
        <w:rPr>
          <w:rFonts w:asciiTheme="minorHAnsi" w:hAnsiTheme="minorHAnsi" w:cs="Arial"/>
          <w:b/>
          <w:bCs/>
        </w:rPr>
        <w:t xml:space="preserve"> contains both mandatory and directory provisions.</w:t>
      </w:r>
      <w:r w:rsidRPr="008F1E62">
        <w:rPr>
          <w:rFonts w:asciiTheme="minorHAnsi" w:hAnsiTheme="minorHAnsi" w:cs="Arial"/>
        </w:rPr>
        <w:t xml:space="preserve"> This </w:t>
      </w:r>
      <w:r w:rsidR="00D2073C" w:rsidRPr="00D2073C">
        <w:rPr>
          <w:rFonts w:asciiTheme="minorHAnsi" w:hAnsiTheme="minorHAnsi" w:cs="Arial"/>
        </w:rPr>
        <w:t>Corporate Governance Blueprint</w:t>
      </w:r>
      <w:r w:rsidR="00D2073C" w:rsidRPr="00D2073C" w:rsidDel="00D2073C">
        <w:rPr>
          <w:rFonts w:asciiTheme="minorHAnsi" w:hAnsiTheme="minorHAnsi" w:cs="Arial"/>
        </w:rPr>
        <w:t xml:space="preserve"> </w:t>
      </w:r>
      <w:r w:rsidRPr="008F1E62">
        <w:rPr>
          <w:rFonts w:asciiTheme="minorHAnsi" w:hAnsiTheme="minorHAnsi" w:cs="Arial"/>
        </w:rPr>
        <w:t>provides best practices for corporate governance and policies to be adopted by all Philippine corporations registered with the SEC, including banks.</w:t>
      </w:r>
      <w:r w:rsidRPr="008F1E62">
        <w:rPr>
          <w:rStyle w:val="FootnoteReference"/>
          <w:rFonts w:asciiTheme="minorHAnsi" w:hAnsiTheme="minorHAnsi" w:cs="Arial"/>
        </w:rPr>
        <w:footnoteReference w:id="60"/>
      </w:r>
      <w:r w:rsidRPr="008F1E62">
        <w:rPr>
          <w:rFonts w:asciiTheme="minorHAnsi" w:hAnsiTheme="minorHAnsi" w:cs="Arial"/>
        </w:rPr>
        <w:t xml:space="preserve"> Furthermore, the BSP also issued Circular no. 749</w:t>
      </w:r>
      <w:r w:rsidRPr="008F1E62">
        <w:rPr>
          <w:rStyle w:val="FootnoteReference"/>
          <w:rFonts w:asciiTheme="minorHAnsi" w:hAnsiTheme="minorHAnsi" w:cs="Arial"/>
        </w:rPr>
        <w:footnoteReference w:id="61"/>
      </w:r>
      <w:r w:rsidRPr="008F1E62">
        <w:rPr>
          <w:rFonts w:asciiTheme="minorHAnsi" w:hAnsiTheme="minorHAnsi" w:cs="Arial"/>
        </w:rPr>
        <w:t xml:space="preserve"> as a guideline in strengthening banks corporate governance and compliance on a ‘comply and explain’ basis. The corporate governance of the bank is one of the areas examined by BSP during its annual examination, and any violation to the corporate governance will impact the report on examination of the bank and its corresponding </w:t>
      </w:r>
      <w:r w:rsidRPr="008F1E62">
        <w:rPr>
          <w:rFonts w:asciiTheme="minorHAnsi" w:eastAsia="SimSun" w:hAnsiTheme="minorHAnsi" w:cs="Arial"/>
        </w:rPr>
        <w:t>Capital Adequacy, Asset Quality, Management, Earnings, Liquidity and Sensitivity to the Market Risk (CAMELS) rating.</w:t>
      </w:r>
    </w:p>
    <w:p w14:paraId="7993C2C4" w14:textId="56C3B8E8" w:rsidR="00F76E53" w:rsidRPr="008F1E62" w:rsidRDefault="00F76E53" w:rsidP="009315BA">
      <w:pPr>
        <w:pStyle w:val="BodyText4"/>
        <w:numPr>
          <w:ilvl w:val="0"/>
          <w:numId w:val="2"/>
        </w:numPr>
        <w:spacing w:after="200" w:line="276" w:lineRule="auto"/>
        <w:ind w:left="0" w:hanging="567"/>
        <w:rPr>
          <w:rFonts w:asciiTheme="minorHAnsi" w:hAnsiTheme="minorHAnsi"/>
          <w:b/>
          <w:bCs/>
        </w:rPr>
      </w:pPr>
      <w:r w:rsidRPr="008F1E62">
        <w:rPr>
          <w:rFonts w:asciiTheme="minorHAnsi" w:hAnsiTheme="minorHAnsi" w:cs="Arial"/>
          <w:b/>
          <w:bCs/>
          <w:color w:val="000000"/>
        </w:rPr>
        <w:t xml:space="preserve">Banks </w:t>
      </w:r>
      <w:r w:rsidRPr="008F1E62">
        <w:rPr>
          <w:rFonts w:ascii="Calibri" w:hAnsi="Calibri"/>
          <w:b/>
          <w:bCs/>
        </w:rPr>
        <w:t>must</w:t>
      </w:r>
      <w:r w:rsidRPr="008F1E62">
        <w:rPr>
          <w:rFonts w:asciiTheme="minorHAnsi" w:hAnsiTheme="minorHAnsi" w:cs="Arial"/>
          <w:b/>
          <w:bCs/>
          <w:color w:val="000000"/>
        </w:rPr>
        <w:t xml:space="preserve"> </w:t>
      </w:r>
      <w:r w:rsidRPr="009315BA">
        <w:rPr>
          <w:rFonts w:asciiTheme="minorHAnsi" w:hAnsiTheme="minorHAnsi"/>
          <w:b/>
        </w:rPr>
        <w:t>comply</w:t>
      </w:r>
      <w:r w:rsidRPr="008F1E62">
        <w:rPr>
          <w:rFonts w:asciiTheme="minorHAnsi" w:hAnsiTheme="minorHAnsi" w:cs="Arial"/>
          <w:b/>
          <w:bCs/>
          <w:color w:val="000000"/>
        </w:rPr>
        <w:t xml:space="preserve"> with related party disclosure requirements as mandated by </w:t>
      </w:r>
      <w:r w:rsidRPr="00764D37">
        <w:rPr>
          <w:rFonts w:asciiTheme="minorHAnsi" w:eastAsia="SimSun" w:hAnsiTheme="minorHAnsi" w:cs="Arial"/>
          <w:b/>
        </w:rPr>
        <w:t>BSP</w:t>
      </w:r>
      <w:r w:rsidRPr="00764D37">
        <w:rPr>
          <w:rStyle w:val="FootnoteReference"/>
          <w:rFonts w:asciiTheme="minorHAnsi" w:eastAsia="SimSun" w:hAnsiTheme="minorHAnsi" w:cs="Arial"/>
          <w:b/>
        </w:rPr>
        <w:footnoteReference w:id="62"/>
      </w:r>
      <w:r w:rsidR="00943447">
        <w:rPr>
          <w:rFonts w:asciiTheme="minorHAnsi" w:eastAsia="SimSun" w:hAnsiTheme="minorHAnsi" w:cs="Arial"/>
        </w:rPr>
        <w:t xml:space="preserve">. </w:t>
      </w:r>
      <w:r w:rsidRPr="008F1E62">
        <w:rPr>
          <w:rFonts w:asciiTheme="minorHAnsi" w:eastAsia="SimSun" w:hAnsiTheme="minorHAnsi" w:cs="Arial"/>
        </w:rPr>
        <w:t xml:space="preserve"> </w:t>
      </w:r>
      <w:r w:rsidR="00943447">
        <w:rPr>
          <w:rFonts w:asciiTheme="minorHAnsi" w:eastAsia="SimSun" w:hAnsiTheme="minorHAnsi" w:cs="Arial"/>
        </w:rPr>
        <w:t xml:space="preserve">BSP </w:t>
      </w:r>
      <w:r w:rsidRPr="008F1E62">
        <w:rPr>
          <w:rFonts w:asciiTheme="minorHAnsi" w:eastAsia="SimSun" w:hAnsiTheme="minorHAnsi" w:cs="Arial"/>
        </w:rPr>
        <w:t xml:space="preserve">requires banks to adequately disclose in their Annual Report, if applicable, the overarching policies and procedures for managing related party transactions, including managing conflicts of interest or potential conflicts of interest; responsibility of the </w:t>
      </w:r>
      <w:r w:rsidR="0006583D" w:rsidRPr="0006583D">
        <w:rPr>
          <w:rFonts w:asciiTheme="minorHAnsi" w:eastAsia="SimSun" w:hAnsiTheme="minorHAnsi" w:cs="Arial"/>
        </w:rPr>
        <w:t xml:space="preserve">related party transactions </w:t>
      </w:r>
      <w:r w:rsidR="0006583D">
        <w:rPr>
          <w:rFonts w:asciiTheme="minorHAnsi" w:eastAsia="SimSun" w:hAnsiTheme="minorHAnsi" w:cs="Arial"/>
        </w:rPr>
        <w:t>c</w:t>
      </w:r>
      <w:r w:rsidRPr="008F1E62">
        <w:rPr>
          <w:rFonts w:asciiTheme="minorHAnsi" w:eastAsia="SimSun" w:hAnsiTheme="minorHAnsi" w:cs="Arial"/>
        </w:rPr>
        <w:t xml:space="preserve">ommittee; nature, terms and conditions, as well as original and outstanding individual and aggregate balances, including off-balance sheet commitments, of material </w:t>
      </w:r>
      <w:r w:rsidR="007B5E41">
        <w:rPr>
          <w:rFonts w:asciiTheme="minorHAnsi" w:eastAsia="SimSun" w:hAnsiTheme="minorHAnsi" w:cs="Arial"/>
        </w:rPr>
        <w:t>related party transactions</w:t>
      </w:r>
      <w:r w:rsidRPr="008F1E62">
        <w:rPr>
          <w:rFonts w:asciiTheme="minorHAnsi" w:eastAsia="SimSun" w:hAnsiTheme="minorHAnsi" w:cs="Arial"/>
        </w:rPr>
        <w:t>. Moreover, universal banks/commercial banks that are part of conglomerates shall report all entities in the conglomerate structure.  The conglomerate structure shall likewise disclose beneficial owners of shareholdings that are in the name of Philippine Central Depository Nominee Corporation.</w:t>
      </w:r>
    </w:p>
    <w:p w14:paraId="34A3D91B" w14:textId="77777777" w:rsidR="00F76E53" w:rsidRPr="008F1E62" w:rsidRDefault="00F76E53" w:rsidP="0077686B">
      <w:pPr>
        <w:pStyle w:val="Heading3"/>
      </w:pPr>
      <w:r w:rsidRPr="008F1E62">
        <w:t>Insurance Sector</w:t>
      </w:r>
    </w:p>
    <w:p w14:paraId="0CCCBD0C" w14:textId="536CBF11" w:rsidR="00F76E53" w:rsidRPr="008F1E62" w:rsidRDefault="00F76E53" w:rsidP="009315BA">
      <w:pPr>
        <w:pStyle w:val="BodyText4"/>
        <w:numPr>
          <w:ilvl w:val="0"/>
          <w:numId w:val="2"/>
        </w:numPr>
        <w:spacing w:after="200" w:line="276" w:lineRule="auto"/>
        <w:ind w:left="0" w:hanging="567"/>
        <w:rPr>
          <w:rFonts w:asciiTheme="minorHAnsi" w:hAnsiTheme="minorHAnsi"/>
          <w:b/>
          <w:bCs/>
        </w:rPr>
      </w:pPr>
      <w:r w:rsidRPr="009315BA">
        <w:rPr>
          <w:rFonts w:asciiTheme="minorHAnsi" w:hAnsiTheme="minorHAnsi"/>
          <w:b/>
        </w:rPr>
        <w:t>Insurance</w:t>
      </w:r>
      <w:r w:rsidRPr="008F1E62">
        <w:rPr>
          <w:rFonts w:asciiTheme="minorHAnsi" w:hAnsiTheme="minorHAnsi" w:cs="Arial"/>
          <w:b/>
          <w:bCs/>
        </w:rPr>
        <w:t xml:space="preserve"> companies are subject to prudential reporting prescribed by the </w:t>
      </w:r>
      <w:r w:rsidR="00894A68">
        <w:rPr>
          <w:rFonts w:asciiTheme="minorHAnsi" w:hAnsiTheme="minorHAnsi" w:cs="Arial"/>
          <w:b/>
          <w:bCs/>
        </w:rPr>
        <w:t>IC</w:t>
      </w:r>
      <w:r w:rsidRPr="008F1E62">
        <w:rPr>
          <w:rFonts w:asciiTheme="minorHAnsi" w:hAnsiTheme="minorHAnsi" w:cs="Arial"/>
        </w:rPr>
        <w:t>. Each insurance company is required to publish in the newspaper a full synopsis of its Annual Statements</w:t>
      </w:r>
      <w:r w:rsidRPr="008F1E62">
        <w:rPr>
          <w:rStyle w:val="FootnoteReference"/>
          <w:rFonts w:asciiTheme="minorHAnsi" w:hAnsiTheme="minorHAnsi" w:cs="Arial"/>
        </w:rPr>
        <w:footnoteReference w:id="63"/>
      </w:r>
      <w:r w:rsidRPr="008F1E62">
        <w:rPr>
          <w:rFonts w:asciiTheme="minorHAnsi" w:hAnsiTheme="minorHAnsi" w:cs="Arial"/>
        </w:rPr>
        <w:t xml:space="preserve">. </w:t>
      </w:r>
      <w:r w:rsidRPr="008F1E62">
        <w:rPr>
          <w:rFonts w:asciiTheme="minorHAnsi" w:hAnsiTheme="minorHAnsi" w:cstheme="minorBidi"/>
        </w:rPr>
        <w:t xml:space="preserve">The Annual Statements, </w:t>
      </w:r>
      <w:r w:rsidR="001C23BC">
        <w:rPr>
          <w:rFonts w:asciiTheme="minorHAnsi" w:hAnsiTheme="minorHAnsi" w:cstheme="minorBidi"/>
        </w:rPr>
        <w:t xml:space="preserve">which are </w:t>
      </w:r>
      <w:r w:rsidRPr="008F1E62">
        <w:rPr>
          <w:rFonts w:asciiTheme="minorHAnsi" w:hAnsiTheme="minorHAnsi" w:cstheme="minorBidi"/>
        </w:rPr>
        <w:t xml:space="preserve">separate from the </w:t>
      </w:r>
      <w:r w:rsidR="00631375">
        <w:rPr>
          <w:rFonts w:asciiTheme="minorHAnsi" w:hAnsiTheme="minorHAnsi" w:cstheme="minorBidi"/>
        </w:rPr>
        <w:t>audited financial statements</w:t>
      </w:r>
      <w:r w:rsidRPr="008F1E62">
        <w:rPr>
          <w:rFonts w:asciiTheme="minorHAnsi" w:hAnsiTheme="minorHAnsi" w:cstheme="minorBidi"/>
        </w:rPr>
        <w:t>, are prepared in accordance with the Financial Reporting Framework</w:t>
      </w:r>
      <w:r w:rsidRPr="008F1E62">
        <w:rPr>
          <w:rStyle w:val="FootnoteReference"/>
          <w:rFonts w:asciiTheme="minorHAnsi" w:hAnsiTheme="minorHAnsi" w:cstheme="minorBidi"/>
        </w:rPr>
        <w:footnoteReference w:id="64"/>
      </w:r>
      <w:r w:rsidR="00550E31">
        <w:rPr>
          <w:rFonts w:asciiTheme="minorHAnsi" w:hAnsiTheme="minorHAnsi" w:cstheme="minorBidi"/>
        </w:rPr>
        <w:t xml:space="preserve"> of the IC</w:t>
      </w:r>
      <w:r w:rsidRPr="008F1E62">
        <w:rPr>
          <w:rFonts w:asciiTheme="minorHAnsi" w:hAnsiTheme="minorHAnsi" w:cs="Arial"/>
        </w:rPr>
        <w:t xml:space="preserve">. </w:t>
      </w:r>
      <w:r w:rsidRPr="008F1E62">
        <w:rPr>
          <w:rFonts w:asciiTheme="minorHAnsi" w:hAnsiTheme="minorHAnsi" w:cstheme="minorBidi"/>
        </w:rPr>
        <w:t xml:space="preserve">There is a separate reconciliation process between the statutory reporting and </w:t>
      </w:r>
      <w:proofErr w:type="gramStart"/>
      <w:r w:rsidRPr="008F1E62">
        <w:rPr>
          <w:rFonts w:asciiTheme="minorHAnsi" w:hAnsiTheme="minorHAnsi" w:cstheme="minorBidi"/>
        </w:rPr>
        <w:t>general purpose</w:t>
      </w:r>
      <w:proofErr w:type="gramEnd"/>
      <w:r w:rsidRPr="008F1E62">
        <w:rPr>
          <w:rFonts w:asciiTheme="minorHAnsi" w:hAnsiTheme="minorHAnsi" w:cstheme="minorBidi"/>
        </w:rPr>
        <w:t xml:space="preserve"> reporting.</w:t>
      </w:r>
    </w:p>
    <w:p w14:paraId="257D3FD7" w14:textId="77777777" w:rsidR="00F76E53" w:rsidRPr="008F1E62" w:rsidRDefault="00F76E53" w:rsidP="00FB3DC8">
      <w:pPr>
        <w:pStyle w:val="BodyText4"/>
        <w:numPr>
          <w:ilvl w:val="0"/>
          <w:numId w:val="2"/>
        </w:numPr>
        <w:spacing w:after="200" w:line="276" w:lineRule="auto"/>
        <w:ind w:left="0" w:hanging="567"/>
        <w:rPr>
          <w:rFonts w:asciiTheme="minorHAnsi" w:hAnsiTheme="minorHAnsi"/>
          <w:b/>
          <w:bCs/>
        </w:rPr>
      </w:pPr>
      <w:r w:rsidRPr="008F1E62">
        <w:rPr>
          <w:rFonts w:ascii="Calibri" w:hAnsi="Calibri"/>
          <w:b/>
          <w:bCs/>
        </w:rPr>
        <w:t>Examination</w:t>
      </w:r>
      <w:r w:rsidRPr="008F1E62">
        <w:rPr>
          <w:rFonts w:asciiTheme="minorHAnsi" w:hAnsiTheme="minorHAnsi" w:cstheme="minorBidi"/>
          <w:b/>
          <w:bCs/>
        </w:rPr>
        <w:t xml:space="preserve"> and reporting reforms in the insurance industry</w:t>
      </w:r>
      <w:r w:rsidR="001C5FB9" w:rsidRPr="001C5FB9">
        <w:rPr>
          <w:rFonts w:asciiTheme="minorHAnsi" w:hAnsiTheme="minorHAnsi" w:cstheme="minorBidi"/>
          <w:b/>
          <w:bCs/>
        </w:rPr>
        <w:t xml:space="preserve"> </w:t>
      </w:r>
      <w:r w:rsidR="001C5FB9" w:rsidRPr="008F1E62">
        <w:rPr>
          <w:rFonts w:asciiTheme="minorHAnsi" w:hAnsiTheme="minorHAnsi" w:cstheme="minorBidi"/>
          <w:b/>
          <w:bCs/>
        </w:rPr>
        <w:t xml:space="preserve">are </w:t>
      </w:r>
      <w:r w:rsidR="001C5FB9">
        <w:rPr>
          <w:rFonts w:asciiTheme="minorHAnsi" w:hAnsiTheme="minorHAnsi" w:cstheme="minorBidi"/>
          <w:b/>
          <w:bCs/>
        </w:rPr>
        <w:t>underway</w:t>
      </w:r>
      <w:r w:rsidRPr="008F1E62">
        <w:rPr>
          <w:rFonts w:asciiTheme="minorHAnsi" w:hAnsiTheme="minorHAnsi" w:cstheme="minorBidi"/>
          <w:b/>
          <w:bCs/>
        </w:rPr>
        <w:t>.</w:t>
      </w:r>
      <w:r w:rsidRPr="008F1E62">
        <w:rPr>
          <w:rFonts w:asciiTheme="minorHAnsi" w:hAnsiTheme="minorHAnsi" w:cstheme="minorBidi"/>
        </w:rPr>
        <w:t xml:space="preserve">  </w:t>
      </w:r>
      <w:r w:rsidRPr="008F1E62">
        <w:rPr>
          <w:rFonts w:asciiTheme="minorHAnsi" w:hAnsiTheme="minorHAnsi" w:cs="Arial"/>
          <w:color w:val="000000"/>
        </w:rPr>
        <w:t>The IC is currently modifying some of its prudential reporting requirements to align with international standards</w:t>
      </w:r>
      <w:r w:rsidR="00A47759">
        <w:rPr>
          <w:rFonts w:asciiTheme="minorHAnsi" w:hAnsiTheme="minorHAnsi" w:cs="Arial"/>
          <w:color w:val="000000"/>
        </w:rPr>
        <w:t>. This includes</w:t>
      </w:r>
      <w:r w:rsidRPr="008F1E62">
        <w:rPr>
          <w:rFonts w:asciiTheme="minorHAnsi" w:hAnsiTheme="minorHAnsi" w:cs="Arial"/>
          <w:color w:val="000000"/>
        </w:rPr>
        <w:t xml:space="preserve"> amend</w:t>
      </w:r>
      <w:r w:rsidR="00A47759">
        <w:rPr>
          <w:rFonts w:asciiTheme="minorHAnsi" w:hAnsiTheme="minorHAnsi" w:cs="Arial"/>
          <w:color w:val="000000"/>
        </w:rPr>
        <w:t xml:space="preserve">ing the </w:t>
      </w:r>
      <w:r w:rsidRPr="008F1E62">
        <w:rPr>
          <w:rFonts w:asciiTheme="minorHAnsi" w:hAnsiTheme="minorHAnsi" w:cs="Arial"/>
          <w:color w:val="000000"/>
        </w:rPr>
        <w:t>risk based capital (RBC2) framework to comply with the internationally accepted solvency framework</w:t>
      </w:r>
      <w:r w:rsidR="00A47759">
        <w:rPr>
          <w:rFonts w:asciiTheme="minorHAnsi" w:hAnsiTheme="minorHAnsi" w:cs="Arial"/>
          <w:color w:val="000000"/>
        </w:rPr>
        <w:t>;</w:t>
      </w:r>
      <w:r w:rsidRPr="008F1E62">
        <w:rPr>
          <w:rFonts w:asciiTheme="minorHAnsi" w:hAnsiTheme="minorHAnsi" w:cs="Arial"/>
          <w:color w:val="000000"/>
        </w:rPr>
        <w:t xml:space="preserve"> revision of the financial reporting framework to include the economic valuation of assets and liabilities based on internationally accepted accounting, actuarial</w:t>
      </w:r>
      <w:r w:rsidR="00A47759">
        <w:rPr>
          <w:rFonts w:asciiTheme="minorHAnsi" w:hAnsiTheme="minorHAnsi" w:cs="Arial"/>
          <w:color w:val="000000"/>
        </w:rPr>
        <w:t>,</w:t>
      </w:r>
      <w:r w:rsidRPr="008F1E62">
        <w:rPr>
          <w:rFonts w:asciiTheme="minorHAnsi" w:hAnsiTheme="minorHAnsi" w:cs="Arial"/>
          <w:color w:val="000000"/>
        </w:rPr>
        <w:t xml:space="preserve"> and insurance core principles</w:t>
      </w:r>
      <w:r w:rsidR="00A47759">
        <w:rPr>
          <w:rFonts w:asciiTheme="minorHAnsi" w:hAnsiTheme="minorHAnsi" w:cs="Arial"/>
          <w:color w:val="000000"/>
        </w:rPr>
        <w:t>;</w:t>
      </w:r>
      <w:r w:rsidRPr="008F1E62">
        <w:rPr>
          <w:rFonts w:asciiTheme="minorHAnsi" w:hAnsiTheme="minorHAnsi" w:cs="Arial"/>
          <w:color w:val="000000"/>
        </w:rPr>
        <w:t xml:space="preserve"> and valuation of reserve liabilities based on the valuation standards for insurance policy reserves.  </w:t>
      </w:r>
    </w:p>
    <w:p w14:paraId="5106E3B6" w14:textId="2D99761F" w:rsidR="00F76E53" w:rsidRPr="008F1E62" w:rsidRDefault="00F76E53" w:rsidP="00FB3DC8">
      <w:pPr>
        <w:pStyle w:val="BodyText4"/>
        <w:numPr>
          <w:ilvl w:val="0"/>
          <w:numId w:val="2"/>
        </w:numPr>
        <w:spacing w:after="200" w:line="276" w:lineRule="auto"/>
        <w:ind w:left="0" w:hanging="567"/>
        <w:rPr>
          <w:rFonts w:asciiTheme="minorHAnsi" w:hAnsiTheme="minorHAnsi" w:cstheme="minorBidi"/>
        </w:rPr>
      </w:pPr>
      <w:r w:rsidRPr="008F1E62">
        <w:rPr>
          <w:rFonts w:asciiTheme="minorHAnsi" w:hAnsiTheme="minorHAnsi" w:cstheme="minorBidi"/>
          <w:b/>
          <w:bCs/>
        </w:rPr>
        <w:t xml:space="preserve">The </w:t>
      </w:r>
      <w:r w:rsidR="005123C0" w:rsidRPr="008F1E62">
        <w:rPr>
          <w:rFonts w:asciiTheme="minorHAnsi" w:hAnsiTheme="minorHAnsi" w:cstheme="minorBidi"/>
          <w:b/>
          <w:bCs/>
        </w:rPr>
        <w:t>I</w:t>
      </w:r>
      <w:r w:rsidRPr="008F1E62">
        <w:rPr>
          <w:rFonts w:asciiTheme="minorHAnsi" w:hAnsiTheme="minorHAnsi" w:cstheme="minorBidi"/>
          <w:b/>
          <w:bCs/>
        </w:rPr>
        <w:t xml:space="preserve">C has </w:t>
      </w:r>
      <w:r w:rsidR="005123C0" w:rsidRPr="008F1E62">
        <w:rPr>
          <w:rFonts w:asciiTheme="minorHAnsi" w:hAnsiTheme="minorHAnsi" w:cstheme="minorBidi"/>
          <w:b/>
          <w:bCs/>
        </w:rPr>
        <w:t>primary</w:t>
      </w:r>
      <w:r w:rsidRPr="008F1E62">
        <w:rPr>
          <w:rFonts w:asciiTheme="minorHAnsi" w:hAnsiTheme="minorHAnsi" w:cstheme="minorBidi"/>
          <w:b/>
          <w:bCs/>
        </w:rPr>
        <w:t xml:space="preserve"> responsibility </w:t>
      </w:r>
      <w:r w:rsidR="003F3C47" w:rsidRPr="008F1E62">
        <w:rPr>
          <w:rFonts w:asciiTheme="minorHAnsi" w:hAnsiTheme="minorHAnsi" w:cstheme="minorBidi"/>
          <w:b/>
          <w:bCs/>
        </w:rPr>
        <w:t xml:space="preserve">for </w:t>
      </w:r>
      <w:r w:rsidRPr="008F1E62">
        <w:rPr>
          <w:rFonts w:asciiTheme="minorHAnsi" w:hAnsiTheme="minorHAnsi" w:cstheme="minorBidi"/>
          <w:b/>
          <w:bCs/>
        </w:rPr>
        <w:t xml:space="preserve">review </w:t>
      </w:r>
      <w:r w:rsidR="003F3C47" w:rsidRPr="008F1E62">
        <w:rPr>
          <w:rFonts w:asciiTheme="minorHAnsi" w:hAnsiTheme="minorHAnsi" w:cstheme="minorBidi"/>
          <w:b/>
          <w:bCs/>
        </w:rPr>
        <w:t xml:space="preserve">of </w:t>
      </w:r>
      <w:r w:rsidRPr="008F1E62">
        <w:rPr>
          <w:rFonts w:asciiTheme="minorHAnsi" w:hAnsiTheme="minorHAnsi" w:cstheme="minorBidi"/>
          <w:b/>
          <w:bCs/>
        </w:rPr>
        <w:t xml:space="preserve">the general purpose </w:t>
      </w:r>
      <w:r w:rsidR="005123C0" w:rsidRPr="008F1E62">
        <w:rPr>
          <w:rFonts w:asciiTheme="minorHAnsi" w:hAnsiTheme="minorHAnsi" w:cstheme="minorBidi"/>
          <w:b/>
          <w:bCs/>
        </w:rPr>
        <w:t xml:space="preserve">audited </w:t>
      </w:r>
      <w:r w:rsidRPr="008F1E62">
        <w:rPr>
          <w:rFonts w:asciiTheme="minorHAnsi" w:hAnsiTheme="minorHAnsi" w:cstheme="minorBidi"/>
          <w:b/>
          <w:bCs/>
        </w:rPr>
        <w:t>financial statements of insurance compan</w:t>
      </w:r>
      <w:r w:rsidR="005123C0" w:rsidRPr="008F1E62">
        <w:rPr>
          <w:rFonts w:asciiTheme="minorHAnsi" w:hAnsiTheme="minorHAnsi" w:cstheme="minorBidi"/>
          <w:b/>
          <w:bCs/>
        </w:rPr>
        <w:t>ies, however the SEC completes such reviews for insurance companies that have a secondary license with the</w:t>
      </w:r>
      <w:r w:rsidR="007C117C">
        <w:rPr>
          <w:rFonts w:asciiTheme="minorHAnsi" w:hAnsiTheme="minorHAnsi" w:cstheme="minorBidi"/>
          <w:b/>
          <w:bCs/>
        </w:rPr>
        <w:t>m;</w:t>
      </w:r>
      <w:r w:rsidR="005123C0" w:rsidRPr="008F1E62">
        <w:rPr>
          <w:rFonts w:asciiTheme="minorHAnsi" w:hAnsiTheme="minorHAnsi" w:cstheme="minorBidi"/>
          <w:b/>
          <w:bCs/>
        </w:rPr>
        <w:t xml:space="preserve"> that are under investigation</w:t>
      </w:r>
      <w:r w:rsidR="007C117C">
        <w:rPr>
          <w:rFonts w:asciiTheme="minorHAnsi" w:hAnsiTheme="minorHAnsi" w:cstheme="minorBidi"/>
          <w:b/>
          <w:bCs/>
        </w:rPr>
        <w:t>;</w:t>
      </w:r>
      <w:r w:rsidR="005123C0" w:rsidRPr="008F1E62">
        <w:rPr>
          <w:rFonts w:asciiTheme="minorHAnsi" w:hAnsiTheme="minorHAnsi" w:cstheme="minorBidi"/>
          <w:b/>
          <w:bCs/>
        </w:rPr>
        <w:t xml:space="preserve"> or if there are issue</w:t>
      </w:r>
      <w:r w:rsidR="00943447">
        <w:rPr>
          <w:rFonts w:asciiTheme="minorHAnsi" w:hAnsiTheme="minorHAnsi" w:cstheme="minorBidi"/>
          <w:b/>
          <w:bCs/>
        </w:rPr>
        <w:t>s</w:t>
      </w:r>
      <w:r w:rsidR="005123C0" w:rsidRPr="008F1E62">
        <w:rPr>
          <w:rFonts w:asciiTheme="minorHAnsi" w:hAnsiTheme="minorHAnsi" w:cstheme="minorBidi"/>
          <w:b/>
          <w:bCs/>
        </w:rPr>
        <w:t xml:space="preserve"> raised by the Congress or Senate</w:t>
      </w:r>
      <w:r w:rsidRPr="008F1E62">
        <w:rPr>
          <w:rFonts w:asciiTheme="minorHAnsi" w:hAnsiTheme="minorHAnsi" w:cstheme="minorBidi"/>
          <w:b/>
          <w:bCs/>
        </w:rPr>
        <w:t>.</w:t>
      </w:r>
      <w:r w:rsidRPr="008F1E62">
        <w:rPr>
          <w:rFonts w:asciiTheme="minorHAnsi" w:hAnsiTheme="minorHAnsi" w:cstheme="minorBidi"/>
        </w:rPr>
        <w:t xml:space="preserve"> Section 253 of the New Insurance Code (RA 10607)</w:t>
      </w:r>
      <w:r w:rsidR="000053BD">
        <w:rPr>
          <w:rFonts w:asciiTheme="minorHAnsi" w:hAnsiTheme="minorHAnsi" w:cstheme="minorBidi"/>
        </w:rPr>
        <w:t xml:space="preserve"> </w:t>
      </w:r>
      <w:r w:rsidRPr="008F1E62">
        <w:rPr>
          <w:rFonts w:asciiTheme="minorHAnsi" w:hAnsiTheme="minorHAnsi" w:cstheme="minorBidi"/>
        </w:rPr>
        <w:t>states that the Commissioner shall</w:t>
      </w:r>
      <w:r w:rsidR="000053BD">
        <w:rPr>
          <w:rFonts w:asciiTheme="minorHAnsi" w:hAnsiTheme="minorHAnsi" w:cstheme="minorBidi"/>
        </w:rPr>
        <w:t>,</w:t>
      </w:r>
      <w:r w:rsidRPr="008F1E62">
        <w:rPr>
          <w:rFonts w:asciiTheme="minorHAnsi" w:hAnsiTheme="minorHAnsi" w:cstheme="minorBidi"/>
        </w:rPr>
        <w:t xml:space="preserve"> at least once a year and whenever he considers the public interest so demands, cause an examination into the affairs, financial condition</w:t>
      </w:r>
      <w:r w:rsidR="000053BD">
        <w:rPr>
          <w:rFonts w:asciiTheme="minorHAnsi" w:hAnsiTheme="minorHAnsi" w:cstheme="minorBidi"/>
        </w:rPr>
        <w:t>,</w:t>
      </w:r>
      <w:r w:rsidRPr="008F1E62">
        <w:rPr>
          <w:rFonts w:asciiTheme="minorHAnsi" w:hAnsiTheme="minorHAnsi" w:cstheme="minorBidi"/>
        </w:rPr>
        <w:t xml:space="preserve"> and methods of doing business of any insurance company authorized to transact business in the Philippines. </w:t>
      </w:r>
    </w:p>
    <w:p w14:paraId="73C81593" w14:textId="735554EE" w:rsidR="00F76E53" w:rsidRPr="00A90B64" w:rsidRDefault="00F76E53" w:rsidP="00A90B64">
      <w:pPr>
        <w:pStyle w:val="BodyText4"/>
        <w:numPr>
          <w:ilvl w:val="0"/>
          <w:numId w:val="2"/>
        </w:numPr>
        <w:spacing w:after="200" w:line="276" w:lineRule="auto"/>
        <w:ind w:left="0" w:hanging="567"/>
        <w:rPr>
          <w:rFonts w:asciiTheme="minorHAnsi" w:hAnsiTheme="minorHAnsi" w:cstheme="minorBidi"/>
        </w:rPr>
      </w:pPr>
      <w:r w:rsidRPr="008F1E62">
        <w:rPr>
          <w:rFonts w:asciiTheme="minorHAnsi" w:hAnsiTheme="minorHAnsi" w:cstheme="minorBidi"/>
          <w:b/>
        </w:rPr>
        <w:t>The</w:t>
      </w:r>
      <w:r w:rsidRPr="008F1E62">
        <w:rPr>
          <w:rFonts w:asciiTheme="minorHAnsi" w:hAnsiTheme="minorHAnsi" w:cstheme="minorBidi"/>
          <w:b/>
          <w:bCs/>
        </w:rPr>
        <w:t xml:space="preserve"> </w:t>
      </w:r>
      <w:r w:rsidRPr="009315BA">
        <w:rPr>
          <w:rFonts w:asciiTheme="minorHAnsi" w:hAnsiTheme="minorHAnsi"/>
          <w:b/>
        </w:rPr>
        <w:t>IC’s</w:t>
      </w:r>
      <w:r w:rsidRPr="008F1E62">
        <w:rPr>
          <w:rFonts w:asciiTheme="minorHAnsi" w:hAnsiTheme="minorHAnsi" w:cstheme="minorBidi"/>
          <w:b/>
          <w:bCs/>
        </w:rPr>
        <w:t xml:space="preserve"> Financial Examination Group, with a total of around 60 personnel, is currently responsible for reviewing the </w:t>
      </w:r>
      <w:r w:rsidR="00432AD7" w:rsidRPr="008F1E62">
        <w:rPr>
          <w:rFonts w:asciiTheme="minorHAnsi" w:hAnsiTheme="minorHAnsi" w:cstheme="minorBidi"/>
          <w:b/>
          <w:bCs/>
        </w:rPr>
        <w:t xml:space="preserve">annual statements </w:t>
      </w:r>
      <w:r w:rsidRPr="008F1E62">
        <w:rPr>
          <w:rFonts w:asciiTheme="minorHAnsi" w:hAnsiTheme="minorHAnsi" w:cstheme="minorBidi"/>
          <w:b/>
          <w:bCs/>
        </w:rPr>
        <w:t>of insurance companies based on the statutory reporting requirements of IC.</w:t>
      </w:r>
      <w:r w:rsidRPr="008F1E62">
        <w:rPr>
          <w:rFonts w:asciiTheme="minorHAnsi" w:hAnsiTheme="minorHAnsi" w:cstheme="minorBidi"/>
        </w:rPr>
        <w:t xml:space="preserve"> </w:t>
      </w:r>
      <w:r w:rsidR="00BC4044">
        <w:rPr>
          <w:rFonts w:asciiTheme="minorHAnsi" w:hAnsiTheme="minorHAnsi" w:cstheme="minorBidi"/>
        </w:rPr>
        <w:t xml:space="preserve">The </w:t>
      </w:r>
      <w:r w:rsidR="00BC4044" w:rsidRPr="00BC4044">
        <w:rPr>
          <w:rFonts w:asciiTheme="minorHAnsi" w:hAnsiTheme="minorHAnsi" w:cstheme="minorBidi"/>
        </w:rPr>
        <w:t>Financial Examination Group</w:t>
      </w:r>
      <w:r w:rsidR="00BC4044" w:rsidRPr="00BC4044" w:rsidDel="00BC4044">
        <w:rPr>
          <w:rFonts w:asciiTheme="minorHAnsi" w:hAnsiTheme="minorHAnsi" w:cstheme="minorBidi"/>
        </w:rPr>
        <w:t xml:space="preserve"> </w:t>
      </w:r>
      <w:r w:rsidRPr="008F1E62">
        <w:rPr>
          <w:rFonts w:asciiTheme="minorHAnsi" w:hAnsiTheme="minorHAnsi" w:cstheme="minorBidi"/>
        </w:rPr>
        <w:t>conducts onsite and offsite examination</w:t>
      </w:r>
      <w:r w:rsidR="00432AD7">
        <w:rPr>
          <w:rFonts w:asciiTheme="minorHAnsi" w:hAnsiTheme="minorHAnsi" w:cstheme="minorBidi"/>
        </w:rPr>
        <w:t>s</w:t>
      </w:r>
      <w:r w:rsidRPr="008F1E62">
        <w:rPr>
          <w:rFonts w:asciiTheme="minorHAnsi" w:hAnsiTheme="minorHAnsi" w:cstheme="minorBidi"/>
        </w:rPr>
        <w:t xml:space="preserve"> o</w:t>
      </w:r>
      <w:r w:rsidR="00432AD7">
        <w:rPr>
          <w:rFonts w:asciiTheme="minorHAnsi" w:hAnsiTheme="minorHAnsi" w:cstheme="minorBidi"/>
        </w:rPr>
        <w:t>f</w:t>
      </w:r>
      <w:r w:rsidRPr="008F1E62">
        <w:rPr>
          <w:rFonts w:asciiTheme="minorHAnsi" w:hAnsiTheme="minorHAnsi" w:cstheme="minorBidi"/>
        </w:rPr>
        <w:t xml:space="preserve"> the affairs, financial condition, and methods of doing business of the insurance companies </w:t>
      </w:r>
      <w:r w:rsidR="001C23BC">
        <w:rPr>
          <w:rFonts w:asciiTheme="minorHAnsi" w:hAnsiTheme="minorHAnsi" w:cstheme="minorBidi"/>
        </w:rPr>
        <w:t xml:space="preserve">to determine </w:t>
      </w:r>
      <w:r w:rsidRPr="008F1E62">
        <w:rPr>
          <w:rFonts w:asciiTheme="minorHAnsi" w:hAnsiTheme="minorHAnsi" w:cstheme="minorBidi"/>
        </w:rPr>
        <w:t xml:space="preserve">if such complies with the requirements prescribed by IC. The examination and monitoring include observation on the completeness </w:t>
      </w:r>
      <w:r w:rsidR="001C23BC">
        <w:rPr>
          <w:rFonts w:asciiTheme="minorHAnsi" w:hAnsiTheme="minorHAnsi" w:cstheme="minorBidi"/>
        </w:rPr>
        <w:t xml:space="preserve">of reports </w:t>
      </w:r>
      <w:r w:rsidRPr="008F1E62">
        <w:rPr>
          <w:rFonts w:asciiTheme="minorHAnsi" w:hAnsiTheme="minorHAnsi" w:cstheme="minorBidi"/>
        </w:rPr>
        <w:t xml:space="preserve">and verification of the </w:t>
      </w:r>
      <w:r w:rsidR="001C23BC">
        <w:rPr>
          <w:rFonts w:asciiTheme="minorHAnsi" w:hAnsiTheme="minorHAnsi" w:cstheme="minorBidi"/>
        </w:rPr>
        <w:t>financial information reported</w:t>
      </w:r>
      <w:r w:rsidRPr="008F1E62">
        <w:rPr>
          <w:rFonts w:asciiTheme="minorHAnsi" w:hAnsiTheme="minorHAnsi" w:cstheme="minorBidi"/>
        </w:rPr>
        <w:t xml:space="preserve"> to the IC by the insurance companies. </w:t>
      </w:r>
      <w:r w:rsidR="009A1C90">
        <w:rPr>
          <w:rFonts w:asciiTheme="minorHAnsi" w:hAnsiTheme="minorHAnsi" w:cstheme="minorBidi"/>
        </w:rPr>
        <w:t>In the event of n</w:t>
      </w:r>
      <w:r w:rsidRPr="008F1E62">
        <w:rPr>
          <w:rFonts w:asciiTheme="minorHAnsi" w:hAnsiTheme="minorHAnsi" w:cstheme="minorBidi"/>
        </w:rPr>
        <w:t xml:space="preserve">on-compliance with the net worth and solvency requirements the insurance company </w:t>
      </w:r>
      <w:r w:rsidR="009A1C90">
        <w:rPr>
          <w:rFonts w:asciiTheme="minorHAnsi" w:hAnsiTheme="minorHAnsi" w:cstheme="minorBidi"/>
        </w:rPr>
        <w:t>is</w:t>
      </w:r>
      <w:r w:rsidRPr="008F1E62">
        <w:rPr>
          <w:rFonts w:asciiTheme="minorHAnsi" w:hAnsiTheme="minorHAnsi" w:cstheme="minorBidi"/>
        </w:rPr>
        <w:t xml:space="preserve"> given a deadline to cover its deficiency (Refer to Table </w:t>
      </w:r>
      <w:r w:rsidR="00943447">
        <w:rPr>
          <w:rFonts w:asciiTheme="minorHAnsi" w:hAnsiTheme="minorHAnsi" w:cstheme="minorBidi"/>
        </w:rPr>
        <w:t>8</w:t>
      </w:r>
      <w:r w:rsidR="00943447" w:rsidRPr="008F1E62">
        <w:rPr>
          <w:rFonts w:asciiTheme="minorHAnsi" w:hAnsiTheme="minorHAnsi" w:cstheme="minorBidi"/>
        </w:rPr>
        <w:t xml:space="preserve"> </w:t>
      </w:r>
      <w:r w:rsidRPr="008F1E62">
        <w:rPr>
          <w:rFonts w:asciiTheme="minorHAnsi" w:hAnsiTheme="minorHAnsi" w:cstheme="minorBidi"/>
        </w:rPr>
        <w:t>for status of IC reviews). Otherwise, the insurance company will be placed under conservatorship. More than half of IC examiners are primarily CPAs or graduate</w:t>
      </w:r>
      <w:r w:rsidR="005E7CA6">
        <w:rPr>
          <w:rFonts w:asciiTheme="minorHAnsi" w:hAnsiTheme="minorHAnsi" w:cstheme="minorBidi"/>
        </w:rPr>
        <w:t>s</w:t>
      </w:r>
      <w:r w:rsidRPr="008F1E62">
        <w:rPr>
          <w:rFonts w:asciiTheme="minorHAnsi" w:hAnsiTheme="minorHAnsi" w:cstheme="minorBidi"/>
        </w:rPr>
        <w:t xml:space="preserve"> with an accounting degree and most have attended industry specific training on insurance. This training is also mandatory </w:t>
      </w:r>
      <w:r w:rsidR="005E7CA6">
        <w:rPr>
          <w:rFonts w:asciiTheme="minorHAnsi" w:hAnsiTheme="minorHAnsi" w:cstheme="minorBidi"/>
        </w:rPr>
        <w:t>for</w:t>
      </w:r>
      <w:r w:rsidRPr="008F1E62">
        <w:rPr>
          <w:rFonts w:asciiTheme="minorHAnsi" w:hAnsiTheme="minorHAnsi" w:cstheme="minorBidi"/>
        </w:rPr>
        <w:t xml:space="preserve"> external auditors of the insurance companies, however, such training attended by practicing CPAs </w:t>
      </w:r>
      <w:r w:rsidR="009D0955">
        <w:rPr>
          <w:rFonts w:asciiTheme="minorHAnsi" w:hAnsiTheme="minorHAnsi" w:cstheme="minorBidi"/>
        </w:rPr>
        <w:t>is</w:t>
      </w:r>
      <w:r w:rsidR="009D0955" w:rsidRPr="008F1E62">
        <w:rPr>
          <w:rFonts w:asciiTheme="minorHAnsi" w:hAnsiTheme="minorHAnsi" w:cstheme="minorBidi"/>
        </w:rPr>
        <w:t xml:space="preserve"> </w:t>
      </w:r>
      <w:r w:rsidRPr="008F1E62">
        <w:rPr>
          <w:rFonts w:asciiTheme="minorHAnsi" w:hAnsiTheme="minorHAnsi" w:cstheme="minorBidi"/>
        </w:rPr>
        <w:t>not credited to their CPD requirement because the training institutions have not been approved by the BOA.</w:t>
      </w:r>
    </w:p>
    <w:tbl>
      <w:tblPr>
        <w:tblStyle w:val="TableGrid"/>
        <w:tblpPr w:leftFromText="180" w:rightFromText="180" w:vertAnchor="text" w:horzAnchor="margin" w:tblpXSpec="right" w:tblpY="81"/>
        <w:tblOverlap w:val="never"/>
        <w:tblW w:w="0" w:type="auto"/>
        <w:jc w:val="right"/>
        <w:tblCellSpacing w:w="57"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2305"/>
        <w:gridCol w:w="750"/>
        <w:gridCol w:w="750"/>
        <w:gridCol w:w="750"/>
        <w:gridCol w:w="951"/>
      </w:tblGrid>
      <w:tr w:rsidR="00A90B64" w:rsidRPr="00550E31" w14:paraId="5BF1D501" w14:textId="77777777" w:rsidTr="00DD6632">
        <w:trPr>
          <w:trHeight w:val="13"/>
          <w:tblCellSpacing w:w="57" w:type="dxa"/>
          <w:jc w:val="right"/>
        </w:trPr>
        <w:tc>
          <w:tcPr>
            <w:tcW w:w="5138" w:type="dxa"/>
            <w:gridSpan w:val="5"/>
            <w:shd w:val="clear" w:color="auto" w:fill="auto"/>
            <w:noWrap/>
          </w:tcPr>
          <w:p w14:paraId="5F766447" w14:textId="0BA77AA6" w:rsidR="00A90B64" w:rsidRPr="00A90B64" w:rsidRDefault="00A90B64" w:rsidP="00A90B64">
            <w:pPr>
              <w:spacing w:after="0"/>
              <w:jc w:val="center"/>
              <w:rPr>
                <w:b/>
                <w:color w:val="FFFFFF" w:themeColor="background1"/>
                <w:sz w:val="20"/>
              </w:rPr>
            </w:pPr>
            <w:r w:rsidRPr="00A90B64">
              <w:rPr>
                <w:b/>
                <w:sz w:val="20"/>
                <w:szCs w:val="24"/>
              </w:rPr>
              <w:t xml:space="preserve">Table </w:t>
            </w:r>
            <w:r w:rsidRPr="00A90B64">
              <w:rPr>
                <w:b/>
                <w:sz w:val="20"/>
                <w:szCs w:val="24"/>
              </w:rPr>
              <w:fldChar w:fldCharType="begin"/>
            </w:r>
            <w:r w:rsidRPr="00A90B64">
              <w:rPr>
                <w:b/>
                <w:sz w:val="20"/>
                <w:szCs w:val="24"/>
              </w:rPr>
              <w:instrText xml:space="preserve"> SEQ Table \* ARABIC </w:instrText>
            </w:r>
            <w:r w:rsidRPr="00A90B64">
              <w:rPr>
                <w:b/>
                <w:sz w:val="20"/>
                <w:szCs w:val="24"/>
              </w:rPr>
              <w:fldChar w:fldCharType="separate"/>
            </w:r>
            <w:r w:rsidR="004310EC">
              <w:rPr>
                <w:b/>
                <w:noProof/>
                <w:sz w:val="20"/>
                <w:szCs w:val="24"/>
              </w:rPr>
              <w:t>8</w:t>
            </w:r>
            <w:r w:rsidRPr="00A90B64">
              <w:rPr>
                <w:b/>
                <w:sz w:val="20"/>
                <w:szCs w:val="24"/>
              </w:rPr>
              <w:fldChar w:fldCharType="end"/>
            </w:r>
            <w:r w:rsidRPr="00A90B64">
              <w:rPr>
                <w:b/>
                <w:sz w:val="20"/>
                <w:szCs w:val="24"/>
              </w:rPr>
              <w:t>. Insurance Commission review &amp; actions on non-life insurance companies</w:t>
            </w:r>
            <w:r w:rsidRPr="00A90B64">
              <w:rPr>
                <w:b/>
                <w:sz w:val="20"/>
                <w:szCs w:val="24"/>
                <w:vertAlign w:val="superscript"/>
              </w:rPr>
              <w:footnoteReference w:id="65"/>
            </w:r>
          </w:p>
        </w:tc>
      </w:tr>
      <w:tr w:rsidR="00A90B64" w:rsidRPr="00550E31" w14:paraId="4806324F" w14:textId="77777777" w:rsidTr="00DD6632">
        <w:trPr>
          <w:trHeight w:val="13"/>
          <w:tblCellSpacing w:w="57" w:type="dxa"/>
          <w:jc w:val="right"/>
        </w:trPr>
        <w:tc>
          <w:tcPr>
            <w:tcW w:w="2124" w:type="dxa"/>
            <w:shd w:val="clear" w:color="auto" w:fill="4472C4"/>
            <w:noWrap/>
            <w:hideMark/>
          </w:tcPr>
          <w:p w14:paraId="67855FB4" w14:textId="77777777" w:rsidR="00A90B64" w:rsidRPr="00550E31" w:rsidRDefault="00A90B64" w:rsidP="00A90B64">
            <w:pPr>
              <w:spacing w:after="0"/>
              <w:rPr>
                <w:b/>
                <w:color w:val="FFFFFF" w:themeColor="background1"/>
                <w:sz w:val="20"/>
              </w:rPr>
            </w:pPr>
          </w:p>
        </w:tc>
        <w:tc>
          <w:tcPr>
            <w:tcW w:w="636" w:type="dxa"/>
            <w:shd w:val="clear" w:color="auto" w:fill="4472C4"/>
            <w:noWrap/>
            <w:hideMark/>
          </w:tcPr>
          <w:p w14:paraId="02B55C27" w14:textId="77777777" w:rsidR="00A90B64" w:rsidRPr="00550E31" w:rsidRDefault="00A90B64" w:rsidP="00A90B64">
            <w:pPr>
              <w:spacing w:after="0"/>
              <w:rPr>
                <w:b/>
                <w:color w:val="FFFFFF" w:themeColor="background1"/>
                <w:sz w:val="20"/>
              </w:rPr>
            </w:pPr>
            <w:r w:rsidRPr="00550E31">
              <w:rPr>
                <w:b/>
                <w:color w:val="FFFFFF" w:themeColor="background1"/>
                <w:sz w:val="20"/>
              </w:rPr>
              <w:t>2013</w:t>
            </w:r>
          </w:p>
        </w:tc>
        <w:tc>
          <w:tcPr>
            <w:tcW w:w="636" w:type="dxa"/>
            <w:shd w:val="clear" w:color="auto" w:fill="4472C4"/>
            <w:noWrap/>
            <w:hideMark/>
          </w:tcPr>
          <w:p w14:paraId="029CFCE5" w14:textId="77777777" w:rsidR="00A90B64" w:rsidRPr="00550E31" w:rsidRDefault="00A90B64" w:rsidP="00A90B64">
            <w:pPr>
              <w:spacing w:after="0"/>
              <w:rPr>
                <w:b/>
                <w:color w:val="FFFFFF" w:themeColor="background1"/>
                <w:sz w:val="20"/>
              </w:rPr>
            </w:pPr>
            <w:r w:rsidRPr="00550E31">
              <w:rPr>
                <w:b/>
                <w:color w:val="FFFFFF" w:themeColor="background1"/>
                <w:sz w:val="20"/>
              </w:rPr>
              <w:t>2014</w:t>
            </w:r>
          </w:p>
        </w:tc>
        <w:tc>
          <w:tcPr>
            <w:tcW w:w="636" w:type="dxa"/>
            <w:shd w:val="clear" w:color="auto" w:fill="4472C4"/>
            <w:noWrap/>
            <w:hideMark/>
          </w:tcPr>
          <w:p w14:paraId="5B9E7D90" w14:textId="77777777" w:rsidR="00A90B64" w:rsidRPr="00550E31" w:rsidRDefault="00A90B64" w:rsidP="00A90B64">
            <w:pPr>
              <w:spacing w:after="0"/>
              <w:rPr>
                <w:b/>
                <w:color w:val="FFFFFF" w:themeColor="background1"/>
                <w:sz w:val="20"/>
              </w:rPr>
            </w:pPr>
            <w:r w:rsidRPr="00550E31">
              <w:rPr>
                <w:b/>
                <w:color w:val="FFFFFF" w:themeColor="background1"/>
                <w:sz w:val="20"/>
              </w:rPr>
              <w:t>2015</w:t>
            </w:r>
          </w:p>
        </w:tc>
        <w:tc>
          <w:tcPr>
            <w:tcW w:w="650" w:type="dxa"/>
            <w:shd w:val="clear" w:color="auto" w:fill="4472C4"/>
            <w:hideMark/>
          </w:tcPr>
          <w:p w14:paraId="6A43D9C4" w14:textId="77777777" w:rsidR="00A90B64" w:rsidRPr="00550E31" w:rsidRDefault="00A90B64" w:rsidP="00A90B64">
            <w:pPr>
              <w:spacing w:after="0"/>
              <w:rPr>
                <w:b/>
                <w:color w:val="FFFFFF" w:themeColor="background1"/>
                <w:sz w:val="20"/>
              </w:rPr>
            </w:pPr>
            <w:r w:rsidRPr="00550E31">
              <w:rPr>
                <w:b/>
                <w:color w:val="FFFFFF" w:themeColor="background1"/>
                <w:sz w:val="20"/>
              </w:rPr>
              <w:t>TOTAL</w:t>
            </w:r>
          </w:p>
        </w:tc>
      </w:tr>
      <w:tr w:rsidR="00A90B64" w:rsidRPr="00550E31" w14:paraId="62C5A213" w14:textId="77777777" w:rsidTr="00DD6632">
        <w:trPr>
          <w:trHeight w:val="14"/>
          <w:tblCellSpacing w:w="57" w:type="dxa"/>
          <w:jc w:val="right"/>
        </w:trPr>
        <w:tc>
          <w:tcPr>
            <w:tcW w:w="2124" w:type="dxa"/>
            <w:shd w:val="clear" w:color="auto" w:fill="C6E8D7"/>
            <w:hideMark/>
          </w:tcPr>
          <w:p w14:paraId="30C4CF13" w14:textId="77777777" w:rsidR="00A90B64" w:rsidRPr="00550E31" w:rsidRDefault="00A90B64" w:rsidP="00A90B64">
            <w:pPr>
              <w:spacing w:after="0"/>
              <w:jc w:val="left"/>
              <w:rPr>
                <w:sz w:val="20"/>
              </w:rPr>
            </w:pPr>
            <w:r w:rsidRPr="00550E31">
              <w:rPr>
                <w:sz w:val="20"/>
              </w:rPr>
              <w:t>Compliant with net worth</w:t>
            </w:r>
          </w:p>
        </w:tc>
        <w:tc>
          <w:tcPr>
            <w:tcW w:w="636" w:type="dxa"/>
            <w:shd w:val="clear" w:color="auto" w:fill="C6E8D7"/>
            <w:noWrap/>
            <w:vAlign w:val="center"/>
            <w:hideMark/>
          </w:tcPr>
          <w:p w14:paraId="0948E598" w14:textId="77777777" w:rsidR="00A90B64" w:rsidRPr="00550E31" w:rsidRDefault="00A90B64" w:rsidP="00A90B64">
            <w:pPr>
              <w:spacing w:after="0"/>
              <w:jc w:val="center"/>
              <w:rPr>
                <w:sz w:val="20"/>
              </w:rPr>
            </w:pPr>
            <w:r w:rsidRPr="00550E31">
              <w:rPr>
                <w:sz w:val="20"/>
              </w:rPr>
              <w:t>65</w:t>
            </w:r>
          </w:p>
        </w:tc>
        <w:tc>
          <w:tcPr>
            <w:tcW w:w="636" w:type="dxa"/>
            <w:shd w:val="clear" w:color="auto" w:fill="C6E8D7"/>
            <w:noWrap/>
            <w:vAlign w:val="center"/>
            <w:hideMark/>
          </w:tcPr>
          <w:p w14:paraId="4C9CBBF4" w14:textId="77777777" w:rsidR="00A90B64" w:rsidRPr="00550E31" w:rsidRDefault="00A90B64" w:rsidP="00A90B64">
            <w:pPr>
              <w:spacing w:after="0"/>
              <w:jc w:val="center"/>
              <w:rPr>
                <w:sz w:val="20"/>
              </w:rPr>
            </w:pPr>
            <w:r w:rsidRPr="00550E31">
              <w:rPr>
                <w:sz w:val="20"/>
              </w:rPr>
              <w:t>63</w:t>
            </w:r>
          </w:p>
        </w:tc>
        <w:tc>
          <w:tcPr>
            <w:tcW w:w="636" w:type="dxa"/>
            <w:shd w:val="clear" w:color="auto" w:fill="C6E8D7"/>
            <w:noWrap/>
            <w:vAlign w:val="center"/>
            <w:hideMark/>
          </w:tcPr>
          <w:p w14:paraId="33E36146" w14:textId="77777777" w:rsidR="00A90B64" w:rsidRPr="00550E31" w:rsidRDefault="00A90B64" w:rsidP="00A90B64">
            <w:pPr>
              <w:spacing w:after="0"/>
              <w:jc w:val="center"/>
              <w:rPr>
                <w:sz w:val="20"/>
              </w:rPr>
            </w:pPr>
            <w:r w:rsidRPr="00550E31">
              <w:rPr>
                <w:sz w:val="20"/>
              </w:rPr>
              <w:t>61</w:t>
            </w:r>
          </w:p>
        </w:tc>
        <w:tc>
          <w:tcPr>
            <w:tcW w:w="650" w:type="dxa"/>
            <w:shd w:val="clear" w:color="auto" w:fill="C6E8D7"/>
            <w:noWrap/>
            <w:vAlign w:val="center"/>
            <w:hideMark/>
          </w:tcPr>
          <w:p w14:paraId="351787E8" w14:textId="77777777" w:rsidR="00A90B64" w:rsidRPr="00550E31" w:rsidRDefault="00A90B64" w:rsidP="00A90B64">
            <w:pPr>
              <w:spacing w:after="0"/>
              <w:jc w:val="center"/>
              <w:rPr>
                <w:b/>
                <w:sz w:val="20"/>
              </w:rPr>
            </w:pPr>
            <w:r w:rsidRPr="00550E31">
              <w:rPr>
                <w:b/>
                <w:sz w:val="20"/>
              </w:rPr>
              <w:t>189</w:t>
            </w:r>
          </w:p>
        </w:tc>
      </w:tr>
      <w:tr w:rsidR="00A90B64" w:rsidRPr="00550E31" w14:paraId="4A062DC1" w14:textId="77777777" w:rsidTr="00DD6632">
        <w:trPr>
          <w:trHeight w:val="14"/>
          <w:tblCellSpacing w:w="57" w:type="dxa"/>
          <w:jc w:val="right"/>
        </w:trPr>
        <w:tc>
          <w:tcPr>
            <w:tcW w:w="2124" w:type="dxa"/>
            <w:shd w:val="clear" w:color="auto" w:fill="C6E8D7"/>
            <w:hideMark/>
          </w:tcPr>
          <w:p w14:paraId="52E7A817" w14:textId="77777777" w:rsidR="00A90B64" w:rsidRPr="00550E31" w:rsidRDefault="00A90B64" w:rsidP="00A90B64">
            <w:pPr>
              <w:spacing w:after="0"/>
              <w:jc w:val="left"/>
              <w:rPr>
                <w:sz w:val="20"/>
              </w:rPr>
            </w:pPr>
            <w:r w:rsidRPr="00550E31">
              <w:rPr>
                <w:sz w:val="20"/>
              </w:rPr>
              <w:t>Not compliant with net worth with pending requirements</w:t>
            </w:r>
          </w:p>
        </w:tc>
        <w:tc>
          <w:tcPr>
            <w:tcW w:w="636" w:type="dxa"/>
            <w:shd w:val="clear" w:color="auto" w:fill="C6E8D7"/>
            <w:noWrap/>
            <w:vAlign w:val="center"/>
            <w:hideMark/>
          </w:tcPr>
          <w:p w14:paraId="1C28577E" w14:textId="77777777" w:rsidR="00A90B64" w:rsidRPr="00550E31" w:rsidRDefault="00A90B64" w:rsidP="00A90B64">
            <w:pPr>
              <w:spacing w:after="0"/>
              <w:jc w:val="center"/>
              <w:rPr>
                <w:sz w:val="20"/>
              </w:rPr>
            </w:pPr>
            <w:r w:rsidRPr="00550E31">
              <w:rPr>
                <w:sz w:val="20"/>
              </w:rPr>
              <w:t>1</w:t>
            </w:r>
          </w:p>
        </w:tc>
        <w:tc>
          <w:tcPr>
            <w:tcW w:w="636" w:type="dxa"/>
            <w:shd w:val="clear" w:color="auto" w:fill="C6E8D7"/>
            <w:noWrap/>
            <w:vAlign w:val="center"/>
            <w:hideMark/>
          </w:tcPr>
          <w:p w14:paraId="52B14E25" w14:textId="77777777" w:rsidR="00A90B64" w:rsidRPr="00550E31" w:rsidRDefault="00A90B64" w:rsidP="00A90B64">
            <w:pPr>
              <w:spacing w:after="0"/>
              <w:jc w:val="center"/>
              <w:rPr>
                <w:sz w:val="20"/>
              </w:rPr>
            </w:pPr>
            <w:r w:rsidRPr="00550E31">
              <w:rPr>
                <w:sz w:val="20"/>
              </w:rPr>
              <w:t>1</w:t>
            </w:r>
          </w:p>
        </w:tc>
        <w:tc>
          <w:tcPr>
            <w:tcW w:w="636" w:type="dxa"/>
            <w:shd w:val="clear" w:color="auto" w:fill="C6E8D7"/>
            <w:noWrap/>
            <w:vAlign w:val="center"/>
            <w:hideMark/>
          </w:tcPr>
          <w:p w14:paraId="770FC551" w14:textId="77777777" w:rsidR="00A90B64" w:rsidRPr="00550E31" w:rsidRDefault="00A90B64" w:rsidP="00A90B64">
            <w:pPr>
              <w:spacing w:after="0"/>
              <w:jc w:val="center"/>
              <w:rPr>
                <w:sz w:val="20"/>
              </w:rPr>
            </w:pPr>
            <w:r w:rsidRPr="00550E31">
              <w:rPr>
                <w:sz w:val="20"/>
              </w:rPr>
              <w:t>3</w:t>
            </w:r>
          </w:p>
        </w:tc>
        <w:tc>
          <w:tcPr>
            <w:tcW w:w="650" w:type="dxa"/>
            <w:shd w:val="clear" w:color="auto" w:fill="C6E8D7"/>
            <w:noWrap/>
            <w:vAlign w:val="center"/>
            <w:hideMark/>
          </w:tcPr>
          <w:p w14:paraId="3311B980" w14:textId="77777777" w:rsidR="00A90B64" w:rsidRPr="00550E31" w:rsidRDefault="00A90B64" w:rsidP="00A90B64">
            <w:pPr>
              <w:spacing w:after="0"/>
              <w:jc w:val="center"/>
              <w:rPr>
                <w:b/>
                <w:sz w:val="20"/>
              </w:rPr>
            </w:pPr>
            <w:r w:rsidRPr="00550E31">
              <w:rPr>
                <w:b/>
                <w:sz w:val="20"/>
              </w:rPr>
              <w:t>5</w:t>
            </w:r>
          </w:p>
        </w:tc>
      </w:tr>
      <w:tr w:rsidR="00A90B64" w:rsidRPr="00550E31" w14:paraId="299C959E" w14:textId="77777777" w:rsidTr="00DD6632">
        <w:trPr>
          <w:trHeight w:val="255"/>
          <w:tblCellSpacing w:w="57" w:type="dxa"/>
          <w:jc w:val="right"/>
        </w:trPr>
        <w:tc>
          <w:tcPr>
            <w:tcW w:w="2124" w:type="dxa"/>
            <w:shd w:val="clear" w:color="auto" w:fill="C6E8D7"/>
            <w:hideMark/>
          </w:tcPr>
          <w:p w14:paraId="6A161F2D" w14:textId="77777777" w:rsidR="00A90B64" w:rsidRPr="00550E31" w:rsidRDefault="00A90B64" w:rsidP="00A90B64">
            <w:pPr>
              <w:spacing w:after="0"/>
              <w:jc w:val="left"/>
              <w:rPr>
                <w:sz w:val="20"/>
              </w:rPr>
            </w:pPr>
            <w:r w:rsidRPr="00550E31">
              <w:rPr>
                <w:sz w:val="20"/>
              </w:rPr>
              <w:t>Under Conservatorship</w:t>
            </w:r>
          </w:p>
        </w:tc>
        <w:tc>
          <w:tcPr>
            <w:tcW w:w="636" w:type="dxa"/>
            <w:shd w:val="clear" w:color="auto" w:fill="C6E8D7"/>
            <w:noWrap/>
            <w:vAlign w:val="center"/>
            <w:hideMark/>
          </w:tcPr>
          <w:p w14:paraId="6DB6E7EC" w14:textId="77777777" w:rsidR="00A90B64" w:rsidRPr="00550E31" w:rsidRDefault="00A90B64" w:rsidP="00A90B64">
            <w:pPr>
              <w:spacing w:after="0"/>
              <w:jc w:val="center"/>
              <w:rPr>
                <w:sz w:val="20"/>
              </w:rPr>
            </w:pPr>
            <w:r w:rsidRPr="00550E31">
              <w:rPr>
                <w:sz w:val="20"/>
              </w:rPr>
              <w:t>8</w:t>
            </w:r>
          </w:p>
        </w:tc>
        <w:tc>
          <w:tcPr>
            <w:tcW w:w="636" w:type="dxa"/>
            <w:shd w:val="clear" w:color="auto" w:fill="C6E8D7"/>
            <w:noWrap/>
            <w:vAlign w:val="center"/>
            <w:hideMark/>
          </w:tcPr>
          <w:p w14:paraId="1CEC3C20" w14:textId="77777777" w:rsidR="00A90B64" w:rsidRPr="00550E31" w:rsidRDefault="00A90B64" w:rsidP="00A90B64">
            <w:pPr>
              <w:spacing w:after="0"/>
              <w:jc w:val="center"/>
              <w:rPr>
                <w:sz w:val="20"/>
              </w:rPr>
            </w:pPr>
            <w:r w:rsidRPr="00550E31">
              <w:rPr>
                <w:sz w:val="20"/>
              </w:rPr>
              <w:t>2</w:t>
            </w:r>
          </w:p>
        </w:tc>
        <w:tc>
          <w:tcPr>
            <w:tcW w:w="636" w:type="dxa"/>
            <w:shd w:val="clear" w:color="auto" w:fill="C6E8D7"/>
            <w:noWrap/>
            <w:vAlign w:val="center"/>
            <w:hideMark/>
          </w:tcPr>
          <w:p w14:paraId="2DCB66FA" w14:textId="77777777" w:rsidR="00A90B64" w:rsidRPr="00550E31" w:rsidRDefault="00A90B64" w:rsidP="00A90B64">
            <w:pPr>
              <w:spacing w:after="0"/>
              <w:jc w:val="center"/>
              <w:rPr>
                <w:sz w:val="20"/>
              </w:rPr>
            </w:pPr>
            <w:r w:rsidRPr="00550E31">
              <w:rPr>
                <w:sz w:val="20"/>
              </w:rPr>
              <w:t>0</w:t>
            </w:r>
          </w:p>
        </w:tc>
        <w:tc>
          <w:tcPr>
            <w:tcW w:w="650" w:type="dxa"/>
            <w:shd w:val="clear" w:color="auto" w:fill="C6E8D7"/>
            <w:noWrap/>
            <w:vAlign w:val="center"/>
            <w:hideMark/>
          </w:tcPr>
          <w:p w14:paraId="6F3A4601" w14:textId="77777777" w:rsidR="00A90B64" w:rsidRPr="00550E31" w:rsidRDefault="00A90B64" w:rsidP="00A90B64">
            <w:pPr>
              <w:spacing w:after="0"/>
              <w:jc w:val="center"/>
              <w:rPr>
                <w:b/>
                <w:sz w:val="20"/>
              </w:rPr>
            </w:pPr>
            <w:r w:rsidRPr="00550E31">
              <w:rPr>
                <w:b/>
                <w:sz w:val="20"/>
              </w:rPr>
              <w:t>10</w:t>
            </w:r>
          </w:p>
        </w:tc>
      </w:tr>
      <w:tr w:rsidR="00A90B64" w:rsidRPr="00550E31" w14:paraId="33B11F8D" w14:textId="77777777" w:rsidTr="00DD6632">
        <w:trPr>
          <w:trHeight w:val="255"/>
          <w:tblCellSpacing w:w="57" w:type="dxa"/>
          <w:jc w:val="right"/>
        </w:trPr>
        <w:tc>
          <w:tcPr>
            <w:tcW w:w="2124" w:type="dxa"/>
            <w:shd w:val="clear" w:color="auto" w:fill="4472C4"/>
            <w:hideMark/>
          </w:tcPr>
          <w:p w14:paraId="77248E9C" w14:textId="77777777" w:rsidR="00A90B64" w:rsidRPr="00DD6632" w:rsidRDefault="00A90B64" w:rsidP="00A90B64">
            <w:pPr>
              <w:spacing w:after="0"/>
              <w:jc w:val="left"/>
              <w:rPr>
                <w:b/>
                <w:color w:val="FFFFFF" w:themeColor="background1"/>
                <w:sz w:val="20"/>
              </w:rPr>
            </w:pPr>
            <w:r w:rsidRPr="00DD6632">
              <w:rPr>
                <w:b/>
                <w:color w:val="FFFFFF" w:themeColor="background1"/>
                <w:sz w:val="20"/>
              </w:rPr>
              <w:t>TOTAL</w:t>
            </w:r>
          </w:p>
        </w:tc>
        <w:tc>
          <w:tcPr>
            <w:tcW w:w="636" w:type="dxa"/>
            <w:shd w:val="clear" w:color="auto" w:fill="4472C4"/>
            <w:noWrap/>
            <w:vAlign w:val="center"/>
            <w:hideMark/>
          </w:tcPr>
          <w:p w14:paraId="507FEA10" w14:textId="77777777" w:rsidR="00A90B64" w:rsidRPr="00DD6632" w:rsidRDefault="00A90B64" w:rsidP="00A90B64">
            <w:pPr>
              <w:spacing w:after="0"/>
              <w:jc w:val="center"/>
              <w:rPr>
                <w:b/>
                <w:color w:val="FFFFFF" w:themeColor="background1"/>
                <w:sz w:val="20"/>
              </w:rPr>
            </w:pPr>
            <w:r w:rsidRPr="00DD6632">
              <w:rPr>
                <w:b/>
                <w:color w:val="FFFFFF" w:themeColor="background1"/>
                <w:sz w:val="20"/>
              </w:rPr>
              <w:t>74</w:t>
            </w:r>
          </w:p>
        </w:tc>
        <w:tc>
          <w:tcPr>
            <w:tcW w:w="636" w:type="dxa"/>
            <w:shd w:val="clear" w:color="auto" w:fill="4472C4"/>
            <w:noWrap/>
            <w:vAlign w:val="center"/>
            <w:hideMark/>
          </w:tcPr>
          <w:p w14:paraId="56433729" w14:textId="77777777" w:rsidR="00A90B64" w:rsidRPr="00DD6632" w:rsidRDefault="00A90B64" w:rsidP="00A90B64">
            <w:pPr>
              <w:spacing w:after="0"/>
              <w:jc w:val="center"/>
              <w:rPr>
                <w:b/>
                <w:color w:val="FFFFFF" w:themeColor="background1"/>
                <w:sz w:val="20"/>
              </w:rPr>
            </w:pPr>
            <w:r w:rsidRPr="00DD6632">
              <w:rPr>
                <w:b/>
                <w:color w:val="FFFFFF" w:themeColor="background1"/>
                <w:sz w:val="20"/>
              </w:rPr>
              <w:t>66</w:t>
            </w:r>
          </w:p>
        </w:tc>
        <w:tc>
          <w:tcPr>
            <w:tcW w:w="636" w:type="dxa"/>
            <w:shd w:val="clear" w:color="auto" w:fill="4472C4"/>
            <w:noWrap/>
            <w:vAlign w:val="center"/>
            <w:hideMark/>
          </w:tcPr>
          <w:p w14:paraId="6BA80771" w14:textId="77777777" w:rsidR="00A90B64" w:rsidRPr="00DD6632" w:rsidRDefault="00A90B64" w:rsidP="00A90B64">
            <w:pPr>
              <w:spacing w:after="0"/>
              <w:jc w:val="center"/>
              <w:rPr>
                <w:b/>
                <w:color w:val="FFFFFF" w:themeColor="background1"/>
                <w:sz w:val="20"/>
              </w:rPr>
            </w:pPr>
            <w:r w:rsidRPr="00DD6632">
              <w:rPr>
                <w:b/>
                <w:color w:val="FFFFFF" w:themeColor="background1"/>
                <w:sz w:val="20"/>
              </w:rPr>
              <w:t>64</w:t>
            </w:r>
          </w:p>
        </w:tc>
        <w:tc>
          <w:tcPr>
            <w:tcW w:w="650" w:type="dxa"/>
            <w:shd w:val="clear" w:color="auto" w:fill="4472C4"/>
            <w:noWrap/>
            <w:vAlign w:val="center"/>
            <w:hideMark/>
          </w:tcPr>
          <w:p w14:paraId="28327B4E" w14:textId="77777777" w:rsidR="00A90B64" w:rsidRPr="00DD6632" w:rsidRDefault="00A90B64" w:rsidP="00A90B64">
            <w:pPr>
              <w:spacing w:after="0"/>
              <w:jc w:val="center"/>
              <w:rPr>
                <w:b/>
                <w:color w:val="FFFFFF" w:themeColor="background1"/>
                <w:sz w:val="20"/>
              </w:rPr>
            </w:pPr>
            <w:r w:rsidRPr="00DD6632">
              <w:rPr>
                <w:b/>
                <w:color w:val="FFFFFF" w:themeColor="background1"/>
                <w:sz w:val="20"/>
              </w:rPr>
              <w:t>204</w:t>
            </w:r>
          </w:p>
        </w:tc>
      </w:tr>
    </w:tbl>
    <w:p w14:paraId="5DF0993E"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Bidi"/>
        </w:rPr>
      </w:pPr>
      <w:r w:rsidRPr="008F1E62">
        <w:rPr>
          <w:rFonts w:asciiTheme="minorHAnsi" w:hAnsiTheme="minorHAnsi" w:cstheme="minorBidi"/>
          <w:b/>
          <w:bCs/>
        </w:rPr>
        <w:t xml:space="preserve">The IC publishes through the website its activities and performance of the insurance and pre-need industry in its </w:t>
      </w:r>
      <w:r w:rsidRPr="008F1E62">
        <w:rPr>
          <w:rFonts w:asciiTheme="minorHAnsi" w:hAnsiTheme="minorHAnsi"/>
          <w:b/>
          <w:bCs/>
        </w:rPr>
        <w:t>Annual</w:t>
      </w:r>
      <w:r w:rsidRPr="008F1E62">
        <w:rPr>
          <w:rFonts w:asciiTheme="minorHAnsi" w:hAnsiTheme="minorHAnsi" w:cstheme="minorBidi"/>
          <w:b/>
          <w:bCs/>
        </w:rPr>
        <w:t xml:space="preserve"> Report</w:t>
      </w:r>
      <w:r w:rsidRPr="008F1E62">
        <w:rPr>
          <w:rFonts w:asciiTheme="minorHAnsi" w:hAnsiTheme="minorHAnsi" w:cstheme="minorBidi"/>
        </w:rPr>
        <w:t xml:space="preserve">. However, there was a delay in the publication of the 2015 Annual Report of the Commission which was </w:t>
      </w:r>
      <w:r w:rsidR="00F93C17" w:rsidRPr="008F1E62">
        <w:rPr>
          <w:rFonts w:asciiTheme="minorHAnsi" w:hAnsiTheme="minorHAnsi" w:cstheme="minorBidi"/>
        </w:rPr>
        <w:t xml:space="preserve">only </w:t>
      </w:r>
      <w:r w:rsidRPr="008F1E62">
        <w:rPr>
          <w:rFonts w:asciiTheme="minorHAnsi" w:hAnsiTheme="minorHAnsi" w:cstheme="minorBidi"/>
        </w:rPr>
        <w:t xml:space="preserve">published </w:t>
      </w:r>
      <w:r w:rsidR="00F93C17">
        <w:rPr>
          <w:rFonts w:asciiTheme="minorHAnsi" w:hAnsiTheme="minorHAnsi" w:cstheme="minorBidi"/>
        </w:rPr>
        <w:t>in</w:t>
      </w:r>
      <w:r w:rsidRPr="008F1E62">
        <w:rPr>
          <w:rFonts w:asciiTheme="minorHAnsi" w:hAnsiTheme="minorHAnsi" w:cstheme="minorBidi"/>
        </w:rPr>
        <w:t xml:space="preserve"> January 2017</w:t>
      </w:r>
      <w:r w:rsidRPr="008F1E62">
        <w:rPr>
          <w:rStyle w:val="FootnoteReference"/>
          <w:rFonts w:asciiTheme="minorHAnsi" w:hAnsiTheme="minorHAnsi" w:cstheme="minorBidi"/>
        </w:rPr>
        <w:footnoteReference w:id="66"/>
      </w:r>
      <w:r w:rsidRPr="008F1E62">
        <w:rPr>
          <w:rFonts w:asciiTheme="minorHAnsi" w:hAnsiTheme="minorHAnsi" w:cstheme="minorBidi"/>
        </w:rPr>
        <w:t xml:space="preserve">.  </w:t>
      </w:r>
    </w:p>
    <w:p w14:paraId="7233CEA4"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HAnsi"/>
        </w:rPr>
      </w:pPr>
      <w:r w:rsidRPr="008F1E62">
        <w:rPr>
          <w:rFonts w:asciiTheme="minorHAnsi" w:hAnsiTheme="minorHAnsi"/>
          <w:b/>
        </w:rPr>
        <w:t xml:space="preserve">Insurance </w:t>
      </w:r>
      <w:r w:rsidRPr="008F1E62">
        <w:rPr>
          <w:rFonts w:asciiTheme="minorHAnsi" w:hAnsiTheme="minorHAnsi"/>
          <w:b/>
          <w:bCs/>
        </w:rPr>
        <w:t>companies</w:t>
      </w:r>
      <w:r w:rsidRPr="008F1E62">
        <w:rPr>
          <w:rFonts w:asciiTheme="minorHAnsi" w:hAnsiTheme="minorHAnsi"/>
          <w:b/>
        </w:rPr>
        <w:t xml:space="preserve"> are only permitted to select auditors accredited by</w:t>
      </w:r>
      <w:r w:rsidR="001C23BC">
        <w:rPr>
          <w:rFonts w:asciiTheme="minorHAnsi" w:hAnsiTheme="minorHAnsi"/>
          <w:b/>
        </w:rPr>
        <w:t xml:space="preserve"> the</w:t>
      </w:r>
      <w:r w:rsidRPr="008F1E62">
        <w:rPr>
          <w:rFonts w:asciiTheme="minorHAnsi" w:hAnsiTheme="minorHAnsi"/>
          <w:b/>
        </w:rPr>
        <w:t xml:space="preserve"> IC.  </w:t>
      </w:r>
      <w:r w:rsidRPr="008F1E62">
        <w:rPr>
          <w:rFonts w:asciiTheme="minorHAnsi" w:hAnsiTheme="minorHAnsi" w:cs="Arial"/>
        </w:rPr>
        <w:t xml:space="preserve">The </w:t>
      </w:r>
      <w:r w:rsidRPr="008F1E62">
        <w:rPr>
          <w:rFonts w:asciiTheme="minorHAnsi" w:hAnsiTheme="minorHAnsi" w:cstheme="minorHAnsi"/>
        </w:rPr>
        <w:t>IC has issued circulars on the engagement of external auditors including its expectation for an effective external audit (IC CL40-2015) and</w:t>
      </w:r>
      <w:r w:rsidRPr="008F1E62">
        <w:rPr>
          <w:rFonts w:asciiTheme="minorHAnsi" w:hAnsiTheme="minorHAnsi" w:cs="Arial"/>
        </w:rPr>
        <w:t xml:space="preserve"> to appoint an auditor accredited by the IC.</w:t>
      </w:r>
      <w:r w:rsidRPr="008F1E62">
        <w:rPr>
          <w:rFonts w:asciiTheme="minorHAnsi" w:hAnsiTheme="minorHAnsi" w:cstheme="minorHAnsi"/>
        </w:rPr>
        <w:t xml:space="preserve">  As of </w:t>
      </w:r>
      <w:r w:rsidR="00F93C17">
        <w:rPr>
          <w:rFonts w:asciiTheme="minorHAnsi" w:hAnsiTheme="minorHAnsi" w:cstheme="minorHAnsi"/>
        </w:rPr>
        <w:t xml:space="preserve">the </w:t>
      </w:r>
      <w:r w:rsidRPr="008F1E62">
        <w:rPr>
          <w:rFonts w:asciiTheme="minorHAnsi" w:hAnsiTheme="minorHAnsi" w:cstheme="minorHAnsi"/>
        </w:rPr>
        <w:t xml:space="preserve">review date there are 91 IC accredited auditors (partners and sole practitioners) </w:t>
      </w:r>
      <w:r w:rsidR="00F93C17">
        <w:rPr>
          <w:rFonts w:asciiTheme="minorHAnsi" w:hAnsiTheme="minorHAnsi" w:cstheme="minorHAnsi"/>
        </w:rPr>
        <w:t>for</w:t>
      </w:r>
      <w:r w:rsidR="00F93C17" w:rsidRPr="008F1E62">
        <w:rPr>
          <w:rFonts w:asciiTheme="minorHAnsi" w:hAnsiTheme="minorHAnsi" w:cstheme="minorHAnsi"/>
        </w:rPr>
        <w:t xml:space="preserve"> </w:t>
      </w:r>
      <w:r w:rsidRPr="008F1E62">
        <w:rPr>
          <w:rFonts w:asciiTheme="minorHAnsi" w:hAnsiTheme="minorHAnsi" w:cstheme="minorHAnsi"/>
        </w:rPr>
        <w:t xml:space="preserve">the 257 insurance and other institutions covered by the IC. </w:t>
      </w:r>
      <w:r w:rsidR="00AF7086">
        <w:rPr>
          <w:rFonts w:asciiTheme="minorHAnsi" w:hAnsiTheme="minorHAnsi" w:cstheme="minorHAnsi"/>
        </w:rPr>
        <w:t>S</w:t>
      </w:r>
      <w:r w:rsidRPr="008F1E62">
        <w:rPr>
          <w:rFonts w:asciiTheme="minorHAnsi" w:hAnsiTheme="minorHAnsi" w:cstheme="minorHAnsi"/>
        </w:rPr>
        <w:t xml:space="preserve">treamlining of the external auditor accreditation process is ongoing. </w:t>
      </w:r>
    </w:p>
    <w:p w14:paraId="488B51BA"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Bidi"/>
        </w:rPr>
      </w:pPr>
      <w:r w:rsidRPr="008F1E62">
        <w:rPr>
          <w:rFonts w:asciiTheme="minorHAnsi" w:hAnsiTheme="minorHAnsi"/>
          <w:b/>
          <w:bCs/>
        </w:rPr>
        <w:t xml:space="preserve">External </w:t>
      </w:r>
      <w:r w:rsidRPr="008F1E62">
        <w:rPr>
          <w:rFonts w:ascii="Calibri" w:hAnsi="Calibri"/>
          <w:b/>
          <w:bCs/>
        </w:rPr>
        <w:t>auditors</w:t>
      </w:r>
      <w:r w:rsidRPr="008F1E62">
        <w:rPr>
          <w:rFonts w:asciiTheme="minorHAnsi" w:eastAsia="SimSun" w:hAnsiTheme="minorHAnsi" w:cstheme="minorBidi"/>
          <w:b/>
          <w:bCs/>
        </w:rPr>
        <w:t xml:space="preserve"> have reporting responsibilities to </w:t>
      </w:r>
      <w:r w:rsidR="00AF7086">
        <w:rPr>
          <w:rFonts w:asciiTheme="minorHAnsi" w:eastAsia="SimSun" w:hAnsiTheme="minorHAnsi" w:cstheme="minorBidi"/>
          <w:b/>
          <w:bCs/>
        </w:rPr>
        <w:t xml:space="preserve">the </w:t>
      </w:r>
      <w:r w:rsidRPr="008F1E62">
        <w:rPr>
          <w:rFonts w:asciiTheme="minorHAnsi" w:eastAsia="SimSun" w:hAnsiTheme="minorHAnsi" w:cstheme="minorBidi"/>
          <w:b/>
          <w:bCs/>
        </w:rPr>
        <w:t xml:space="preserve">IC.  </w:t>
      </w:r>
      <w:r w:rsidRPr="008F1E62">
        <w:rPr>
          <w:rFonts w:asciiTheme="minorHAnsi" w:hAnsiTheme="minorHAnsi" w:cstheme="minorBidi"/>
        </w:rPr>
        <w:t xml:space="preserve">The IC provided guiding principles for an external audit of insurance companies in its CL 40-2015. The circular required the external auditor to report to </w:t>
      </w:r>
      <w:r w:rsidR="00A90575">
        <w:rPr>
          <w:rFonts w:asciiTheme="minorHAnsi" w:hAnsiTheme="minorHAnsi" w:cstheme="minorBidi"/>
        </w:rPr>
        <w:t xml:space="preserve">the </w:t>
      </w:r>
      <w:r w:rsidRPr="008F1E62">
        <w:rPr>
          <w:rFonts w:asciiTheme="minorHAnsi" w:hAnsiTheme="minorHAnsi" w:cstheme="minorBidi"/>
        </w:rPr>
        <w:t>IC within 30 calendar days cases such as fraud, under-reserving of incurred but not report</w:t>
      </w:r>
      <w:r w:rsidR="00CD6B11">
        <w:rPr>
          <w:rFonts w:asciiTheme="minorHAnsi" w:hAnsiTheme="minorHAnsi" w:cstheme="minorBidi"/>
        </w:rPr>
        <w:t>ed</w:t>
      </w:r>
      <w:r w:rsidRPr="008F1E62">
        <w:rPr>
          <w:rFonts w:asciiTheme="minorHAnsi" w:hAnsiTheme="minorHAnsi" w:cstheme="minorBidi"/>
        </w:rPr>
        <w:t xml:space="preserve"> losses or policy reserves, material internal control weaknesses, termination or resignation as external auditor, breach of IC rules and regulation</w:t>
      </w:r>
      <w:r w:rsidR="00445FDC">
        <w:rPr>
          <w:rFonts w:asciiTheme="minorHAnsi" w:hAnsiTheme="minorHAnsi" w:cstheme="minorBidi"/>
        </w:rPr>
        <w:t>s,</w:t>
      </w:r>
      <w:r w:rsidRPr="008F1E62">
        <w:rPr>
          <w:rFonts w:asciiTheme="minorHAnsi" w:hAnsiTheme="minorHAnsi" w:cstheme="minorBidi"/>
        </w:rPr>
        <w:t xml:space="preserve"> or corporate governance </w:t>
      </w:r>
      <w:r w:rsidR="00445FDC" w:rsidRPr="008F1E62">
        <w:rPr>
          <w:rFonts w:asciiTheme="minorHAnsi" w:hAnsiTheme="minorHAnsi" w:cstheme="minorBidi"/>
        </w:rPr>
        <w:t>finding</w:t>
      </w:r>
      <w:r w:rsidR="00445FDC">
        <w:rPr>
          <w:rFonts w:asciiTheme="minorHAnsi" w:hAnsiTheme="minorHAnsi" w:cstheme="minorBidi"/>
        </w:rPr>
        <w:t>s</w:t>
      </w:r>
      <w:r w:rsidR="00445FDC" w:rsidRPr="008F1E62">
        <w:rPr>
          <w:rFonts w:asciiTheme="minorHAnsi" w:hAnsiTheme="minorHAnsi" w:cstheme="minorBidi"/>
        </w:rPr>
        <w:t xml:space="preserve"> </w:t>
      </w:r>
      <w:r w:rsidRPr="008F1E62">
        <w:rPr>
          <w:rFonts w:asciiTheme="minorHAnsi" w:hAnsiTheme="minorHAnsi" w:cstheme="minorBidi"/>
        </w:rPr>
        <w:t>that require urgent action from</w:t>
      </w:r>
      <w:r w:rsidR="00A90575">
        <w:rPr>
          <w:rFonts w:asciiTheme="minorHAnsi" w:hAnsiTheme="minorHAnsi" w:cstheme="minorBidi"/>
        </w:rPr>
        <w:t xml:space="preserve"> the</w:t>
      </w:r>
      <w:r w:rsidRPr="008F1E62">
        <w:rPr>
          <w:rFonts w:asciiTheme="minorHAnsi" w:hAnsiTheme="minorHAnsi" w:cstheme="minorBidi"/>
        </w:rPr>
        <w:t xml:space="preserve"> IC as enumerated in CL 29-2009. The lat</w:t>
      </w:r>
      <w:r w:rsidR="00A90575">
        <w:rPr>
          <w:rFonts w:asciiTheme="minorHAnsi" w:hAnsiTheme="minorHAnsi" w:cstheme="minorBidi"/>
        </w:rPr>
        <w:t>t</w:t>
      </w:r>
      <w:r w:rsidRPr="008F1E62">
        <w:rPr>
          <w:rFonts w:asciiTheme="minorHAnsi" w:hAnsiTheme="minorHAnsi" w:cstheme="minorBidi"/>
        </w:rPr>
        <w:t xml:space="preserve">er circular also requires that external auditors provide a provision in their audit engagement </w:t>
      </w:r>
      <w:r w:rsidR="00A90575">
        <w:rPr>
          <w:rFonts w:asciiTheme="minorHAnsi" w:hAnsiTheme="minorHAnsi" w:cstheme="minorBidi"/>
        </w:rPr>
        <w:t>for</w:t>
      </w:r>
      <w:r w:rsidR="00A90575" w:rsidRPr="008F1E62">
        <w:rPr>
          <w:rFonts w:asciiTheme="minorHAnsi" w:hAnsiTheme="minorHAnsi" w:cstheme="minorBidi"/>
        </w:rPr>
        <w:t xml:space="preserve"> </w:t>
      </w:r>
      <w:r w:rsidRPr="008F1E62">
        <w:rPr>
          <w:rFonts w:asciiTheme="minorHAnsi" w:hAnsiTheme="minorHAnsi" w:cstheme="minorBidi"/>
        </w:rPr>
        <w:t xml:space="preserve">the disclosure of information to </w:t>
      </w:r>
      <w:r w:rsidR="00A90575">
        <w:rPr>
          <w:rFonts w:asciiTheme="minorHAnsi" w:hAnsiTheme="minorHAnsi" w:cstheme="minorBidi"/>
        </w:rPr>
        <w:t xml:space="preserve">the </w:t>
      </w:r>
      <w:r w:rsidRPr="008F1E62">
        <w:rPr>
          <w:rFonts w:asciiTheme="minorHAnsi" w:hAnsiTheme="minorHAnsi" w:cstheme="minorBidi"/>
        </w:rPr>
        <w:t>IC and that it shall not be ground</w:t>
      </w:r>
      <w:r w:rsidR="00CB2D2C">
        <w:rPr>
          <w:rFonts w:asciiTheme="minorHAnsi" w:hAnsiTheme="minorHAnsi" w:cstheme="minorBidi"/>
        </w:rPr>
        <w:t>s</w:t>
      </w:r>
      <w:r w:rsidRPr="008F1E62">
        <w:rPr>
          <w:rFonts w:asciiTheme="minorHAnsi" w:hAnsiTheme="minorHAnsi" w:cstheme="minorBidi"/>
        </w:rPr>
        <w:t xml:space="preserve"> for civil, criminal</w:t>
      </w:r>
      <w:r w:rsidR="00CB2D2C">
        <w:rPr>
          <w:rFonts w:asciiTheme="minorHAnsi" w:hAnsiTheme="minorHAnsi" w:cstheme="minorBidi"/>
        </w:rPr>
        <w:t>,</w:t>
      </w:r>
      <w:r w:rsidRPr="008F1E62">
        <w:rPr>
          <w:rFonts w:asciiTheme="minorHAnsi" w:hAnsiTheme="minorHAnsi" w:cstheme="minorBidi"/>
        </w:rPr>
        <w:t xml:space="preserve"> or disciplinary proceeding</w:t>
      </w:r>
      <w:r w:rsidR="00CB2D2C">
        <w:rPr>
          <w:rFonts w:asciiTheme="minorHAnsi" w:hAnsiTheme="minorHAnsi" w:cstheme="minorBidi"/>
        </w:rPr>
        <w:t>s</w:t>
      </w:r>
      <w:r w:rsidRPr="008F1E62">
        <w:rPr>
          <w:rFonts w:asciiTheme="minorHAnsi" w:hAnsiTheme="minorHAnsi" w:cstheme="minorBidi"/>
        </w:rPr>
        <w:t xml:space="preserve"> against them.</w:t>
      </w:r>
    </w:p>
    <w:p w14:paraId="23CB38FE"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Bidi"/>
        </w:rPr>
      </w:pPr>
      <w:r w:rsidRPr="008F1E62">
        <w:rPr>
          <w:rFonts w:asciiTheme="minorHAnsi" w:hAnsiTheme="minorHAnsi" w:cstheme="minorBidi"/>
          <w:b/>
          <w:bCs/>
        </w:rPr>
        <w:t xml:space="preserve">In addition to the SEC’s requirement, the IC also requires all covered institutions to abide by the </w:t>
      </w:r>
      <w:r w:rsidRPr="008F1E62">
        <w:rPr>
          <w:rFonts w:ascii="Calibri" w:hAnsi="Calibri"/>
          <w:b/>
          <w:bCs/>
        </w:rPr>
        <w:t>Code</w:t>
      </w:r>
      <w:r w:rsidRPr="008F1E62">
        <w:rPr>
          <w:rFonts w:asciiTheme="minorHAnsi" w:hAnsiTheme="minorHAnsi" w:cstheme="minorBidi"/>
          <w:b/>
          <w:bCs/>
        </w:rPr>
        <w:t xml:space="preserve"> of Corporate Governance Principles and Leading Practices in a compulsory manner when it issued Circular No. 31-2005</w:t>
      </w:r>
      <w:r w:rsidRPr="008F1E62">
        <w:rPr>
          <w:rFonts w:asciiTheme="minorHAnsi" w:hAnsiTheme="minorHAnsi" w:cstheme="minorBidi"/>
        </w:rPr>
        <w:t xml:space="preserve">. The IC issued Circular Letter No. 1-2010 requiring all covered institutions to accomplish and submit the corporate governance scorecard annually.  Non-compliance </w:t>
      </w:r>
      <w:r w:rsidR="00B9449B" w:rsidRPr="008F1E62">
        <w:rPr>
          <w:rFonts w:asciiTheme="minorHAnsi" w:hAnsiTheme="minorHAnsi" w:cstheme="minorBidi"/>
        </w:rPr>
        <w:t xml:space="preserve">of insurance companies </w:t>
      </w:r>
      <w:r w:rsidRPr="008F1E62">
        <w:rPr>
          <w:rFonts w:asciiTheme="minorHAnsi" w:hAnsiTheme="minorHAnsi" w:cstheme="minorBidi"/>
        </w:rPr>
        <w:t>with the Code of Corporate Governance forms part of the examination report prepared annually by the IC. Such companies are required to explain non-compliance and given time to take corrective actions. Also, the IC issued a circular</w:t>
      </w:r>
      <w:r w:rsidRPr="008F1E62">
        <w:rPr>
          <w:rStyle w:val="FootnoteReference"/>
          <w:rFonts w:asciiTheme="minorHAnsi" w:hAnsiTheme="minorHAnsi" w:cstheme="minorBidi"/>
        </w:rPr>
        <w:footnoteReference w:id="67"/>
      </w:r>
      <w:r w:rsidRPr="008F1E62">
        <w:rPr>
          <w:rFonts w:asciiTheme="minorHAnsi" w:hAnsiTheme="minorHAnsi" w:cstheme="minorBidi"/>
        </w:rPr>
        <w:t xml:space="preserve"> placing insurance companies’ officers, employees, and agents on a negative list in violation of the New Insurance Code for intentional misstatement, attempt</w:t>
      </w:r>
      <w:r w:rsidR="00AD0C9E">
        <w:rPr>
          <w:rFonts w:asciiTheme="minorHAnsi" w:hAnsiTheme="minorHAnsi" w:cstheme="minorBidi"/>
        </w:rPr>
        <w:t>ed</w:t>
      </w:r>
      <w:r w:rsidRPr="008F1E62">
        <w:rPr>
          <w:rFonts w:asciiTheme="minorHAnsi" w:hAnsiTheme="minorHAnsi" w:cstheme="minorBidi"/>
        </w:rPr>
        <w:t xml:space="preserve"> fraud or dishonest practices, misappropriation of money, or misrepresentation of terms and conditions of policies sold to the public.</w:t>
      </w:r>
    </w:p>
    <w:p w14:paraId="46563BBE" w14:textId="77777777" w:rsidR="00F76E53" w:rsidRPr="008F1E62" w:rsidRDefault="00F76E53" w:rsidP="0077686B">
      <w:pPr>
        <w:pStyle w:val="Heading3"/>
      </w:pPr>
      <w:proofErr w:type="gramStart"/>
      <w:r w:rsidRPr="008F1E62">
        <w:t>Non Listed</w:t>
      </w:r>
      <w:proofErr w:type="gramEnd"/>
      <w:r w:rsidRPr="008F1E62">
        <w:t xml:space="preserve"> Commercial Enterprises and Micro, Small and Medium Sized Enterprises</w:t>
      </w:r>
    </w:p>
    <w:p w14:paraId="753ECF32"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HAnsi"/>
        </w:rPr>
      </w:pPr>
      <w:r w:rsidRPr="008F1E62">
        <w:rPr>
          <w:rFonts w:asciiTheme="minorHAnsi" w:hAnsiTheme="minorHAnsi" w:cs="Arial"/>
          <w:b/>
          <w:color w:val="000000"/>
        </w:rPr>
        <w:t xml:space="preserve">The SEC </w:t>
      </w:r>
      <w:r w:rsidRPr="008F1E62">
        <w:rPr>
          <w:rFonts w:ascii="Calibri" w:hAnsi="Calibri"/>
          <w:b/>
          <w:bCs/>
        </w:rPr>
        <w:t>is</w:t>
      </w:r>
      <w:r w:rsidRPr="008F1E62">
        <w:rPr>
          <w:rFonts w:asciiTheme="minorHAnsi" w:hAnsiTheme="minorHAnsi" w:cs="Arial"/>
          <w:b/>
          <w:color w:val="000000"/>
        </w:rPr>
        <w:t xml:space="preserve"> the public body that receives the financial statements of all registered corporations both foreign and domestic.</w:t>
      </w:r>
      <w:r w:rsidRPr="008F1E62">
        <w:rPr>
          <w:rFonts w:asciiTheme="minorHAnsi" w:hAnsiTheme="minorHAnsi" w:cs="Arial"/>
          <w:color w:val="000000"/>
        </w:rPr>
        <w:t xml:space="preserve">  Audited financial statements submitted to the SEC become public documents and may be accessed or downloaded through the SEC i-View system at prescribed fees. Non-listed corporations follow the number coding system of the SEC in determining deadlines in the submission of </w:t>
      </w:r>
      <w:r w:rsidR="007C0FAA">
        <w:rPr>
          <w:rFonts w:asciiTheme="minorHAnsi" w:hAnsiTheme="minorHAnsi" w:cs="Arial"/>
          <w:color w:val="000000"/>
        </w:rPr>
        <w:t>their</w:t>
      </w:r>
      <w:r w:rsidR="007C0FAA" w:rsidRPr="008F1E62">
        <w:rPr>
          <w:rFonts w:asciiTheme="minorHAnsi" w:hAnsiTheme="minorHAnsi" w:cs="Arial"/>
          <w:color w:val="000000"/>
        </w:rPr>
        <w:t xml:space="preserve"> </w:t>
      </w:r>
      <w:r w:rsidRPr="008F1E62">
        <w:rPr>
          <w:rFonts w:asciiTheme="minorHAnsi" w:hAnsiTheme="minorHAnsi" w:cs="Arial"/>
          <w:color w:val="000000"/>
        </w:rPr>
        <w:t xml:space="preserve">audited annual financial statements. Penalty is imposed in accordance with </w:t>
      </w:r>
      <w:r w:rsidR="001C23BC">
        <w:rPr>
          <w:rFonts w:asciiTheme="minorHAnsi" w:hAnsiTheme="minorHAnsi" w:cs="Arial"/>
          <w:color w:val="000000"/>
        </w:rPr>
        <w:t>a</w:t>
      </w:r>
      <w:r w:rsidRPr="008F1E62">
        <w:rPr>
          <w:rFonts w:asciiTheme="minorHAnsi" w:hAnsiTheme="minorHAnsi" w:cs="Arial"/>
          <w:color w:val="000000"/>
        </w:rPr>
        <w:t xml:space="preserve"> scale of fines for non-compliance with the existing rules and regulations of the SEC such as non-filing, late filing</w:t>
      </w:r>
      <w:r w:rsidR="002B70B9">
        <w:rPr>
          <w:rFonts w:asciiTheme="minorHAnsi" w:hAnsiTheme="minorHAnsi" w:cs="Arial"/>
          <w:color w:val="000000"/>
        </w:rPr>
        <w:t>,</w:t>
      </w:r>
      <w:r w:rsidRPr="008F1E62">
        <w:rPr>
          <w:rFonts w:asciiTheme="minorHAnsi" w:hAnsiTheme="minorHAnsi" w:cs="Arial"/>
          <w:color w:val="000000"/>
        </w:rPr>
        <w:t xml:space="preserve"> or deficiencies in the audited financial statements. Refusal to comply may warrant the suspension or revocation of the certificate of incorporation or license of the erring entities. </w:t>
      </w:r>
    </w:p>
    <w:p w14:paraId="059FB5F1"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HAnsi"/>
        </w:rPr>
      </w:pPr>
      <w:r w:rsidRPr="008F1E62">
        <w:rPr>
          <w:rFonts w:asciiTheme="minorHAnsi" w:hAnsiTheme="minorHAnsi" w:cs="Arial"/>
          <w:b/>
          <w:color w:val="000000"/>
        </w:rPr>
        <w:t>Financial</w:t>
      </w:r>
      <w:r w:rsidRPr="008F1E62">
        <w:rPr>
          <w:rFonts w:asciiTheme="minorHAnsi" w:hAnsiTheme="minorHAnsi" w:cs="Arial"/>
          <w:b/>
          <w:bCs/>
        </w:rPr>
        <w:t xml:space="preserve"> statements submitted by corporations should be accompanied by an auditor’s report issued by an </w:t>
      </w:r>
      <w:r w:rsidRPr="008F1E62">
        <w:rPr>
          <w:rFonts w:ascii="Calibri" w:hAnsi="Calibri"/>
          <w:b/>
          <w:bCs/>
        </w:rPr>
        <w:t>independent</w:t>
      </w:r>
      <w:r w:rsidRPr="008F1E62">
        <w:rPr>
          <w:rFonts w:asciiTheme="minorHAnsi" w:hAnsiTheme="minorHAnsi" w:cs="Arial"/>
          <w:b/>
          <w:bCs/>
        </w:rPr>
        <w:t xml:space="preserve"> auditor.</w:t>
      </w:r>
      <w:r w:rsidRPr="008F1E62">
        <w:rPr>
          <w:rFonts w:asciiTheme="minorHAnsi" w:hAnsiTheme="minorHAnsi" w:cs="Arial"/>
        </w:rPr>
        <w:t xml:space="preserve"> SRC Rule 68</w:t>
      </w:r>
      <w:r w:rsidR="00081F37" w:rsidRPr="008F1E62">
        <w:rPr>
          <w:rFonts w:asciiTheme="minorHAnsi" w:hAnsiTheme="minorHAnsi" w:cs="Arial"/>
        </w:rPr>
        <w:t>, as amended</w:t>
      </w:r>
      <w:r w:rsidRPr="008F1E62">
        <w:rPr>
          <w:rFonts w:asciiTheme="minorHAnsi" w:hAnsiTheme="minorHAnsi" w:cs="Arial"/>
        </w:rPr>
        <w:t xml:space="preserve"> (</w:t>
      </w:r>
      <w:r w:rsidR="00081F37" w:rsidRPr="008F1E62">
        <w:rPr>
          <w:rFonts w:asciiTheme="minorHAnsi" w:hAnsiTheme="minorHAnsi" w:cs="Arial"/>
        </w:rPr>
        <w:t>2011 version</w:t>
      </w:r>
      <w:r w:rsidRPr="008F1E62">
        <w:rPr>
          <w:rFonts w:asciiTheme="minorHAnsi" w:hAnsiTheme="minorHAnsi" w:cs="Arial"/>
        </w:rPr>
        <w:t>), together with subsequent official pronouncements, interpretations</w:t>
      </w:r>
      <w:r w:rsidR="008F70FC">
        <w:rPr>
          <w:rFonts w:asciiTheme="minorHAnsi" w:hAnsiTheme="minorHAnsi" w:cs="Arial"/>
        </w:rPr>
        <w:t>,</w:t>
      </w:r>
      <w:r w:rsidRPr="008F1E62">
        <w:rPr>
          <w:rFonts w:asciiTheme="minorHAnsi" w:hAnsiTheme="minorHAnsi" w:cs="Arial"/>
        </w:rPr>
        <w:t xml:space="preserve"> and rulings on accounting and reporting matters, applies to the form and content of financial statements required to be filed with the SEC by corporations that meet the following specified thresholds: (a) stock domestic corporations with paid-up capital stock of at least 50</w:t>
      </w:r>
      <w:r w:rsidR="002952B6">
        <w:rPr>
          <w:rFonts w:asciiTheme="minorHAnsi" w:hAnsiTheme="minorHAnsi" w:cs="Arial"/>
        </w:rPr>
        <w:t xml:space="preserve"> thousand pesos</w:t>
      </w:r>
      <w:r w:rsidRPr="008F1E62">
        <w:rPr>
          <w:rFonts w:asciiTheme="minorHAnsi" w:hAnsiTheme="minorHAnsi" w:cs="Arial"/>
        </w:rPr>
        <w:t xml:space="preserve"> or more; and (b) stock foreign corporations with assigned capital in the equivalent amount of 1</w:t>
      </w:r>
      <w:r w:rsidR="002952B6">
        <w:rPr>
          <w:rFonts w:asciiTheme="minorHAnsi" w:hAnsiTheme="minorHAnsi" w:cs="Arial"/>
        </w:rPr>
        <w:t xml:space="preserve"> million pesos</w:t>
      </w:r>
      <w:r w:rsidRPr="008F1E62">
        <w:rPr>
          <w:rFonts w:asciiTheme="minorHAnsi" w:hAnsiTheme="minorHAnsi" w:cs="Arial"/>
        </w:rPr>
        <w:t xml:space="preserve"> or more.</w:t>
      </w:r>
    </w:p>
    <w:tbl>
      <w:tblPr>
        <w:tblStyle w:val="TableGrid"/>
        <w:tblpPr w:leftFromText="180" w:rightFromText="180" w:vertAnchor="text" w:horzAnchor="margin" w:tblpY="2063"/>
        <w:tblW w:w="9150" w:type="dxa"/>
        <w:tblCellSpacing w:w="57"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105"/>
        <w:gridCol w:w="755"/>
        <w:gridCol w:w="755"/>
        <w:gridCol w:w="755"/>
        <w:gridCol w:w="755"/>
        <w:gridCol w:w="994"/>
        <w:gridCol w:w="1048"/>
      </w:tblGrid>
      <w:tr w:rsidR="00771223" w:rsidRPr="00550E31" w14:paraId="72812365" w14:textId="77777777" w:rsidTr="007171DA">
        <w:trPr>
          <w:trHeight w:val="11"/>
          <w:tblCellSpacing w:w="57" w:type="dxa"/>
        </w:trPr>
        <w:tc>
          <w:tcPr>
            <w:tcW w:w="8922" w:type="dxa"/>
            <w:gridSpan w:val="7"/>
            <w:shd w:val="clear" w:color="auto" w:fill="auto"/>
            <w:noWrap/>
          </w:tcPr>
          <w:p w14:paraId="684D2494" w14:textId="77777777" w:rsidR="00771223" w:rsidRPr="00CB01E1" w:rsidRDefault="00771223" w:rsidP="00771223">
            <w:pPr>
              <w:spacing w:after="0"/>
              <w:jc w:val="center"/>
              <w:rPr>
                <w:rFonts w:ascii="Calibri" w:hAnsi="Calibri" w:cs="Calibri"/>
                <w:b/>
                <w:color w:val="FFFFFF" w:themeColor="background1"/>
                <w:sz w:val="20"/>
              </w:rPr>
            </w:pPr>
            <w:r w:rsidRPr="00CB01E1">
              <w:rPr>
                <w:b/>
                <w:sz w:val="20"/>
                <w:szCs w:val="24"/>
              </w:rPr>
              <w:t xml:space="preserve">Table </w:t>
            </w:r>
            <w:r>
              <w:rPr>
                <w:b/>
                <w:sz w:val="20"/>
                <w:szCs w:val="24"/>
              </w:rPr>
              <w:t>9</w:t>
            </w:r>
            <w:r w:rsidRPr="00CB01E1">
              <w:rPr>
                <w:b/>
                <w:sz w:val="20"/>
                <w:szCs w:val="24"/>
              </w:rPr>
              <w:t>. Number of Companies Referred by the Office of General Accountant to SEC’s Operating Departments for Actions</w:t>
            </w:r>
            <w:r w:rsidRPr="00CB01E1">
              <w:rPr>
                <w:b/>
                <w:sz w:val="20"/>
                <w:szCs w:val="24"/>
                <w:vertAlign w:val="superscript"/>
              </w:rPr>
              <w:footnoteReference w:id="68"/>
            </w:r>
          </w:p>
        </w:tc>
      </w:tr>
      <w:tr w:rsidR="00771223" w:rsidRPr="00550E31" w14:paraId="279372ED" w14:textId="77777777" w:rsidTr="007171DA">
        <w:trPr>
          <w:trHeight w:val="11"/>
          <w:tblCellSpacing w:w="57" w:type="dxa"/>
        </w:trPr>
        <w:tc>
          <w:tcPr>
            <w:tcW w:w="3924" w:type="dxa"/>
            <w:shd w:val="clear" w:color="auto" w:fill="4472C4"/>
            <w:noWrap/>
            <w:hideMark/>
          </w:tcPr>
          <w:p w14:paraId="5F37CD87"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SEC Operating Dept.</w:t>
            </w:r>
          </w:p>
        </w:tc>
        <w:tc>
          <w:tcPr>
            <w:tcW w:w="641" w:type="dxa"/>
            <w:shd w:val="clear" w:color="auto" w:fill="4472C4"/>
            <w:noWrap/>
            <w:hideMark/>
          </w:tcPr>
          <w:p w14:paraId="7AD4AD59"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2013</w:t>
            </w:r>
          </w:p>
        </w:tc>
        <w:tc>
          <w:tcPr>
            <w:tcW w:w="641" w:type="dxa"/>
            <w:shd w:val="clear" w:color="auto" w:fill="4472C4"/>
            <w:noWrap/>
            <w:hideMark/>
          </w:tcPr>
          <w:p w14:paraId="4C0B3275"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2014</w:t>
            </w:r>
          </w:p>
        </w:tc>
        <w:tc>
          <w:tcPr>
            <w:tcW w:w="641" w:type="dxa"/>
            <w:shd w:val="clear" w:color="auto" w:fill="4472C4"/>
            <w:noWrap/>
            <w:hideMark/>
          </w:tcPr>
          <w:p w14:paraId="649B878C"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2015</w:t>
            </w:r>
          </w:p>
        </w:tc>
        <w:tc>
          <w:tcPr>
            <w:tcW w:w="641" w:type="dxa"/>
            <w:shd w:val="clear" w:color="auto" w:fill="4472C4"/>
            <w:noWrap/>
            <w:hideMark/>
          </w:tcPr>
          <w:p w14:paraId="3DABE5EB"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2016</w:t>
            </w:r>
          </w:p>
        </w:tc>
        <w:tc>
          <w:tcPr>
            <w:tcW w:w="880" w:type="dxa"/>
            <w:shd w:val="clear" w:color="auto" w:fill="4472C4"/>
            <w:hideMark/>
          </w:tcPr>
          <w:p w14:paraId="06A03CF8"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Feb-17</w:t>
            </w:r>
          </w:p>
        </w:tc>
        <w:tc>
          <w:tcPr>
            <w:tcW w:w="867" w:type="dxa"/>
            <w:shd w:val="clear" w:color="auto" w:fill="4472C4"/>
            <w:hideMark/>
          </w:tcPr>
          <w:p w14:paraId="4C4FAC57"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TOTAL</w:t>
            </w:r>
          </w:p>
        </w:tc>
      </w:tr>
      <w:tr w:rsidR="00771223" w:rsidRPr="00550E31" w14:paraId="653D5E8E" w14:textId="77777777" w:rsidTr="007171DA">
        <w:trPr>
          <w:trHeight w:val="12"/>
          <w:tblCellSpacing w:w="57" w:type="dxa"/>
        </w:trPr>
        <w:tc>
          <w:tcPr>
            <w:tcW w:w="3924" w:type="dxa"/>
            <w:shd w:val="clear" w:color="auto" w:fill="C6E8D7"/>
            <w:hideMark/>
          </w:tcPr>
          <w:p w14:paraId="5EACC876" w14:textId="77777777" w:rsidR="00771223" w:rsidRPr="00550E31" w:rsidRDefault="00771223" w:rsidP="00771223">
            <w:pPr>
              <w:spacing w:after="0"/>
              <w:jc w:val="left"/>
              <w:rPr>
                <w:rFonts w:ascii="Calibri" w:hAnsi="Calibri" w:cs="Calibri"/>
                <w:color w:val="000000"/>
                <w:sz w:val="20"/>
              </w:rPr>
            </w:pPr>
            <w:r w:rsidRPr="00550E31">
              <w:rPr>
                <w:rFonts w:ascii="Calibri" w:hAnsi="Calibri" w:cs="Calibri"/>
                <w:color w:val="000000"/>
                <w:sz w:val="20"/>
              </w:rPr>
              <w:t xml:space="preserve">Corporate Governance and Finance Department </w:t>
            </w:r>
          </w:p>
        </w:tc>
        <w:tc>
          <w:tcPr>
            <w:tcW w:w="641" w:type="dxa"/>
            <w:shd w:val="clear" w:color="auto" w:fill="C6E8D7"/>
            <w:noWrap/>
            <w:vAlign w:val="center"/>
            <w:hideMark/>
          </w:tcPr>
          <w:p w14:paraId="259332F5"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36</w:t>
            </w:r>
          </w:p>
        </w:tc>
        <w:tc>
          <w:tcPr>
            <w:tcW w:w="641" w:type="dxa"/>
            <w:shd w:val="clear" w:color="auto" w:fill="C6E8D7"/>
            <w:noWrap/>
            <w:vAlign w:val="center"/>
            <w:hideMark/>
          </w:tcPr>
          <w:p w14:paraId="1B169D8C"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42</w:t>
            </w:r>
          </w:p>
        </w:tc>
        <w:tc>
          <w:tcPr>
            <w:tcW w:w="641" w:type="dxa"/>
            <w:shd w:val="clear" w:color="auto" w:fill="C6E8D7"/>
            <w:noWrap/>
            <w:vAlign w:val="center"/>
            <w:hideMark/>
          </w:tcPr>
          <w:p w14:paraId="4DA6D4B5"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40</w:t>
            </w:r>
          </w:p>
        </w:tc>
        <w:tc>
          <w:tcPr>
            <w:tcW w:w="641" w:type="dxa"/>
            <w:shd w:val="clear" w:color="auto" w:fill="C6E8D7"/>
            <w:noWrap/>
            <w:vAlign w:val="center"/>
            <w:hideMark/>
          </w:tcPr>
          <w:p w14:paraId="143AFD39"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39</w:t>
            </w:r>
          </w:p>
        </w:tc>
        <w:tc>
          <w:tcPr>
            <w:tcW w:w="880" w:type="dxa"/>
            <w:shd w:val="clear" w:color="auto" w:fill="C6E8D7"/>
            <w:noWrap/>
            <w:vAlign w:val="center"/>
            <w:hideMark/>
          </w:tcPr>
          <w:p w14:paraId="3611228A"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2</w:t>
            </w:r>
          </w:p>
        </w:tc>
        <w:tc>
          <w:tcPr>
            <w:tcW w:w="867" w:type="dxa"/>
            <w:shd w:val="clear" w:color="auto" w:fill="C6E8D7"/>
            <w:noWrap/>
            <w:vAlign w:val="center"/>
            <w:hideMark/>
          </w:tcPr>
          <w:p w14:paraId="4A66CFC4" w14:textId="77777777" w:rsidR="00771223" w:rsidRPr="00550E31" w:rsidRDefault="00771223" w:rsidP="00771223">
            <w:pPr>
              <w:spacing w:after="0"/>
              <w:jc w:val="center"/>
              <w:rPr>
                <w:rFonts w:ascii="Calibri" w:hAnsi="Calibri" w:cs="Calibri"/>
                <w:b/>
                <w:color w:val="000000"/>
                <w:sz w:val="20"/>
              </w:rPr>
            </w:pPr>
            <w:r w:rsidRPr="00550E31">
              <w:rPr>
                <w:rFonts w:ascii="Calibri" w:hAnsi="Calibri" w:cs="Calibri"/>
                <w:b/>
                <w:color w:val="000000"/>
                <w:sz w:val="20"/>
              </w:rPr>
              <w:t>159</w:t>
            </w:r>
          </w:p>
        </w:tc>
      </w:tr>
      <w:tr w:rsidR="00771223" w:rsidRPr="00550E31" w14:paraId="7F6065E0" w14:textId="77777777" w:rsidTr="007171DA">
        <w:trPr>
          <w:trHeight w:val="12"/>
          <w:tblCellSpacing w:w="57" w:type="dxa"/>
        </w:trPr>
        <w:tc>
          <w:tcPr>
            <w:tcW w:w="3924" w:type="dxa"/>
            <w:shd w:val="clear" w:color="auto" w:fill="C6E8D7"/>
            <w:hideMark/>
          </w:tcPr>
          <w:p w14:paraId="7E614AF1" w14:textId="77777777" w:rsidR="00771223" w:rsidRPr="00550E31" w:rsidRDefault="00771223" w:rsidP="00771223">
            <w:pPr>
              <w:spacing w:after="0"/>
              <w:jc w:val="left"/>
              <w:rPr>
                <w:rFonts w:ascii="Calibri" w:hAnsi="Calibri" w:cs="Calibri"/>
                <w:color w:val="000000"/>
                <w:sz w:val="20"/>
              </w:rPr>
            </w:pPr>
            <w:r w:rsidRPr="00550E31">
              <w:rPr>
                <w:rFonts w:ascii="Calibri" w:hAnsi="Calibri" w:cs="Calibri"/>
                <w:color w:val="000000"/>
                <w:sz w:val="20"/>
              </w:rPr>
              <w:t xml:space="preserve">Company Registration and Monitoring Department </w:t>
            </w:r>
          </w:p>
        </w:tc>
        <w:tc>
          <w:tcPr>
            <w:tcW w:w="641" w:type="dxa"/>
            <w:shd w:val="clear" w:color="auto" w:fill="C6E8D7"/>
            <w:noWrap/>
            <w:vAlign w:val="center"/>
            <w:hideMark/>
          </w:tcPr>
          <w:p w14:paraId="75850C30"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311</w:t>
            </w:r>
          </w:p>
        </w:tc>
        <w:tc>
          <w:tcPr>
            <w:tcW w:w="641" w:type="dxa"/>
            <w:shd w:val="clear" w:color="auto" w:fill="C6E8D7"/>
            <w:noWrap/>
            <w:vAlign w:val="center"/>
            <w:hideMark/>
          </w:tcPr>
          <w:p w14:paraId="0C318B65"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325</w:t>
            </w:r>
          </w:p>
        </w:tc>
        <w:tc>
          <w:tcPr>
            <w:tcW w:w="641" w:type="dxa"/>
            <w:shd w:val="clear" w:color="auto" w:fill="C6E8D7"/>
            <w:noWrap/>
            <w:vAlign w:val="center"/>
            <w:hideMark/>
          </w:tcPr>
          <w:p w14:paraId="63BD6234"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168</w:t>
            </w:r>
          </w:p>
        </w:tc>
        <w:tc>
          <w:tcPr>
            <w:tcW w:w="641" w:type="dxa"/>
            <w:shd w:val="clear" w:color="auto" w:fill="C6E8D7"/>
            <w:noWrap/>
            <w:vAlign w:val="center"/>
            <w:hideMark/>
          </w:tcPr>
          <w:p w14:paraId="736D4DCA"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207</w:t>
            </w:r>
          </w:p>
        </w:tc>
        <w:tc>
          <w:tcPr>
            <w:tcW w:w="880" w:type="dxa"/>
            <w:shd w:val="clear" w:color="auto" w:fill="C6E8D7"/>
            <w:noWrap/>
            <w:vAlign w:val="center"/>
            <w:hideMark/>
          </w:tcPr>
          <w:p w14:paraId="434E239C"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8</w:t>
            </w:r>
          </w:p>
        </w:tc>
        <w:tc>
          <w:tcPr>
            <w:tcW w:w="867" w:type="dxa"/>
            <w:shd w:val="clear" w:color="auto" w:fill="C6E8D7"/>
            <w:noWrap/>
            <w:vAlign w:val="center"/>
            <w:hideMark/>
          </w:tcPr>
          <w:p w14:paraId="27B900CC" w14:textId="77777777" w:rsidR="00771223" w:rsidRPr="00550E31" w:rsidRDefault="00771223" w:rsidP="00771223">
            <w:pPr>
              <w:spacing w:after="0"/>
              <w:jc w:val="center"/>
              <w:rPr>
                <w:rFonts w:ascii="Calibri" w:hAnsi="Calibri" w:cs="Calibri"/>
                <w:b/>
                <w:color w:val="000000"/>
                <w:sz w:val="20"/>
              </w:rPr>
            </w:pPr>
            <w:r w:rsidRPr="00550E31">
              <w:rPr>
                <w:rFonts w:ascii="Calibri" w:hAnsi="Calibri" w:cs="Calibri"/>
                <w:b/>
                <w:color w:val="000000"/>
                <w:sz w:val="20"/>
              </w:rPr>
              <w:t>1019</w:t>
            </w:r>
          </w:p>
        </w:tc>
      </w:tr>
      <w:tr w:rsidR="00771223" w:rsidRPr="00550E31" w14:paraId="108174E0" w14:textId="77777777" w:rsidTr="007171DA">
        <w:trPr>
          <w:trHeight w:val="232"/>
          <w:tblCellSpacing w:w="57" w:type="dxa"/>
        </w:trPr>
        <w:tc>
          <w:tcPr>
            <w:tcW w:w="3924" w:type="dxa"/>
            <w:shd w:val="clear" w:color="auto" w:fill="C6E8D7"/>
            <w:hideMark/>
          </w:tcPr>
          <w:p w14:paraId="3031456D" w14:textId="77777777" w:rsidR="00771223" w:rsidRPr="00550E31" w:rsidRDefault="00771223" w:rsidP="00771223">
            <w:pPr>
              <w:spacing w:after="0"/>
              <w:jc w:val="left"/>
              <w:rPr>
                <w:rFonts w:ascii="Calibri" w:hAnsi="Calibri" w:cs="Calibri"/>
                <w:color w:val="000000"/>
                <w:sz w:val="20"/>
              </w:rPr>
            </w:pPr>
            <w:r w:rsidRPr="00550E31">
              <w:rPr>
                <w:rFonts w:ascii="Calibri" w:hAnsi="Calibri" w:cs="Calibri"/>
                <w:color w:val="000000"/>
                <w:sz w:val="20"/>
              </w:rPr>
              <w:t xml:space="preserve">Markets and Securities Regulation Department </w:t>
            </w:r>
          </w:p>
        </w:tc>
        <w:tc>
          <w:tcPr>
            <w:tcW w:w="641" w:type="dxa"/>
            <w:shd w:val="clear" w:color="auto" w:fill="C6E8D7"/>
            <w:noWrap/>
            <w:vAlign w:val="center"/>
            <w:hideMark/>
          </w:tcPr>
          <w:p w14:paraId="6D413498"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4</w:t>
            </w:r>
          </w:p>
        </w:tc>
        <w:tc>
          <w:tcPr>
            <w:tcW w:w="641" w:type="dxa"/>
            <w:shd w:val="clear" w:color="auto" w:fill="C6E8D7"/>
            <w:noWrap/>
            <w:vAlign w:val="center"/>
            <w:hideMark/>
          </w:tcPr>
          <w:p w14:paraId="798BAECA"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6</w:t>
            </w:r>
          </w:p>
        </w:tc>
        <w:tc>
          <w:tcPr>
            <w:tcW w:w="641" w:type="dxa"/>
            <w:shd w:val="clear" w:color="auto" w:fill="C6E8D7"/>
            <w:noWrap/>
            <w:vAlign w:val="center"/>
            <w:hideMark/>
          </w:tcPr>
          <w:p w14:paraId="7EBD7A15"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5</w:t>
            </w:r>
          </w:p>
        </w:tc>
        <w:tc>
          <w:tcPr>
            <w:tcW w:w="641" w:type="dxa"/>
            <w:shd w:val="clear" w:color="auto" w:fill="C6E8D7"/>
            <w:noWrap/>
            <w:vAlign w:val="center"/>
            <w:hideMark/>
          </w:tcPr>
          <w:p w14:paraId="46017DD3"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3</w:t>
            </w:r>
          </w:p>
        </w:tc>
        <w:tc>
          <w:tcPr>
            <w:tcW w:w="880" w:type="dxa"/>
            <w:shd w:val="clear" w:color="auto" w:fill="C6E8D7"/>
            <w:noWrap/>
            <w:vAlign w:val="center"/>
            <w:hideMark/>
          </w:tcPr>
          <w:p w14:paraId="4244EDC8" w14:textId="77777777" w:rsidR="00771223" w:rsidRPr="00550E31" w:rsidRDefault="00771223" w:rsidP="00771223">
            <w:pPr>
              <w:spacing w:after="0"/>
              <w:jc w:val="center"/>
              <w:rPr>
                <w:rFonts w:ascii="Calibri" w:hAnsi="Calibri" w:cs="Calibri"/>
                <w:color w:val="000000"/>
                <w:sz w:val="20"/>
              </w:rPr>
            </w:pPr>
            <w:r w:rsidRPr="00550E31">
              <w:rPr>
                <w:rFonts w:ascii="Calibri" w:hAnsi="Calibri" w:cs="Calibri"/>
                <w:color w:val="000000"/>
                <w:sz w:val="20"/>
              </w:rPr>
              <w:t>1</w:t>
            </w:r>
          </w:p>
        </w:tc>
        <w:tc>
          <w:tcPr>
            <w:tcW w:w="867" w:type="dxa"/>
            <w:shd w:val="clear" w:color="auto" w:fill="C6E8D7"/>
            <w:noWrap/>
            <w:vAlign w:val="center"/>
            <w:hideMark/>
          </w:tcPr>
          <w:p w14:paraId="6962DB3C" w14:textId="77777777" w:rsidR="00771223" w:rsidRPr="00550E31" w:rsidRDefault="00771223" w:rsidP="00771223">
            <w:pPr>
              <w:spacing w:after="0"/>
              <w:jc w:val="center"/>
              <w:rPr>
                <w:rFonts w:ascii="Calibri" w:hAnsi="Calibri" w:cs="Calibri"/>
                <w:b/>
                <w:color w:val="000000"/>
                <w:sz w:val="20"/>
              </w:rPr>
            </w:pPr>
            <w:r w:rsidRPr="00550E31">
              <w:rPr>
                <w:rFonts w:ascii="Calibri" w:hAnsi="Calibri" w:cs="Calibri"/>
                <w:b/>
                <w:color w:val="000000"/>
                <w:sz w:val="20"/>
              </w:rPr>
              <w:t>19</w:t>
            </w:r>
          </w:p>
        </w:tc>
      </w:tr>
      <w:tr w:rsidR="00771223" w:rsidRPr="00550E31" w14:paraId="0F316578" w14:textId="77777777" w:rsidTr="007171DA">
        <w:trPr>
          <w:trHeight w:val="232"/>
          <w:tblCellSpacing w:w="57" w:type="dxa"/>
        </w:trPr>
        <w:tc>
          <w:tcPr>
            <w:tcW w:w="3924" w:type="dxa"/>
            <w:shd w:val="clear" w:color="auto" w:fill="4472C4"/>
            <w:hideMark/>
          </w:tcPr>
          <w:p w14:paraId="516D7450" w14:textId="77777777" w:rsidR="00771223" w:rsidRPr="00550E31" w:rsidRDefault="00771223" w:rsidP="00771223">
            <w:pPr>
              <w:spacing w:after="0"/>
              <w:jc w:val="left"/>
              <w:rPr>
                <w:rFonts w:ascii="Calibri" w:hAnsi="Calibri" w:cs="Calibri"/>
                <w:b/>
                <w:color w:val="FFFFFF" w:themeColor="background1"/>
                <w:sz w:val="20"/>
              </w:rPr>
            </w:pPr>
            <w:r w:rsidRPr="00550E31">
              <w:rPr>
                <w:rFonts w:ascii="Calibri" w:hAnsi="Calibri" w:cs="Calibri"/>
                <w:b/>
                <w:color w:val="FFFFFF" w:themeColor="background1"/>
                <w:sz w:val="20"/>
              </w:rPr>
              <w:t>TOTAL</w:t>
            </w:r>
          </w:p>
        </w:tc>
        <w:tc>
          <w:tcPr>
            <w:tcW w:w="641" w:type="dxa"/>
            <w:shd w:val="clear" w:color="auto" w:fill="4472C4"/>
            <w:noWrap/>
            <w:vAlign w:val="center"/>
            <w:hideMark/>
          </w:tcPr>
          <w:p w14:paraId="6F141114"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351</w:t>
            </w:r>
          </w:p>
        </w:tc>
        <w:tc>
          <w:tcPr>
            <w:tcW w:w="641" w:type="dxa"/>
            <w:shd w:val="clear" w:color="auto" w:fill="4472C4"/>
            <w:noWrap/>
            <w:vAlign w:val="center"/>
            <w:hideMark/>
          </w:tcPr>
          <w:p w14:paraId="6FE01B4F"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373</w:t>
            </w:r>
          </w:p>
        </w:tc>
        <w:tc>
          <w:tcPr>
            <w:tcW w:w="641" w:type="dxa"/>
            <w:shd w:val="clear" w:color="auto" w:fill="4472C4"/>
            <w:noWrap/>
            <w:vAlign w:val="center"/>
            <w:hideMark/>
          </w:tcPr>
          <w:p w14:paraId="03848709"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213</w:t>
            </w:r>
          </w:p>
        </w:tc>
        <w:tc>
          <w:tcPr>
            <w:tcW w:w="641" w:type="dxa"/>
            <w:shd w:val="clear" w:color="auto" w:fill="4472C4"/>
            <w:noWrap/>
            <w:vAlign w:val="center"/>
            <w:hideMark/>
          </w:tcPr>
          <w:p w14:paraId="0E3D15F3"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249</w:t>
            </w:r>
          </w:p>
        </w:tc>
        <w:tc>
          <w:tcPr>
            <w:tcW w:w="880" w:type="dxa"/>
            <w:shd w:val="clear" w:color="auto" w:fill="4472C4"/>
            <w:noWrap/>
            <w:vAlign w:val="center"/>
            <w:hideMark/>
          </w:tcPr>
          <w:p w14:paraId="587FCF29"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11</w:t>
            </w:r>
          </w:p>
        </w:tc>
        <w:tc>
          <w:tcPr>
            <w:tcW w:w="867" w:type="dxa"/>
            <w:shd w:val="clear" w:color="auto" w:fill="4472C4"/>
            <w:noWrap/>
            <w:vAlign w:val="center"/>
            <w:hideMark/>
          </w:tcPr>
          <w:p w14:paraId="3A3B4777" w14:textId="77777777" w:rsidR="00771223" w:rsidRPr="00550E31" w:rsidRDefault="00771223" w:rsidP="00771223">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1197</w:t>
            </w:r>
          </w:p>
        </w:tc>
      </w:tr>
    </w:tbl>
    <w:p w14:paraId="5B138CEE" w14:textId="2BA82E37" w:rsidR="00F76E53" w:rsidRPr="00C11143" w:rsidRDefault="00F76E53" w:rsidP="009315BA">
      <w:pPr>
        <w:pStyle w:val="BodyText4"/>
        <w:numPr>
          <w:ilvl w:val="0"/>
          <w:numId w:val="2"/>
        </w:numPr>
        <w:spacing w:after="200" w:line="276" w:lineRule="auto"/>
        <w:ind w:left="0" w:hanging="567"/>
        <w:rPr>
          <w:rFonts w:asciiTheme="minorHAnsi" w:hAnsiTheme="minorHAnsi" w:cstheme="minorBidi"/>
        </w:rPr>
      </w:pPr>
      <w:r w:rsidRPr="008F1E62">
        <w:rPr>
          <w:rFonts w:asciiTheme="minorHAnsi" w:hAnsiTheme="minorHAnsi" w:cs="Arial"/>
          <w:b/>
          <w:bCs/>
          <w:color w:val="000000"/>
        </w:rPr>
        <w:t xml:space="preserve">The SEC </w:t>
      </w:r>
      <w:r w:rsidRPr="009315BA">
        <w:rPr>
          <w:rFonts w:asciiTheme="minorHAnsi" w:hAnsiTheme="minorHAnsi"/>
          <w:b/>
        </w:rPr>
        <w:t>has</w:t>
      </w:r>
      <w:r w:rsidRPr="008F1E62">
        <w:rPr>
          <w:rFonts w:asciiTheme="minorHAnsi" w:hAnsiTheme="minorHAnsi" w:cs="Arial"/>
          <w:b/>
          <w:bCs/>
          <w:color w:val="000000"/>
        </w:rPr>
        <w:t xml:space="preserve"> various operating departments that are specifically responsible for reviewing and evaluating the accuracy of the financial statements that are filed depending on the kind of the company.</w:t>
      </w:r>
      <w:r w:rsidRPr="008F1E62">
        <w:rPr>
          <w:rFonts w:asciiTheme="minorHAnsi" w:hAnsiTheme="minorHAnsi" w:cs="Arial"/>
          <w:color w:val="000000"/>
        </w:rPr>
        <w:t xml:space="preserve"> </w:t>
      </w:r>
      <w:r w:rsidR="003F3C47" w:rsidRPr="008F1E62">
        <w:rPr>
          <w:rFonts w:asciiTheme="minorHAnsi" w:hAnsiTheme="minorHAnsi" w:cs="Arial"/>
          <w:color w:val="000000"/>
        </w:rPr>
        <w:t xml:space="preserve">The information contained in Table </w:t>
      </w:r>
      <w:r w:rsidR="00943447">
        <w:rPr>
          <w:rFonts w:asciiTheme="minorHAnsi" w:hAnsiTheme="minorHAnsi" w:cs="Arial"/>
          <w:color w:val="000000"/>
        </w:rPr>
        <w:t>9</w:t>
      </w:r>
      <w:r w:rsidR="00943447" w:rsidRPr="008F1E62">
        <w:rPr>
          <w:rFonts w:asciiTheme="minorHAnsi" w:hAnsiTheme="minorHAnsi" w:cs="Arial"/>
          <w:color w:val="000000"/>
        </w:rPr>
        <w:t xml:space="preserve"> </w:t>
      </w:r>
      <w:r w:rsidR="003F3C47" w:rsidRPr="008F1E62">
        <w:rPr>
          <w:rFonts w:asciiTheme="minorHAnsi" w:hAnsiTheme="minorHAnsi" w:cs="Arial"/>
          <w:color w:val="000000"/>
        </w:rPr>
        <w:t xml:space="preserve">contains the number of companies whose </w:t>
      </w:r>
      <w:r w:rsidR="00631375" w:rsidRPr="00631375">
        <w:rPr>
          <w:rFonts w:asciiTheme="minorHAnsi" w:hAnsiTheme="minorHAnsi" w:cs="Arial"/>
          <w:color w:val="000000"/>
        </w:rPr>
        <w:t>audited financial statements</w:t>
      </w:r>
      <w:r w:rsidR="003F3C47" w:rsidRPr="008F1E62">
        <w:rPr>
          <w:rFonts w:asciiTheme="minorHAnsi" w:hAnsiTheme="minorHAnsi" w:cs="Arial"/>
          <w:color w:val="000000"/>
        </w:rPr>
        <w:t xml:space="preserve"> were reviewed and referred by the Office of </w:t>
      </w:r>
      <w:r w:rsidR="00C628CC">
        <w:rPr>
          <w:rFonts w:asciiTheme="minorHAnsi" w:hAnsiTheme="minorHAnsi" w:cs="Arial"/>
          <w:color w:val="000000"/>
        </w:rPr>
        <w:t xml:space="preserve">the </w:t>
      </w:r>
      <w:r w:rsidR="003F3C47" w:rsidRPr="008F1E62">
        <w:rPr>
          <w:rFonts w:asciiTheme="minorHAnsi" w:hAnsiTheme="minorHAnsi" w:cs="Arial"/>
          <w:color w:val="000000"/>
        </w:rPr>
        <w:t xml:space="preserve">General Accountant to the various operating departments for further action.  </w:t>
      </w:r>
      <w:r w:rsidRPr="008F1E62">
        <w:rPr>
          <w:rFonts w:asciiTheme="minorHAnsi" w:hAnsiTheme="minorHAnsi" w:cs="Arial"/>
          <w:color w:val="000000"/>
        </w:rPr>
        <w:t xml:space="preserve">In the SEC’s Company Registration and Monitoring Department, financial statements are evaluated by 33 staff members who are graduates of business courses </w:t>
      </w:r>
      <w:r w:rsidR="00031923">
        <w:rPr>
          <w:rFonts w:asciiTheme="minorHAnsi" w:hAnsiTheme="minorHAnsi" w:cs="Arial"/>
          <w:color w:val="000000"/>
        </w:rPr>
        <w:t xml:space="preserve">with </w:t>
      </w:r>
      <w:r w:rsidRPr="008F1E62">
        <w:rPr>
          <w:rFonts w:asciiTheme="minorHAnsi" w:hAnsiTheme="minorHAnsi" w:cs="Arial"/>
          <w:color w:val="000000"/>
        </w:rPr>
        <w:t xml:space="preserve">specific training and </w:t>
      </w:r>
      <w:r w:rsidR="00031923">
        <w:rPr>
          <w:rFonts w:asciiTheme="minorHAnsi" w:hAnsiTheme="minorHAnsi" w:cs="Arial"/>
          <w:color w:val="000000"/>
        </w:rPr>
        <w:t xml:space="preserve">expertise </w:t>
      </w:r>
      <w:proofErr w:type="gramStart"/>
      <w:r w:rsidRPr="008F1E62">
        <w:rPr>
          <w:rFonts w:asciiTheme="minorHAnsi" w:hAnsiTheme="minorHAnsi" w:cs="Arial"/>
          <w:color w:val="000000"/>
        </w:rPr>
        <w:t>particular to</w:t>
      </w:r>
      <w:proofErr w:type="gramEnd"/>
      <w:r w:rsidRPr="008F1E62">
        <w:rPr>
          <w:rFonts w:asciiTheme="minorHAnsi" w:hAnsiTheme="minorHAnsi" w:cs="Arial"/>
          <w:color w:val="000000"/>
        </w:rPr>
        <w:t xml:space="preserve"> accounting standards.</w:t>
      </w:r>
      <w:r w:rsidRPr="008F1E62">
        <w:rPr>
          <w:rFonts w:ascii="Calibri" w:hAnsi="Calibri"/>
          <w:b/>
          <w:bCs/>
        </w:rPr>
        <w:t xml:space="preserve"> </w:t>
      </w:r>
    </w:p>
    <w:p w14:paraId="6B7141D5"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HAnsi"/>
        </w:rPr>
      </w:pPr>
      <w:r w:rsidRPr="008F1E62">
        <w:rPr>
          <w:rFonts w:asciiTheme="minorHAnsi" w:hAnsiTheme="minorHAnsi" w:cs="Arial"/>
          <w:b/>
          <w:color w:val="000000"/>
        </w:rPr>
        <w:t xml:space="preserve">Other forms of commercial enterprises such as partnerships and sole proprietorships </w:t>
      </w:r>
      <w:r w:rsidRPr="008F1E62">
        <w:rPr>
          <w:rFonts w:ascii="Calibri" w:hAnsi="Calibri"/>
          <w:b/>
          <w:bCs/>
        </w:rPr>
        <w:t>accordingly</w:t>
      </w:r>
      <w:r w:rsidRPr="008F1E62">
        <w:rPr>
          <w:rFonts w:asciiTheme="minorHAnsi" w:hAnsiTheme="minorHAnsi" w:cs="Arial"/>
          <w:b/>
          <w:color w:val="000000"/>
        </w:rPr>
        <w:t xml:space="preserve"> file their audited financial statements with the BIR</w:t>
      </w:r>
      <w:r w:rsidRPr="008F1E62">
        <w:rPr>
          <w:rFonts w:asciiTheme="minorHAnsi" w:hAnsiTheme="minorHAnsi" w:cs="Arial"/>
          <w:color w:val="000000"/>
        </w:rPr>
        <w:t>. These are not made available to the public.</w:t>
      </w:r>
    </w:p>
    <w:p w14:paraId="72F7813C"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heme="minorHAnsi"/>
        </w:rPr>
      </w:pPr>
      <w:r w:rsidRPr="008F1E62">
        <w:rPr>
          <w:rFonts w:asciiTheme="minorHAnsi" w:hAnsiTheme="minorHAnsi" w:cs="Arial"/>
          <w:b/>
        </w:rPr>
        <w:t xml:space="preserve">The National Internal Revenue Code of 1997 requires audit of books of accounts. </w:t>
      </w:r>
      <w:r w:rsidRPr="008F1E62">
        <w:rPr>
          <w:rFonts w:asciiTheme="minorHAnsi" w:hAnsiTheme="minorHAnsi" w:cs="Arial"/>
        </w:rPr>
        <w:t>Section 232 provides that corporations, companies, partnerships</w:t>
      </w:r>
      <w:r w:rsidR="001A6F30">
        <w:rPr>
          <w:rFonts w:asciiTheme="minorHAnsi" w:hAnsiTheme="minorHAnsi" w:cs="Arial"/>
        </w:rPr>
        <w:t>,</w:t>
      </w:r>
      <w:r w:rsidRPr="008F1E62">
        <w:rPr>
          <w:rFonts w:asciiTheme="minorHAnsi" w:hAnsiTheme="minorHAnsi" w:cs="Arial"/>
        </w:rPr>
        <w:t xml:space="preserve"> or persons whose gross quarterly </w:t>
      </w:r>
      <w:r w:rsidRPr="008F1E62">
        <w:rPr>
          <w:rFonts w:asciiTheme="minorHAnsi" w:hAnsiTheme="minorHAnsi" w:cs="Arial"/>
          <w:color w:val="000000"/>
        </w:rPr>
        <w:t>sales, earnings, receipts</w:t>
      </w:r>
      <w:r w:rsidR="001A6F30">
        <w:rPr>
          <w:rFonts w:asciiTheme="minorHAnsi" w:hAnsiTheme="minorHAnsi" w:cs="Arial"/>
          <w:color w:val="000000"/>
        </w:rPr>
        <w:t>,</w:t>
      </w:r>
      <w:r w:rsidRPr="008F1E62">
        <w:rPr>
          <w:rFonts w:asciiTheme="minorHAnsi" w:hAnsiTheme="minorHAnsi" w:cs="Arial"/>
          <w:color w:val="000000"/>
        </w:rPr>
        <w:t xml:space="preserve"> or output exceed </w:t>
      </w:r>
      <w:r w:rsidR="001A6F30" w:rsidRPr="008F1E62">
        <w:rPr>
          <w:rFonts w:asciiTheme="minorHAnsi" w:hAnsiTheme="minorHAnsi" w:cs="Arial"/>
          <w:color w:val="000000"/>
        </w:rPr>
        <w:t>150</w:t>
      </w:r>
      <w:r w:rsidR="001A6F30">
        <w:rPr>
          <w:rFonts w:asciiTheme="minorHAnsi" w:hAnsiTheme="minorHAnsi" w:cs="Arial"/>
          <w:color w:val="000000"/>
        </w:rPr>
        <w:t xml:space="preserve"> </w:t>
      </w:r>
      <w:r w:rsidRPr="008F1E62">
        <w:rPr>
          <w:rFonts w:asciiTheme="minorHAnsi" w:hAnsiTheme="minorHAnsi" w:cs="Arial"/>
          <w:color w:val="000000"/>
        </w:rPr>
        <w:t xml:space="preserve">thousand pesos should have their books of accounts audited and examined yearly by independent </w:t>
      </w:r>
      <w:r w:rsidR="00F46141">
        <w:rPr>
          <w:rFonts w:asciiTheme="minorHAnsi" w:hAnsiTheme="minorHAnsi" w:cs="Arial"/>
          <w:color w:val="000000"/>
        </w:rPr>
        <w:t>CPAs</w:t>
      </w:r>
      <w:r w:rsidRPr="008F1E62">
        <w:rPr>
          <w:rFonts w:asciiTheme="minorHAnsi" w:hAnsiTheme="minorHAnsi" w:cs="Arial"/>
          <w:color w:val="000000"/>
        </w:rPr>
        <w:t xml:space="preserve">. The BIR examines filed income tax returns to assess correctness of taxes by reviewing attached audited financial statements particularly the opinion and the notes to the financial statements, and all the books of accounts and other accounting records of the taxpayer. Currently, the BIR is in </w:t>
      </w:r>
      <w:r w:rsidR="000B25AE">
        <w:rPr>
          <w:rFonts w:asciiTheme="minorHAnsi" w:hAnsiTheme="minorHAnsi" w:cs="Arial"/>
          <w:color w:val="000000"/>
        </w:rPr>
        <w:t xml:space="preserve">the </w:t>
      </w:r>
      <w:r w:rsidRPr="008F1E62">
        <w:rPr>
          <w:rFonts w:asciiTheme="minorHAnsi" w:hAnsiTheme="minorHAnsi" w:cs="Arial"/>
          <w:color w:val="000000"/>
        </w:rPr>
        <w:t xml:space="preserve">process of hiring technical staff to add to its more than 2,000 CPAs nationwide out of the total 9,344 permanent filled positions. </w:t>
      </w:r>
    </w:p>
    <w:p w14:paraId="1C25DA8D"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Arial"/>
        </w:rPr>
      </w:pPr>
      <w:r w:rsidRPr="008F1E62">
        <w:rPr>
          <w:rFonts w:asciiTheme="minorHAnsi" w:hAnsiTheme="minorHAnsi" w:cs="Arial"/>
          <w:b/>
          <w:bCs/>
          <w:color w:val="0A0A0A"/>
        </w:rPr>
        <w:t xml:space="preserve">The minimum thresholds and financial reporting frameworks for the required submission of audited financial statements are perceived to be too low and too costly by business owners.  </w:t>
      </w:r>
      <w:r w:rsidRPr="008F1E62">
        <w:rPr>
          <w:rFonts w:asciiTheme="minorHAnsi" w:hAnsiTheme="minorHAnsi" w:cs="Arial"/>
          <w:color w:val="0A0A0A"/>
        </w:rPr>
        <w:t xml:space="preserve">Although micro entities have the option to use as their financial reporting framework either the income tax basis, accounting standards in effect as of December 31, 2004 or PFRS for SMEs, small entities must comply with IFRS for SMEs which is a complex framework given the size and composition of these entities. Other challenges and issues affecting MSMEs include the cost of compliance </w:t>
      </w:r>
      <w:r w:rsidR="000D3018">
        <w:rPr>
          <w:rFonts w:asciiTheme="minorHAnsi" w:hAnsiTheme="minorHAnsi" w:cs="Arial"/>
          <w:color w:val="0A0A0A"/>
        </w:rPr>
        <w:t>with</w:t>
      </w:r>
      <w:r w:rsidR="000D3018" w:rsidRPr="008F1E62">
        <w:rPr>
          <w:rFonts w:asciiTheme="minorHAnsi" w:hAnsiTheme="minorHAnsi" w:cs="Arial"/>
          <w:color w:val="0A0A0A"/>
        </w:rPr>
        <w:t xml:space="preserve"> </w:t>
      </w:r>
      <w:r w:rsidRPr="008F1E62">
        <w:rPr>
          <w:rFonts w:asciiTheme="minorHAnsi" w:hAnsiTheme="minorHAnsi" w:cs="Arial"/>
          <w:color w:val="0A0A0A"/>
        </w:rPr>
        <w:t>tax and accounting regulations, difficulty in reconciling of tax and accounting treatments</w:t>
      </w:r>
      <w:r w:rsidR="00F0092E">
        <w:rPr>
          <w:rFonts w:asciiTheme="minorHAnsi" w:hAnsiTheme="minorHAnsi" w:cs="Arial"/>
          <w:color w:val="0A0A0A"/>
        </w:rPr>
        <w:t>,</w:t>
      </w:r>
      <w:r w:rsidRPr="008F1E62">
        <w:rPr>
          <w:rFonts w:asciiTheme="minorHAnsi" w:hAnsiTheme="minorHAnsi" w:cs="Arial"/>
          <w:color w:val="0A0A0A"/>
        </w:rPr>
        <w:t xml:space="preserve"> and different perspectives and opinions by BIR examiners.</w:t>
      </w:r>
      <w:r w:rsidRPr="008F1E62">
        <w:rPr>
          <w:rStyle w:val="FootnoteReference"/>
          <w:rFonts w:asciiTheme="minorHAnsi" w:hAnsiTheme="minorHAnsi" w:cs="Arial"/>
          <w:color w:val="0A0A0A"/>
        </w:rPr>
        <w:footnoteReference w:id="69"/>
      </w:r>
      <w:r w:rsidR="003F3C47" w:rsidRPr="008F1E62">
        <w:rPr>
          <w:rFonts w:asciiTheme="minorHAnsi" w:hAnsiTheme="minorHAnsi" w:cs="Arial"/>
          <w:color w:val="0A0A0A"/>
        </w:rPr>
        <w:t xml:space="preserve">  The FRSC is </w:t>
      </w:r>
      <w:r w:rsidR="00425205" w:rsidRPr="008F1E62">
        <w:rPr>
          <w:rFonts w:asciiTheme="minorHAnsi" w:hAnsiTheme="minorHAnsi" w:cs="Arial"/>
          <w:color w:val="0A0A0A"/>
        </w:rPr>
        <w:t>considering</w:t>
      </w:r>
      <w:r w:rsidR="003F3C47" w:rsidRPr="008F1E62">
        <w:rPr>
          <w:rFonts w:asciiTheme="minorHAnsi" w:hAnsiTheme="minorHAnsi" w:cs="Arial"/>
          <w:color w:val="0A0A0A"/>
        </w:rPr>
        <w:t xml:space="preserve"> a proposal </w:t>
      </w:r>
      <w:r w:rsidR="00AA5E32" w:rsidRPr="008F1E62">
        <w:rPr>
          <w:rFonts w:asciiTheme="minorHAnsi" w:hAnsiTheme="minorHAnsi" w:cs="Arial"/>
          <w:color w:val="0A0A0A"/>
        </w:rPr>
        <w:t xml:space="preserve">by the Association of Certified Public Accountants in Public Practice </w:t>
      </w:r>
      <w:r w:rsidR="003F3C47" w:rsidRPr="008F1E62">
        <w:rPr>
          <w:rFonts w:asciiTheme="minorHAnsi" w:hAnsiTheme="minorHAnsi" w:cs="Arial"/>
          <w:color w:val="0A0A0A"/>
        </w:rPr>
        <w:t>to develop a financial reporting framework specifically for micro, small, and medium enterprises (MSMEs).</w:t>
      </w:r>
    </w:p>
    <w:p w14:paraId="733E2185" w14:textId="77777777" w:rsidR="00F76E53" w:rsidRPr="008F1E62" w:rsidRDefault="00F76E53" w:rsidP="00FB3DC8">
      <w:pPr>
        <w:pStyle w:val="BodyText4"/>
        <w:numPr>
          <w:ilvl w:val="0"/>
          <w:numId w:val="2"/>
        </w:numPr>
        <w:spacing w:after="100" w:line="276" w:lineRule="auto"/>
        <w:ind w:left="0" w:hanging="562"/>
        <w:rPr>
          <w:rFonts w:asciiTheme="minorHAnsi" w:hAnsiTheme="minorHAnsi" w:cs="Arial"/>
        </w:rPr>
      </w:pPr>
      <w:r w:rsidRPr="008F1E62">
        <w:rPr>
          <w:rFonts w:ascii="Calibri" w:hAnsi="Calibri"/>
          <w:b/>
          <w:bCs/>
        </w:rPr>
        <w:t>Challenges</w:t>
      </w:r>
      <w:r w:rsidRPr="008F1E62">
        <w:rPr>
          <w:rFonts w:asciiTheme="minorHAnsi" w:hAnsiTheme="minorHAnsi" w:cs="Arial"/>
          <w:b/>
        </w:rPr>
        <w:t xml:space="preserve"> to SMPs in delivering services to MSMEs include limited access to training and tools that will assist in their conduct of quality audits and raise their level of service to MSMEs.</w:t>
      </w:r>
      <w:r w:rsidRPr="008F1E62">
        <w:rPr>
          <w:rFonts w:asciiTheme="minorHAnsi" w:hAnsiTheme="minorHAnsi" w:cs="Arial"/>
        </w:rPr>
        <w:t xml:space="preserve">  Based on a questionnaire and discussions with SMP’s, practitioners raised the following challenges facing the professions:</w:t>
      </w:r>
    </w:p>
    <w:p w14:paraId="3198E467" w14:textId="77777777" w:rsidR="00F76E53" w:rsidRPr="008F1E62" w:rsidRDefault="00F76E53" w:rsidP="00FF7A94">
      <w:pPr>
        <w:pStyle w:val="ListParagraph"/>
        <w:numPr>
          <w:ilvl w:val="0"/>
          <w:numId w:val="6"/>
        </w:numPr>
        <w:spacing w:before="0" w:beforeAutospacing="0" w:afterAutospacing="0" w:line="276" w:lineRule="auto"/>
        <w:ind w:left="360"/>
        <w:rPr>
          <w:rFonts w:asciiTheme="minorHAnsi" w:hAnsiTheme="minorHAnsi" w:cs="Arial"/>
        </w:rPr>
      </w:pPr>
      <w:r w:rsidRPr="008F1E62">
        <w:rPr>
          <w:rFonts w:asciiTheme="minorHAnsi" w:hAnsiTheme="minorHAnsi" w:cs="Arial"/>
          <w:i/>
        </w:rPr>
        <w:t>Limited</w:t>
      </w:r>
      <w:r w:rsidR="00865D36">
        <w:rPr>
          <w:rFonts w:asciiTheme="minorHAnsi" w:hAnsiTheme="minorHAnsi" w:cs="Arial"/>
          <w:i/>
        </w:rPr>
        <w:t xml:space="preserve"> opportunities for</w:t>
      </w:r>
      <w:r w:rsidRPr="008F1E62">
        <w:rPr>
          <w:rFonts w:asciiTheme="minorHAnsi" w:hAnsiTheme="minorHAnsi" w:cs="Arial"/>
          <w:i/>
        </w:rPr>
        <w:t xml:space="preserve"> audit and accounting </w:t>
      </w:r>
      <w:r w:rsidR="00865D36" w:rsidRPr="008F1E62">
        <w:rPr>
          <w:rFonts w:asciiTheme="minorHAnsi" w:hAnsiTheme="minorHAnsi" w:cs="Arial"/>
          <w:i/>
        </w:rPr>
        <w:t>training</w:t>
      </w:r>
      <w:r w:rsidR="00865D36">
        <w:rPr>
          <w:rFonts w:asciiTheme="minorHAnsi" w:hAnsiTheme="minorHAnsi" w:cs="Arial"/>
          <w:i/>
        </w:rPr>
        <w:t>,</w:t>
      </w:r>
      <w:r w:rsidR="00865D36" w:rsidRPr="008F1E62">
        <w:rPr>
          <w:rFonts w:asciiTheme="minorHAnsi" w:hAnsiTheme="minorHAnsi" w:cs="Arial"/>
          <w:i/>
        </w:rPr>
        <w:t xml:space="preserve"> </w:t>
      </w:r>
      <w:r w:rsidRPr="008F1E62">
        <w:rPr>
          <w:rFonts w:asciiTheme="minorHAnsi" w:hAnsiTheme="minorHAnsi" w:cs="Arial"/>
          <w:i/>
        </w:rPr>
        <w:t>including development of mid-management auditors especially for areas outside Manila or highly urbanized cities.</w:t>
      </w:r>
      <w:r w:rsidRPr="008F1E62">
        <w:rPr>
          <w:rFonts w:asciiTheme="minorHAnsi" w:hAnsiTheme="minorHAnsi" w:cs="Arial"/>
        </w:rPr>
        <w:t xml:space="preserve">  Alternative modalities </w:t>
      </w:r>
      <w:r w:rsidR="00930AB0">
        <w:rPr>
          <w:rFonts w:asciiTheme="minorHAnsi" w:hAnsiTheme="minorHAnsi" w:cs="Arial"/>
        </w:rPr>
        <w:t>for</w:t>
      </w:r>
      <w:r w:rsidR="00930AB0" w:rsidRPr="008F1E62">
        <w:rPr>
          <w:rFonts w:asciiTheme="minorHAnsi" w:hAnsiTheme="minorHAnsi" w:cs="Arial"/>
        </w:rPr>
        <w:t xml:space="preserve"> </w:t>
      </w:r>
      <w:r w:rsidRPr="008F1E62">
        <w:rPr>
          <w:rFonts w:asciiTheme="minorHAnsi" w:hAnsiTheme="minorHAnsi" w:cs="Arial"/>
        </w:rPr>
        <w:t>training and lectures are suggested given that CPD requirements only allow PICPA accredited trainers.</w:t>
      </w:r>
    </w:p>
    <w:p w14:paraId="517F0B46" w14:textId="77777777" w:rsidR="00F76E53" w:rsidRPr="008F1E62" w:rsidRDefault="00F76E53" w:rsidP="00FF7A94">
      <w:pPr>
        <w:pStyle w:val="ListParagraph"/>
        <w:numPr>
          <w:ilvl w:val="0"/>
          <w:numId w:val="6"/>
        </w:numPr>
        <w:spacing w:before="0" w:beforeAutospacing="0" w:afterAutospacing="0" w:line="276" w:lineRule="auto"/>
        <w:ind w:left="360"/>
        <w:rPr>
          <w:rFonts w:asciiTheme="minorHAnsi" w:hAnsiTheme="minorHAnsi" w:cs="Arial"/>
        </w:rPr>
      </w:pPr>
      <w:r w:rsidRPr="008F1E62">
        <w:rPr>
          <w:rFonts w:asciiTheme="minorHAnsi" w:hAnsiTheme="minorHAnsi" w:cs="Arial"/>
          <w:i/>
        </w:rPr>
        <w:t>Scarcity of CPAs outside Manila.</w:t>
      </w:r>
      <w:r w:rsidRPr="008F1E62">
        <w:rPr>
          <w:rFonts w:asciiTheme="minorHAnsi" w:hAnsiTheme="minorHAnsi" w:cs="Arial"/>
        </w:rPr>
        <w:t xml:space="preserve">  Issues o</w:t>
      </w:r>
      <w:r w:rsidR="00930AB0">
        <w:rPr>
          <w:rFonts w:asciiTheme="minorHAnsi" w:hAnsiTheme="minorHAnsi" w:cs="Arial"/>
        </w:rPr>
        <w:t>f</w:t>
      </w:r>
      <w:r w:rsidRPr="008F1E62">
        <w:rPr>
          <w:rFonts w:asciiTheme="minorHAnsi" w:hAnsiTheme="minorHAnsi" w:cs="Arial"/>
        </w:rPr>
        <w:t xml:space="preserve"> auditor well-being w</w:t>
      </w:r>
      <w:r w:rsidR="008835B8">
        <w:rPr>
          <w:rFonts w:asciiTheme="minorHAnsi" w:hAnsiTheme="minorHAnsi" w:cs="Arial"/>
        </w:rPr>
        <w:t>ere</w:t>
      </w:r>
      <w:r w:rsidRPr="008F1E62">
        <w:rPr>
          <w:rFonts w:asciiTheme="minorHAnsi" w:hAnsiTheme="minorHAnsi" w:cs="Arial"/>
        </w:rPr>
        <w:t xml:space="preserve"> raised</w:t>
      </w:r>
      <w:r w:rsidR="008835B8">
        <w:rPr>
          <w:rFonts w:asciiTheme="minorHAnsi" w:hAnsiTheme="minorHAnsi" w:cs="Arial"/>
        </w:rPr>
        <w:t>,</w:t>
      </w:r>
      <w:r w:rsidRPr="008F1E62">
        <w:rPr>
          <w:rFonts w:asciiTheme="minorHAnsi" w:hAnsiTheme="minorHAnsi" w:cs="Arial"/>
        </w:rPr>
        <w:t xml:space="preserve"> particularly during the busy season.</w:t>
      </w:r>
    </w:p>
    <w:p w14:paraId="11E05DB1" w14:textId="77777777" w:rsidR="00F76E53" w:rsidRPr="008F1E62" w:rsidRDefault="00F76E53" w:rsidP="00FF7A94">
      <w:pPr>
        <w:pStyle w:val="ListParagraph"/>
        <w:numPr>
          <w:ilvl w:val="0"/>
          <w:numId w:val="6"/>
        </w:numPr>
        <w:spacing w:before="0" w:beforeAutospacing="0" w:afterAutospacing="0" w:line="276" w:lineRule="auto"/>
        <w:ind w:left="360"/>
        <w:rPr>
          <w:rFonts w:asciiTheme="minorHAnsi" w:hAnsiTheme="minorHAnsi" w:cs="Arial"/>
          <w:i/>
        </w:rPr>
      </w:pPr>
      <w:r w:rsidRPr="008F1E62">
        <w:rPr>
          <w:rFonts w:asciiTheme="minorHAnsi" w:hAnsiTheme="minorHAnsi" w:cs="Arial"/>
          <w:i/>
        </w:rPr>
        <w:t>Limited access to tools such as accounting and audit software.</w:t>
      </w:r>
    </w:p>
    <w:p w14:paraId="6776F9EF" w14:textId="77777777" w:rsidR="00F76E53" w:rsidRPr="008F1E62" w:rsidRDefault="00F76E53" w:rsidP="00FF7A94">
      <w:pPr>
        <w:pStyle w:val="ListParagraph"/>
        <w:numPr>
          <w:ilvl w:val="0"/>
          <w:numId w:val="6"/>
        </w:numPr>
        <w:spacing w:before="0" w:beforeAutospacing="0" w:afterAutospacing="0" w:line="276" w:lineRule="auto"/>
        <w:ind w:left="360"/>
        <w:rPr>
          <w:rFonts w:asciiTheme="minorHAnsi" w:hAnsiTheme="minorHAnsi" w:cs="Arial"/>
          <w:i/>
        </w:rPr>
      </w:pPr>
      <w:r w:rsidRPr="008F1E62">
        <w:rPr>
          <w:rFonts w:asciiTheme="minorHAnsi" w:hAnsiTheme="minorHAnsi" w:cs="Arial"/>
          <w:i/>
        </w:rPr>
        <w:t>SMPs value the training offered by oversight agencies such as SEC and BIR but availability of such training outside the M</w:t>
      </w:r>
      <w:r w:rsidR="00CF7A36" w:rsidRPr="008F1E62">
        <w:rPr>
          <w:rFonts w:asciiTheme="minorHAnsi" w:hAnsiTheme="minorHAnsi" w:cs="Arial"/>
          <w:i/>
        </w:rPr>
        <w:t xml:space="preserve">etro </w:t>
      </w:r>
      <w:r w:rsidRPr="008F1E62">
        <w:rPr>
          <w:rFonts w:asciiTheme="minorHAnsi" w:hAnsiTheme="minorHAnsi" w:cs="Arial"/>
          <w:i/>
        </w:rPr>
        <w:t>M</w:t>
      </w:r>
      <w:r w:rsidR="00CF7A36" w:rsidRPr="008F1E62">
        <w:rPr>
          <w:rFonts w:asciiTheme="minorHAnsi" w:hAnsiTheme="minorHAnsi" w:cs="Arial"/>
          <w:i/>
        </w:rPr>
        <w:t xml:space="preserve">anila </w:t>
      </w:r>
      <w:r w:rsidRPr="008F1E62">
        <w:rPr>
          <w:rFonts w:asciiTheme="minorHAnsi" w:hAnsiTheme="minorHAnsi" w:cs="Arial"/>
          <w:i/>
        </w:rPr>
        <w:t>R</w:t>
      </w:r>
      <w:r w:rsidR="00CF7A36" w:rsidRPr="008F1E62">
        <w:rPr>
          <w:rFonts w:asciiTheme="minorHAnsi" w:hAnsiTheme="minorHAnsi" w:cs="Arial"/>
          <w:i/>
        </w:rPr>
        <w:t>egion</w:t>
      </w:r>
      <w:r w:rsidRPr="008F1E62">
        <w:rPr>
          <w:rFonts w:asciiTheme="minorHAnsi" w:hAnsiTheme="minorHAnsi" w:cs="Arial"/>
          <w:i/>
        </w:rPr>
        <w:t xml:space="preserve"> are limited.</w:t>
      </w:r>
    </w:p>
    <w:p w14:paraId="5A5F2D39" w14:textId="77777777" w:rsidR="00F76E53" w:rsidRPr="008F1E62" w:rsidRDefault="00F76E53" w:rsidP="0077686B">
      <w:pPr>
        <w:pStyle w:val="Heading3"/>
      </w:pPr>
      <w:r w:rsidRPr="008F1E62">
        <w:t>State Owned Enterprises / Government Owned and Controlled Corporations (GOCCs)</w:t>
      </w:r>
    </w:p>
    <w:p w14:paraId="1056D706" w14:textId="77777777" w:rsidR="00F76E53" w:rsidRPr="008F1E62" w:rsidRDefault="00F76E53" w:rsidP="009315BA">
      <w:pPr>
        <w:pStyle w:val="BodyText4"/>
        <w:numPr>
          <w:ilvl w:val="0"/>
          <w:numId w:val="2"/>
        </w:numPr>
        <w:spacing w:after="200" w:line="276" w:lineRule="auto"/>
        <w:ind w:left="0" w:hanging="567"/>
        <w:rPr>
          <w:rFonts w:asciiTheme="minorHAnsi" w:hAnsiTheme="minorHAnsi" w:cs="Arial"/>
        </w:rPr>
      </w:pPr>
      <w:r w:rsidRPr="008F1E62">
        <w:rPr>
          <w:rFonts w:asciiTheme="minorHAnsi" w:hAnsiTheme="minorHAnsi"/>
          <w:b/>
        </w:rPr>
        <w:t xml:space="preserve">Included in the reform agenda of the </w:t>
      </w:r>
      <w:proofErr w:type="spellStart"/>
      <w:r w:rsidRPr="008F1E62">
        <w:rPr>
          <w:rFonts w:asciiTheme="minorHAnsi" w:hAnsiTheme="minorHAnsi"/>
          <w:b/>
        </w:rPr>
        <w:t>DoF</w:t>
      </w:r>
      <w:proofErr w:type="spellEnd"/>
      <w:r w:rsidRPr="008F1E62">
        <w:rPr>
          <w:rFonts w:asciiTheme="minorHAnsi" w:hAnsiTheme="minorHAnsi"/>
          <w:b/>
        </w:rPr>
        <w:t xml:space="preserve"> is the reform of GOCCs.</w:t>
      </w:r>
      <w:r w:rsidRPr="008F1E62">
        <w:rPr>
          <w:rFonts w:asciiTheme="minorHAnsi" w:hAnsiTheme="minorHAnsi"/>
        </w:rPr>
        <w:t xml:space="preserve">  </w:t>
      </w:r>
      <w:r w:rsidR="00090484">
        <w:rPr>
          <w:rFonts w:asciiTheme="minorHAnsi" w:hAnsiTheme="minorHAnsi"/>
        </w:rPr>
        <w:t xml:space="preserve">Within </w:t>
      </w:r>
      <w:r w:rsidR="00090484" w:rsidRPr="008F1E62">
        <w:rPr>
          <w:rFonts w:asciiTheme="minorHAnsi" w:hAnsiTheme="minorHAnsi"/>
        </w:rPr>
        <w:t xml:space="preserve">the </w:t>
      </w:r>
      <w:proofErr w:type="spellStart"/>
      <w:r w:rsidR="00090484" w:rsidRPr="008F1E62">
        <w:rPr>
          <w:rFonts w:asciiTheme="minorHAnsi" w:hAnsiTheme="minorHAnsi"/>
        </w:rPr>
        <w:t>DoF</w:t>
      </w:r>
      <w:proofErr w:type="spellEnd"/>
      <w:r w:rsidR="00090484">
        <w:rPr>
          <w:rFonts w:asciiTheme="minorHAnsi" w:hAnsiTheme="minorHAnsi"/>
        </w:rPr>
        <w:t>, t</w:t>
      </w:r>
      <w:r w:rsidRPr="008F1E62">
        <w:rPr>
          <w:rFonts w:asciiTheme="minorHAnsi" w:hAnsiTheme="minorHAnsi"/>
        </w:rPr>
        <w:t xml:space="preserve">he Corporate Affairs Group </w:t>
      </w:r>
      <w:r w:rsidRPr="008F1E62">
        <w:rPr>
          <w:rFonts w:asciiTheme="minorHAnsi" w:hAnsiTheme="minorHAnsi" w:cs="Arial"/>
          <w:color w:val="1A1718"/>
        </w:rPr>
        <w:t xml:space="preserve">monitors the cash flows of the government corporate sector; provides technical support in the privatization of transferred accounts and government corporations; and formulates and implements policies affecting GOCCs. The Corporate Operations Office of the </w:t>
      </w:r>
      <w:r w:rsidR="00AD2118" w:rsidRPr="00AD2118">
        <w:rPr>
          <w:rFonts w:asciiTheme="minorHAnsi" w:hAnsiTheme="minorHAnsi" w:cs="Arial"/>
          <w:color w:val="1A1718"/>
        </w:rPr>
        <w:t xml:space="preserve">Corporate Affairs Group </w:t>
      </w:r>
      <w:r w:rsidRPr="008F1E62">
        <w:rPr>
          <w:rFonts w:asciiTheme="minorHAnsi" w:hAnsiTheme="minorHAnsi" w:cs="Arial"/>
          <w:color w:val="1A1718"/>
        </w:rPr>
        <w:t>have the following objectives:  increasing the net contributions of GOCCs to the National Treasury; making the government corporate sector responsive to financial and fiscal reforms; and instilling public accountability and financial discipline in GOCCs.</w:t>
      </w:r>
    </w:p>
    <w:p w14:paraId="6E83C98F" w14:textId="77777777" w:rsidR="00F76E53" w:rsidRPr="008F1E62" w:rsidRDefault="00F76E53" w:rsidP="009315BA">
      <w:pPr>
        <w:pStyle w:val="BodyText4"/>
        <w:numPr>
          <w:ilvl w:val="0"/>
          <w:numId w:val="2"/>
        </w:numPr>
        <w:spacing w:after="200" w:line="276" w:lineRule="auto"/>
        <w:ind w:left="0" w:hanging="567"/>
        <w:rPr>
          <w:rFonts w:asciiTheme="minorHAnsi" w:hAnsiTheme="minorHAnsi" w:cs="Arial"/>
        </w:rPr>
      </w:pPr>
      <w:r w:rsidRPr="008F1E62">
        <w:rPr>
          <w:rFonts w:asciiTheme="minorHAnsi" w:hAnsiTheme="minorHAnsi"/>
          <w:b/>
          <w:bCs/>
        </w:rPr>
        <w:t xml:space="preserve">The financial reporting framework adopted by GOCCs or government corporations in their </w:t>
      </w:r>
      <w:r w:rsidRPr="009315BA">
        <w:rPr>
          <w:rFonts w:asciiTheme="minorHAnsi" w:hAnsiTheme="minorHAnsi"/>
          <w:b/>
        </w:rPr>
        <w:t>preparation</w:t>
      </w:r>
      <w:r w:rsidRPr="008F1E62">
        <w:rPr>
          <w:rFonts w:asciiTheme="minorHAnsi" w:hAnsiTheme="minorHAnsi"/>
          <w:b/>
          <w:bCs/>
        </w:rPr>
        <w:t xml:space="preserve"> and presentation of financial statements until CY 2015 varied</w:t>
      </w:r>
      <w:r w:rsidRPr="008F1E62">
        <w:rPr>
          <w:rFonts w:asciiTheme="minorHAnsi" w:hAnsiTheme="minorHAnsi"/>
        </w:rPr>
        <w:t xml:space="preserve">. Based on the 2015 Annual Financial Report by the COA, GOCCs (depending on sector type) have adopted any of the following: a) </w:t>
      </w:r>
      <w:r w:rsidRPr="008F1E62">
        <w:rPr>
          <w:rFonts w:asciiTheme="minorHAnsi" w:hAnsiTheme="minorHAnsi" w:cs="Arial"/>
        </w:rPr>
        <w:t xml:space="preserve">PFRS, b) Philippine Public Sector Accounting Standards (PPSAS), and c) accounting principles prescribed under the New Government Accounting System.  Most of the water districts, and other GOCCs present their financial statements in accordance with </w:t>
      </w:r>
      <w:r w:rsidR="00765255">
        <w:rPr>
          <w:rFonts w:asciiTheme="minorHAnsi" w:hAnsiTheme="minorHAnsi" w:cs="Arial"/>
        </w:rPr>
        <w:t xml:space="preserve">the </w:t>
      </w:r>
      <w:r w:rsidR="00DB1709" w:rsidRPr="00DB1709">
        <w:rPr>
          <w:rFonts w:asciiTheme="minorHAnsi" w:hAnsiTheme="minorHAnsi" w:cs="Arial"/>
        </w:rPr>
        <w:t>N</w:t>
      </w:r>
      <w:r w:rsidR="00765255">
        <w:rPr>
          <w:rFonts w:asciiTheme="minorHAnsi" w:hAnsiTheme="minorHAnsi" w:cs="Arial"/>
        </w:rPr>
        <w:t>ew Government Accounting System</w:t>
      </w:r>
      <w:r w:rsidR="005A2748">
        <w:rPr>
          <w:rFonts w:asciiTheme="minorHAnsi" w:hAnsiTheme="minorHAnsi" w:cs="Arial"/>
        </w:rPr>
        <w:t xml:space="preserve">, which </w:t>
      </w:r>
      <w:r w:rsidRPr="008F1E62">
        <w:rPr>
          <w:rFonts w:asciiTheme="minorHAnsi" w:hAnsiTheme="minorHAnsi" w:cs="Arial"/>
        </w:rPr>
        <w:t xml:space="preserve">was </w:t>
      </w:r>
      <w:r w:rsidR="005A2748">
        <w:rPr>
          <w:rFonts w:asciiTheme="minorHAnsi" w:hAnsiTheme="minorHAnsi" w:cs="Arial"/>
        </w:rPr>
        <w:t>required</w:t>
      </w:r>
      <w:r w:rsidR="005A2748" w:rsidRPr="008F1E62">
        <w:rPr>
          <w:rFonts w:asciiTheme="minorHAnsi" w:hAnsiTheme="minorHAnsi" w:cs="Arial"/>
        </w:rPr>
        <w:t xml:space="preserve"> </w:t>
      </w:r>
      <w:r w:rsidRPr="008F1E62">
        <w:rPr>
          <w:rFonts w:asciiTheme="minorHAnsi" w:hAnsiTheme="minorHAnsi" w:cs="Arial"/>
        </w:rPr>
        <w:t>to be used in all national government agencies effective January 1, 2002</w:t>
      </w:r>
      <w:r w:rsidR="00620684" w:rsidRPr="008F1E62">
        <w:rPr>
          <w:rStyle w:val="FootnoteReference"/>
          <w:rFonts w:asciiTheme="minorHAnsi" w:hAnsiTheme="minorHAnsi" w:cs="Arial"/>
        </w:rPr>
        <w:footnoteReference w:id="70"/>
      </w:r>
      <w:r w:rsidRPr="008F1E62">
        <w:rPr>
          <w:rFonts w:asciiTheme="minorHAnsi" w:hAnsiTheme="minorHAnsi" w:cs="Arial"/>
        </w:rPr>
        <w:t xml:space="preserve">.  </w:t>
      </w:r>
      <w:r w:rsidR="00620684" w:rsidRPr="008F1E62">
        <w:rPr>
          <w:rFonts w:asciiTheme="minorHAnsi" w:hAnsiTheme="minorHAnsi" w:cs="Arial"/>
        </w:rPr>
        <w:t xml:space="preserve"> </w:t>
      </w:r>
      <w:r w:rsidRPr="008F1E62">
        <w:rPr>
          <w:rFonts w:asciiTheme="minorHAnsi" w:hAnsiTheme="minorHAnsi" w:cs="Arial"/>
        </w:rPr>
        <w:t xml:space="preserve">PPSAS was </w:t>
      </w:r>
      <w:r w:rsidR="00620684" w:rsidRPr="008F1E62">
        <w:rPr>
          <w:rFonts w:asciiTheme="minorHAnsi" w:hAnsiTheme="minorHAnsi" w:cs="Arial"/>
        </w:rPr>
        <w:t xml:space="preserve">subsequently </w:t>
      </w:r>
      <w:r w:rsidRPr="008F1E62">
        <w:rPr>
          <w:rFonts w:asciiTheme="minorHAnsi" w:hAnsiTheme="minorHAnsi" w:cs="Arial"/>
        </w:rPr>
        <w:t xml:space="preserve">prescribed for use </w:t>
      </w:r>
      <w:r w:rsidR="00245EA1" w:rsidRPr="008F1E62">
        <w:rPr>
          <w:rFonts w:asciiTheme="minorHAnsi" w:hAnsiTheme="minorHAnsi" w:cs="Arial"/>
        </w:rPr>
        <w:t xml:space="preserve">by certain national government agencies, further defined below, </w:t>
      </w:r>
      <w:r w:rsidR="00620684" w:rsidRPr="008F1E62">
        <w:rPr>
          <w:rFonts w:asciiTheme="minorHAnsi" w:hAnsiTheme="minorHAnsi" w:cs="Arial"/>
        </w:rPr>
        <w:t>effective January 1, 2016.</w:t>
      </w:r>
      <w:r w:rsidR="00620684" w:rsidRPr="008F1E62">
        <w:rPr>
          <w:rStyle w:val="FootnoteReference"/>
          <w:rFonts w:asciiTheme="minorHAnsi" w:hAnsiTheme="minorHAnsi" w:cs="Arial"/>
        </w:rPr>
        <w:footnoteReference w:id="71"/>
      </w:r>
      <w:r w:rsidRPr="008F1E62">
        <w:rPr>
          <w:rFonts w:asciiTheme="minorHAnsi" w:hAnsiTheme="minorHAnsi" w:cs="Arial"/>
        </w:rPr>
        <w:t xml:space="preserve">.     </w:t>
      </w:r>
    </w:p>
    <w:p w14:paraId="50D85E9F" w14:textId="77777777" w:rsidR="00F76E53" w:rsidRPr="008F1E62" w:rsidDel="4F6DE8E9" w:rsidRDefault="00FE4574" w:rsidP="009315BA">
      <w:pPr>
        <w:pStyle w:val="BodyText4"/>
        <w:numPr>
          <w:ilvl w:val="0"/>
          <w:numId w:val="2"/>
        </w:numPr>
        <w:spacing w:after="200" w:line="276" w:lineRule="auto"/>
        <w:ind w:left="0" w:hanging="567"/>
        <w:rPr>
          <w:rFonts w:asciiTheme="minorHAnsi" w:hAnsiTheme="minorHAnsi" w:cs="Arial"/>
        </w:rPr>
      </w:pPr>
      <w:r>
        <w:rPr>
          <w:rFonts w:asciiTheme="minorHAnsi" w:hAnsiTheme="minorHAnsi"/>
          <w:b/>
          <w:bCs/>
        </w:rPr>
        <w:t xml:space="preserve">The </w:t>
      </w:r>
      <w:r w:rsidR="00F76E53" w:rsidRPr="008F1E62">
        <w:rPr>
          <w:rFonts w:asciiTheme="minorHAnsi" w:hAnsiTheme="minorHAnsi"/>
          <w:b/>
          <w:bCs/>
        </w:rPr>
        <w:t xml:space="preserve">COA has </w:t>
      </w:r>
      <w:r w:rsidR="00F76E53" w:rsidRPr="008F1E62">
        <w:rPr>
          <w:rFonts w:asciiTheme="minorHAnsi" w:hAnsiTheme="minorHAnsi" w:cs="Arial"/>
          <w:b/>
          <w:bCs/>
        </w:rPr>
        <w:t xml:space="preserve">classified </w:t>
      </w:r>
      <w:r w:rsidR="00F76E53" w:rsidRPr="008F1E62">
        <w:rPr>
          <w:rFonts w:ascii="Calibri" w:hAnsi="Calibri"/>
          <w:b/>
          <w:bCs/>
        </w:rPr>
        <w:t>government</w:t>
      </w:r>
      <w:r w:rsidR="00F76E53" w:rsidRPr="008F1E62">
        <w:rPr>
          <w:rFonts w:asciiTheme="minorHAnsi" w:hAnsiTheme="minorHAnsi" w:cs="Arial"/>
          <w:b/>
          <w:bCs/>
        </w:rPr>
        <w:t xml:space="preserve"> corporations </w:t>
      </w:r>
      <w:proofErr w:type="gramStart"/>
      <w:r w:rsidR="00F76E53" w:rsidRPr="008F1E62">
        <w:rPr>
          <w:rFonts w:asciiTheme="minorHAnsi" w:hAnsiTheme="minorHAnsi" w:cs="Arial"/>
          <w:b/>
          <w:bCs/>
        </w:rPr>
        <w:t>for the purpose of</w:t>
      </w:r>
      <w:proofErr w:type="gramEnd"/>
      <w:r w:rsidR="00F76E53" w:rsidRPr="008F1E62">
        <w:rPr>
          <w:rFonts w:asciiTheme="minorHAnsi" w:hAnsiTheme="minorHAnsi" w:cs="Arial"/>
          <w:b/>
          <w:bCs/>
        </w:rPr>
        <w:t xml:space="preserve"> determining the applicable financial reporting framework in the preparation of their financial statements.</w:t>
      </w:r>
      <w:r w:rsidR="00F76E53" w:rsidRPr="008F1E62">
        <w:rPr>
          <w:rFonts w:asciiTheme="minorHAnsi" w:hAnsiTheme="minorHAnsi" w:cs="Arial"/>
        </w:rPr>
        <w:t xml:space="preserve"> COA Circular No. 2015-003 dated April 16, 2015</w:t>
      </w:r>
      <w:r w:rsidR="00413ED7">
        <w:rPr>
          <w:rFonts w:asciiTheme="minorHAnsi" w:hAnsiTheme="minorHAnsi" w:cs="Arial"/>
        </w:rPr>
        <w:t>,</w:t>
      </w:r>
      <w:r w:rsidR="00F76E53" w:rsidRPr="008F1E62">
        <w:rPr>
          <w:rFonts w:asciiTheme="minorHAnsi" w:hAnsiTheme="minorHAnsi"/>
        </w:rPr>
        <w:t xml:space="preserve"> </w:t>
      </w:r>
      <w:r w:rsidR="00F76E53" w:rsidRPr="008F1E62">
        <w:rPr>
          <w:rFonts w:asciiTheme="minorHAnsi" w:hAnsiTheme="minorHAnsi" w:cs="Arial"/>
        </w:rPr>
        <w:t xml:space="preserve">defined and identified government corporations and other entities/instrumentalities with corporate powers as </w:t>
      </w:r>
      <w:r w:rsidR="00D306F2">
        <w:rPr>
          <w:rFonts w:asciiTheme="minorHAnsi" w:hAnsiTheme="minorHAnsi" w:cs="Arial"/>
        </w:rPr>
        <w:t xml:space="preserve">either </w:t>
      </w:r>
      <w:r w:rsidR="00281622" w:rsidRPr="008F1E62">
        <w:rPr>
          <w:rFonts w:asciiTheme="minorHAnsi" w:hAnsiTheme="minorHAnsi" w:cs="Arial"/>
        </w:rPr>
        <w:t xml:space="preserve">government </w:t>
      </w:r>
      <w:r w:rsidR="00281622">
        <w:rPr>
          <w:rFonts w:asciiTheme="minorHAnsi" w:hAnsiTheme="minorHAnsi" w:cs="Arial"/>
        </w:rPr>
        <w:t xml:space="preserve">or non-government </w:t>
      </w:r>
      <w:r w:rsidR="00281622" w:rsidRPr="008F1E62">
        <w:rPr>
          <w:rFonts w:asciiTheme="minorHAnsi" w:hAnsiTheme="minorHAnsi" w:cs="Arial"/>
        </w:rPr>
        <w:t>business enterprises</w:t>
      </w:r>
      <w:r w:rsidR="00F76E53" w:rsidRPr="008F1E62">
        <w:rPr>
          <w:rFonts w:asciiTheme="minorHAnsi" w:hAnsiTheme="minorHAnsi" w:cs="Arial"/>
        </w:rPr>
        <w:t xml:space="preserve">. A total of 98 government corporations plus all </w:t>
      </w:r>
      <w:r w:rsidR="00924D26" w:rsidRPr="00924D26">
        <w:rPr>
          <w:rFonts w:asciiTheme="minorHAnsi" w:hAnsiTheme="minorHAnsi" w:cs="Arial"/>
        </w:rPr>
        <w:t xml:space="preserve">water districts </w:t>
      </w:r>
      <w:r w:rsidR="00F76E53" w:rsidRPr="008F1E62">
        <w:rPr>
          <w:rFonts w:asciiTheme="minorHAnsi" w:hAnsiTheme="minorHAnsi" w:cs="Arial"/>
        </w:rPr>
        <w:t xml:space="preserve">(numbering to 507 operating nationwide in CY 2015) were classified </w:t>
      </w:r>
      <w:r w:rsidR="00F76E53" w:rsidRPr="008F1E62">
        <w:rPr>
          <w:rFonts w:asciiTheme="minorHAnsi" w:hAnsiTheme="minorHAnsi"/>
        </w:rPr>
        <w:t>as</w:t>
      </w:r>
      <w:r w:rsidR="00F76E53" w:rsidRPr="008F1E62">
        <w:rPr>
          <w:rFonts w:asciiTheme="minorHAnsi" w:hAnsiTheme="minorHAnsi" w:cs="Arial"/>
        </w:rPr>
        <w:t xml:space="preserve"> </w:t>
      </w:r>
      <w:r w:rsidR="00281622">
        <w:rPr>
          <w:rFonts w:asciiTheme="minorHAnsi" w:hAnsiTheme="minorHAnsi" w:cs="Arial"/>
        </w:rPr>
        <w:t>government business enterprises</w:t>
      </w:r>
      <w:r w:rsidR="00F97887">
        <w:rPr>
          <w:rFonts w:asciiTheme="minorHAnsi" w:hAnsiTheme="minorHAnsi" w:cs="Arial"/>
        </w:rPr>
        <w:t>, and</w:t>
      </w:r>
      <w:r w:rsidR="00245EA1" w:rsidRPr="008F1E62">
        <w:rPr>
          <w:rFonts w:asciiTheme="minorHAnsi" w:hAnsiTheme="minorHAnsi" w:cs="Arial"/>
        </w:rPr>
        <w:t xml:space="preserve"> must</w:t>
      </w:r>
      <w:r w:rsidR="00F76E53" w:rsidRPr="008F1E62">
        <w:rPr>
          <w:rFonts w:asciiTheme="minorHAnsi" w:hAnsiTheme="minorHAnsi" w:cs="Arial"/>
        </w:rPr>
        <w:t xml:space="preserve"> apply PFRS. Government corporations categorized as small and medium enterprises (SMEs) may adopt PFRS for SMEs pursuant to SEC Notice dated December 11, 2009.</w:t>
      </w:r>
      <w:r w:rsidR="00245EA1" w:rsidRPr="008F1E62">
        <w:rPr>
          <w:rFonts w:asciiTheme="minorHAnsi" w:hAnsiTheme="minorHAnsi" w:cs="Arial"/>
        </w:rPr>
        <w:t xml:space="preserve"> Non-</w:t>
      </w:r>
      <w:r w:rsidR="00F97887" w:rsidRPr="00F97887">
        <w:rPr>
          <w:rFonts w:asciiTheme="minorHAnsi" w:hAnsiTheme="minorHAnsi" w:cs="Arial"/>
        </w:rPr>
        <w:t>government business enterprises</w:t>
      </w:r>
      <w:r w:rsidR="00F97887" w:rsidRPr="00F97887" w:rsidDel="00F97887">
        <w:rPr>
          <w:rFonts w:asciiTheme="minorHAnsi" w:hAnsiTheme="minorHAnsi" w:cs="Arial"/>
        </w:rPr>
        <w:t xml:space="preserve"> </w:t>
      </w:r>
      <w:r w:rsidR="00245EA1" w:rsidRPr="008F1E62">
        <w:rPr>
          <w:rFonts w:asciiTheme="minorHAnsi" w:hAnsiTheme="minorHAnsi" w:cs="Arial"/>
        </w:rPr>
        <w:t>must complete financial reporting in accordance with PPSAS.</w:t>
      </w:r>
    </w:p>
    <w:p w14:paraId="17B2D45A" w14:textId="77777777"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cs="Arial"/>
          <w:b/>
          <w:bCs/>
        </w:rPr>
        <w:t xml:space="preserve">All </w:t>
      </w:r>
      <w:r w:rsidR="0063286F" w:rsidRPr="0063286F">
        <w:rPr>
          <w:rFonts w:asciiTheme="minorHAnsi" w:hAnsiTheme="minorHAnsi" w:cs="Arial"/>
          <w:b/>
          <w:bCs/>
        </w:rPr>
        <w:t>government business enterprises</w:t>
      </w:r>
      <w:r w:rsidR="0063286F" w:rsidRPr="0063286F" w:rsidDel="0063286F">
        <w:rPr>
          <w:rFonts w:asciiTheme="minorHAnsi" w:hAnsiTheme="minorHAnsi" w:cs="Arial"/>
          <w:b/>
          <w:bCs/>
        </w:rPr>
        <w:t xml:space="preserve"> </w:t>
      </w:r>
      <w:r w:rsidRPr="008F1E62">
        <w:rPr>
          <w:rFonts w:asciiTheme="minorHAnsi" w:hAnsiTheme="minorHAnsi" w:cs="Arial"/>
          <w:b/>
          <w:bCs/>
        </w:rPr>
        <w:t>were required to adopt PFRS</w:t>
      </w:r>
      <w:r w:rsidR="00245EA1" w:rsidRPr="008F1E62">
        <w:rPr>
          <w:rFonts w:asciiTheme="minorHAnsi" w:hAnsiTheme="minorHAnsi" w:cs="Arial"/>
          <w:b/>
          <w:bCs/>
        </w:rPr>
        <w:t>, and non-</w:t>
      </w:r>
      <w:r w:rsidR="00983CA7" w:rsidRPr="00983CA7">
        <w:t xml:space="preserve"> </w:t>
      </w:r>
      <w:r w:rsidR="00983CA7" w:rsidRPr="00983CA7">
        <w:rPr>
          <w:rFonts w:asciiTheme="minorHAnsi" w:hAnsiTheme="minorHAnsi" w:cs="Arial"/>
          <w:b/>
          <w:bCs/>
        </w:rPr>
        <w:t>government business enterprises</w:t>
      </w:r>
      <w:r w:rsidR="00983CA7" w:rsidRPr="00983CA7" w:rsidDel="00983CA7">
        <w:rPr>
          <w:rFonts w:asciiTheme="minorHAnsi" w:hAnsiTheme="minorHAnsi" w:cs="Arial"/>
          <w:b/>
          <w:bCs/>
        </w:rPr>
        <w:t xml:space="preserve"> </w:t>
      </w:r>
      <w:r w:rsidR="00245EA1" w:rsidRPr="008F1E62">
        <w:rPr>
          <w:rFonts w:asciiTheme="minorHAnsi" w:hAnsiTheme="minorHAnsi" w:cs="Arial"/>
          <w:b/>
          <w:bCs/>
        </w:rPr>
        <w:t xml:space="preserve">were required to adopt PPSAS, </w:t>
      </w:r>
      <w:r w:rsidRPr="008F1E62">
        <w:rPr>
          <w:rFonts w:asciiTheme="minorHAnsi" w:hAnsiTheme="minorHAnsi" w:cs="Arial"/>
          <w:b/>
          <w:bCs/>
        </w:rPr>
        <w:t xml:space="preserve">beginning </w:t>
      </w:r>
      <w:r w:rsidR="002F3249" w:rsidRPr="008F1E62">
        <w:rPr>
          <w:rFonts w:asciiTheme="minorHAnsi" w:hAnsiTheme="minorHAnsi" w:cs="Arial"/>
          <w:b/>
          <w:bCs/>
        </w:rPr>
        <w:t xml:space="preserve">January 1, </w:t>
      </w:r>
      <w:r w:rsidRPr="008F1E62">
        <w:rPr>
          <w:rFonts w:asciiTheme="minorHAnsi" w:hAnsiTheme="minorHAnsi" w:cs="Arial"/>
          <w:b/>
          <w:bCs/>
        </w:rPr>
        <w:t>2016.</w:t>
      </w:r>
      <w:r w:rsidRPr="008F1E62">
        <w:rPr>
          <w:rFonts w:asciiTheme="minorHAnsi" w:hAnsiTheme="minorHAnsi" w:cs="Arial"/>
        </w:rPr>
        <w:t xml:space="preserve"> It is noted that government financial institutions that are under the supervision of the BSP, and other government corporations registered under the SEC</w:t>
      </w:r>
      <w:r w:rsidR="009B4B3E">
        <w:rPr>
          <w:rFonts w:asciiTheme="minorHAnsi" w:hAnsiTheme="minorHAnsi" w:cs="Arial"/>
        </w:rPr>
        <w:t>,</w:t>
      </w:r>
      <w:r w:rsidRPr="008F1E62">
        <w:rPr>
          <w:rFonts w:asciiTheme="minorHAnsi" w:hAnsiTheme="minorHAnsi" w:cs="Arial"/>
        </w:rPr>
        <w:t xml:space="preserve"> adopted the PFRS </w:t>
      </w:r>
      <w:r w:rsidR="00E013FF" w:rsidRPr="008F1E62">
        <w:rPr>
          <w:rFonts w:asciiTheme="minorHAnsi" w:hAnsiTheme="minorHAnsi" w:cs="Arial"/>
        </w:rPr>
        <w:t xml:space="preserve">in </w:t>
      </w:r>
      <w:r w:rsidRPr="008F1E62">
        <w:rPr>
          <w:rFonts w:asciiTheme="minorHAnsi" w:hAnsiTheme="minorHAnsi" w:cs="Arial"/>
        </w:rPr>
        <w:t>2005. As of CY 2015, 41 of the 98 regular GOCCs</w:t>
      </w:r>
      <w:r w:rsidRPr="008F1E62">
        <w:rPr>
          <w:rStyle w:val="FootnoteReference"/>
          <w:rFonts w:asciiTheme="minorHAnsi" w:hAnsiTheme="minorHAnsi" w:cs="Arial"/>
        </w:rPr>
        <w:footnoteReference w:id="72"/>
      </w:r>
      <w:r w:rsidRPr="008F1E62">
        <w:rPr>
          <w:rFonts w:asciiTheme="minorHAnsi" w:hAnsiTheme="minorHAnsi" w:cs="Arial"/>
        </w:rPr>
        <w:t xml:space="preserve"> identified by the COA as </w:t>
      </w:r>
      <w:r w:rsidR="009B4B3E" w:rsidRPr="009B4B3E">
        <w:rPr>
          <w:rFonts w:asciiTheme="minorHAnsi" w:hAnsiTheme="minorHAnsi" w:cs="Arial"/>
        </w:rPr>
        <w:t xml:space="preserve">government </w:t>
      </w:r>
      <w:r w:rsidR="00B3455C" w:rsidRPr="00B3455C">
        <w:rPr>
          <w:rFonts w:asciiTheme="minorHAnsi" w:hAnsiTheme="minorHAnsi" w:cs="Arial"/>
        </w:rPr>
        <w:t xml:space="preserve">business enterprises </w:t>
      </w:r>
      <w:r w:rsidRPr="008F1E62">
        <w:rPr>
          <w:rFonts w:asciiTheme="minorHAnsi" w:hAnsiTheme="minorHAnsi" w:cs="Arial"/>
        </w:rPr>
        <w:t xml:space="preserve">have been reporting under PFRS, while the other 57 regular GOCCs plus </w:t>
      </w:r>
      <w:r w:rsidR="00B3455C">
        <w:rPr>
          <w:rFonts w:asciiTheme="minorHAnsi" w:hAnsiTheme="minorHAnsi" w:cs="Arial"/>
        </w:rPr>
        <w:t>most</w:t>
      </w:r>
      <w:r w:rsidR="00B3455C" w:rsidRPr="008F1E62">
        <w:rPr>
          <w:rFonts w:asciiTheme="minorHAnsi" w:hAnsiTheme="minorHAnsi" w:cs="Arial"/>
        </w:rPr>
        <w:t xml:space="preserve"> </w:t>
      </w:r>
      <w:r w:rsidRPr="008F1E62">
        <w:rPr>
          <w:rFonts w:asciiTheme="minorHAnsi" w:hAnsiTheme="minorHAnsi" w:cs="Arial"/>
        </w:rPr>
        <w:t xml:space="preserve">of the </w:t>
      </w:r>
      <w:r w:rsidR="00924D26" w:rsidRPr="00924D26">
        <w:rPr>
          <w:rFonts w:asciiTheme="minorHAnsi" w:hAnsiTheme="minorHAnsi" w:cs="Arial"/>
        </w:rPr>
        <w:t xml:space="preserve">water districts </w:t>
      </w:r>
      <w:r w:rsidRPr="008F1E62">
        <w:rPr>
          <w:rFonts w:asciiTheme="minorHAnsi" w:hAnsiTheme="minorHAnsi" w:cs="Arial"/>
        </w:rPr>
        <w:t>are expected to implement first-time adoption of PFRS in its CY</w:t>
      </w:r>
      <w:r w:rsidR="00B3455C">
        <w:rPr>
          <w:rFonts w:asciiTheme="minorHAnsi" w:hAnsiTheme="minorHAnsi" w:cs="Arial"/>
        </w:rPr>
        <w:t xml:space="preserve"> </w:t>
      </w:r>
      <w:r w:rsidRPr="008F1E62">
        <w:rPr>
          <w:rFonts w:asciiTheme="minorHAnsi" w:hAnsiTheme="minorHAnsi" w:cs="Arial"/>
        </w:rPr>
        <w:t xml:space="preserve">2016 financial statements. </w:t>
      </w:r>
      <w:proofErr w:type="gramStart"/>
      <w:r w:rsidR="00245EA1" w:rsidRPr="008F1E62">
        <w:rPr>
          <w:rFonts w:asciiTheme="minorHAnsi" w:hAnsiTheme="minorHAnsi" w:cs="Arial"/>
        </w:rPr>
        <w:t>A number of</w:t>
      </w:r>
      <w:proofErr w:type="gramEnd"/>
      <w:r w:rsidR="00245EA1" w:rsidRPr="008F1E62">
        <w:rPr>
          <w:rFonts w:asciiTheme="minorHAnsi" w:hAnsiTheme="minorHAnsi" w:cs="Arial"/>
        </w:rPr>
        <w:t xml:space="preserve"> GOCCs </w:t>
      </w:r>
      <w:r w:rsidR="00BA72F6">
        <w:rPr>
          <w:rFonts w:asciiTheme="minorHAnsi" w:hAnsiTheme="minorHAnsi" w:cs="Arial"/>
        </w:rPr>
        <w:t>asked</w:t>
      </w:r>
      <w:r w:rsidR="00BA72F6" w:rsidRPr="008F1E62">
        <w:rPr>
          <w:rFonts w:asciiTheme="minorHAnsi" w:hAnsiTheme="minorHAnsi" w:cs="Arial"/>
        </w:rPr>
        <w:t xml:space="preserve"> </w:t>
      </w:r>
      <w:r w:rsidR="00245EA1" w:rsidRPr="008F1E62">
        <w:rPr>
          <w:rFonts w:asciiTheme="minorHAnsi" w:hAnsiTheme="minorHAnsi" w:cs="Arial"/>
        </w:rPr>
        <w:t xml:space="preserve">to defer adoption of </w:t>
      </w:r>
      <w:r w:rsidR="00E013FF" w:rsidRPr="008F1E62">
        <w:rPr>
          <w:rFonts w:asciiTheme="minorHAnsi" w:hAnsiTheme="minorHAnsi" w:cs="Arial"/>
        </w:rPr>
        <w:t>PFRS and PPSAS</w:t>
      </w:r>
      <w:r w:rsidR="00245EA1" w:rsidRPr="008F1E62">
        <w:rPr>
          <w:rFonts w:asciiTheme="minorHAnsi" w:hAnsiTheme="minorHAnsi" w:cs="Arial"/>
        </w:rPr>
        <w:t xml:space="preserve"> until January 1, 2017.</w:t>
      </w:r>
    </w:p>
    <w:p w14:paraId="42894B53" w14:textId="77777777" w:rsidR="00F76E53" w:rsidRPr="008F1E62" w:rsidRDefault="00F76E53" w:rsidP="009315BA">
      <w:pPr>
        <w:pStyle w:val="BodyText4"/>
        <w:numPr>
          <w:ilvl w:val="0"/>
          <w:numId w:val="2"/>
        </w:numPr>
        <w:spacing w:after="200" w:line="276" w:lineRule="auto"/>
        <w:ind w:left="0" w:hanging="567"/>
        <w:rPr>
          <w:rFonts w:asciiTheme="minorHAnsi" w:eastAsiaTheme="minorEastAsia" w:hAnsiTheme="minorHAnsi"/>
        </w:rPr>
      </w:pPr>
      <w:r w:rsidRPr="008F1E62">
        <w:rPr>
          <w:rFonts w:asciiTheme="minorHAnsi" w:eastAsiaTheme="minorEastAsia" w:hAnsiTheme="minorHAnsi"/>
          <w:b/>
          <w:bCs/>
        </w:rPr>
        <w:t xml:space="preserve">The COA </w:t>
      </w:r>
      <w:r w:rsidR="00BC641A" w:rsidRPr="009315BA">
        <w:rPr>
          <w:rFonts w:asciiTheme="minorHAnsi" w:hAnsiTheme="minorHAnsi"/>
          <w:b/>
        </w:rPr>
        <w:t>requires</w:t>
      </w:r>
      <w:r w:rsidR="00BC641A" w:rsidRPr="008F1E62">
        <w:rPr>
          <w:rFonts w:asciiTheme="minorHAnsi" w:eastAsiaTheme="minorEastAsia" w:hAnsiTheme="minorHAnsi"/>
          <w:b/>
          <w:bCs/>
        </w:rPr>
        <w:t xml:space="preserve"> all government corporations </w:t>
      </w:r>
      <w:r w:rsidRPr="008F1E62">
        <w:rPr>
          <w:rFonts w:asciiTheme="minorHAnsi" w:eastAsiaTheme="minorEastAsia" w:hAnsiTheme="minorHAnsi"/>
          <w:b/>
          <w:bCs/>
        </w:rPr>
        <w:t>t</w:t>
      </w:r>
      <w:r w:rsidR="00BC641A">
        <w:rPr>
          <w:rFonts w:asciiTheme="minorHAnsi" w:eastAsiaTheme="minorEastAsia" w:hAnsiTheme="minorHAnsi"/>
          <w:b/>
          <w:bCs/>
        </w:rPr>
        <w:t>o</w:t>
      </w:r>
      <w:r w:rsidRPr="008F1E62">
        <w:rPr>
          <w:rFonts w:asciiTheme="minorHAnsi" w:eastAsiaTheme="minorEastAsia" w:hAnsiTheme="minorHAnsi"/>
          <w:b/>
          <w:bCs/>
        </w:rPr>
        <w:t xml:space="preserve"> use </w:t>
      </w:r>
      <w:r w:rsidRPr="008F1E62">
        <w:rPr>
          <w:rFonts w:asciiTheme="minorHAnsi" w:hAnsiTheme="minorHAnsi"/>
          <w:b/>
          <w:bCs/>
        </w:rPr>
        <w:t>the</w:t>
      </w:r>
      <w:r w:rsidRPr="008F1E62">
        <w:rPr>
          <w:rFonts w:asciiTheme="minorHAnsi" w:eastAsiaTheme="minorEastAsia" w:hAnsiTheme="minorHAnsi"/>
          <w:b/>
          <w:bCs/>
        </w:rPr>
        <w:t xml:space="preserve"> </w:t>
      </w:r>
      <w:r w:rsidR="00D14D1F" w:rsidRPr="008F1E62">
        <w:rPr>
          <w:rFonts w:asciiTheme="minorHAnsi" w:hAnsiTheme="minorHAnsi"/>
          <w:b/>
          <w:bCs/>
        </w:rPr>
        <w:t>Revised</w:t>
      </w:r>
      <w:r w:rsidR="00D14D1F" w:rsidRPr="008F1E62">
        <w:rPr>
          <w:rFonts w:asciiTheme="minorHAnsi" w:eastAsiaTheme="minorEastAsia" w:hAnsiTheme="minorHAnsi"/>
          <w:b/>
          <w:bCs/>
        </w:rPr>
        <w:t xml:space="preserve"> Chart of Accounts </w:t>
      </w:r>
      <w:r w:rsidR="0061773B">
        <w:rPr>
          <w:rFonts w:asciiTheme="minorHAnsi" w:eastAsiaTheme="minorEastAsia" w:hAnsiTheme="minorHAnsi"/>
          <w:b/>
          <w:bCs/>
        </w:rPr>
        <w:t>since</w:t>
      </w:r>
      <w:r w:rsidRPr="008F1E62">
        <w:rPr>
          <w:rFonts w:asciiTheme="minorHAnsi" w:eastAsiaTheme="minorEastAsia" w:hAnsiTheme="minorHAnsi"/>
          <w:b/>
          <w:bCs/>
        </w:rPr>
        <w:t xml:space="preserve"> January 1, </w:t>
      </w:r>
      <w:r w:rsidRPr="008F1E62">
        <w:rPr>
          <w:rFonts w:asciiTheme="minorHAnsi" w:hAnsiTheme="minorHAnsi"/>
          <w:b/>
          <w:bCs/>
        </w:rPr>
        <w:t>2016</w:t>
      </w:r>
      <w:r w:rsidRPr="008F1E62">
        <w:rPr>
          <w:rFonts w:asciiTheme="minorHAnsi" w:eastAsiaTheme="minorEastAsia" w:hAnsiTheme="minorHAnsi"/>
          <w:b/>
          <w:bCs/>
        </w:rPr>
        <w:t>.</w:t>
      </w:r>
      <w:r w:rsidRPr="008F1E62">
        <w:rPr>
          <w:rFonts w:asciiTheme="minorHAnsi" w:eastAsiaTheme="minorEastAsia" w:hAnsiTheme="minorHAnsi"/>
        </w:rPr>
        <w:t xml:space="preserve"> Guidance and procedures on conversion from the Philippine Government Chart of Account to the </w:t>
      </w:r>
      <w:r w:rsidR="00D14D1F" w:rsidRPr="00CC05AA">
        <w:rPr>
          <w:rFonts w:asciiTheme="minorHAnsi" w:eastAsiaTheme="minorEastAsia" w:hAnsiTheme="minorHAnsi"/>
        </w:rPr>
        <w:t xml:space="preserve">Revised Chart of Accounts </w:t>
      </w:r>
      <w:r w:rsidRPr="008F1E62">
        <w:rPr>
          <w:rFonts w:asciiTheme="minorHAnsi" w:eastAsiaTheme="minorEastAsia" w:hAnsiTheme="minorHAnsi"/>
        </w:rPr>
        <w:t xml:space="preserve">were provided under COA Circular 2016-006 dated December 29, 2016. </w:t>
      </w:r>
      <w:r w:rsidR="00E013FF" w:rsidRPr="008F1E62">
        <w:rPr>
          <w:rFonts w:asciiTheme="minorHAnsi" w:eastAsiaTheme="minorEastAsia" w:hAnsiTheme="minorHAnsi"/>
        </w:rPr>
        <w:t>Pursuant to this</w:t>
      </w:r>
      <w:r w:rsidRPr="008F1E62">
        <w:rPr>
          <w:rFonts w:asciiTheme="minorHAnsi" w:eastAsiaTheme="minorEastAsia" w:hAnsiTheme="minorHAnsi"/>
        </w:rPr>
        <w:t xml:space="preserve"> circular, an entity’s first PFRS financial statements will include </w:t>
      </w:r>
      <w:r w:rsidR="0098545E">
        <w:rPr>
          <w:rFonts w:asciiTheme="minorHAnsi" w:eastAsiaTheme="minorEastAsia" w:hAnsiTheme="minorHAnsi"/>
        </w:rPr>
        <w:t>a minimum of</w:t>
      </w:r>
      <w:r w:rsidRPr="008F1E62">
        <w:rPr>
          <w:rFonts w:asciiTheme="minorHAnsi" w:eastAsiaTheme="minorEastAsia" w:hAnsiTheme="minorHAnsi"/>
        </w:rPr>
        <w:t xml:space="preserve"> the </w:t>
      </w:r>
      <w:r w:rsidR="0098545E" w:rsidRPr="008F1E62">
        <w:rPr>
          <w:rFonts w:asciiTheme="minorHAnsi" w:eastAsiaTheme="minorEastAsia" w:hAnsiTheme="minorHAnsi"/>
        </w:rPr>
        <w:t xml:space="preserve">statements </w:t>
      </w:r>
      <w:r w:rsidRPr="008F1E62">
        <w:rPr>
          <w:rFonts w:asciiTheme="minorHAnsi" w:eastAsiaTheme="minorEastAsia" w:hAnsiTheme="minorHAnsi"/>
        </w:rPr>
        <w:t>of financial position as at December 31, 2016, December 31, 2015</w:t>
      </w:r>
      <w:r w:rsidR="00547709">
        <w:rPr>
          <w:rFonts w:asciiTheme="minorHAnsi" w:eastAsiaTheme="minorEastAsia" w:hAnsiTheme="minorHAnsi"/>
        </w:rPr>
        <w:t>,</w:t>
      </w:r>
      <w:r w:rsidRPr="008F1E62">
        <w:rPr>
          <w:rFonts w:asciiTheme="minorHAnsi" w:eastAsiaTheme="minorEastAsia" w:hAnsiTheme="minorHAnsi"/>
        </w:rPr>
        <w:t xml:space="preserve"> and January 1, 2015; </w:t>
      </w:r>
      <w:r w:rsidR="00547709" w:rsidRPr="008F1E62">
        <w:rPr>
          <w:rFonts w:asciiTheme="minorHAnsi" w:eastAsiaTheme="minorEastAsia" w:hAnsiTheme="minorHAnsi"/>
        </w:rPr>
        <w:t xml:space="preserve">statements </w:t>
      </w:r>
      <w:r w:rsidRPr="008F1E62">
        <w:rPr>
          <w:rFonts w:asciiTheme="minorHAnsi" w:eastAsiaTheme="minorEastAsia" w:hAnsiTheme="minorHAnsi"/>
        </w:rPr>
        <w:t xml:space="preserve">of comprehensive income, cash flows, and changes in equity for the years ended December 31, 2016 and 2015; and </w:t>
      </w:r>
      <w:r w:rsidR="00E013FF" w:rsidRPr="008F1E62">
        <w:rPr>
          <w:rFonts w:asciiTheme="minorHAnsi" w:eastAsiaTheme="minorEastAsia" w:hAnsiTheme="minorHAnsi"/>
        </w:rPr>
        <w:t>r</w:t>
      </w:r>
      <w:r w:rsidRPr="008F1E62">
        <w:rPr>
          <w:rFonts w:asciiTheme="minorHAnsi" w:eastAsiaTheme="minorEastAsia" w:hAnsiTheme="minorHAnsi"/>
        </w:rPr>
        <w:t xml:space="preserve">elated notes, including comparative information. </w:t>
      </w:r>
    </w:p>
    <w:p w14:paraId="281B85B2" w14:textId="60C6A1BD" w:rsidR="00F76E53" w:rsidRPr="008F1E62" w:rsidRDefault="00F76E53" w:rsidP="009315BA">
      <w:pPr>
        <w:pStyle w:val="BodyText4"/>
        <w:numPr>
          <w:ilvl w:val="0"/>
          <w:numId w:val="2"/>
        </w:numPr>
        <w:spacing w:after="200" w:line="276" w:lineRule="auto"/>
        <w:ind w:left="0" w:hanging="567"/>
        <w:rPr>
          <w:rFonts w:asciiTheme="minorHAnsi" w:hAnsiTheme="minorHAnsi" w:cs="Arial"/>
        </w:rPr>
      </w:pPr>
      <w:r w:rsidRPr="008F1E62">
        <w:rPr>
          <w:rFonts w:asciiTheme="minorHAnsi" w:hAnsiTheme="minorHAnsi"/>
          <w:b/>
          <w:bCs/>
        </w:rPr>
        <w:t xml:space="preserve">The COA is mandated under Article IX-D of the Philippine Constitution to audit all government </w:t>
      </w:r>
      <w:r w:rsidRPr="009315BA">
        <w:rPr>
          <w:rFonts w:asciiTheme="minorHAnsi" w:hAnsiTheme="minorHAnsi"/>
          <w:b/>
        </w:rPr>
        <w:t>agencies</w:t>
      </w:r>
      <w:r w:rsidRPr="008F1E62">
        <w:rPr>
          <w:rFonts w:asciiTheme="minorHAnsi" w:hAnsiTheme="minorHAnsi"/>
          <w:b/>
          <w:bCs/>
        </w:rPr>
        <w:t xml:space="preserve"> or entities; and to submit </w:t>
      </w:r>
      <w:r w:rsidRPr="008F1E62">
        <w:rPr>
          <w:rFonts w:asciiTheme="minorHAnsi" w:hAnsiTheme="minorHAnsi" w:cs="Arial"/>
          <w:b/>
          <w:bCs/>
        </w:rPr>
        <w:t xml:space="preserve">to the President and the Congress an annual report covering </w:t>
      </w:r>
      <w:r w:rsidRPr="008F1E62">
        <w:rPr>
          <w:rFonts w:ascii="Calibri" w:hAnsi="Calibri"/>
          <w:b/>
          <w:bCs/>
        </w:rPr>
        <w:t>the</w:t>
      </w:r>
      <w:r w:rsidRPr="008F1E62">
        <w:rPr>
          <w:rFonts w:asciiTheme="minorHAnsi" w:hAnsiTheme="minorHAnsi" w:cs="Arial"/>
          <w:b/>
          <w:bCs/>
        </w:rPr>
        <w:t xml:space="preserve"> financial condition and operation of the Government, its subdivisions, agencies, and instrumentalities, including government-owned or controlled corporations, and non-governmental entities subject to its audit.</w:t>
      </w:r>
      <w:r w:rsidRPr="008F1E62">
        <w:rPr>
          <w:rFonts w:asciiTheme="minorHAnsi" w:hAnsiTheme="minorHAnsi" w:cs="Arial"/>
        </w:rPr>
        <w:t xml:space="preserve"> The Corporate Government Sector of the COA is responsible for the audit of all government corporations</w:t>
      </w:r>
      <w:r w:rsidR="00BA04D1">
        <w:rPr>
          <w:rFonts w:asciiTheme="minorHAnsi" w:hAnsiTheme="minorHAnsi" w:cs="Arial"/>
        </w:rPr>
        <w:t>. These are</w:t>
      </w:r>
      <w:r w:rsidRPr="008F1E62">
        <w:rPr>
          <w:rFonts w:asciiTheme="minorHAnsi" w:hAnsiTheme="minorHAnsi" w:cs="Arial"/>
        </w:rPr>
        <w:t xml:space="preserve"> grouped into six clusters: Banking and Credit; Social Security; Public Utilities; Industrial and Area Development; Agricultural and Natural Resources; and Social, Cultural, Trading, Promotional and Other </w:t>
      </w:r>
      <w:r w:rsidRPr="008F1E62">
        <w:rPr>
          <w:rFonts w:asciiTheme="minorHAnsi" w:hAnsiTheme="minorHAnsi" w:cstheme="minorHAnsi"/>
        </w:rPr>
        <w:t xml:space="preserve">Services. The 16 COA </w:t>
      </w:r>
      <w:r w:rsidRPr="008F1E62">
        <w:rPr>
          <w:rFonts w:asciiTheme="minorHAnsi" w:hAnsiTheme="minorHAnsi" w:cstheme="minorHAnsi"/>
          <w:szCs w:val="24"/>
        </w:rPr>
        <w:t xml:space="preserve">Regional Offices are responsible for the audit of </w:t>
      </w:r>
      <w:r w:rsidR="00706F4A" w:rsidRPr="00706F4A">
        <w:rPr>
          <w:rFonts w:asciiTheme="minorHAnsi" w:hAnsiTheme="minorHAnsi" w:cstheme="minorHAnsi"/>
          <w:szCs w:val="24"/>
        </w:rPr>
        <w:t xml:space="preserve">water </w:t>
      </w:r>
      <w:r w:rsidR="00220D8E" w:rsidRPr="00706F4A">
        <w:rPr>
          <w:rFonts w:asciiTheme="minorHAnsi" w:hAnsiTheme="minorHAnsi" w:cstheme="minorHAnsi"/>
          <w:szCs w:val="24"/>
        </w:rPr>
        <w:t xml:space="preserve">districts </w:t>
      </w:r>
      <w:r w:rsidR="00220D8E" w:rsidRPr="008F1E62">
        <w:rPr>
          <w:rFonts w:asciiTheme="minorHAnsi" w:hAnsiTheme="minorHAnsi" w:cstheme="minorHAnsi"/>
          <w:szCs w:val="24"/>
        </w:rPr>
        <w:t>that</w:t>
      </w:r>
      <w:r w:rsidRPr="008F1E62">
        <w:rPr>
          <w:rFonts w:asciiTheme="minorHAnsi" w:hAnsiTheme="minorHAnsi" w:cstheme="minorHAnsi"/>
          <w:szCs w:val="24"/>
        </w:rPr>
        <w:t xml:space="preserve"> are based in their territorial jurisdiction. </w:t>
      </w:r>
      <w:r w:rsidR="00562D5A" w:rsidRPr="008F1E62">
        <w:rPr>
          <w:rFonts w:asciiTheme="minorHAnsi" w:eastAsia="Arial" w:hAnsiTheme="minorHAnsi" w:cstheme="minorHAnsi"/>
          <w:szCs w:val="24"/>
        </w:rPr>
        <w:t xml:space="preserve">In view of the number of </w:t>
      </w:r>
      <w:r w:rsidR="00E0151F" w:rsidRPr="00E0151F">
        <w:rPr>
          <w:rFonts w:asciiTheme="minorHAnsi" w:eastAsia="Arial" w:hAnsiTheme="minorHAnsi" w:cstheme="minorHAnsi"/>
          <w:szCs w:val="24"/>
        </w:rPr>
        <w:t xml:space="preserve">water districts </w:t>
      </w:r>
      <w:r w:rsidR="00562D5A" w:rsidRPr="008F1E62">
        <w:rPr>
          <w:rFonts w:asciiTheme="minorHAnsi" w:eastAsia="Arial" w:hAnsiTheme="minorHAnsi" w:cstheme="minorHAnsi"/>
          <w:szCs w:val="24"/>
        </w:rPr>
        <w:t>and the limited number of auditor</w:t>
      </w:r>
      <w:r w:rsidR="00A30F63" w:rsidRPr="008F1E62">
        <w:rPr>
          <w:rFonts w:asciiTheme="minorHAnsi" w:eastAsia="Arial" w:hAnsiTheme="minorHAnsi" w:cstheme="minorHAnsi"/>
          <w:szCs w:val="24"/>
        </w:rPr>
        <w:t>s</w:t>
      </w:r>
      <w:r w:rsidR="00562D5A" w:rsidRPr="008F1E62">
        <w:rPr>
          <w:rFonts w:asciiTheme="minorHAnsi" w:eastAsia="Arial" w:hAnsiTheme="minorHAnsi" w:cstheme="minorHAnsi"/>
          <w:szCs w:val="24"/>
        </w:rPr>
        <w:t xml:space="preserve">, the audit of </w:t>
      </w:r>
      <w:r w:rsidR="000D64B3" w:rsidRPr="000D64B3">
        <w:rPr>
          <w:rFonts w:asciiTheme="minorHAnsi" w:eastAsia="Arial" w:hAnsiTheme="minorHAnsi" w:cstheme="minorHAnsi"/>
          <w:szCs w:val="24"/>
        </w:rPr>
        <w:t xml:space="preserve">water districts </w:t>
      </w:r>
      <w:r w:rsidR="00220D8E">
        <w:rPr>
          <w:rFonts w:asciiTheme="minorHAnsi" w:eastAsia="Arial" w:hAnsiTheme="minorHAnsi" w:cstheme="minorHAnsi"/>
          <w:szCs w:val="24"/>
        </w:rPr>
        <w:t>is</w:t>
      </w:r>
      <w:r w:rsidR="00220D8E" w:rsidRPr="008F1E62">
        <w:rPr>
          <w:rFonts w:asciiTheme="minorHAnsi" w:eastAsia="Arial" w:hAnsiTheme="minorHAnsi" w:cstheme="minorHAnsi"/>
          <w:szCs w:val="24"/>
        </w:rPr>
        <w:t xml:space="preserve"> </w:t>
      </w:r>
      <w:r w:rsidR="00562D5A" w:rsidRPr="008F1E62">
        <w:rPr>
          <w:rFonts w:asciiTheme="minorHAnsi" w:eastAsia="Arial" w:hAnsiTheme="minorHAnsi" w:cstheme="minorHAnsi"/>
          <w:szCs w:val="24"/>
        </w:rPr>
        <w:t>done on</w:t>
      </w:r>
      <w:r w:rsidR="0020661C">
        <w:rPr>
          <w:rFonts w:asciiTheme="minorHAnsi" w:eastAsia="Arial" w:hAnsiTheme="minorHAnsi" w:cstheme="minorHAnsi"/>
          <w:szCs w:val="24"/>
        </w:rPr>
        <w:t xml:space="preserve"> a</w:t>
      </w:r>
      <w:r w:rsidR="00562D5A" w:rsidRPr="008F1E62">
        <w:rPr>
          <w:rFonts w:asciiTheme="minorHAnsi" w:eastAsia="Arial" w:hAnsiTheme="minorHAnsi" w:cstheme="minorHAnsi"/>
          <w:szCs w:val="24"/>
        </w:rPr>
        <w:t xml:space="preserve"> cyclical basis</w:t>
      </w:r>
      <w:r w:rsidR="00E013FF" w:rsidRPr="008F1E62">
        <w:rPr>
          <w:rFonts w:asciiTheme="minorHAnsi" w:eastAsia="Arial" w:hAnsiTheme="minorHAnsi" w:cstheme="minorHAnsi"/>
          <w:szCs w:val="24"/>
        </w:rPr>
        <w:t xml:space="preserve"> such that each is audited once every two years</w:t>
      </w:r>
      <w:r w:rsidR="00562D5A" w:rsidRPr="008F1E62">
        <w:rPr>
          <w:rFonts w:asciiTheme="minorHAnsi" w:eastAsia="Arial" w:hAnsiTheme="minorHAnsi" w:cstheme="minorHAnsi"/>
          <w:szCs w:val="24"/>
        </w:rPr>
        <w:t>.</w:t>
      </w:r>
      <w:r w:rsidR="00562D5A" w:rsidRPr="008F1E62">
        <w:rPr>
          <w:rFonts w:asciiTheme="minorHAnsi" w:eastAsia="Arial" w:hAnsiTheme="minorHAnsi" w:cstheme="minorHAnsi"/>
          <w:sz w:val="20"/>
        </w:rPr>
        <w:t xml:space="preserve"> </w:t>
      </w:r>
      <w:r w:rsidRPr="008F1E62">
        <w:rPr>
          <w:rFonts w:asciiTheme="minorHAnsi" w:hAnsiTheme="minorHAnsi" w:cstheme="minorHAnsi"/>
        </w:rPr>
        <w:t xml:space="preserve">Included in the submitted 2015 </w:t>
      </w:r>
      <w:r w:rsidR="001C23BC">
        <w:rPr>
          <w:rFonts w:asciiTheme="minorHAnsi" w:hAnsiTheme="minorHAnsi" w:cstheme="minorHAnsi"/>
        </w:rPr>
        <w:t>Audited</w:t>
      </w:r>
      <w:r w:rsidR="009E7B6E" w:rsidRPr="009E7B6E">
        <w:rPr>
          <w:rFonts w:asciiTheme="minorHAnsi" w:hAnsiTheme="minorHAnsi" w:cstheme="minorHAnsi"/>
        </w:rPr>
        <w:t xml:space="preserve"> Financial Report </w:t>
      </w:r>
      <w:r w:rsidRPr="008F1E62">
        <w:rPr>
          <w:rFonts w:asciiTheme="minorHAnsi" w:hAnsiTheme="minorHAnsi" w:cs="Arial"/>
        </w:rPr>
        <w:t xml:space="preserve">(which covers the financial condition and operation of the GOCCs, including </w:t>
      </w:r>
      <w:r w:rsidR="005B0FF3" w:rsidRPr="005B0FF3">
        <w:rPr>
          <w:rFonts w:asciiTheme="minorHAnsi" w:hAnsiTheme="minorHAnsi" w:cs="Arial"/>
        </w:rPr>
        <w:t xml:space="preserve">government financial institutions </w:t>
      </w:r>
      <w:r w:rsidRPr="008F1E62">
        <w:rPr>
          <w:rFonts w:asciiTheme="minorHAnsi" w:hAnsiTheme="minorHAnsi" w:cs="Arial"/>
        </w:rPr>
        <w:t xml:space="preserve">and their subsidiaries, and water districts) are financial reports of 629 entities, 141 of which are government corporations while the other 488 are water districts. </w:t>
      </w:r>
      <w:r w:rsidR="001A06A2" w:rsidRPr="008F1E62">
        <w:rPr>
          <w:rFonts w:asciiTheme="minorHAnsi" w:hAnsiTheme="minorHAnsi" w:cs="Arial"/>
        </w:rPr>
        <w:t>Of the total financial reports,</w:t>
      </w:r>
      <w:r w:rsidRPr="008F1E62">
        <w:rPr>
          <w:rFonts w:asciiTheme="minorHAnsi" w:hAnsiTheme="minorHAnsi" w:cs="Arial"/>
        </w:rPr>
        <w:t xml:space="preserve"> 411 or 65% were audited. Virtually </w:t>
      </w:r>
      <w:proofErr w:type="gramStart"/>
      <w:r w:rsidRPr="008F1E62">
        <w:rPr>
          <w:rFonts w:asciiTheme="minorHAnsi" w:hAnsiTheme="minorHAnsi" w:cs="Arial"/>
        </w:rPr>
        <w:t>all of</w:t>
      </w:r>
      <w:proofErr w:type="gramEnd"/>
      <w:r w:rsidRPr="008F1E62">
        <w:rPr>
          <w:rFonts w:asciiTheme="minorHAnsi" w:hAnsiTheme="minorHAnsi" w:cs="Arial"/>
        </w:rPr>
        <w:t xml:space="preserve"> the 218 unaudited financial statements pertain to </w:t>
      </w:r>
      <w:r w:rsidR="000D64B3" w:rsidRPr="000D64B3">
        <w:rPr>
          <w:rFonts w:asciiTheme="minorHAnsi" w:hAnsiTheme="minorHAnsi" w:cs="Arial"/>
        </w:rPr>
        <w:t>water districts</w:t>
      </w:r>
      <w:r w:rsidR="001A06A2" w:rsidRPr="008F1E62">
        <w:rPr>
          <w:rFonts w:asciiTheme="minorHAnsi" w:hAnsiTheme="minorHAnsi" w:cs="Arial"/>
        </w:rPr>
        <w:t>.</w:t>
      </w:r>
      <w:r w:rsidR="001A06A2" w:rsidRPr="008F1E62">
        <w:rPr>
          <w:rStyle w:val="FootnoteReference"/>
          <w:rFonts w:asciiTheme="minorHAnsi" w:hAnsiTheme="minorHAnsi" w:cs="Arial"/>
        </w:rPr>
        <w:footnoteReference w:id="73"/>
      </w:r>
      <w:r w:rsidRPr="008F1E62">
        <w:rPr>
          <w:rFonts w:asciiTheme="minorHAnsi" w:hAnsiTheme="minorHAnsi" w:cs="Arial"/>
        </w:rPr>
        <w:t xml:space="preserve">. </w:t>
      </w:r>
    </w:p>
    <w:p w14:paraId="42E4CFA3" w14:textId="77777777" w:rsidR="004F384D" w:rsidRPr="008F1E62" w:rsidRDefault="0085277D" w:rsidP="00FB3DC8">
      <w:pPr>
        <w:pStyle w:val="BodyText4"/>
        <w:numPr>
          <w:ilvl w:val="0"/>
          <w:numId w:val="2"/>
        </w:numPr>
        <w:spacing w:after="200" w:line="276" w:lineRule="auto"/>
        <w:ind w:left="0" w:hanging="567"/>
        <w:rPr>
          <w:rFonts w:asciiTheme="minorHAnsi" w:hAnsiTheme="minorHAnsi" w:cstheme="minorHAnsi"/>
        </w:rPr>
      </w:pPr>
      <w:r>
        <w:rPr>
          <w:rFonts w:asciiTheme="minorHAnsi" w:hAnsiTheme="minorHAnsi"/>
          <w:b/>
          <w:bCs/>
        </w:rPr>
        <w:t>T</w:t>
      </w:r>
      <w:r w:rsidR="00F76E53" w:rsidRPr="008F1E62">
        <w:rPr>
          <w:rFonts w:asciiTheme="minorHAnsi" w:hAnsiTheme="minorHAnsi"/>
          <w:b/>
          <w:bCs/>
        </w:rPr>
        <w:t xml:space="preserve">he COA </w:t>
      </w:r>
      <w:r w:rsidRPr="008F1E62">
        <w:rPr>
          <w:rFonts w:asciiTheme="minorHAnsi" w:hAnsiTheme="minorHAnsi"/>
          <w:b/>
          <w:bCs/>
        </w:rPr>
        <w:t xml:space="preserve">staffing summary </w:t>
      </w:r>
      <w:r w:rsidR="00F76E53" w:rsidRPr="008F1E62">
        <w:rPr>
          <w:rFonts w:asciiTheme="minorHAnsi" w:hAnsiTheme="minorHAnsi"/>
          <w:b/>
          <w:bCs/>
        </w:rPr>
        <w:t>reported that of the 14,102 permanent positions, 7,910 were filled as of 2015 and 8,032 as of 2016.</w:t>
      </w:r>
      <w:r w:rsidR="00F76E53" w:rsidRPr="008F1E62">
        <w:rPr>
          <w:rFonts w:asciiTheme="minorHAnsi" w:hAnsiTheme="minorHAnsi"/>
        </w:rPr>
        <w:t xml:space="preserve"> </w:t>
      </w:r>
      <w:r w:rsidR="00A76993" w:rsidRPr="008F1E62">
        <w:rPr>
          <w:rFonts w:asciiTheme="minorHAnsi" w:hAnsiTheme="minorHAnsi"/>
        </w:rPr>
        <w:t xml:space="preserve">Around 5,000 COA staff are </w:t>
      </w:r>
      <w:r w:rsidR="00A76993" w:rsidRPr="008F1E62">
        <w:rPr>
          <w:rFonts w:asciiTheme="minorHAnsi" w:hAnsiTheme="minorHAnsi" w:cstheme="minorHAnsi"/>
        </w:rPr>
        <w:t>CPAs.</w:t>
      </w:r>
      <w:r w:rsidR="00A76993">
        <w:rPr>
          <w:rFonts w:asciiTheme="minorHAnsi" w:hAnsiTheme="minorHAnsi" w:cstheme="minorHAnsi"/>
        </w:rPr>
        <w:t xml:space="preserve"> </w:t>
      </w:r>
      <w:r w:rsidR="00F76E53" w:rsidRPr="008F1E62">
        <w:rPr>
          <w:rFonts w:asciiTheme="minorHAnsi" w:hAnsiTheme="minorHAnsi"/>
        </w:rPr>
        <w:t xml:space="preserve">The </w:t>
      </w:r>
      <w:r w:rsidR="00C13DC9" w:rsidRPr="008F1E62">
        <w:rPr>
          <w:rFonts w:asciiTheme="minorHAnsi" w:hAnsiTheme="minorHAnsi"/>
        </w:rPr>
        <w:t xml:space="preserve">stringent </w:t>
      </w:r>
      <w:r w:rsidR="00B0749B" w:rsidRPr="008F1E62">
        <w:rPr>
          <w:rFonts w:asciiTheme="minorHAnsi" w:hAnsiTheme="minorHAnsi"/>
        </w:rPr>
        <w:t xml:space="preserve">COA </w:t>
      </w:r>
      <w:r w:rsidR="00C13DC9" w:rsidRPr="008F1E62">
        <w:rPr>
          <w:rFonts w:asciiTheme="minorHAnsi" w:hAnsiTheme="minorHAnsi"/>
        </w:rPr>
        <w:t xml:space="preserve">hiring process </w:t>
      </w:r>
      <w:r w:rsidR="00B0749B">
        <w:rPr>
          <w:rFonts w:asciiTheme="minorHAnsi" w:hAnsiTheme="minorHAnsi"/>
        </w:rPr>
        <w:t>creates</w:t>
      </w:r>
      <w:r w:rsidR="00B0749B" w:rsidRPr="008F1E62">
        <w:rPr>
          <w:rFonts w:asciiTheme="minorHAnsi" w:hAnsiTheme="minorHAnsi"/>
        </w:rPr>
        <w:t xml:space="preserve"> </w:t>
      </w:r>
      <w:r w:rsidR="00F76E53" w:rsidRPr="008F1E62">
        <w:rPr>
          <w:rFonts w:asciiTheme="minorHAnsi" w:hAnsiTheme="minorHAnsi"/>
        </w:rPr>
        <w:t>challenges and difficult</w:t>
      </w:r>
      <w:r w:rsidR="00B0749B">
        <w:rPr>
          <w:rFonts w:asciiTheme="minorHAnsi" w:hAnsiTheme="minorHAnsi"/>
        </w:rPr>
        <w:t>ies</w:t>
      </w:r>
      <w:r w:rsidR="00F76E53" w:rsidRPr="008F1E62">
        <w:rPr>
          <w:rFonts w:asciiTheme="minorHAnsi" w:hAnsiTheme="minorHAnsi"/>
        </w:rPr>
        <w:t xml:space="preserve"> in the recruitment of technical personnel. </w:t>
      </w:r>
      <w:r w:rsidR="00F07B00">
        <w:rPr>
          <w:rFonts w:asciiTheme="minorHAnsi" w:hAnsiTheme="minorHAnsi"/>
        </w:rPr>
        <w:t>In response to these issues, t</w:t>
      </w:r>
      <w:r w:rsidR="007D7764">
        <w:rPr>
          <w:rFonts w:asciiTheme="minorHAnsi" w:hAnsiTheme="minorHAnsi" w:cstheme="minorHAnsi"/>
          <w:szCs w:val="24"/>
        </w:rPr>
        <w:t>he</w:t>
      </w:r>
      <w:r w:rsidR="001A06A2" w:rsidRPr="008F1E62">
        <w:rPr>
          <w:rFonts w:asciiTheme="minorHAnsi" w:hAnsiTheme="minorHAnsi" w:cstheme="minorHAnsi"/>
          <w:szCs w:val="24"/>
        </w:rPr>
        <w:t xml:space="preserve"> </w:t>
      </w:r>
      <w:r w:rsidR="007D7764" w:rsidRPr="008F1E62">
        <w:rPr>
          <w:rFonts w:asciiTheme="minorHAnsi" w:hAnsiTheme="minorHAnsi" w:cstheme="minorHAnsi"/>
          <w:szCs w:val="24"/>
        </w:rPr>
        <w:t>COA</w:t>
      </w:r>
      <w:r w:rsidR="007D7764">
        <w:rPr>
          <w:rFonts w:asciiTheme="minorHAnsi" w:hAnsiTheme="minorHAnsi" w:cstheme="minorHAnsi"/>
          <w:szCs w:val="24"/>
        </w:rPr>
        <w:t xml:space="preserve"> </w:t>
      </w:r>
      <w:r w:rsidR="005E0BD0" w:rsidRPr="008F1E62">
        <w:rPr>
          <w:rFonts w:asciiTheme="minorHAnsi" w:hAnsiTheme="minorHAnsi" w:cstheme="minorHAnsi"/>
          <w:szCs w:val="24"/>
        </w:rPr>
        <w:t>is consider</w:t>
      </w:r>
      <w:r w:rsidR="005E0BD0">
        <w:rPr>
          <w:rFonts w:asciiTheme="minorHAnsi" w:hAnsiTheme="minorHAnsi" w:cstheme="minorHAnsi"/>
          <w:szCs w:val="24"/>
        </w:rPr>
        <w:t xml:space="preserve">ing </w:t>
      </w:r>
      <w:r w:rsidR="005E0BD0" w:rsidRPr="008F1E62">
        <w:rPr>
          <w:rFonts w:asciiTheme="minorHAnsi" w:hAnsiTheme="minorHAnsi" w:cstheme="minorHAnsi"/>
          <w:szCs w:val="24"/>
        </w:rPr>
        <w:t>outsourcing financial audits</w:t>
      </w:r>
      <w:r w:rsidR="002329F2">
        <w:rPr>
          <w:rFonts w:asciiTheme="minorHAnsi" w:hAnsiTheme="minorHAnsi" w:cstheme="minorHAnsi"/>
          <w:szCs w:val="24"/>
        </w:rPr>
        <w:t xml:space="preserve"> and is undertaking a</w:t>
      </w:r>
      <w:r w:rsidR="00F07B00">
        <w:rPr>
          <w:rFonts w:asciiTheme="minorHAnsi" w:hAnsiTheme="minorHAnsi" w:cstheme="minorHAnsi"/>
          <w:szCs w:val="24"/>
        </w:rPr>
        <w:t xml:space="preserve"> </w:t>
      </w:r>
      <w:r w:rsidR="004F384D" w:rsidRPr="008F1E62">
        <w:rPr>
          <w:rFonts w:asciiTheme="minorHAnsi" w:hAnsiTheme="minorHAnsi" w:cstheme="minorHAnsi"/>
          <w:szCs w:val="24"/>
        </w:rPr>
        <w:t>study</w:t>
      </w:r>
      <w:r w:rsidR="00B45E0F" w:rsidRPr="008F1E62">
        <w:rPr>
          <w:rFonts w:asciiTheme="minorHAnsi" w:hAnsiTheme="minorHAnsi" w:cstheme="minorHAnsi"/>
          <w:szCs w:val="24"/>
        </w:rPr>
        <w:t xml:space="preserve"> </w:t>
      </w:r>
      <w:r w:rsidR="001A06A2" w:rsidRPr="008F1E62">
        <w:rPr>
          <w:rFonts w:asciiTheme="minorHAnsi" w:hAnsiTheme="minorHAnsi" w:cstheme="minorHAnsi"/>
          <w:szCs w:val="24"/>
        </w:rPr>
        <w:t>based on</w:t>
      </w:r>
      <w:r w:rsidR="00B45E0F" w:rsidRPr="008F1E62">
        <w:rPr>
          <w:rFonts w:asciiTheme="minorHAnsi" w:hAnsiTheme="minorHAnsi" w:cstheme="minorHAnsi"/>
          <w:szCs w:val="24"/>
        </w:rPr>
        <w:t xml:space="preserve"> the COA strategic plan and</w:t>
      </w:r>
      <w:r w:rsidR="004F384D" w:rsidRPr="008F1E62">
        <w:rPr>
          <w:rFonts w:asciiTheme="minorHAnsi" w:hAnsiTheme="minorHAnsi" w:cstheme="minorHAnsi"/>
          <w:szCs w:val="24"/>
        </w:rPr>
        <w:t xml:space="preserve"> </w:t>
      </w:r>
      <w:r w:rsidR="00B45E0F" w:rsidRPr="008F1E62">
        <w:rPr>
          <w:rFonts w:asciiTheme="minorHAnsi" w:hAnsiTheme="minorHAnsi" w:cstheme="minorHAnsi"/>
          <w:szCs w:val="24"/>
        </w:rPr>
        <w:t xml:space="preserve">review of existing legislation on </w:t>
      </w:r>
      <w:r w:rsidR="002329F2">
        <w:rPr>
          <w:rFonts w:asciiTheme="minorHAnsi" w:hAnsiTheme="minorHAnsi" w:cstheme="minorHAnsi"/>
          <w:szCs w:val="24"/>
        </w:rPr>
        <w:t>its</w:t>
      </w:r>
      <w:r w:rsidR="002329F2" w:rsidRPr="008F1E62">
        <w:rPr>
          <w:rFonts w:asciiTheme="minorHAnsi" w:hAnsiTheme="minorHAnsi" w:cstheme="minorHAnsi"/>
          <w:szCs w:val="24"/>
        </w:rPr>
        <w:t xml:space="preserve"> </w:t>
      </w:r>
      <w:r w:rsidR="00B45E0F" w:rsidRPr="008F1E62">
        <w:rPr>
          <w:rFonts w:asciiTheme="minorHAnsi" w:hAnsiTheme="minorHAnsi" w:cstheme="minorHAnsi"/>
          <w:szCs w:val="24"/>
        </w:rPr>
        <w:t xml:space="preserve">mandate. </w:t>
      </w:r>
    </w:p>
    <w:p w14:paraId="5EFE6F1D" w14:textId="3F37C3CD" w:rsidR="00F76E53" w:rsidRPr="008F1E62" w:rsidRDefault="00F76E53" w:rsidP="009315BA">
      <w:pPr>
        <w:pStyle w:val="BodyText4"/>
        <w:numPr>
          <w:ilvl w:val="0"/>
          <w:numId w:val="2"/>
        </w:numPr>
        <w:spacing w:after="200" w:line="276" w:lineRule="auto"/>
        <w:ind w:left="0" w:hanging="567"/>
        <w:rPr>
          <w:sz w:val="20"/>
        </w:rPr>
      </w:pPr>
      <w:r w:rsidRPr="008F1E62">
        <w:rPr>
          <w:rFonts w:asciiTheme="minorHAnsi" w:hAnsiTheme="minorHAnsi" w:cs="Arial"/>
          <w:b/>
          <w:bCs/>
        </w:rPr>
        <w:t xml:space="preserve">The </w:t>
      </w:r>
      <w:r w:rsidRPr="009315BA">
        <w:rPr>
          <w:rFonts w:asciiTheme="minorHAnsi" w:hAnsiTheme="minorHAnsi"/>
          <w:b/>
        </w:rPr>
        <w:t>COA</w:t>
      </w:r>
      <w:r w:rsidRPr="008F1E62">
        <w:rPr>
          <w:rFonts w:asciiTheme="minorHAnsi" w:hAnsiTheme="minorHAnsi" w:cs="Arial"/>
          <w:b/>
          <w:bCs/>
        </w:rPr>
        <w:t xml:space="preserve"> has adopted the Philippine </w:t>
      </w:r>
      <w:proofErr w:type="gramStart"/>
      <w:r w:rsidRPr="008F1E62">
        <w:rPr>
          <w:rFonts w:asciiTheme="minorHAnsi" w:hAnsiTheme="minorHAnsi" w:cs="Arial"/>
          <w:b/>
          <w:bCs/>
        </w:rPr>
        <w:t>Public Sector</w:t>
      </w:r>
      <w:proofErr w:type="gramEnd"/>
      <w:r w:rsidRPr="008F1E62">
        <w:rPr>
          <w:rFonts w:asciiTheme="minorHAnsi" w:hAnsiTheme="minorHAnsi" w:cs="Arial"/>
          <w:b/>
          <w:bCs/>
        </w:rPr>
        <w:t xml:space="preserve"> Standards on Auditing starting 2013. </w:t>
      </w:r>
      <w:r w:rsidR="007974AF">
        <w:rPr>
          <w:rFonts w:asciiTheme="minorHAnsi" w:hAnsiTheme="minorHAnsi" w:cs="Arial"/>
        </w:rPr>
        <w:t xml:space="preserve">These </w:t>
      </w:r>
      <w:r w:rsidRPr="008F1E62">
        <w:rPr>
          <w:rFonts w:asciiTheme="minorHAnsi" w:hAnsiTheme="minorHAnsi" w:cs="Arial"/>
        </w:rPr>
        <w:t xml:space="preserve">are based </w:t>
      </w:r>
      <w:r w:rsidRPr="008F1E62">
        <w:rPr>
          <w:rFonts w:asciiTheme="minorHAnsi" w:hAnsiTheme="minorHAnsi" w:cstheme="minorHAnsi"/>
        </w:rPr>
        <w:t>on International Standards of Supreme Audit Institutions.</w:t>
      </w:r>
      <w:r w:rsidRPr="008F1E62">
        <w:rPr>
          <w:rFonts w:asciiTheme="minorHAnsi" w:hAnsiTheme="minorHAnsi" w:cstheme="minorHAnsi"/>
          <w:b/>
          <w:bCs/>
        </w:rPr>
        <w:t xml:space="preserve">  </w:t>
      </w:r>
      <w:r w:rsidRPr="008F1E62">
        <w:rPr>
          <w:rFonts w:asciiTheme="minorHAnsi" w:hAnsiTheme="minorHAnsi" w:cstheme="minorHAnsi"/>
        </w:rPr>
        <w:t xml:space="preserve">The COA initially adopted 24 </w:t>
      </w:r>
      <w:r w:rsidR="0091236D" w:rsidRPr="0091236D">
        <w:rPr>
          <w:rFonts w:asciiTheme="minorHAnsi" w:hAnsiTheme="minorHAnsi" w:cstheme="minorHAnsi"/>
        </w:rPr>
        <w:t xml:space="preserve">Philippine </w:t>
      </w:r>
      <w:proofErr w:type="gramStart"/>
      <w:r w:rsidR="0091236D" w:rsidRPr="0091236D">
        <w:rPr>
          <w:rFonts w:asciiTheme="minorHAnsi" w:hAnsiTheme="minorHAnsi" w:cstheme="minorHAnsi"/>
        </w:rPr>
        <w:t>Public Sector</w:t>
      </w:r>
      <w:proofErr w:type="gramEnd"/>
      <w:r w:rsidR="0091236D" w:rsidRPr="0091236D">
        <w:rPr>
          <w:rFonts w:asciiTheme="minorHAnsi" w:hAnsiTheme="minorHAnsi" w:cstheme="minorHAnsi"/>
        </w:rPr>
        <w:t xml:space="preserve"> Standards on Auditing </w:t>
      </w:r>
      <w:r w:rsidRPr="008F1E62">
        <w:rPr>
          <w:rFonts w:asciiTheme="minorHAnsi" w:hAnsiTheme="minorHAnsi" w:cstheme="minorHAnsi"/>
        </w:rPr>
        <w:t>on January 29, 2013 under Resolution 2013-007</w:t>
      </w:r>
      <w:r w:rsidR="00F039BB">
        <w:rPr>
          <w:rFonts w:asciiTheme="minorHAnsi" w:hAnsiTheme="minorHAnsi" w:cstheme="minorHAnsi"/>
        </w:rPr>
        <w:t>,</w:t>
      </w:r>
      <w:r w:rsidRPr="008F1E62">
        <w:rPr>
          <w:rFonts w:asciiTheme="minorHAnsi" w:hAnsiTheme="minorHAnsi" w:cstheme="minorHAnsi"/>
        </w:rPr>
        <w:t xml:space="preserve"> upon the </w:t>
      </w:r>
      <w:r w:rsidRPr="008F1E62">
        <w:rPr>
          <w:rFonts w:asciiTheme="minorHAnsi" w:hAnsiTheme="minorHAnsi" w:cstheme="minorHAnsi"/>
          <w:szCs w:val="24"/>
        </w:rPr>
        <w:t>recommendation of its Public</w:t>
      </w:r>
      <w:r w:rsidR="007171DA">
        <w:rPr>
          <w:rFonts w:asciiTheme="minorHAnsi" w:hAnsiTheme="minorHAnsi" w:cstheme="minorHAnsi"/>
          <w:szCs w:val="24"/>
        </w:rPr>
        <w:t xml:space="preserve"> </w:t>
      </w:r>
      <w:r w:rsidRPr="008F1E62">
        <w:rPr>
          <w:rFonts w:asciiTheme="minorHAnsi" w:hAnsiTheme="minorHAnsi" w:cstheme="minorHAnsi"/>
          <w:szCs w:val="24"/>
        </w:rPr>
        <w:t>Sector Auditing Standards Board created in 2008 to assist the Commission Proper in formulating and implementing public sector auditing standards.</w:t>
      </w:r>
      <w:r w:rsidR="00255E68" w:rsidRPr="008F1E62">
        <w:rPr>
          <w:rFonts w:asciiTheme="minorHAnsi" w:hAnsiTheme="minorHAnsi" w:cstheme="minorHAnsi"/>
          <w:szCs w:val="24"/>
        </w:rPr>
        <w:t xml:space="preserve"> </w:t>
      </w:r>
      <w:r w:rsidRPr="008F1E62">
        <w:rPr>
          <w:rFonts w:asciiTheme="minorHAnsi" w:hAnsiTheme="minorHAnsi" w:cstheme="minorHAnsi"/>
          <w:szCs w:val="24"/>
        </w:rPr>
        <w:t xml:space="preserve">16 </w:t>
      </w:r>
      <w:r w:rsidR="00E13276" w:rsidRPr="00E13276">
        <w:rPr>
          <w:rFonts w:asciiTheme="minorHAnsi" w:hAnsiTheme="minorHAnsi" w:cstheme="minorHAnsi"/>
          <w:szCs w:val="24"/>
        </w:rPr>
        <w:t xml:space="preserve">Public Sector Standards on Auditing </w:t>
      </w:r>
      <w:r w:rsidRPr="008F1E62">
        <w:rPr>
          <w:rFonts w:asciiTheme="minorHAnsi" w:hAnsiTheme="minorHAnsi" w:cstheme="minorHAnsi"/>
          <w:szCs w:val="24"/>
        </w:rPr>
        <w:t>were adopted on May 7, 2014 under Resolution 2014-011</w:t>
      </w:r>
      <w:r w:rsidR="00694F81">
        <w:rPr>
          <w:rFonts w:asciiTheme="minorHAnsi" w:hAnsiTheme="minorHAnsi" w:cstheme="minorHAnsi"/>
          <w:szCs w:val="24"/>
        </w:rPr>
        <w:t xml:space="preserve">. </w:t>
      </w:r>
      <w:r w:rsidR="00AD14A4">
        <w:rPr>
          <w:rFonts w:asciiTheme="minorHAnsi" w:hAnsiTheme="minorHAnsi" w:cstheme="minorHAnsi"/>
          <w:szCs w:val="24"/>
        </w:rPr>
        <w:t>On</w:t>
      </w:r>
      <w:r w:rsidR="00255E68" w:rsidRPr="008F1E62">
        <w:rPr>
          <w:rFonts w:asciiTheme="minorHAnsi" w:hAnsiTheme="minorHAnsi" w:cstheme="minorHAnsi"/>
          <w:szCs w:val="24"/>
        </w:rPr>
        <w:t xml:space="preserve"> June 30, 2017, seven additional standards and one update o</w:t>
      </w:r>
      <w:r w:rsidR="00694F81">
        <w:rPr>
          <w:rFonts w:asciiTheme="minorHAnsi" w:hAnsiTheme="minorHAnsi" w:cstheme="minorHAnsi"/>
          <w:szCs w:val="24"/>
        </w:rPr>
        <w:t>f</w:t>
      </w:r>
      <w:r w:rsidR="00255E68" w:rsidRPr="008F1E62">
        <w:rPr>
          <w:rFonts w:asciiTheme="minorHAnsi" w:hAnsiTheme="minorHAnsi" w:cstheme="minorHAnsi"/>
          <w:szCs w:val="24"/>
        </w:rPr>
        <w:t xml:space="preserve"> the</w:t>
      </w:r>
      <w:r w:rsidR="00914E99">
        <w:rPr>
          <w:rFonts w:asciiTheme="minorHAnsi" w:hAnsiTheme="minorHAnsi" w:cstheme="minorHAnsi"/>
          <w:szCs w:val="24"/>
        </w:rPr>
        <w:t xml:space="preserve"> </w:t>
      </w:r>
      <w:r w:rsidR="0006423D">
        <w:rPr>
          <w:rFonts w:asciiTheme="minorHAnsi" w:hAnsiTheme="minorHAnsi" w:cstheme="minorHAnsi"/>
          <w:szCs w:val="24"/>
        </w:rPr>
        <w:t>I</w:t>
      </w:r>
      <w:r w:rsidR="0006423D" w:rsidRPr="0006423D">
        <w:rPr>
          <w:rFonts w:asciiTheme="minorHAnsi" w:hAnsiTheme="minorHAnsi" w:cstheme="minorHAnsi"/>
          <w:szCs w:val="24"/>
        </w:rPr>
        <w:t>nternational Organi</w:t>
      </w:r>
      <w:r w:rsidR="0006423D">
        <w:rPr>
          <w:rFonts w:asciiTheme="minorHAnsi" w:hAnsiTheme="minorHAnsi" w:cstheme="minorHAnsi"/>
          <w:szCs w:val="24"/>
        </w:rPr>
        <w:t>z</w:t>
      </w:r>
      <w:r w:rsidR="0006423D" w:rsidRPr="0006423D">
        <w:rPr>
          <w:rFonts w:asciiTheme="minorHAnsi" w:hAnsiTheme="minorHAnsi" w:cstheme="minorHAnsi"/>
          <w:szCs w:val="24"/>
        </w:rPr>
        <w:t>ation of Supreme Audit Institutions</w:t>
      </w:r>
      <w:r w:rsidR="0006423D" w:rsidRPr="0006423D" w:rsidDel="0006423D">
        <w:rPr>
          <w:rFonts w:asciiTheme="minorHAnsi" w:hAnsiTheme="minorHAnsi" w:cstheme="minorHAnsi"/>
          <w:szCs w:val="24"/>
        </w:rPr>
        <w:t xml:space="preserve"> </w:t>
      </w:r>
      <w:r w:rsidR="00255E68" w:rsidRPr="008F1E62">
        <w:rPr>
          <w:rFonts w:asciiTheme="minorHAnsi" w:hAnsiTheme="minorHAnsi" w:cstheme="minorHAnsi"/>
          <w:szCs w:val="24"/>
        </w:rPr>
        <w:t xml:space="preserve">Framework of Professional Pronouncements was adopted by COA, bringing to 48 </w:t>
      </w:r>
      <w:r w:rsidR="00A52D80">
        <w:rPr>
          <w:rFonts w:asciiTheme="minorHAnsi" w:hAnsiTheme="minorHAnsi" w:cstheme="minorHAnsi"/>
          <w:szCs w:val="24"/>
        </w:rPr>
        <w:t xml:space="preserve">the </w:t>
      </w:r>
      <w:r w:rsidR="00255E68" w:rsidRPr="008F1E62">
        <w:rPr>
          <w:rFonts w:asciiTheme="minorHAnsi" w:hAnsiTheme="minorHAnsi" w:cstheme="minorHAnsi"/>
          <w:szCs w:val="24"/>
        </w:rPr>
        <w:t>total</w:t>
      </w:r>
      <w:r w:rsidR="00A52D80">
        <w:rPr>
          <w:rFonts w:asciiTheme="minorHAnsi" w:hAnsiTheme="minorHAnsi" w:cstheme="minorHAnsi"/>
          <w:szCs w:val="24"/>
        </w:rPr>
        <w:t xml:space="preserve"> number of</w:t>
      </w:r>
      <w:r w:rsidR="00255E68" w:rsidRPr="008F1E62">
        <w:rPr>
          <w:rFonts w:asciiTheme="minorHAnsi" w:hAnsiTheme="minorHAnsi" w:cstheme="minorHAnsi"/>
          <w:szCs w:val="24"/>
        </w:rPr>
        <w:t xml:space="preserve"> international audit standards adopted by COA.</w:t>
      </w:r>
      <w:r w:rsidR="00255E68" w:rsidRPr="008F1E62">
        <w:rPr>
          <w:rFonts w:asciiTheme="minorHAnsi" w:hAnsiTheme="minorHAnsi" w:cstheme="minorHAnsi"/>
          <w:sz w:val="20"/>
        </w:rPr>
        <w:t xml:space="preserve">  </w:t>
      </w:r>
      <w:r w:rsidRPr="008F1E62">
        <w:rPr>
          <w:rFonts w:asciiTheme="minorHAnsi" w:hAnsiTheme="minorHAnsi" w:cstheme="minorHAnsi"/>
        </w:rPr>
        <w:t>It is to be noted that COA has not yet adopted PSA 701: Communicating</w:t>
      </w:r>
      <w:r w:rsidRPr="008F1E62">
        <w:rPr>
          <w:rFonts w:asciiTheme="minorHAnsi" w:hAnsiTheme="minorHAnsi" w:cs="Arial"/>
        </w:rPr>
        <w:t xml:space="preserve"> Key Audit Matters in the Independent Auditor’s report which was adopted by the AASC to be effective for audits of financial statements for periods ending on or after December 15, 2016.  This has created issues for GOCCs required to submit </w:t>
      </w:r>
      <w:r w:rsidR="00631375" w:rsidRPr="00631375">
        <w:rPr>
          <w:rFonts w:asciiTheme="minorHAnsi" w:hAnsiTheme="minorHAnsi" w:cs="Arial"/>
        </w:rPr>
        <w:t xml:space="preserve">audited financial statements </w:t>
      </w:r>
      <w:r w:rsidRPr="008F1E62">
        <w:rPr>
          <w:rFonts w:asciiTheme="minorHAnsi" w:hAnsiTheme="minorHAnsi" w:cs="Arial"/>
        </w:rPr>
        <w:t>to SEC which requires companies to be compliant with PSA 701</w:t>
      </w:r>
      <w:r w:rsidR="00255E68" w:rsidRPr="008F1E62">
        <w:rPr>
          <w:rStyle w:val="FootnoteReference"/>
          <w:rFonts w:asciiTheme="minorHAnsi" w:hAnsiTheme="minorHAnsi" w:cs="Arial"/>
        </w:rPr>
        <w:footnoteReference w:id="74"/>
      </w:r>
      <w:r w:rsidRPr="008F1E62">
        <w:rPr>
          <w:rFonts w:asciiTheme="minorHAnsi" w:hAnsiTheme="minorHAnsi" w:cs="Arial"/>
        </w:rPr>
        <w:t>.</w:t>
      </w:r>
    </w:p>
    <w:p w14:paraId="61F98FA3"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Arial"/>
        </w:rPr>
      </w:pPr>
      <w:r w:rsidRPr="008F1E62">
        <w:rPr>
          <w:rFonts w:asciiTheme="minorHAnsi" w:hAnsiTheme="minorHAnsi"/>
          <w:b/>
          <w:bCs/>
        </w:rPr>
        <w:t xml:space="preserve">The </w:t>
      </w:r>
      <w:r w:rsidRPr="008F1E62">
        <w:rPr>
          <w:rFonts w:ascii="Calibri" w:hAnsi="Calibri"/>
          <w:b/>
          <w:bCs/>
        </w:rPr>
        <w:t>COA</w:t>
      </w:r>
      <w:r w:rsidRPr="008F1E62">
        <w:rPr>
          <w:rFonts w:asciiTheme="minorHAnsi" w:hAnsiTheme="minorHAnsi"/>
          <w:b/>
          <w:bCs/>
        </w:rPr>
        <w:t xml:space="preserve"> posts full Annual Audit Reports of all government corporations on its website.</w:t>
      </w:r>
      <w:r w:rsidRPr="008F1E62">
        <w:rPr>
          <w:rFonts w:asciiTheme="minorHAnsi" w:hAnsiTheme="minorHAnsi" w:cs="Arial"/>
        </w:rPr>
        <w:t xml:space="preserve"> </w:t>
      </w:r>
      <w:r w:rsidR="006D6C9F">
        <w:rPr>
          <w:rFonts w:asciiTheme="minorHAnsi" w:hAnsiTheme="minorHAnsi" w:cs="Arial"/>
        </w:rPr>
        <w:t>I</w:t>
      </w:r>
      <w:r w:rsidRPr="008F1E62">
        <w:rPr>
          <w:rFonts w:asciiTheme="minorHAnsi" w:hAnsiTheme="minorHAnsi" w:cs="Arial"/>
        </w:rPr>
        <w:t>ncluded in the audit report</w:t>
      </w:r>
      <w:r w:rsidR="006D6C9F">
        <w:rPr>
          <w:rFonts w:asciiTheme="minorHAnsi" w:hAnsiTheme="minorHAnsi" w:cs="Arial"/>
        </w:rPr>
        <w:t>s</w:t>
      </w:r>
      <w:r w:rsidRPr="008F1E62">
        <w:rPr>
          <w:rFonts w:asciiTheme="minorHAnsi" w:hAnsiTheme="minorHAnsi" w:cs="Arial"/>
        </w:rPr>
        <w:t xml:space="preserve"> are the observations and recommendations, and </w:t>
      </w:r>
      <w:r w:rsidR="003754D2">
        <w:rPr>
          <w:rFonts w:asciiTheme="minorHAnsi" w:hAnsiTheme="minorHAnsi" w:cs="Arial"/>
        </w:rPr>
        <w:t xml:space="preserve">the </w:t>
      </w:r>
      <w:r w:rsidRPr="008F1E62">
        <w:rPr>
          <w:rFonts w:asciiTheme="minorHAnsi" w:hAnsiTheme="minorHAnsi" w:cs="Arial"/>
        </w:rPr>
        <w:t xml:space="preserve">status of implementation of </w:t>
      </w:r>
      <w:r w:rsidR="003754D2">
        <w:rPr>
          <w:rFonts w:asciiTheme="minorHAnsi" w:hAnsiTheme="minorHAnsi" w:cs="Arial"/>
        </w:rPr>
        <w:t xml:space="preserve">the </w:t>
      </w:r>
      <w:r w:rsidRPr="008F1E62">
        <w:rPr>
          <w:rFonts w:asciiTheme="minorHAnsi" w:hAnsiTheme="minorHAnsi" w:cs="Arial"/>
        </w:rPr>
        <w:t>pr</w:t>
      </w:r>
      <w:r w:rsidR="003754D2">
        <w:rPr>
          <w:rFonts w:asciiTheme="minorHAnsi" w:hAnsiTheme="minorHAnsi" w:cs="Arial"/>
        </w:rPr>
        <w:t>evious</w:t>
      </w:r>
      <w:r w:rsidRPr="008F1E62">
        <w:rPr>
          <w:rFonts w:asciiTheme="minorHAnsi" w:hAnsiTheme="minorHAnsi" w:cs="Arial"/>
        </w:rPr>
        <w:t xml:space="preserve"> year’s audit recommendations. Moreover, </w:t>
      </w:r>
      <w:r w:rsidRPr="008F1E62">
        <w:rPr>
          <w:rFonts w:asciiTheme="minorHAnsi" w:eastAsia="SimSun" w:hAnsiTheme="minorHAnsi" w:cs="Arial"/>
        </w:rPr>
        <w:t xml:space="preserve">disclosure requirements of RA 10149 provide that GOCCs must maintain a website </w:t>
      </w:r>
      <w:r w:rsidR="00A31FFB">
        <w:rPr>
          <w:rFonts w:asciiTheme="minorHAnsi" w:eastAsia="SimSun" w:hAnsiTheme="minorHAnsi" w:cs="Arial"/>
        </w:rPr>
        <w:t>enabling</w:t>
      </w:r>
      <w:r w:rsidR="001C357B">
        <w:rPr>
          <w:rFonts w:asciiTheme="minorHAnsi" w:eastAsia="SimSun" w:hAnsiTheme="minorHAnsi" w:cs="Arial"/>
        </w:rPr>
        <w:t xml:space="preserve"> </w:t>
      </w:r>
      <w:r w:rsidRPr="008F1E62">
        <w:rPr>
          <w:rFonts w:asciiTheme="minorHAnsi" w:eastAsia="SimSun" w:hAnsiTheme="minorHAnsi" w:cs="Arial"/>
        </w:rPr>
        <w:t>unrestricted public access</w:t>
      </w:r>
      <w:r w:rsidR="00A31FFB">
        <w:rPr>
          <w:rFonts w:asciiTheme="minorHAnsi" w:eastAsia="SimSun" w:hAnsiTheme="minorHAnsi" w:cs="Arial"/>
        </w:rPr>
        <w:t xml:space="preserve"> to posted documents including</w:t>
      </w:r>
      <w:r w:rsidRPr="008F1E62">
        <w:rPr>
          <w:rFonts w:asciiTheme="minorHAnsi" w:eastAsia="SimSun" w:hAnsiTheme="minorHAnsi" w:cs="Arial"/>
        </w:rPr>
        <w:t xml:space="preserve">, among others, the following: (a) their latest annual audited financial and performance report within 30 days </w:t>
      </w:r>
      <w:r w:rsidR="00F73075" w:rsidRPr="008F1E62">
        <w:rPr>
          <w:rFonts w:asciiTheme="minorHAnsi" w:eastAsia="SimSun" w:hAnsiTheme="minorHAnsi" w:cs="Arial"/>
        </w:rPr>
        <w:t xml:space="preserve">of </w:t>
      </w:r>
      <w:r w:rsidR="00F73075">
        <w:rPr>
          <w:rFonts w:asciiTheme="minorHAnsi" w:eastAsia="SimSun" w:hAnsiTheme="minorHAnsi" w:cs="Arial"/>
        </w:rPr>
        <w:t xml:space="preserve">its </w:t>
      </w:r>
      <w:r w:rsidRPr="008F1E62">
        <w:rPr>
          <w:rFonts w:asciiTheme="minorHAnsi" w:eastAsia="SimSun" w:hAnsiTheme="minorHAnsi" w:cs="Arial"/>
        </w:rPr>
        <w:t xml:space="preserve">receipt; and (b) audited financial statements </w:t>
      </w:r>
      <w:r w:rsidR="00F73075">
        <w:rPr>
          <w:rFonts w:asciiTheme="minorHAnsi" w:eastAsia="SimSun" w:hAnsiTheme="minorHAnsi" w:cs="Arial"/>
        </w:rPr>
        <w:t>for</w:t>
      </w:r>
      <w:r w:rsidR="00F73075" w:rsidRPr="008F1E62">
        <w:rPr>
          <w:rFonts w:asciiTheme="minorHAnsi" w:eastAsia="SimSun" w:hAnsiTheme="minorHAnsi" w:cs="Arial"/>
        </w:rPr>
        <w:t xml:space="preserve"> </w:t>
      </w:r>
      <w:r w:rsidRPr="008F1E62">
        <w:rPr>
          <w:rFonts w:asciiTheme="minorHAnsi" w:eastAsia="SimSun" w:hAnsiTheme="minorHAnsi" w:cs="Arial"/>
        </w:rPr>
        <w:t xml:space="preserve">the </w:t>
      </w:r>
      <w:r w:rsidR="007B16B0">
        <w:rPr>
          <w:rFonts w:asciiTheme="minorHAnsi" w:eastAsia="SimSun" w:hAnsiTheme="minorHAnsi" w:cs="Arial"/>
        </w:rPr>
        <w:t>previous</w:t>
      </w:r>
      <w:r w:rsidRPr="008F1E62">
        <w:rPr>
          <w:rFonts w:asciiTheme="minorHAnsi" w:eastAsia="SimSun" w:hAnsiTheme="minorHAnsi" w:cs="Arial"/>
        </w:rPr>
        <w:t xml:space="preserve"> five years. </w:t>
      </w:r>
    </w:p>
    <w:p w14:paraId="3E0853D4" w14:textId="77777777" w:rsidR="00F76E53" w:rsidRPr="008F1E62" w:rsidRDefault="00F76E53" w:rsidP="009315BA">
      <w:pPr>
        <w:pStyle w:val="BodyText4"/>
        <w:numPr>
          <w:ilvl w:val="0"/>
          <w:numId w:val="2"/>
        </w:numPr>
        <w:spacing w:after="200" w:line="276" w:lineRule="auto"/>
        <w:ind w:left="0" w:hanging="567"/>
        <w:rPr>
          <w:rFonts w:asciiTheme="minorHAnsi" w:hAnsiTheme="minorHAnsi" w:cs="Arial"/>
        </w:rPr>
      </w:pPr>
      <w:r w:rsidRPr="008F1E62">
        <w:rPr>
          <w:rFonts w:asciiTheme="minorHAnsi" w:hAnsiTheme="minorHAnsi" w:cs="Arial"/>
          <w:b/>
          <w:bCs/>
        </w:rPr>
        <w:t xml:space="preserve">The GCG </w:t>
      </w:r>
      <w:r w:rsidRPr="009315BA">
        <w:rPr>
          <w:rFonts w:asciiTheme="minorHAnsi" w:hAnsiTheme="minorHAnsi"/>
          <w:b/>
        </w:rPr>
        <w:t>issued</w:t>
      </w:r>
      <w:r w:rsidRPr="008F1E62">
        <w:rPr>
          <w:rFonts w:asciiTheme="minorHAnsi" w:hAnsiTheme="minorHAnsi" w:cs="Arial"/>
          <w:b/>
          <w:bCs/>
        </w:rPr>
        <w:t xml:space="preserve"> Memorandum Circular No. 2012-07 to formally promulgate and implement the Code of </w:t>
      </w:r>
      <w:r w:rsidRPr="008F1E62">
        <w:rPr>
          <w:rFonts w:ascii="Calibri" w:hAnsi="Calibri"/>
          <w:b/>
          <w:bCs/>
        </w:rPr>
        <w:t>Corporate</w:t>
      </w:r>
      <w:r w:rsidRPr="008F1E62">
        <w:rPr>
          <w:rFonts w:asciiTheme="minorHAnsi" w:hAnsiTheme="minorHAnsi" w:cs="Arial"/>
          <w:b/>
          <w:bCs/>
        </w:rPr>
        <w:t xml:space="preserve"> Governance for GOCCs (“Code”). </w:t>
      </w:r>
      <w:r w:rsidRPr="008F1E62">
        <w:rPr>
          <w:rFonts w:asciiTheme="minorHAnsi" w:hAnsiTheme="minorHAnsi" w:cs="Arial"/>
        </w:rPr>
        <w:t xml:space="preserve">Memorandum Circular </w:t>
      </w:r>
      <w:r w:rsidR="00EF1EEB" w:rsidRPr="00EF1EEB">
        <w:rPr>
          <w:rFonts w:asciiTheme="minorHAnsi" w:hAnsiTheme="minorHAnsi" w:cs="Arial"/>
        </w:rPr>
        <w:t xml:space="preserve">No. 2012-07 </w:t>
      </w:r>
      <w:r w:rsidRPr="008F1E62">
        <w:rPr>
          <w:rFonts w:asciiTheme="minorHAnsi" w:hAnsiTheme="minorHAnsi" w:cs="Arial"/>
        </w:rPr>
        <w:t xml:space="preserve">was approved on November 28, 2012. The Code provides for the composition of the Governing Board, establishment of an audit committee, and appointment of the Chief Finance Officer. </w:t>
      </w:r>
      <w:r w:rsidR="003E1E2D" w:rsidRPr="008F1E62">
        <w:rPr>
          <w:rFonts w:asciiTheme="minorHAnsi" w:hAnsiTheme="minorHAnsi" w:cs="Arial"/>
        </w:rPr>
        <w:t xml:space="preserve">However, </w:t>
      </w:r>
      <w:r w:rsidR="002D0039" w:rsidRPr="008F1E62">
        <w:rPr>
          <w:rFonts w:asciiTheme="minorHAnsi" w:hAnsiTheme="minorHAnsi" w:cs="Arial"/>
        </w:rPr>
        <w:t>given</w:t>
      </w:r>
      <w:r w:rsidR="003E1E2D" w:rsidRPr="008F1E62">
        <w:rPr>
          <w:rFonts w:asciiTheme="minorHAnsi" w:hAnsiTheme="minorHAnsi" w:cs="Arial"/>
        </w:rPr>
        <w:t xml:space="preserve"> the number of repeat audit finding</w:t>
      </w:r>
      <w:r w:rsidR="00CD7D8A">
        <w:rPr>
          <w:rFonts w:asciiTheme="minorHAnsi" w:hAnsiTheme="minorHAnsi" w:cs="Arial"/>
        </w:rPr>
        <w:t>s</w:t>
      </w:r>
      <w:r w:rsidR="003E1E2D" w:rsidRPr="008F1E62">
        <w:rPr>
          <w:rFonts w:asciiTheme="minorHAnsi" w:hAnsiTheme="minorHAnsi" w:cs="Arial"/>
        </w:rPr>
        <w:t xml:space="preserve"> carried over from year to year, the effectiveness of these arrangements could be strengthened. </w:t>
      </w:r>
      <w:r w:rsidRPr="008F1E62">
        <w:rPr>
          <w:rFonts w:asciiTheme="minorHAnsi" w:hAnsiTheme="minorHAnsi" w:cs="Arial"/>
        </w:rPr>
        <w:t xml:space="preserve">All members of the Board </w:t>
      </w:r>
      <w:r w:rsidR="003E1E2D" w:rsidRPr="008F1E62">
        <w:rPr>
          <w:rFonts w:asciiTheme="minorHAnsi" w:hAnsiTheme="minorHAnsi" w:cs="Arial"/>
        </w:rPr>
        <w:t xml:space="preserve">must </w:t>
      </w:r>
      <w:r w:rsidRPr="008F1E62">
        <w:rPr>
          <w:rFonts w:asciiTheme="minorHAnsi" w:hAnsiTheme="minorHAnsi" w:cs="Arial"/>
        </w:rPr>
        <w:t xml:space="preserve">be qualified by the Fit and Proper Rule adopted by the GCG, including by reference </w:t>
      </w:r>
      <w:r w:rsidR="00F646C4">
        <w:rPr>
          <w:rFonts w:asciiTheme="minorHAnsi" w:hAnsiTheme="minorHAnsi" w:cs="Arial"/>
        </w:rPr>
        <w:t xml:space="preserve">to </w:t>
      </w:r>
      <w:r w:rsidRPr="008F1E62">
        <w:rPr>
          <w:rFonts w:asciiTheme="minorHAnsi" w:hAnsiTheme="minorHAnsi" w:cs="Arial"/>
        </w:rPr>
        <w:t xml:space="preserve">the qualifications expressly provided for in the Charters or By-laws of the GOCCs. Due regard </w:t>
      </w:r>
      <w:r w:rsidR="00F646C4">
        <w:rPr>
          <w:rFonts w:asciiTheme="minorHAnsi" w:hAnsiTheme="minorHAnsi" w:cs="Arial"/>
        </w:rPr>
        <w:t>must be</w:t>
      </w:r>
      <w:r w:rsidRPr="008F1E62">
        <w:rPr>
          <w:rFonts w:asciiTheme="minorHAnsi" w:hAnsiTheme="minorHAnsi" w:cs="Arial"/>
        </w:rPr>
        <w:t xml:space="preserve"> given to integrity, experience, education, training, and competence.  </w:t>
      </w:r>
      <w:r w:rsidR="00453F3C">
        <w:rPr>
          <w:rFonts w:asciiTheme="minorHAnsi" w:hAnsiTheme="minorHAnsi" w:cs="Arial"/>
        </w:rPr>
        <w:t>T</w:t>
      </w:r>
      <w:r w:rsidRPr="008F1E62">
        <w:rPr>
          <w:rFonts w:asciiTheme="minorHAnsi" w:hAnsiTheme="minorHAnsi" w:cs="Arial"/>
        </w:rPr>
        <w:t xml:space="preserve">o </w:t>
      </w:r>
      <w:r w:rsidR="00453F3C">
        <w:rPr>
          <w:rFonts w:asciiTheme="minorHAnsi" w:hAnsiTheme="minorHAnsi" w:cs="Arial"/>
        </w:rPr>
        <w:t xml:space="preserve">further </w:t>
      </w:r>
      <w:r w:rsidRPr="008F1E62">
        <w:rPr>
          <w:rFonts w:asciiTheme="minorHAnsi" w:hAnsiTheme="minorHAnsi" w:cs="Arial"/>
        </w:rPr>
        <w:t xml:space="preserve">reinforce the Code, the GCG also established a Corporate Governance Scorecard for GOCCs, which is to be implemented on all GOCCs being covered by the Governance Commission.  </w:t>
      </w:r>
    </w:p>
    <w:p w14:paraId="6084D045" w14:textId="6E03D33A" w:rsidR="00F76E53" w:rsidRDefault="00F76E53" w:rsidP="00FB3DC8">
      <w:pPr>
        <w:pStyle w:val="BodyText4"/>
        <w:numPr>
          <w:ilvl w:val="0"/>
          <w:numId w:val="2"/>
        </w:numPr>
        <w:spacing w:after="200" w:line="276" w:lineRule="auto"/>
        <w:ind w:left="0" w:hanging="567"/>
        <w:rPr>
          <w:rFonts w:asciiTheme="minorHAnsi" w:hAnsiTheme="minorHAnsi" w:cs="Arial"/>
        </w:rPr>
      </w:pPr>
      <w:r w:rsidRPr="008F1E62">
        <w:rPr>
          <w:rFonts w:asciiTheme="minorHAnsi" w:hAnsiTheme="minorHAnsi" w:cs="Arial"/>
          <w:b/>
          <w:bCs/>
        </w:rPr>
        <w:t xml:space="preserve">The Code requires every GOCC to maintain a Manual of Corporate Governance to promulgate and </w:t>
      </w:r>
      <w:r w:rsidRPr="008F1E62">
        <w:rPr>
          <w:rFonts w:ascii="Calibri" w:hAnsi="Calibri"/>
          <w:b/>
          <w:bCs/>
        </w:rPr>
        <w:t>adopt</w:t>
      </w:r>
      <w:r w:rsidRPr="008F1E62">
        <w:rPr>
          <w:rFonts w:asciiTheme="minorHAnsi" w:hAnsiTheme="minorHAnsi" w:cs="Arial"/>
          <w:b/>
          <w:bCs/>
        </w:rPr>
        <w:t xml:space="preserve"> its corporate governance rules and principles. </w:t>
      </w:r>
      <w:r w:rsidRPr="008F1E62">
        <w:rPr>
          <w:rFonts w:asciiTheme="minorHAnsi" w:hAnsiTheme="minorHAnsi" w:cs="Arial"/>
        </w:rPr>
        <w:t>The Manual is required to be submitted to the GCG.</w:t>
      </w:r>
    </w:p>
    <w:p w14:paraId="13333110" w14:textId="77777777" w:rsidR="00C25082" w:rsidRDefault="00C25082">
      <w:pPr>
        <w:spacing w:after="160" w:line="259" w:lineRule="auto"/>
        <w:jc w:val="left"/>
        <w:rPr>
          <w:sz w:val="24"/>
          <w:szCs w:val="24"/>
        </w:rPr>
      </w:pPr>
      <w:bookmarkStart w:id="39" w:name="_Ref471994165"/>
    </w:p>
    <w:p w14:paraId="0834DF41" w14:textId="595F57C7" w:rsidR="00CB01E1" w:rsidRDefault="00CB01E1">
      <w:pPr>
        <w:spacing w:after="160" w:line="259" w:lineRule="auto"/>
        <w:jc w:val="left"/>
        <w:rPr>
          <w:rFonts w:cstheme="majorBidi"/>
          <w:b/>
          <w:sz w:val="24"/>
          <w:szCs w:val="24"/>
        </w:rPr>
      </w:pPr>
    </w:p>
    <w:tbl>
      <w:tblPr>
        <w:tblStyle w:val="TableGrid1"/>
        <w:tblW w:w="5000" w:type="pct"/>
        <w:jc w:val="center"/>
        <w:tblCellSpacing w:w="43"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438"/>
        <w:gridCol w:w="3291"/>
        <w:gridCol w:w="4287"/>
      </w:tblGrid>
      <w:tr w:rsidR="00CB01E1" w:rsidRPr="00550E31" w14:paraId="72782A5B" w14:textId="77777777" w:rsidTr="0002662F">
        <w:trPr>
          <w:cantSplit/>
          <w:tblHeader/>
          <w:tblCellSpacing w:w="43" w:type="dxa"/>
          <w:jc w:val="center"/>
        </w:trPr>
        <w:tc>
          <w:tcPr>
            <w:tcW w:w="4914" w:type="pct"/>
            <w:gridSpan w:val="3"/>
            <w:shd w:val="clear" w:color="auto" w:fill="auto"/>
            <w:vAlign w:val="center"/>
          </w:tcPr>
          <w:bookmarkEnd w:id="39"/>
          <w:p w14:paraId="4E2166F9" w14:textId="06421F71" w:rsidR="00CB01E1" w:rsidRPr="00CB01E1" w:rsidRDefault="00CB01E1" w:rsidP="00764787">
            <w:pPr>
              <w:keepNext/>
              <w:keepLines/>
              <w:spacing w:after="0"/>
              <w:jc w:val="center"/>
              <w:rPr>
                <w:rFonts w:asciiTheme="minorHAnsi" w:hAnsiTheme="minorHAnsi" w:cs="Calibri"/>
                <w:b/>
                <w:color w:val="FFFFFF" w:themeColor="background1"/>
              </w:rPr>
            </w:pPr>
            <w:r w:rsidRPr="00CB01E1">
              <w:rPr>
                <w:rFonts w:asciiTheme="minorHAnsi" w:hAnsiTheme="minorHAnsi"/>
                <w:b/>
                <w:szCs w:val="24"/>
              </w:rPr>
              <w:t xml:space="preserve">Table </w:t>
            </w:r>
            <w:r w:rsidRPr="00CB01E1">
              <w:rPr>
                <w:b/>
                <w:szCs w:val="24"/>
              </w:rPr>
              <w:fldChar w:fldCharType="begin"/>
            </w:r>
            <w:r w:rsidRPr="00CB01E1">
              <w:rPr>
                <w:rFonts w:asciiTheme="minorHAnsi" w:hAnsiTheme="minorHAnsi"/>
                <w:b/>
                <w:szCs w:val="24"/>
              </w:rPr>
              <w:instrText xml:space="preserve"> SEQ Table \* ARABIC </w:instrText>
            </w:r>
            <w:r w:rsidRPr="00CB01E1">
              <w:rPr>
                <w:b/>
                <w:szCs w:val="24"/>
              </w:rPr>
              <w:fldChar w:fldCharType="separate"/>
            </w:r>
            <w:r w:rsidR="004310EC">
              <w:rPr>
                <w:rFonts w:asciiTheme="minorHAnsi" w:hAnsiTheme="minorHAnsi"/>
                <w:b/>
                <w:noProof/>
                <w:szCs w:val="24"/>
              </w:rPr>
              <w:t>9</w:t>
            </w:r>
            <w:r w:rsidRPr="00CB01E1">
              <w:rPr>
                <w:b/>
                <w:szCs w:val="24"/>
              </w:rPr>
              <w:fldChar w:fldCharType="end"/>
            </w:r>
            <w:r w:rsidRPr="00CB01E1">
              <w:rPr>
                <w:rFonts w:asciiTheme="minorHAnsi" w:hAnsiTheme="minorHAnsi"/>
                <w:b/>
                <w:szCs w:val="24"/>
              </w:rPr>
              <w:t xml:space="preserve">. Summary of </w:t>
            </w:r>
            <w:r w:rsidR="00220D8E">
              <w:rPr>
                <w:rFonts w:asciiTheme="minorHAnsi" w:hAnsiTheme="minorHAnsi"/>
                <w:b/>
                <w:szCs w:val="24"/>
              </w:rPr>
              <w:t>P</w:t>
            </w:r>
            <w:r w:rsidR="00220D8E" w:rsidRPr="00CB01E1">
              <w:rPr>
                <w:rFonts w:asciiTheme="minorHAnsi" w:hAnsiTheme="minorHAnsi"/>
                <w:b/>
                <w:szCs w:val="24"/>
              </w:rPr>
              <w:t xml:space="preserve">rincipal </w:t>
            </w:r>
            <w:r w:rsidR="00220D8E">
              <w:rPr>
                <w:rFonts w:asciiTheme="minorHAnsi" w:hAnsiTheme="minorHAnsi"/>
                <w:b/>
                <w:szCs w:val="24"/>
              </w:rPr>
              <w:t>S</w:t>
            </w:r>
            <w:r w:rsidR="00220D8E" w:rsidRPr="00CB01E1">
              <w:rPr>
                <w:rFonts w:asciiTheme="minorHAnsi" w:hAnsiTheme="minorHAnsi"/>
                <w:b/>
                <w:szCs w:val="24"/>
              </w:rPr>
              <w:t xml:space="preserve">tatutory </w:t>
            </w:r>
            <w:r w:rsidR="00220D8E">
              <w:rPr>
                <w:rFonts w:asciiTheme="minorHAnsi" w:hAnsiTheme="minorHAnsi"/>
                <w:b/>
                <w:szCs w:val="24"/>
              </w:rPr>
              <w:t>F</w:t>
            </w:r>
            <w:r w:rsidR="00220D8E" w:rsidRPr="00CB01E1">
              <w:rPr>
                <w:rFonts w:asciiTheme="minorHAnsi" w:hAnsiTheme="minorHAnsi"/>
                <w:b/>
                <w:szCs w:val="24"/>
              </w:rPr>
              <w:t xml:space="preserve">inancial </w:t>
            </w:r>
            <w:r w:rsidR="00220D8E">
              <w:rPr>
                <w:rFonts w:asciiTheme="minorHAnsi" w:hAnsiTheme="minorHAnsi"/>
                <w:b/>
                <w:szCs w:val="24"/>
              </w:rPr>
              <w:t>R</w:t>
            </w:r>
            <w:r w:rsidR="00220D8E" w:rsidRPr="00CB01E1">
              <w:rPr>
                <w:rFonts w:asciiTheme="minorHAnsi" w:hAnsiTheme="minorHAnsi"/>
                <w:b/>
                <w:szCs w:val="24"/>
              </w:rPr>
              <w:t xml:space="preserve">eporting </w:t>
            </w:r>
            <w:r w:rsidR="00220D8E">
              <w:rPr>
                <w:rFonts w:asciiTheme="minorHAnsi" w:hAnsiTheme="minorHAnsi"/>
                <w:b/>
                <w:szCs w:val="24"/>
              </w:rPr>
              <w:t>R</w:t>
            </w:r>
            <w:r w:rsidR="00220D8E" w:rsidRPr="00CB01E1">
              <w:rPr>
                <w:rFonts w:asciiTheme="minorHAnsi" w:hAnsiTheme="minorHAnsi"/>
                <w:b/>
                <w:szCs w:val="24"/>
              </w:rPr>
              <w:t xml:space="preserve">equirements </w:t>
            </w:r>
            <w:r w:rsidRPr="00CB01E1">
              <w:rPr>
                <w:rFonts w:asciiTheme="minorHAnsi" w:hAnsiTheme="minorHAnsi"/>
                <w:b/>
                <w:szCs w:val="24"/>
              </w:rPr>
              <w:t xml:space="preserve">for the </w:t>
            </w:r>
            <w:r w:rsidR="00220D8E">
              <w:rPr>
                <w:rFonts w:asciiTheme="minorHAnsi" w:hAnsiTheme="minorHAnsi"/>
                <w:b/>
                <w:szCs w:val="24"/>
              </w:rPr>
              <w:t>C</w:t>
            </w:r>
            <w:r w:rsidR="00220D8E" w:rsidRPr="00CB01E1">
              <w:rPr>
                <w:rFonts w:asciiTheme="minorHAnsi" w:hAnsiTheme="minorHAnsi"/>
                <w:b/>
                <w:szCs w:val="24"/>
              </w:rPr>
              <w:t xml:space="preserve">orporate </w:t>
            </w:r>
            <w:r w:rsidR="00220D8E">
              <w:rPr>
                <w:rFonts w:asciiTheme="minorHAnsi" w:hAnsiTheme="minorHAnsi"/>
                <w:b/>
                <w:szCs w:val="24"/>
              </w:rPr>
              <w:t>S</w:t>
            </w:r>
            <w:r w:rsidR="00220D8E" w:rsidRPr="00CB01E1">
              <w:rPr>
                <w:rFonts w:asciiTheme="minorHAnsi" w:hAnsiTheme="minorHAnsi"/>
                <w:b/>
                <w:szCs w:val="24"/>
              </w:rPr>
              <w:t>ector</w:t>
            </w:r>
          </w:p>
        </w:tc>
      </w:tr>
      <w:tr w:rsidR="00C04BF9" w:rsidRPr="00550E31" w14:paraId="7AC3F537" w14:textId="77777777" w:rsidTr="0002662F">
        <w:trPr>
          <w:cantSplit/>
          <w:tblHeader/>
          <w:tblCellSpacing w:w="43" w:type="dxa"/>
          <w:jc w:val="center"/>
        </w:trPr>
        <w:tc>
          <w:tcPr>
            <w:tcW w:w="697" w:type="pct"/>
            <w:shd w:val="clear" w:color="auto" w:fill="4472C4"/>
            <w:vAlign w:val="center"/>
          </w:tcPr>
          <w:p w14:paraId="3267B2A1" w14:textId="3635B60F" w:rsidR="00764787" w:rsidRPr="00550E31" w:rsidRDefault="00764787" w:rsidP="00764787">
            <w:pPr>
              <w:keepNext/>
              <w:keepLines/>
              <w:spacing w:after="0"/>
              <w:jc w:val="center"/>
              <w:rPr>
                <w:rFonts w:asciiTheme="minorHAnsi" w:hAnsiTheme="minorHAnsi" w:cs="Calibri"/>
                <w:b/>
                <w:color w:val="FFFFFF" w:themeColor="background1"/>
              </w:rPr>
            </w:pPr>
            <w:r w:rsidRPr="00550E31">
              <w:rPr>
                <w:rFonts w:asciiTheme="minorHAnsi" w:hAnsiTheme="minorHAnsi" w:cs="Calibri"/>
                <w:b/>
                <w:color w:val="FFFFFF" w:themeColor="background1"/>
              </w:rPr>
              <w:t>Applicable companies</w:t>
            </w:r>
          </w:p>
        </w:tc>
        <w:tc>
          <w:tcPr>
            <w:tcW w:w="1839" w:type="pct"/>
            <w:shd w:val="clear" w:color="auto" w:fill="4472C4"/>
            <w:vAlign w:val="center"/>
          </w:tcPr>
          <w:p w14:paraId="412F4B9B" w14:textId="206316B1" w:rsidR="00764787" w:rsidRPr="00550E31" w:rsidRDefault="00764787" w:rsidP="00764787">
            <w:pPr>
              <w:keepNext/>
              <w:keepLines/>
              <w:spacing w:after="0"/>
              <w:jc w:val="center"/>
              <w:rPr>
                <w:rFonts w:asciiTheme="minorHAnsi" w:hAnsiTheme="minorHAnsi" w:cs="Calibri"/>
                <w:b/>
                <w:color w:val="FFFFFF" w:themeColor="background1"/>
              </w:rPr>
            </w:pPr>
            <w:r w:rsidRPr="00550E31">
              <w:rPr>
                <w:rFonts w:asciiTheme="minorHAnsi" w:hAnsiTheme="minorHAnsi" w:cs="Calibri"/>
                <w:b/>
                <w:color w:val="FFFFFF" w:themeColor="background1"/>
              </w:rPr>
              <w:t>Legislation</w:t>
            </w:r>
          </w:p>
        </w:tc>
        <w:tc>
          <w:tcPr>
            <w:tcW w:w="2295" w:type="pct"/>
            <w:shd w:val="clear" w:color="auto" w:fill="4472C4"/>
            <w:vAlign w:val="center"/>
          </w:tcPr>
          <w:p w14:paraId="5D3CA648" w14:textId="77777777" w:rsidR="00764787" w:rsidRPr="00550E31" w:rsidRDefault="00764787" w:rsidP="00764787">
            <w:pPr>
              <w:keepNext/>
              <w:keepLines/>
              <w:spacing w:after="0"/>
              <w:jc w:val="center"/>
              <w:rPr>
                <w:rFonts w:asciiTheme="minorHAnsi" w:hAnsiTheme="minorHAnsi" w:cs="Calibri"/>
                <w:b/>
                <w:color w:val="FFFFFF" w:themeColor="background1"/>
              </w:rPr>
            </w:pPr>
            <w:r w:rsidRPr="00550E31">
              <w:rPr>
                <w:rFonts w:asciiTheme="minorHAnsi" w:hAnsiTheme="minorHAnsi" w:cs="Calibri"/>
                <w:b/>
                <w:color w:val="FFFFFF" w:themeColor="background1"/>
              </w:rPr>
              <w:t>Key financial reporting requirements</w:t>
            </w:r>
          </w:p>
        </w:tc>
      </w:tr>
      <w:tr w:rsidR="00C04BF9" w:rsidRPr="00550E31" w14:paraId="63550FA3" w14:textId="77777777" w:rsidTr="0002662F">
        <w:trPr>
          <w:cantSplit/>
          <w:trHeight w:val="20"/>
          <w:tblCellSpacing w:w="43" w:type="dxa"/>
          <w:jc w:val="center"/>
        </w:trPr>
        <w:tc>
          <w:tcPr>
            <w:tcW w:w="697" w:type="pct"/>
            <w:vMerge w:val="restart"/>
            <w:shd w:val="clear" w:color="auto" w:fill="E7E6E6" w:themeFill="background2"/>
            <w:vAlign w:val="center"/>
          </w:tcPr>
          <w:p w14:paraId="6003CF87" w14:textId="459628E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hAnsiTheme="minorHAnsi" w:cstheme="minorHAnsi"/>
              </w:rPr>
              <w:t>Listed and non-listed corporations</w:t>
            </w:r>
          </w:p>
        </w:tc>
        <w:tc>
          <w:tcPr>
            <w:tcW w:w="1839" w:type="pct"/>
            <w:shd w:val="clear" w:color="auto" w:fill="E7E6E6" w:themeFill="background2"/>
            <w:vAlign w:val="center"/>
          </w:tcPr>
          <w:p w14:paraId="4AA32FBF" w14:textId="4A691946"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 xml:space="preserve">The Corporation Code of the Philippines or Batas </w:t>
            </w:r>
            <w:proofErr w:type="spellStart"/>
            <w:r w:rsidRPr="00550E31">
              <w:rPr>
                <w:rFonts w:asciiTheme="minorHAnsi" w:eastAsia="MS Gothic" w:hAnsiTheme="minorHAnsi"/>
                <w:b/>
              </w:rPr>
              <w:t>Pambansa</w:t>
            </w:r>
            <w:proofErr w:type="spellEnd"/>
            <w:r w:rsidRPr="00550E31">
              <w:rPr>
                <w:rFonts w:asciiTheme="minorHAnsi" w:eastAsia="MS Gothic" w:hAnsiTheme="minorHAnsi"/>
                <w:b/>
              </w:rPr>
              <w:t xml:space="preserve"> No. 68</w:t>
            </w:r>
          </w:p>
        </w:tc>
        <w:tc>
          <w:tcPr>
            <w:tcW w:w="2295" w:type="pct"/>
            <w:shd w:val="clear" w:color="auto" w:fill="E7E6E6" w:themeFill="background2"/>
            <w:vAlign w:val="center"/>
          </w:tcPr>
          <w:p w14:paraId="4811862C" w14:textId="0CEDAA0C" w:rsidR="00764787" w:rsidRPr="00550E31" w:rsidRDefault="00764787" w:rsidP="00C72B0D">
            <w:pPr>
              <w:pStyle w:val="BodyText4"/>
              <w:spacing w:line="276" w:lineRule="auto"/>
              <w:jc w:val="left"/>
              <w:rPr>
                <w:rFonts w:asciiTheme="minorHAnsi" w:hAnsiTheme="minorHAnsi"/>
              </w:rPr>
            </w:pPr>
            <w:r w:rsidRPr="00550E31">
              <w:rPr>
                <w:rFonts w:asciiTheme="minorHAnsi" w:hAnsiTheme="minorHAnsi"/>
              </w:rPr>
              <w:t xml:space="preserve"> BP no. 68 Section 141 – Annual report of corporations</w:t>
            </w:r>
          </w:p>
        </w:tc>
      </w:tr>
      <w:tr w:rsidR="00C04BF9" w:rsidRPr="00550E31" w14:paraId="4869CBAA" w14:textId="77777777" w:rsidTr="0002662F">
        <w:trPr>
          <w:cantSplit/>
          <w:trHeight w:val="20"/>
          <w:tblCellSpacing w:w="43" w:type="dxa"/>
          <w:jc w:val="center"/>
        </w:trPr>
        <w:tc>
          <w:tcPr>
            <w:tcW w:w="697" w:type="pct"/>
            <w:vMerge/>
            <w:shd w:val="clear" w:color="auto" w:fill="E7E6E6" w:themeFill="background2"/>
            <w:vAlign w:val="center"/>
          </w:tcPr>
          <w:p w14:paraId="06A1B0BF" w14:textId="7777777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p>
        </w:tc>
        <w:tc>
          <w:tcPr>
            <w:tcW w:w="1839" w:type="pct"/>
            <w:vMerge w:val="restart"/>
            <w:shd w:val="clear" w:color="auto" w:fill="E7E6E6" w:themeFill="background2"/>
            <w:vAlign w:val="center"/>
          </w:tcPr>
          <w:p w14:paraId="1E3906ED" w14:textId="15F69369"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The SRC or RA No. 8799</w:t>
            </w:r>
          </w:p>
        </w:tc>
        <w:tc>
          <w:tcPr>
            <w:tcW w:w="2295" w:type="pct"/>
            <w:shd w:val="clear" w:color="auto" w:fill="E7E6E6" w:themeFill="background2"/>
            <w:vAlign w:val="center"/>
          </w:tcPr>
          <w:p w14:paraId="2403FF67" w14:textId="47E37AD1" w:rsidR="00764787" w:rsidRPr="00550E31" w:rsidRDefault="00764787" w:rsidP="00C72B0D">
            <w:pPr>
              <w:pStyle w:val="BodyText4"/>
              <w:spacing w:line="276" w:lineRule="auto"/>
              <w:jc w:val="left"/>
              <w:rPr>
                <w:rFonts w:asciiTheme="minorHAnsi" w:hAnsiTheme="minorHAnsi"/>
              </w:rPr>
            </w:pPr>
            <w:r w:rsidRPr="00550E31">
              <w:rPr>
                <w:rFonts w:asciiTheme="minorHAnsi" w:hAnsiTheme="minorHAnsi"/>
              </w:rPr>
              <w:t>SRC Chapter V – Reportorial Requirements</w:t>
            </w:r>
          </w:p>
        </w:tc>
      </w:tr>
      <w:tr w:rsidR="00C04BF9" w:rsidRPr="00550E31" w14:paraId="7B84E840" w14:textId="77777777" w:rsidTr="0002662F">
        <w:trPr>
          <w:cantSplit/>
          <w:trHeight w:val="20"/>
          <w:tblCellSpacing w:w="43" w:type="dxa"/>
          <w:jc w:val="center"/>
        </w:trPr>
        <w:tc>
          <w:tcPr>
            <w:tcW w:w="697" w:type="pct"/>
            <w:vMerge/>
            <w:shd w:val="clear" w:color="auto" w:fill="E7E6E6" w:themeFill="background2"/>
            <w:vAlign w:val="center"/>
          </w:tcPr>
          <w:p w14:paraId="7FB004E9" w14:textId="7777777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p>
        </w:tc>
        <w:tc>
          <w:tcPr>
            <w:tcW w:w="1839" w:type="pct"/>
            <w:vMerge/>
            <w:shd w:val="clear" w:color="auto" w:fill="E7E6E6" w:themeFill="background2"/>
            <w:vAlign w:val="center"/>
          </w:tcPr>
          <w:p w14:paraId="5C3E92B8" w14:textId="267D3C1F"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p>
        </w:tc>
        <w:tc>
          <w:tcPr>
            <w:tcW w:w="2295" w:type="pct"/>
            <w:shd w:val="clear" w:color="auto" w:fill="E7E6E6" w:themeFill="background2"/>
            <w:vAlign w:val="center"/>
          </w:tcPr>
          <w:p w14:paraId="07BD12BF" w14:textId="0AE6B458" w:rsidR="00764787" w:rsidRPr="00550E31" w:rsidRDefault="00764787" w:rsidP="00C72B0D">
            <w:pPr>
              <w:pStyle w:val="BodyText4"/>
              <w:spacing w:line="276" w:lineRule="auto"/>
              <w:jc w:val="left"/>
              <w:rPr>
                <w:rFonts w:asciiTheme="minorHAnsi" w:hAnsiTheme="minorHAnsi"/>
              </w:rPr>
            </w:pPr>
            <w:r w:rsidRPr="00550E31">
              <w:rPr>
                <w:rFonts w:asciiTheme="minorHAnsi" w:hAnsiTheme="minorHAnsi"/>
              </w:rPr>
              <w:t>SRC Rule 68, as amended (2011 version) – Part I General Financial Reporting Requirements; and Part II Additional Requirements for Issuers of Securities to the Public</w:t>
            </w:r>
          </w:p>
        </w:tc>
      </w:tr>
      <w:tr w:rsidR="00CB01E1" w:rsidRPr="00550E31" w14:paraId="72CEC911" w14:textId="77777777" w:rsidTr="0002662F">
        <w:trPr>
          <w:cantSplit/>
          <w:trHeight w:val="28"/>
          <w:tblCellSpacing w:w="43" w:type="dxa"/>
          <w:jc w:val="center"/>
        </w:trPr>
        <w:tc>
          <w:tcPr>
            <w:tcW w:w="697" w:type="pct"/>
            <w:shd w:val="clear" w:color="auto" w:fill="BFBFBF" w:themeFill="background1" w:themeFillShade="BF"/>
            <w:vAlign w:val="center"/>
          </w:tcPr>
          <w:p w14:paraId="475069D3" w14:textId="2CABFC63"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hAnsiTheme="minorHAnsi" w:cstheme="minorHAnsi"/>
              </w:rPr>
              <w:t>SEC-registered and regulated corporations</w:t>
            </w:r>
          </w:p>
        </w:tc>
        <w:tc>
          <w:tcPr>
            <w:tcW w:w="1839" w:type="pct"/>
            <w:shd w:val="clear" w:color="auto" w:fill="BFBFBF" w:themeFill="background1" w:themeFillShade="BF"/>
            <w:vAlign w:val="center"/>
          </w:tcPr>
          <w:p w14:paraId="1DB709E8" w14:textId="770EE258"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 xml:space="preserve">Revised Code of Corporate Governance - </w:t>
            </w:r>
            <w:r w:rsidRPr="00550E31">
              <w:rPr>
                <w:rFonts w:asciiTheme="minorHAnsi" w:eastAsia="MS Gothic" w:hAnsiTheme="minorHAnsi" w:cstheme="minorHAnsi"/>
              </w:rPr>
              <w:t>SEC Memorandum Circular (MC) no.6, s2009 and as amended through SEC MC no.9, s2014</w:t>
            </w:r>
          </w:p>
        </w:tc>
        <w:tc>
          <w:tcPr>
            <w:tcW w:w="2295" w:type="pct"/>
            <w:shd w:val="clear" w:color="auto" w:fill="BFBFBF" w:themeFill="background1" w:themeFillShade="BF"/>
            <w:vAlign w:val="center"/>
          </w:tcPr>
          <w:p w14:paraId="388C20B0" w14:textId="77777777" w:rsidR="00764787" w:rsidRPr="00550E31" w:rsidRDefault="00764787" w:rsidP="00C72B0D">
            <w:pPr>
              <w:pStyle w:val="BodyText4"/>
              <w:spacing w:line="276" w:lineRule="auto"/>
              <w:jc w:val="left"/>
              <w:rPr>
                <w:rFonts w:asciiTheme="minorHAnsi" w:hAnsiTheme="minorHAnsi"/>
              </w:rPr>
            </w:pPr>
            <w:r w:rsidRPr="00550E31">
              <w:rPr>
                <w:rFonts w:asciiTheme="minorHAnsi" w:hAnsiTheme="minorHAnsi"/>
              </w:rPr>
              <w:t>Accountability</w:t>
            </w:r>
            <w:r w:rsidRPr="00550E31">
              <w:rPr>
                <w:rFonts w:asciiTheme="minorHAnsi" w:eastAsia="MS Gothic" w:hAnsiTheme="minorHAnsi" w:cstheme="minorHAnsi"/>
              </w:rPr>
              <w:t xml:space="preserve"> and Audit</w:t>
            </w:r>
          </w:p>
        </w:tc>
      </w:tr>
      <w:tr w:rsidR="00C04BF9" w:rsidRPr="00550E31" w14:paraId="015E10C5" w14:textId="77777777" w:rsidTr="0002662F">
        <w:trPr>
          <w:cantSplit/>
          <w:trHeight w:val="28"/>
          <w:tblCellSpacing w:w="43" w:type="dxa"/>
          <w:jc w:val="center"/>
        </w:trPr>
        <w:tc>
          <w:tcPr>
            <w:tcW w:w="697" w:type="pct"/>
            <w:shd w:val="clear" w:color="auto" w:fill="E7E6E6" w:themeFill="background2"/>
            <w:vAlign w:val="center"/>
          </w:tcPr>
          <w:p w14:paraId="470C58F4" w14:textId="5CFE2CF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hAnsiTheme="minorHAnsi" w:cstheme="minorHAnsi"/>
              </w:rPr>
              <w:t>Listed companies</w:t>
            </w:r>
          </w:p>
        </w:tc>
        <w:tc>
          <w:tcPr>
            <w:tcW w:w="1839" w:type="pct"/>
            <w:shd w:val="clear" w:color="auto" w:fill="E7E6E6" w:themeFill="background2"/>
            <w:vAlign w:val="center"/>
          </w:tcPr>
          <w:p w14:paraId="020475CF" w14:textId="6AADDDD6"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 xml:space="preserve">Code of Corporate Governance for Publicly-Listed Companies - </w:t>
            </w:r>
            <w:r w:rsidRPr="00550E31">
              <w:rPr>
                <w:rFonts w:asciiTheme="minorHAnsi" w:eastAsia="MS Gothic" w:hAnsiTheme="minorHAnsi" w:cstheme="minorHAnsi"/>
              </w:rPr>
              <w:t>SEC MC no.19, s2016</w:t>
            </w:r>
          </w:p>
        </w:tc>
        <w:tc>
          <w:tcPr>
            <w:tcW w:w="2295" w:type="pct"/>
            <w:shd w:val="clear" w:color="auto" w:fill="E7E6E6" w:themeFill="background2"/>
            <w:vAlign w:val="center"/>
          </w:tcPr>
          <w:p w14:paraId="21E8F725" w14:textId="77777777" w:rsidR="00764787" w:rsidRPr="00550E31" w:rsidRDefault="00764787" w:rsidP="00C72B0D">
            <w:pPr>
              <w:pStyle w:val="BodyText4"/>
              <w:spacing w:line="276" w:lineRule="auto"/>
              <w:jc w:val="left"/>
              <w:rPr>
                <w:rFonts w:asciiTheme="minorHAnsi" w:hAnsiTheme="minorHAnsi"/>
              </w:rPr>
            </w:pPr>
            <w:r w:rsidRPr="00550E31">
              <w:rPr>
                <w:rFonts w:asciiTheme="minorHAnsi" w:eastAsia="MS Gothic" w:hAnsiTheme="minorHAnsi"/>
              </w:rPr>
              <w:t>Disclosure and Transparency</w:t>
            </w:r>
          </w:p>
        </w:tc>
      </w:tr>
      <w:tr w:rsidR="00C04BF9" w:rsidRPr="00550E31" w14:paraId="4B84546E" w14:textId="77777777" w:rsidTr="0002662F">
        <w:trPr>
          <w:cantSplit/>
          <w:trHeight w:val="20"/>
          <w:tblCellSpacing w:w="43" w:type="dxa"/>
          <w:jc w:val="center"/>
        </w:trPr>
        <w:tc>
          <w:tcPr>
            <w:tcW w:w="697" w:type="pct"/>
            <w:vMerge w:val="restart"/>
            <w:shd w:val="clear" w:color="auto" w:fill="BFBFBF" w:themeFill="background1" w:themeFillShade="BF"/>
            <w:vAlign w:val="center"/>
          </w:tcPr>
          <w:p w14:paraId="5FFC1468" w14:textId="1E0FF91E"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hAnsiTheme="minorHAnsi" w:cstheme="minorHAnsi"/>
              </w:rPr>
              <w:t>Banks</w:t>
            </w:r>
          </w:p>
        </w:tc>
        <w:tc>
          <w:tcPr>
            <w:tcW w:w="1839" w:type="pct"/>
            <w:shd w:val="clear" w:color="auto" w:fill="BFBFBF" w:themeFill="background1" w:themeFillShade="BF"/>
            <w:vAlign w:val="center"/>
          </w:tcPr>
          <w:p w14:paraId="10B5FFFB" w14:textId="28359BF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General Banking Law or RA No. 8791</w:t>
            </w:r>
          </w:p>
        </w:tc>
        <w:tc>
          <w:tcPr>
            <w:tcW w:w="2295" w:type="pct"/>
            <w:shd w:val="clear" w:color="auto" w:fill="BFBFBF" w:themeFill="background1" w:themeFillShade="BF"/>
            <w:vAlign w:val="center"/>
          </w:tcPr>
          <w:p w14:paraId="305BC43E" w14:textId="77777777" w:rsidR="00764787" w:rsidRPr="00550E31" w:rsidRDefault="00764787" w:rsidP="00C72B0D">
            <w:pPr>
              <w:pStyle w:val="BodyText4"/>
              <w:spacing w:line="276" w:lineRule="auto"/>
              <w:ind w:left="72"/>
              <w:jc w:val="left"/>
              <w:rPr>
                <w:rFonts w:asciiTheme="minorHAnsi" w:eastAsia="MS Gothic" w:hAnsiTheme="minorHAnsi"/>
              </w:rPr>
            </w:pPr>
            <w:r w:rsidRPr="00550E31">
              <w:rPr>
                <w:rFonts w:asciiTheme="minorHAnsi" w:eastAsia="MS Gothic" w:hAnsiTheme="minorHAnsi"/>
              </w:rPr>
              <w:t>General Banking Law Section 60 – Financial statements</w:t>
            </w:r>
          </w:p>
        </w:tc>
      </w:tr>
      <w:tr w:rsidR="00C04BF9" w:rsidRPr="00550E31" w14:paraId="65EE7DE1" w14:textId="77777777" w:rsidTr="0002662F">
        <w:trPr>
          <w:cantSplit/>
          <w:trHeight w:val="20"/>
          <w:tblCellSpacing w:w="43" w:type="dxa"/>
          <w:jc w:val="center"/>
        </w:trPr>
        <w:tc>
          <w:tcPr>
            <w:tcW w:w="697" w:type="pct"/>
            <w:vMerge/>
            <w:shd w:val="clear" w:color="auto" w:fill="BFBFBF" w:themeFill="background1" w:themeFillShade="BF"/>
            <w:vAlign w:val="center"/>
          </w:tcPr>
          <w:p w14:paraId="10E7A955" w14:textId="7777777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p>
        </w:tc>
        <w:tc>
          <w:tcPr>
            <w:tcW w:w="1839" w:type="pct"/>
            <w:shd w:val="clear" w:color="auto" w:fill="BFBFBF" w:themeFill="background1" w:themeFillShade="BF"/>
            <w:vAlign w:val="center"/>
          </w:tcPr>
          <w:p w14:paraId="2EA7D03F" w14:textId="2AAB3035"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 xml:space="preserve">Guidelines in Strengthening Corporate Governance in BSP Supervised Financial Institutions – </w:t>
            </w:r>
            <w:r w:rsidRPr="00550E31">
              <w:rPr>
                <w:rFonts w:asciiTheme="minorHAnsi" w:eastAsia="MS Gothic" w:hAnsiTheme="minorHAnsi"/>
              </w:rPr>
              <w:t>BSP</w:t>
            </w:r>
            <w:r w:rsidRPr="00550E31">
              <w:rPr>
                <w:rFonts w:asciiTheme="minorHAnsi" w:eastAsia="MS Gothic" w:hAnsiTheme="minorHAnsi"/>
                <w:b/>
              </w:rPr>
              <w:t xml:space="preserve"> </w:t>
            </w:r>
            <w:r w:rsidRPr="00550E31">
              <w:rPr>
                <w:rFonts w:asciiTheme="minorHAnsi" w:eastAsia="MS Gothic" w:hAnsiTheme="minorHAnsi" w:cstheme="minorHAnsi"/>
              </w:rPr>
              <w:t>Circular no. 749, s2012</w:t>
            </w:r>
          </w:p>
        </w:tc>
        <w:tc>
          <w:tcPr>
            <w:tcW w:w="2295" w:type="pct"/>
            <w:shd w:val="clear" w:color="auto" w:fill="BFBFBF" w:themeFill="background1" w:themeFillShade="BF"/>
            <w:vAlign w:val="center"/>
          </w:tcPr>
          <w:p w14:paraId="784ABAD5"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Section 6 - Reports</w:t>
            </w:r>
          </w:p>
        </w:tc>
      </w:tr>
      <w:tr w:rsidR="00C04BF9" w:rsidRPr="00550E31" w14:paraId="5F7F7605" w14:textId="77777777" w:rsidTr="0002662F">
        <w:trPr>
          <w:cantSplit/>
          <w:trHeight w:val="20"/>
          <w:tblCellSpacing w:w="43" w:type="dxa"/>
          <w:jc w:val="center"/>
        </w:trPr>
        <w:tc>
          <w:tcPr>
            <w:tcW w:w="697" w:type="pct"/>
            <w:vMerge/>
            <w:shd w:val="clear" w:color="auto" w:fill="BFBFBF" w:themeFill="background1" w:themeFillShade="BF"/>
            <w:vAlign w:val="center"/>
          </w:tcPr>
          <w:p w14:paraId="20FC7A93" w14:textId="7777777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cstheme="minorHAnsi"/>
                <w:b/>
              </w:rPr>
            </w:pPr>
          </w:p>
        </w:tc>
        <w:tc>
          <w:tcPr>
            <w:tcW w:w="1839" w:type="pct"/>
            <w:shd w:val="clear" w:color="auto" w:fill="BFBFBF" w:themeFill="background1" w:themeFillShade="BF"/>
            <w:vAlign w:val="center"/>
          </w:tcPr>
          <w:p w14:paraId="09600E5D" w14:textId="398205F0"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cstheme="minorHAnsi"/>
                <w:b/>
              </w:rPr>
            </w:pPr>
            <w:r w:rsidRPr="00550E31">
              <w:rPr>
                <w:rFonts w:asciiTheme="minorHAnsi" w:eastAsia="MS Gothic" w:hAnsiTheme="minorHAnsi" w:cstheme="minorHAnsi"/>
                <w:b/>
              </w:rPr>
              <w:t xml:space="preserve">BSP Manual of Regulations for Banks </w:t>
            </w:r>
          </w:p>
        </w:tc>
        <w:tc>
          <w:tcPr>
            <w:tcW w:w="2295" w:type="pct"/>
            <w:shd w:val="clear" w:color="auto" w:fill="BFBFBF" w:themeFill="background1" w:themeFillShade="BF"/>
            <w:vAlign w:val="center"/>
          </w:tcPr>
          <w:p w14:paraId="1F38C237"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Section X190 – Audited Financial Statements of Banks</w:t>
            </w:r>
          </w:p>
        </w:tc>
      </w:tr>
      <w:tr w:rsidR="00C04BF9" w:rsidRPr="00550E31" w14:paraId="234DBB3F" w14:textId="77777777" w:rsidTr="0002662F">
        <w:trPr>
          <w:cantSplit/>
          <w:trHeight w:val="20"/>
          <w:tblCellSpacing w:w="43" w:type="dxa"/>
          <w:jc w:val="center"/>
        </w:trPr>
        <w:tc>
          <w:tcPr>
            <w:tcW w:w="697" w:type="pct"/>
            <w:vMerge w:val="restart"/>
            <w:shd w:val="clear" w:color="auto" w:fill="E7E6E6" w:themeFill="background2"/>
            <w:vAlign w:val="center"/>
          </w:tcPr>
          <w:p w14:paraId="732E48F5" w14:textId="65D4B143"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hAnsiTheme="minorHAnsi" w:cstheme="minorHAnsi"/>
              </w:rPr>
              <w:t>Life and nonlife insurance companies</w:t>
            </w:r>
          </w:p>
        </w:tc>
        <w:tc>
          <w:tcPr>
            <w:tcW w:w="1839" w:type="pct"/>
            <w:shd w:val="clear" w:color="auto" w:fill="E7E6E6" w:themeFill="background2"/>
            <w:vAlign w:val="center"/>
          </w:tcPr>
          <w:p w14:paraId="37DF86F1" w14:textId="172FBF6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New Insurance Code or RA No. 106</w:t>
            </w:r>
          </w:p>
        </w:tc>
        <w:tc>
          <w:tcPr>
            <w:tcW w:w="2295" w:type="pct"/>
            <w:shd w:val="clear" w:color="auto" w:fill="E7E6E6" w:themeFill="background2"/>
            <w:vAlign w:val="center"/>
          </w:tcPr>
          <w:p w14:paraId="1E14E97A"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Insurance Code Sections 189 – Financial Reporting Framework and 231 – Accounting rules and regulation</w:t>
            </w:r>
          </w:p>
        </w:tc>
      </w:tr>
      <w:tr w:rsidR="00C04BF9" w:rsidRPr="00550E31" w14:paraId="71B5623D" w14:textId="77777777" w:rsidTr="0002662F">
        <w:trPr>
          <w:cantSplit/>
          <w:tblCellSpacing w:w="43" w:type="dxa"/>
          <w:jc w:val="center"/>
        </w:trPr>
        <w:tc>
          <w:tcPr>
            <w:tcW w:w="697" w:type="pct"/>
            <w:vMerge/>
            <w:shd w:val="clear" w:color="auto" w:fill="E7E6E6" w:themeFill="background2"/>
            <w:vAlign w:val="center"/>
          </w:tcPr>
          <w:p w14:paraId="2C1830AE" w14:textId="7777777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p>
        </w:tc>
        <w:tc>
          <w:tcPr>
            <w:tcW w:w="1839" w:type="pct"/>
            <w:shd w:val="clear" w:color="auto" w:fill="E7E6E6" w:themeFill="background2"/>
            <w:vAlign w:val="center"/>
          </w:tcPr>
          <w:p w14:paraId="78153620" w14:textId="1A09F04D"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Pre-Need Code or RA No. 9829</w:t>
            </w:r>
          </w:p>
        </w:tc>
        <w:tc>
          <w:tcPr>
            <w:tcW w:w="2295" w:type="pct"/>
            <w:shd w:val="clear" w:color="auto" w:fill="E7E6E6" w:themeFill="background2"/>
            <w:vAlign w:val="center"/>
          </w:tcPr>
          <w:p w14:paraId="50AF574F"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Pre-Need Code Section 42 – Annual Audited Financial Statements</w:t>
            </w:r>
          </w:p>
        </w:tc>
      </w:tr>
      <w:tr w:rsidR="00C04BF9" w:rsidRPr="00550E31" w14:paraId="53A0D30F" w14:textId="77777777" w:rsidTr="0002662F">
        <w:trPr>
          <w:cantSplit/>
          <w:tblCellSpacing w:w="43" w:type="dxa"/>
          <w:jc w:val="center"/>
        </w:trPr>
        <w:tc>
          <w:tcPr>
            <w:tcW w:w="697" w:type="pct"/>
            <w:vMerge/>
            <w:shd w:val="clear" w:color="auto" w:fill="E7E6E6" w:themeFill="background2"/>
            <w:vAlign w:val="center"/>
          </w:tcPr>
          <w:p w14:paraId="079E069E" w14:textId="7777777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p>
        </w:tc>
        <w:tc>
          <w:tcPr>
            <w:tcW w:w="1839" w:type="pct"/>
            <w:shd w:val="clear" w:color="auto" w:fill="E7E6E6" w:themeFill="background2"/>
            <w:vAlign w:val="center"/>
          </w:tcPr>
          <w:p w14:paraId="5686B79E" w14:textId="6689E8D5"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eastAsia="MS Gothic" w:hAnsiTheme="minorHAnsi"/>
                <w:b/>
              </w:rPr>
            </w:pPr>
            <w:r w:rsidRPr="00550E31">
              <w:rPr>
                <w:rFonts w:asciiTheme="minorHAnsi" w:eastAsia="MS Gothic" w:hAnsiTheme="minorHAnsi"/>
                <w:b/>
              </w:rPr>
              <w:t xml:space="preserve">Code of Corporate Governance Principles and Leading Practices – </w:t>
            </w:r>
            <w:r w:rsidRPr="00550E31">
              <w:rPr>
                <w:rFonts w:asciiTheme="minorHAnsi" w:eastAsia="MS Gothic" w:hAnsiTheme="minorHAnsi"/>
              </w:rPr>
              <w:t>IC Circular no. 31, s2005</w:t>
            </w:r>
          </w:p>
        </w:tc>
        <w:tc>
          <w:tcPr>
            <w:tcW w:w="2295" w:type="pct"/>
            <w:shd w:val="clear" w:color="auto" w:fill="E7E6E6" w:themeFill="background2"/>
            <w:vAlign w:val="center"/>
          </w:tcPr>
          <w:p w14:paraId="53CF529A"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Accountability and Audit</w:t>
            </w:r>
          </w:p>
        </w:tc>
      </w:tr>
      <w:tr w:rsidR="00C04BF9" w:rsidRPr="00550E31" w14:paraId="3522D808" w14:textId="77777777" w:rsidTr="0002662F">
        <w:trPr>
          <w:cantSplit/>
          <w:tblCellSpacing w:w="43" w:type="dxa"/>
          <w:jc w:val="center"/>
        </w:trPr>
        <w:tc>
          <w:tcPr>
            <w:tcW w:w="697" w:type="pct"/>
            <w:shd w:val="clear" w:color="auto" w:fill="BFBFBF" w:themeFill="background1" w:themeFillShade="BF"/>
            <w:vAlign w:val="center"/>
          </w:tcPr>
          <w:p w14:paraId="7CC71D50" w14:textId="2BA14E7A"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r w:rsidRPr="00550E31">
              <w:rPr>
                <w:rFonts w:asciiTheme="minorHAnsi" w:hAnsiTheme="minorHAnsi" w:cstheme="minorHAnsi"/>
              </w:rPr>
              <w:t>Cooperatives</w:t>
            </w:r>
          </w:p>
        </w:tc>
        <w:tc>
          <w:tcPr>
            <w:tcW w:w="1839" w:type="pct"/>
            <w:shd w:val="clear" w:color="auto" w:fill="BFBFBF" w:themeFill="background1" w:themeFillShade="BF"/>
            <w:vAlign w:val="center"/>
          </w:tcPr>
          <w:p w14:paraId="7EC9CEE3" w14:textId="446CFCB5"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r w:rsidRPr="00550E31">
              <w:rPr>
                <w:rFonts w:asciiTheme="minorHAnsi" w:hAnsiTheme="minorHAnsi"/>
                <w:b/>
              </w:rPr>
              <w:t>The Philippine Cooperative Code o</w:t>
            </w:r>
            <w:r w:rsidR="00C72B0D" w:rsidRPr="00550E31">
              <w:rPr>
                <w:rFonts w:asciiTheme="minorHAnsi" w:hAnsiTheme="minorHAnsi"/>
                <w:b/>
              </w:rPr>
              <w:t>f 2008 or RA No. 9520</w:t>
            </w:r>
          </w:p>
        </w:tc>
        <w:tc>
          <w:tcPr>
            <w:tcW w:w="2295" w:type="pct"/>
            <w:shd w:val="clear" w:color="auto" w:fill="BFBFBF" w:themeFill="background1" w:themeFillShade="BF"/>
            <w:vAlign w:val="center"/>
          </w:tcPr>
          <w:p w14:paraId="32CE731C"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Chapter IX – Audit, Inquiry and Members’ Right to Examine</w:t>
            </w:r>
          </w:p>
        </w:tc>
      </w:tr>
      <w:tr w:rsidR="00C04BF9" w:rsidRPr="00550E31" w14:paraId="6AA126DE" w14:textId="77777777" w:rsidTr="0002662F">
        <w:trPr>
          <w:cantSplit/>
          <w:tblCellSpacing w:w="43" w:type="dxa"/>
          <w:jc w:val="center"/>
        </w:trPr>
        <w:tc>
          <w:tcPr>
            <w:tcW w:w="697" w:type="pct"/>
            <w:shd w:val="clear" w:color="auto" w:fill="E7E6E6" w:themeFill="background2"/>
            <w:vAlign w:val="center"/>
          </w:tcPr>
          <w:p w14:paraId="41C8AF49" w14:textId="664C70D0"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r w:rsidRPr="00550E31">
              <w:rPr>
                <w:rFonts w:asciiTheme="minorHAnsi" w:hAnsiTheme="minorHAnsi" w:cstheme="minorHAnsi"/>
              </w:rPr>
              <w:t>Electric cooperatives</w:t>
            </w:r>
          </w:p>
        </w:tc>
        <w:tc>
          <w:tcPr>
            <w:tcW w:w="1839" w:type="pct"/>
            <w:shd w:val="clear" w:color="auto" w:fill="E7E6E6" w:themeFill="background2"/>
            <w:vAlign w:val="center"/>
          </w:tcPr>
          <w:p w14:paraId="14C6831A" w14:textId="4889960B"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r w:rsidRPr="00550E31">
              <w:rPr>
                <w:rFonts w:asciiTheme="minorHAnsi" w:hAnsiTheme="minorHAnsi"/>
                <w:b/>
              </w:rPr>
              <w:t>National Electrification Administration Reform Act of 2013 or RA 10531</w:t>
            </w:r>
          </w:p>
        </w:tc>
        <w:tc>
          <w:tcPr>
            <w:tcW w:w="2295" w:type="pct"/>
            <w:shd w:val="clear" w:color="auto" w:fill="E7E6E6" w:themeFill="background2"/>
            <w:vAlign w:val="center"/>
          </w:tcPr>
          <w:p w14:paraId="0127B040"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Section 12 – Registration of All Electric Cooperatives (submission of the reportorial requirements, which include audited financial statements)</w:t>
            </w:r>
          </w:p>
        </w:tc>
      </w:tr>
      <w:tr w:rsidR="00C04BF9" w:rsidRPr="00550E31" w14:paraId="3C6C6F0A" w14:textId="77777777" w:rsidTr="0002662F">
        <w:trPr>
          <w:cantSplit/>
          <w:tblCellSpacing w:w="43" w:type="dxa"/>
          <w:jc w:val="center"/>
        </w:trPr>
        <w:tc>
          <w:tcPr>
            <w:tcW w:w="697" w:type="pct"/>
            <w:vMerge w:val="restart"/>
            <w:shd w:val="clear" w:color="auto" w:fill="BFBFBF" w:themeFill="background1" w:themeFillShade="BF"/>
            <w:vAlign w:val="center"/>
          </w:tcPr>
          <w:p w14:paraId="5990FA56" w14:textId="1D90DB3E"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r w:rsidRPr="00550E31">
              <w:rPr>
                <w:rFonts w:asciiTheme="minorHAnsi" w:hAnsiTheme="minorHAnsi" w:cstheme="minorHAnsi"/>
              </w:rPr>
              <w:t>GOCCs</w:t>
            </w:r>
          </w:p>
        </w:tc>
        <w:tc>
          <w:tcPr>
            <w:tcW w:w="1839" w:type="pct"/>
            <w:shd w:val="clear" w:color="auto" w:fill="BFBFBF" w:themeFill="background1" w:themeFillShade="BF"/>
            <w:vAlign w:val="center"/>
          </w:tcPr>
          <w:p w14:paraId="435D0584" w14:textId="0A29543C"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r w:rsidRPr="00550E31">
              <w:rPr>
                <w:rFonts w:asciiTheme="minorHAnsi" w:hAnsiTheme="minorHAnsi"/>
                <w:b/>
              </w:rPr>
              <w:t>The State Audit Code of the Philippines or Presidential Decree (PD) No. 1445</w:t>
            </w:r>
          </w:p>
        </w:tc>
        <w:tc>
          <w:tcPr>
            <w:tcW w:w="2295" w:type="pct"/>
            <w:shd w:val="clear" w:color="auto" w:fill="BFBFBF" w:themeFill="background1" w:themeFillShade="BF"/>
            <w:vAlign w:val="center"/>
          </w:tcPr>
          <w:p w14:paraId="183B77B7"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Section 121 – Financial reports and statements</w:t>
            </w:r>
          </w:p>
        </w:tc>
      </w:tr>
      <w:tr w:rsidR="00C04BF9" w:rsidRPr="00550E31" w14:paraId="4EE49A9C" w14:textId="77777777" w:rsidTr="0002662F">
        <w:trPr>
          <w:cantSplit/>
          <w:tblCellSpacing w:w="43" w:type="dxa"/>
          <w:jc w:val="center"/>
        </w:trPr>
        <w:tc>
          <w:tcPr>
            <w:tcW w:w="697" w:type="pct"/>
            <w:vMerge/>
            <w:shd w:val="clear" w:color="auto" w:fill="BFBFBF" w:themeFill="background1" w:themeFillShade="BF"/>
            <w:vAlign w:val="center"/>
          </w:tcPr>
          <w:p w14:paraId="298A0B86" w14:textId="77777777"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p>
        </w:tc>
        <w:tc>
          <w:tcPr>
            <w:tcW w:w="1839" w:type="pct"/>
            <w:shd w:val="clear" w:color="auto" w:fill="BFBFBF" w:themeFill="background1" w:themeFillShade="BF"/>
            <w:vAlign w:val="center"/>
          </w:tcPr>
          <w:p w14:paraId="26EC9805" w14:textId="5322F6B2" w:rsidR="00764787" w:rsidRPr="00550E31" w:rsidRDefault="00764787" w:rsidP="00C72B0D">
            <w:pPr>
              <w:pStyle w:val="ListParagraph"/>
              <w:keepLines/>
              <w:numPr>
                <w:ilvl w:val="0"/>
                <w:numId w:val="0"/>
              </w:numPr>
              <w:spacing w:before="0" w:beforeAutospacing="0" w:after="0" w:afterAutospacing="0" w:line="276" w:lineRule="auto"/>
              <w:jc w:val="left"/>
              <w:rPr>
                <w:rFonts w:asciiTheme="minorHAnsi" w:hAnsiTheme="minorHAnsi"/>
                <w:b/>
              </w:rPr>
            </w:pPr>
            <w:r w:rsidRPr="00550E31">
              <w:rPr>
                <w:rFonts w:asciiTheme="minorHAnsi" w:hAnsiTheme="minorHAnsi"/>
                <w:b/>
              </w:rPr>
              <w:t xml:space="preserve">Code of Corporate Governance for GOCCs </w:t>
            </w:r>
            <w:r w:rsidRPr="00550E31">
              <w:rPr>
                <w:rFonts w:asciiTheme="minorHAnsi" w:hAnsiTheme="minorHAnsi"/>
              </w:rPr>
              <w:t>– GCG MC No. 2012-07</w:t>
            </w:r>
          </w:p>
        </w:tc>
        <w:tc>
          <w:tcPr>
            <w:tcW w:w="2295" w:type="pct"/>
            <w:shd w:val="clear" w:color="auto" w:fill="BFBFBF" w:themeFill="background1" w:themeFillShade="BF"/>
            <w:vAlign w:val="center"/>
          </w:tcPr>
          <w:p w14:paraId="132D60BB" w14:textId="77777777" w:rsidR="00764787" w:rsidRPr="00550E31" w:rsidRDefault="00764787" w:rsidP="00C72B0D">
            <w:pPr>
              <w:pStyle w:val="BodyText4"/>
              <w:spacing w:line="276" w:lineRule="auto"/>
              <w:jc w:val="left"/>
              <w:rPr>
                <w:rFonts w:asciiTheme="minorHAnsi" w:eastAsia="MS Gothic" w:hAnsiTheme="minorHAnsi"/>
              </w:rPr>
            </w:pPr>
            <w:r w:rsidRPr="00550E31">
              <w:rPr>
                <w:rFonts w:asciiTheme="minorHAnsi" w:eastAsia="MS Gothic" w:hAnsiTheme="minorHAnsi"/>
              </w:rPr>
              <w:t>Chapter VIII – Disclosure and Transparency Requirements</w:t>
            </w:r>
          </w:p>
        </w:tc>
      </w:tr>
    </w:tbl>
    <w:p w14:paraId="6236C241" w14:textId="77777777" w:rsidR="00F76E53" w:rsidRPr="008F1E62" w:rsidRDefault="00F76E53" w:rsidP="0077686B">
      <w:pPr>
        <w:pStyle w:val="Heading3"/>
      </w:pPr>
      <w:r w:rsidRPr="008F1E62">
        <w:t xml:space="preserve">The Accountancy Profession </w:t>
      </w:r>
    </w:p>
    <w:p w14:paraId="69C7139F" w14:textId="77777777" w:rsidR="00F76E53" w:rsidRPr="008F1E62" w:rsidRDefault="00F76E53" w:rsidP="009315BA">
      <w:pPr>
        <w:pStyle w:val="BodyText4"/>
        <w:numPr>
          <w:ilvl w:val="0"/>
          <w:numId w:val="2"/>
        </w:numPr>
        <w:spacing w:after="200" w:line="276" w:lineRule="auto"/>
        <w:ind w:left="0" w:hanging="567"/>
        <w:rPr>
          <w:rFonts w:asciiTheme="minorHAnsi" w:hAnsiTheme="minorHAnsi" w:cs="Arial"/>
          <w:b/>
          <w:bCs/>
        </w:rPr>
      </w:pPr>
      <w:r w:rsidRPr="008F1E62">
        <w:rPr>
          <w:rFonts w:asciiTheme="minorHAnsi" w:hAnsiTheme="minorHAnsi"/>
          <w:b/>
          <w:bCs/>
        </w:rPr>
        <w:t xml:space="preserve">The practice of accountancy in the </w:t>
      </w:r>
      <w:r w:rsidRPr="008F1E62">
        <w:rPr>
          <w:rFonts w:ascii="Calibri" w:hAnsi="Calibri"/>
          <w:b/>
          <w:bCs/>
        </w:rPr>
        <w:t>Philippines</w:t>
      </w:r>
      <w:r w:rsidRPr="008F1E62">
        <w:rPr>
          <w:rFonts w:asciiTheme="minorHAnsi" w:hAnsiTheme="minorHAnsi"/>
          <w:b/>
          <w:bCs/>
        </w:rPr>
        <w:t xml:space="preserve"> is regulated through the Philippine Accountancy Act of 2004</w:t>
      </w:r>
      <w:r w:rsidRPr="008F1E62">
        <w:rPr>
          <w:rStyle w:val="FootnoteReference"/>
          <w:rFonts w:asciiTheme="minorHAnsi" w:hAnsiTheme="minorHAnsi"/>
          <w:b/>
          <w:bCs/>
        </w:rPr>
        <w:footnoteReference w:id="75"/>
      </w:r>
      <w:r w:rsidRPr="008F1E62">
        <w:rPr>
          <w:rFonts w:asciiTheme="minorHAnsi" w:hAnsiTheme="minorHAnsi"/>
        </w:rPr>
        <w:t xml:space="preserve">. The Act shall provide and govern the following: (a) standardization and regulation of accounting education; (b) examination and registration of </w:t>
      </w:r>
      <w:r w:rsidR="00661451" w:rsidRPr="00661451">
        <w:rPr>
          <w:rFonts w:asciiTheme="minorHAnsi" w:hAnsiTheme="minorHAnsi"/>
        </w:rPr>
        <w:t>CPAs</w:t>
      </w:r>
      <w:r w:rsidRPr="008F1E62">
        <w:rPr>
          <w:rFonts w:asciiTheme="minorHAnsi" w:hAnsiTheme="minorHAnsi"/>
        </w:rPr>
        <w:t>; and (c) supervision, control, and regulation of the practice of accountancy in the Philippines.</w:t>
      </w:r>
    </w:p>
    <w:p w14:paraId="1548BD11"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Arial"/>
          <w:b/>
          <w:bCs/>
        </w:rPr>
      </w:pPr>
      <w:r w:rsidRPr="008F1E62">
        <w:rPr>
          <w:rFonts w:asciiTheme="minorHAnsi" w:hAnsiTheme="minorHAnsi"/>
          <w:b/>
          <w:bCs/>
        </w:rPr>
        <w:t xml:space="preserve">The PRC is the national government agency mandated to enforce laws regulating the various professions. </w:t>
      </w:r>
      <w:r w:rsidRPr="008F1E62">
        <w:rPr>
          <w:rFonts w:asciiTheme="minorHAnsi" w:hAnsiTheme="minorHAnsi"/>
        </w:rPr>
        <w:t xml:space="preserve"> Its mandate includes conducting and administering licensure examinations to aspiring professionals, and regulating and supervising the practice of the professions exercised in partnership with the 43 Professional Regulatory Boards. The</w:t>
      </w:r>
      <w:r w:rsidR="005417C5">
        <w:rPr>
          <w:rFonts w:asciiTheme="minorHAnsi" w:hAnsiTheme="minorHAnsi"/>
        </w:rPr>
        <w:t>se Boards</w:t>
      </w:r>
      <w:r w:rsidRPr="008F1E62">
        <w:rPr>
          <w:rFonts w:asciiTheme="minorHAnsi" w:hAnsiTheme="minorHAnsi"/>
        </w:rPr>
        <w:t xml:space="preserve"> govern their respective professions’ practice and ethical standards, and accredit the professional organization representing the professionals. One of </w:t>
      </w:r>
      <w:r w:rsidR="009136B0">
        <w:rPr>
          <w:rFonts w:asciiTheme="minorHAnsi" w:hAnsiTheme="minorHAnsi"/>
        </w:rPr>
        <w:t xml:space="preserve">the </w:t>
      </w:r>
      <w:r w:rsidRPr="008F1E62">
        <w:rPr>
          <w:rFonts w:asciiTheme="minorHAnsi" w:hAnsiTheme="minorHAnsi"/>
        </w:rPr>
        <w:t>PRC’s function</w:t>
      </w:r>
      <w:r w:rsidR="006D6C9F">
        <w:rPr>
          <w:rFonts w:asciiTheme="minorHAnsi" w:hAnsiTheme="minorHAnsi"/>
        </w:rPr>
        <w:t>s</w:t>
      </w:r>
      <w:r w:rsidRPr="008F1E62">
        <w:rPr>
          <w:rFonts w:asciiTheme="minorHAnsi" w:hAnsiTheme="minorHAnsi"/>
        </w:rPr>
        <w:t xml:space="preserve"> </w:t>
      </w:r>
      <w:proofErr w:type="gramStart"/>
      <w:r w:rsidRPr="008F1E62">
        <w:rPr>
          <w:rFonts w:asciiTheme="minorHAnsi" w:hAnsiTheme="minorHAnsi"/>
        </w:rPr>
        <w:t>is</w:t>
      </w:r>
      <w:proofErr w:type="gramEnd"/>
      <w:r w:rsidRPr="008F1E62">
        <w:rPr>
          <w:rFonts w:asciiTheme="minorHAnsi" w:hAnsiTheme="minorHAnsi"/>
        </w:rPr>
        <w:t xml:space="preserve"> to investigate violations based on the professional standards and adjudicate administrative and other cases against erring examinees and professionals. Annex 7 summarizes the enforcement measures and actions by regulators.</w:t>
      </w:r>
    </w:p>
    <w:tbl>
      <w:tblPr>
        <w:tblStyle w:val="TableGrid"/>
        <w:tblpPr w:leftFromText="180" w:rightFromText="180" w:vertAnchor="text" w:horzAnchor="margin" w:tblpXSpec="right" w:tblpY="1613"/>
        <w:tblOverlap w:val="never"/>
        <w:tblW w:w="0" w:type="auto"/>
        <w:tblCellSpacing w:w="57"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856"/>
        <w:gridCol w:w="843"/>
        <w:gridCol w:w="834"/>
        <w:gridCol w:w="997"/>
      </w:tblGrid>
      <w:tr w:rsidR="00C25082" w:rsidRPr="00550E31" w14:paraId="1196288C" w14:textId="77777777" w:rsidTr="0002662F">
        <w:trPr>
          <w:trHeight w:val="231"/>
          <w:tblCellSpacing w:w="57" w:type="dxa"/>
        </w:trPr>
        <w:tc>
          <w:tcPr>
            <w:tcW w:w="4282" w:type="dxa"/>
            <w:gridSpan w:val="4"/>
            <w:shd w:val="clear" w:color="auto" w:fill="auto"/>
            <w:noWrap/>
          </w:tcPr>
          <w:p w14:paraId="4B68E140" w14:textId="71A5700C" w:rsidR="00C25082" w:rsidRPr="00DD6632" w:rsidRDefault="00C25082" w:rsidP="00C25082">
            <w:pPr>
              <w:spacing w:after="0"/>
              <w:jc w:val="center"/>
              <w:rPr>
                <w:rFonts w:ascii="Calibri" w:hAnsi="Calibri" w:cs="Calibri"/>
                <w:b/>
                <w:color w:val="FFFFFF" w:themeColor="background1"/>
                <w:sz w:val="20"/>
              </w:rPr>
            </w:pPr>
            <w:r w:rsidRPr="00DD6632">
              <w:rPr>
                <w:b/>
                <w:sz w:val="20"/>
                <w:szCs w:val="24"/>
              </w:rPr>
              <w:t xml:space="preserve">Table </w:t>
            </w:r>
            <w:r w:rsidRPr="00DD6632">
              <w:rPr>
                <w:b/>
                <w:sz w:val="20"/>
                <w:szCs w:val="24"/>
              </w:rPr>
              <w:fldChar w:fldCharType="begin"/>
            </w:r>
            <w:r w:rsidRPr="00DD6632">
              <w:rPr>
                <w:b/>
                <w:sz w:val="20"/>
                <w:szCs w:val="24"/>
              </w:rPr>
              <w:instrText xml:space="preserve"> SEQ Table \* ARABIC </w:instrText>
            </w:r>
            <w:r w:rsidRPr="00DD6632">
              <w:rPr>
                <w:b/>
                <w:sz w:val="20"/>
                <w:szCs w:val="24"/>
              </w:rPr>
              <w:fldChar w:fldCharType="separate"/>
            </w:r>
            <w:r w:rsidR="004310EC">
              <w:rPr>
                <w:b/>
                <w:noProof/>
                <w:sz w:val="20"/>
                <w:szCs w:val="24"/>
              </w:rPr>
              <w:t>10</w:t>
            </w:r>
            <w:r w:rsidRPr="00DD6632">
              <w:rPr>
                <w:b/>
                <w:sz w:val="20"/>
                <w:szCs w:val="24"/>
              </w:rPr>
              <w:fldChar w:fldCharType="end"/>
            </w:r>
            <w:r w:rsidRPr="00DD6632">
              <w:rPr>
                <w:b/>
                <w:sz w:val="20"/>
                <w:szCs w:val="24"/>
              </w:rPr>
              <w:t>. PICPA new membership 2014-16</w:t>
            </w:r>
            <w:r w:rsidRPr="00DD6632">
              <w:rPr>
                <w:rStyle w:val="FootnoteReference"/>
                <w:b/>
                <w:sz w:val="20"/>
                <w:szCs w:val="24"/>
              </w:rPr>
              <w:footnoteReference w:id="76"/>
            </w:r>
          </w:p>
        </w:tc>
      </w:tr>
      <w:tr w:rsidR="0002662F" w:rsidRPr="00550E31" w14:paraId="2C55ECF7" w14:textId="77777777" w:rsidTr="0002662F">
        <w:trPr>
          <w:trHeight w:val="231"/>
          <w:tblCellSpacing w:w="57" w:type="dxa"/>
        </w:trPr>
        <w:tc>
          <w:tcPr>
            <w:tcW w:w="1675" w:type="dxa"/>
            <w:shd w:val="clear" w:color="auto" w:fill="4472C4"/>
            <w:noWrap/>
            <w:hideMark/>
          </w:tcPr>
          <w:p w14:paraId="489E4399" w14:textId="77777777" w:rsidR="00C25082" w:rsidRPr="00550E31" w:rsidRDefault="00C25082" w:rsidP="00C25082">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Members</w:t>
            </w:r>
          </w:p>
        </w:tc>
        <w:tc>
          <w:tcPr>
            <w:tcW w:w="729" w:type="dxa"/>
            <w:shd w:val="clear" w:color="auto" w:fill="4472C4"/>
            <w:noWrap/>
            <w:vAlign w:val="center"/>
            <w:hideMark/>
          </w:tcPr>
          <w:p w14:paraId="7A941C05" w14:textId="77777777" w:rsidR="00C25082" w:rsidRPr="00550E31" w:rsidRDefault="00C25082" w:rsidP="00C25082">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2014</w:t>
            </w:r>
          </w:p>
        </w:tc>
        <w:tc>
          <w:tcPr>
            <w:tcW w:w="720" w:type="dxa"/>
            <w:shd w:val="clear" w:color="auto" w:fill="4472C4"/>
            <w:noWrap/>
            <w:vAlign w:val="center"/>
            <w:hideMark/>
          </w:tcPr>
          <w:p w14:paraId="1F03EB0C" w14:textId="77777777" w:rsidR="00C25082" w:rsidRPr="00550E31" w:rsidRDefault="00C25082" w:rsidP="00C25082">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2015</w:t>
            </w:r>
          </w:p>
        </w:tc>
        <w:tc>
          <w:tcPr>
            <w:tcW w:w="816" w:type="dxa"/>
            <w:shd w:val="clear" w:color="auto" w:fill="4472C4"/>
            <w:noWrap/>
            <w:vAlign w:val="center"/>
            <w:hideMark/>
          </w:tcPr>
          <w:p w14:paraId="745CEF51" w14:textId="77777777" w:rsidR="00C25082" w:rsidRPr="00550E31" w:rsidRDefault="00C25082" w:rsidP="00C25082">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2016</w:t>
            </w:r>
          </w:p>
        </w:tc>
      </w:tr>
      <w:tr w:rsidR="0002662F" w:rsidRPr="00550E31" w14:paraId="7AC44FA4" w14:textId="77777777" w:rsidTr="0002662F">
        <w:trPr>
          <w:trHeight w:val="12"/>
          <w:tblCellSpacing w:w="57" w:type="dxa"/>
        </w:trPr>
        <w:tc>
          <w:tcPr>
            <w:tcW w:w="1675" w:type="dxa"/>
            <w:shd w:val="clear" w:color="auto" w:fill="C6E8D7"/>
            <w:noWrap/>
            <w:hideMark/>
          </w:tcPr>
          <w:p w14:paraId="777080FD" w14:textId="77777777" w:rsidR="00C25082" w:rsidRPr="00550E31" w:rsidRDefault="00C25082" w:rsidP="00C25082">
            <w:pPr>
              <w:spacing w:after="0"/>
              <w:jc w:val="left"/>
              <w:rPr>
                <w:rFonts w:ascii="Calibri" w:hAnsi="Calibri" w:cs="Calibri"/>
                <w:color w:val="000000"/>
                <w:sz w:val="20"/>
              </w:rPr>
            </w:pPr>
            <w:r w:rsidRPr="00550E31">
              <w:rPr>
                <w:rFonts w:ascii="Calibri" w:hAnsi="Calibri" w:cs="Calibri"/>
                <w:color w:val="000000"/>
                <w:sz w:val="20"/>
              </w:rPr>
              <w:t>Male</w:t>
            </w:r>
          </w:p>
        </w:tc>
        <w:tc>
          <w:tcPr>
            <w:tcW w:w="729" w:type="dxa"/>
            <w:shd w:val="clear" w:color="auto" w:fill="C6E8D7"/>
            <w:noWrap/>
            <w:vAlign w:val="center"/>
            <w:hideMark/>
          </w:tcPr>
          <w:p w14:paraId="32117222"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504</w:t>
            </w:r>
          </w:p>
        </w:tc>
        <w:tc>
          <w:tcPr>
            <w:tcW w:w="720" w:type="dxa"/>
            <w:shd w:val="clear" w:color="auto" w:fill="C6E8D7"/>
            <w:noWrap/>
            <w:vAlign w:val="center"/>
            <w:hideMark/>
          </w:tcPr>
          <w:p w14:paraId="62543E84"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504</w:t>
            </w:r>
          </w:p>
        </w:tc>
        <w:tc>
          <w:tcPr>
            <w:tcW w:w="816" w:type="dxa"/>
            <w:shd w:val="clear" w:color="auto" w:fill="C6E8D7"/>
            <w:noWrap/>
            <w:vAlign w:val="center"/>
            <w:hideMark/>
          </w:tcPr>
          <w:p w14:paraId="54EF48AF"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1,360</w:t>
            </w:r>
          </w:p>
        </w:tc>
      </w:tr>
      <w:tr w:rsidR="0002662F" w:rsidRPr="00550E31" w14:paraId="488F5EF4" w14:textId="77777777" w:rsidTr="0002662F">
        <w:trPr>
          <w:trHeight w:val="231"/>
          <w:tblCellSpacing w:w="57" w:type="dxa"/>
        </w:trPr>
        <w:tc>
          <w:tcPr>
            <w:tcW w:w="1675" w:type="dxa"/>
            <w:shd w:val="clear" w:color="auto" w:fill="C6E8D7"/>
            <w:noWrap/>
            <w:hideMark/>
          </w:tcPr>
          <w:p w14:paraId="58304043" w14:textId="77777777" w:rsidR="00C25082" w:rsidRPr="00550E31" w:rsidRDefault="00C25082" w:rsidP="00C25082">
            <w:pPr>
              <w:spacing w:after="0"/>
              <w:jc w:val="left"/>
              <w:rPr>
                <w:rFonts w:ascii="Calibri" w:hAnsi="Calibri" w:cs="Calibri"/>
                <w:color w:val="000000"/>
                <w:sz w:val="20"/>
              </w:rPr>
            </w:pPr>
            <w:r w:rsidRPr="00550E31">
              <w:rPr>
                <w:rFonts w:ascii="Calibri" w:hAnsi="Calibri" w:cs="Calibri"/>
                <w:color w:val="000000"/>
                <w:sz w:val="20"/>
              </w:rPr>
              <w:t>Female</w:t>
            </w:r>
          </w:p>
        </w:tc>
        <w:tc>
          <w:tcPr>
            <w:tcW w:w="729" w:type="dxa"/>
            <w:shd w:val="clear" w:color="auto" w:fill="C6E8D7"/>
            <w:noWrap/>
            <w:vAlign w:val="center"/>
            <w:hideMark/>
          </w:tcPr>
          <w:p w14:paraId="4E1E2394"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1,139</w:t>
            </w:r>
          </w:p>
        </w:tc>
        <w:tc>
          <w:tcPr>
            <w:tcW w:w="720" w:type="dxa"/>
            <w:shd w:val="clear" w:color="auto" w:fill="C6E8D7"/>
            <w:noWrap/>
            <w:vAlign w:val="center"/>
            <w:hideMark/>
          </w:tcPr>
          <w:p w14:paraId="7547CB6A"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1,805</w:t>
            </w:r>
          </w:p>
        </w:tc>
        <w:tc>
          <w:tcPr>
            <w:tcW w:w="816" w:type="dxa"/>
            <w:shd w:val="clear" w:color="auto" w:fill="C6E8D7"/>
            <w:noWrap/>
            <w:vAlign w:val="center"/>
            <w:hideMark/>
          </w:tcPr>
          <w:p w14:paraId="5E539BDD"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2,973</w:t>
            </w:r>
          </w:p>
        </w:tc>
      </w:tr>
      <w:tr w:rsidR="0002662F" w:rsidRPr="00550E31" w14:paraId="290369E1" w14:textId="77777777" w:rsidTr="0002662F">
        <w:trPr>
          <w:trHeight w:val="231"/>
          <w:tblCellSpacing w:w="57" w:type="dxa"/>
        </w:trPr>
        <w:tc>
          <w:tcPr>
            <w:tcW w:w="1675" w:type="dxa"/>
            <w:shd w:val="clear" w:color="auto" w:fill="4472C4"/>
            <w:noWrap/>
            <w:hideMark/>
          </w:tcPr>
          <w:p w14:paraId="3F3A7F2C" w14:textId="77777777" w:rsidR="00C25082" w:rsidRPr="00550E31" w:rsidRDefault="00C25082" w:rsidP="00C25082">
            <w:pPr>
              <w:spacing w:after="0"/>
              <w:jc w:val="left"/>
              <w:rPr>
                <w:rFonts w:ascii="Calibri" w:hAnsi="Calibri" w:cs="Calibri"/>
                <w:b/>
                <w:color w:val="FFFFFF" w:themeColor="background1"/>
                <w:sz w:val="20"/>
              </w:rPr>
            </w:pPr>
            <w:r w:rsidRPr="00550E31">
              <w:rPr>
                <w:rFonts w:ascii="Calibri" w:hAnsi="Calibri" w:cs="Calibri"/>
                <w:b/>
                <w:color w:val="FFFFFF" w:themeColor="background1"/>
                <w:sz w:val="20"/>
              </w:rPr>
              <w:t>Total</w:t>
            </w:r>
          </w:p>
        </w:tc>
        <w:tc>
          <w:tcPr>
            <w:tcW w:w="729" w:type="dxa"/>
            <w:shd w:val="clear" w:color="auto" w:fill="4472C4"/>
            <w:noWrap/>
            <w:vAlign w:val="center"/>
            <w:hideMark/>
          </w:tcPr>
          <w:p w14:paraId="422D8E3B" w14:textId="77777777" w:rsidR="00C25082" w:rsidRPr="00550E31" w:rsidRDefault="00C25082" w:rsidP="00C25082">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1,643</w:t>
            </w:r>
          </w:p>
        </w:tc>
        <w:tc>
          <w:tcPr>
            <w:tcW w:w="720" w:type="dxa"/>
            <w:shd w:val="clear" w:color="auto" w:fill="4472C4"/>
            <w:noWrap/>
            <w:vAlign w:val="center"/>
            <w:hideMark/>
          </w:tcPr>
          <w:p w14:paraId="68B63FB4" w14:textId="77777777" w:rsidR="00C25082" w:rsidRPr="00550E31" w:rsidRDefault="00C25082" w:rsidP="00C25082">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2,309</w:t>
            </w:r>
          </w:p>
        </w:tc>
        <w:tc>
          <w:tcPr>
            <w:tcW w:w="816" w:type="dxa"/>
            <w:shd w:val="clear" w:color="auto" w:fill="4472C4"/>
            <w:noWrap/>
            <w:vAlign w:val="center"/>
            <w:hideMark/>
          </w:tcPr>
          <w:p w14:paraId="32B6C72A" w14:textId="77777777" w:rsidR="00C25082" w:rsidRPr="00550E31" w:rsidRDefault="00C25082" w:rsidP="00C25082">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4,333</w:t>
            </w:r>
          </w:p>
        </w:tc>
      </w:tr>
      <w:tr w:rsidR="0002662F" w:rsidRPr="00550E31" w14:paraId="7025DF35" w14:textId="77777777" w:rsidTr="0002662F">
        <w:trPr>
          <w:trHeight w:val="231"/>
          <w:tblCellSpacing w:w="57" w:type="dxa"/>
        </w:trPr>
        <w:tc>
          <w:tcPr>
            <w:tcW w:w="1675" w:type="dxa"/>
            <w:shd w:val="clear" w:color="auto" w:fill="E7E6E6" w:themeFill="background2"/>
            <w:noWrap/>
            <w:hideMark/>
          </w:tcPr>
          <w:p w14:paraId="0301AB7E" w14:textId="77777777" w:rsidR="00C25082" w:rsidRPr="00550E31" w:rsidRDefault="00C25082" w:rsidP="00C25082">
            <w:pPr>
              <w:spacing w:after="0"/>
              <w:jc w:val="left"/>
              <w:rPr>
                <w:rFonts w:ascii="Calibri" w:hAnsi="Calibri" w:cs="Calibri"/>
                <w:color w:val="000000"/>
                <w:sz w:val="20"/>
              </w:rPr>
            </w:pPr>
            <w:r w:rsidRPr="00550E31">
              <w:rPr>
                <w:rFonts w:ascii="Calibri" w:hAnsi="Calibri" w:cs="Calibri"/>
                <w:color w:val="000000"/>
                <w:sz w:val="20"/>
              </w:rPr>
              <w:t>CPA Passers</w:t>
            </w:r>
          </w:p>
        </w:tc>
        <w:tc>
          <w:tcPr>
            <w:tcW w:w="729" w:type="dxa"/>
            <w:shd w:val="clear" w:color="auto" w:fill="E7E6E6" w:themeFill="background2"/>
            <w:noWrap/>
            <w:vAlign w:val="center"/>
            <w:hideMark/>
          </w:tcPr>
          <w:p w14:paraId="721CB093"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5,230</w:t>
            </w:r>
          </w:p>
        </w:tc>
        <w:tc>
          <w:tcPr>
            <w:tcW w:w="720" w:type="dxa"/>
            <w:shd w:val="clear" w:color="auto" w:fill="E7E6E6" w:themeFill="background2"/>
            <w:noWrap/>
            <w:vAlign w:val="center"/>
            <w:hideMark/>
          </w:tcPr>
          <w:p w14:paraId="51AEF343"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7,600</w:t>
            </w:r>
          </w:p>
        </w:tc>
        <w:tc>
          <w:tcPr>
            <w:tcW w:w="816" w:type="dxa"/>
            <w:shd w:val="clear" w:color="auto" w:fill="E7E6E6" w:themeFill="background2"/>
            <w:noWrap/>
            <w:vAlign w:val="center"/>
            <w:hideMark/>
          </w:tcPr>
          <w:p w14:paraId="3FB7257C" w14:textId="77777777" w:rsidR="00C25082" w:rsidRPr="00550E31" w:rsidRDefault="00C25082" w:rsidP="00C25082">
            <w:pPr>
              <w:spacing w:after="0"/>
              <w:jc w:val="center"/>
              <w:rPr>
                <w:rFonts w:ascii="Calibri" w:hAnsi="Calibri" w:cs="Calibri"/>
                <w:color w:val="000000"/>
                <w:sz w:val="20"/>
              </w:rPr>
            </w:pPr>
            <w:r w:rsidRPr="00550E31">
              <w:rPr>
                <w:rFonts w:ascii="Calibri" w:hAnsi="Calibri" w:cs="Calibri"/>
                <w:color w:val="000000"/>
                <w:sz w:val="20"/>
              </w:rPr>
              <w:t>8,216</w:t>
            </w:r>
          </w:p>
        </w:tc>
      </w:tr>
      <w:tr w:rsidR="0002662F" w:rsidRPr="00550E31" w14:paraId="361E2DF7" w14:textId="77777777" w:rsidTr="0002662F">
        <w:trPr>
          <w:trHeight w:val="12"/>
          <w:tblCellSpacing w:w="57" w:type="dxa"/>
        </w:trPr>
        <w:tc>
          <w:tcPr>
            <w:tcW w:w="1675" w:type="dxa"/>
            <w:shd w:val="clear" w:color="auto" w:fill="E7E6E6" w:themeFill="background2"/>
            <w:hideMark/>
          </w:tcPr>
          <w:p w14:paraId="77F0FA4C" w14:textId="77777777" w:rsidR="00C25082" w:rsidRPr="00550E31" w:rsidRDefault="00C25082" w:rsidP="00C25082">
            <w:pPr>
              <w:spacing w:after="0"/>
              <w:jc w:val="left"/>
              <w:rPr>
                <w:rFonts w:ascii="Calibri" w:hAnsi="Calibri" w:cs="Calibri"/>
                <w:color w:val="000000"/>
                <w:sz w:val="20"/>
              </w:rPr>
            </w:pPr>
            <w:r w:rsidRPr="00550E31">
              <w:rPr>
                <w:rFonts w:ascii="Calibri" w:hAnsi="Calibri" w:cs="Calibri"/>
                <w:color w:val="000000"/>
                <w:sz w:val="20"/>
              </w:rPr>
              <w:t>% of new PICPA members vs. CPA passers</w:t>
            </w:r>
          </w:p>
        </w:tc>
        <w:tc>
          <w:tcPr>
            <w:tcW w:w="729" w:type="dxa"/>
            <w:shd w:val="clear" w:color="auto" w:fill="E7E6E6" w:themeFill="background2"/>
            <w:noWrap/>
            <w:vAlign w:val="center"/>
            <w:hideMark/>
          </w:tcPr>
          <w:p w14:paraId="72BF3429" w14:textId="77777777" w:rsidR="00C25082" w:rsidRPr="00550E31" w:rsidRDefault="00C25082" w:rsidP="00C25082">
            <w:pPr>
              <w:spacing w:after="0"/>
              <w:jc w:val="center"/>
              <w:rPr>
                <w:rFonts w:ascii="Calibri" w:hAnsi="Calibri" w:cs="Calibri"/>
                <w:b/>
                <w:color w:val="000000"/>
                <w:sz w:val="20"/>
              </w:rPr>
            </w:pPr>
            <w:r w:rsidRPr="00550E31">
              <w:rPr>
                <w:rFonts w:ascii="Calibri" w:hAnsi="Calibri" w:cs="Calibri"/>
                <w:b/>
                <w:color w:val="000000"/>
                <w:sz w:val="20"/>
              </w:rPr>
              <w:t>31%</w:t>
            </w:r>
          </w:p>
        </w:tc>
        <w:tc>
          <w:tcPr>
            <w:tcW w:w="720" w:type="dxa"/>
            <w:shd w:val="clear" w:color="auto" w:fill="E7E6E6" w:themeFill="background2"/>
            <w:noWrap/>
            <w:vAlign w:val="center"/>
            <w:hideMark/>
          </w:tcPr>
          <w:p w14:paraId="2C410128" w14:textId="77777777" w:rsidR="00C25082" w:rsidRPr="00550E31" w:rsidRDefault="00C25082" w:rsidP="00C25082">
            <w:pPr>
              <w:spacing w:after="0"/>
              <w:jc w:val="center"/>
              <w:rPr>
                <w:rFonts w:ascii="Calibri" w:hAnsi="Calibri" w:cs="Calibri"/>
                <w:b/>
                <w:color w:val="000000"/>
                <w:sz w:val="20"/>
              </w:rPr>
            </w:pPr>
            <w:r w:rsidRPr="00550E31">
              <w:rPr>
                <w:rFonts w:ascii="Calibri" w:hAnsi="Calibri" w:cs="Calibri"/>
                <w:b/>
                <w:color w:val="000000"/>
                <w:sz w:val="20"/>
              </w:rPr>
              <w:t>30%</w:t>
            </w:r>
          </w:p>
        </w:tc>
        <w:tc>
          <w:tcPr>
            <w:tcW w:w="816" w:type="dxa"/>
            <w:shd w:val="clear" w:color="auto" w:fill="E7E6E6" w:themeFill="background2"/>
            <w:noWrap/>
            <w:vAlign w:val="center"/>
            <w:hideMark/>
          </w:tcPr>
          <w:p w14:paraId="54D62389" w14:textId="77777777" w:rsidR="00C25082" w:rsidRPr="00550E31" w:rsidRDefault="00C25082" w:rsidP="00C25082">
            <w:pPr>
              <w:spacing w:after="0"/>
              <w:jc w:val="center"/>
              <w:rPr>
                <w:rFonts w:ascii="Calibri" w:hAnsi="Calibri" w:cs="Calibri"/>
                <w:b/>
                <w:color w:val="000000"/>
                <w:sz w:val="20"/>
              </w:rPr>
            </w:pPr>
            <w:r w:rsidRPr="00550E31">
              <w:rPr>
                <w:rFonts w:ascii="Calibri" w:hAnsi="Calibri" w:cs="Calibri"/>
                <w:b/>
                <w:color w:val="000000"/>
                <w:sz w:val="20"/>
              </w:rPr>
              <w:t>53%</w:t>
            </w:r>
          </w:p>
        </w:tc>
      </w:tr>
    </w:tbl>
    <w:p w14:paraId="2289E3C9" w14:textId="77777777" w:rsidR="00F76E53" w:rsidRPr="008F1E62" w:rsidRDefault="00F76E53" w:rsidP="009315BA">
      <w:pPr>
        <w:pStyle w:val="BodyText4"/>
        <w:numPr>
          <w:ilvl w:val="0"/>
          <w:numId w:val="2"/>
        </w:numPr>
        <w:spacing w:after="200" w:line="276" w:lineRule="auto"/>
        <w:ind w:left="0" w:hanging="567"/>
        <w:rPr>
          <w:rFonts w:asciiTheme="minorHAnsi" w:hAnsiTheme="minorHAnsi" w:cs="Arial"/>
          <w:b/>
          <w:bCs/>
        </w:rPr>
      </w:pPr>
      <w:r w:rsidRPr="008F1E62">
        <w:rPr>
          <w:rFonts w:asciiTheme="minorHAnsi" w:hAnsiTheme="minorHAnsi"/>
          <w:b/>
          <w:bCs/>
        </w:rPr>
        <w:t xml:space="preserve">The </w:t>
      </w:r>
      <w:r w:rsidR="007C7F36" w:rsidRPr="008F1E62">
        <w:rPr>
          <w:rFonts w:asciiTheme="minorHAnsi" w:hAnsiTheme="minorHAnsi"/>
          <w:b/>
          <w:bCs/>
        </w:rPr>
        <w:t>BOA</w:t>
      </w:r>
      <w:r w:rsidR="007C7F36" w:rsidRPr="008F1E62">
        <w:rPr>
          <w:rFonts w:ascii="Calibri" w:hAnsi="Calibri"/>
          <w:b/>
          <w:bCs/>
        </w:rPr>
        <w:t xml:space="preserve"> </w:t>
      </w:r>
      <w:r w:rsidRPr="008F1E62">
        <w:rPr>
          <w:rFonts w:asciiTheme="minorHAnsi" w:hAnsiTheme="minorHAnsi"/>
          <w:b/>
          <w:bCs/>
        </w:rPr>
        <w:t xml:space="preserve">is charged with </w:t>
      </w:r>
      <w:r w:rsidRPr="009315BA">
        <w:rPr>
          <w:rFonts w:asciiTheme="minorHAnsi" w:hAnsiTheme="minorHAnsi"/>
          <w:b/>
        </w:rPr>
        <w:t>regulating</w:t>
      </w:r>
      <w:r w:rsidRPr="008F1E62">
        <w:rPr>
          <w:rFonts w:asciiTheme="minorHAnsi" w:hAnsiTheme="minorHAnsi"/>
          <w:b/>
          <w:bCs/>
        </w:rPr>
        <w:t xml:space="preserve"> the accounting profession.</w:t>
      </w:r>
      <w:r w:rsidRPr="008F1E62">
        <w:rPr>
          <w:rFonts w:asciiTheme="minorHAnsi" w:hAnsiTheme="minorHAnsi"/>
        </w:rPr>
        <w:t xml:space="preserve"> It consists of a Chairman and six members</w:t>
      </w:r>
      <w:r w:rsidR="001B63EF">
        <w:rPr>
          <w:rFonts w:asciiTheme="minorHAnsi" w:hAnsiTheme="minorHAnsi"/>
        </w:rPr>
        <w:t xml:space="preserve"> </w:t>
      </w:r>
      <w:r w:rsidRPr="008F1E62">
        <w:rPr>
          <w:rFonts w:asciiTheme="minorHAnsi" w:hAnsiTheme="minorHAnsi"/>
        </w:rPr>
        <w:t>appointed by the President of the Philippines from a list of three recommendations for each position and ranked by the Commission, from a list of five nominees for each position submitted by the accredited national professional organization of certified public accountants.</w:t>
      </w:r>
    </w:p>
    <w:p w14:paraId="1EF448C0" w14:textId="5D857D98" w:rsidR="00F76E53" w:rsidRPr="008F1E62" w:rsidRDefault="00F76E53" w:rsidP="00FB3DC8">
      <w:pPr>
        <w:pStyle w:val="BodyText4"/>
        <w:numPr>
          <w:ilvl w:val="0"/>
          <w:numId w:val="2"/>
        </w:numPr>
        <w:spacing w:after="200" w:line="276" w:lineRule="auto"/>
        <w:ind w:left="0" w:hanging="567"/>
        <w:rPr>
          <w:rFonts w:asciiTheme="minorHAnsi" w:hAnsiTheme="minorHAnsi"/>
        </w:rPr>
      </w:pPr>
      <w:proofErr w:type="gramStart"/>
      <w:r w:rsidRPr="008F1E62">
        <w:rPr>
          <w:rFonts w:asciiTheme="minorHAnsi" w:hAnsiTheme="minorHAnsi"/>
          <w:b/>
        </w:rPr>
        <w:t>A number of</w:t>
      </w:r>
      <w:proofErr w:type="gramEnd"/>
      <w:r w:rsidRPr="008F1E62">
        <w:rPr>
          <w:rFonts w:asciiTheme="minorHAnsi" w:hAnsiTheme="minorHAnsi"/>
          <w:b/>
        </w:rPr>
        <w:t xml:space="preserve"> initiatives have been undertaken by the </w:t>
      </w:r>
      <w:r w:rsidR="00943447">
        <w:rPr>
          <w:rFonts w:asciiTheme="minorHAnsi" w:hAnsiTheme="minorHAnsi"/>
          <w:b/>
        </w:rPr>
        <w:t>BOA</w:t>
      </w:r>
      <w:r w:rsidR="00943447" w:rsidRPr="008F1E62">
        <w:rPr>
          <w:rFonts w:asciiTheme="minorHAnsi" w:hAnsiTheme="minorHAnsi"/>
          <w:b/>
        </w:rPr>
        <w:t xml:space="preserve"> </w:t>
      </w:r>
      <w:r w:rsidRPr="008F1E62">
        <w:rPr>
          <w:rFonts w:asciiTheme="minorHAnsi" w:hAnsiTheme="minorHAnsi"/>
          <w:b/>
        </w:rPr>
        <w:t xml:space="preserve">to develop the accounting profession’s brand and </w:t>
      </w:r>
      <w:r w:rsidR="00D72BEC" w:rsidRPr="008F1E62">
        <w:rPr>
          <w:rFonts w:asciiTheme="minorHAnsi" w:hAnsiTheme="minorHAnsi"/>
          <w:b/>
        </w:rPr>
        <w:t>attract students</w:t>
      </w:r>
      <w:r w:rsidRPr="008F1E62">
        <w:rPr>
          <w:rFonts w:asciiTheme="minorHAnsi" w:hAnsiTheme="minorHAnsi"/>
          <w:b/>
        </w:rPr>
        <w:t xml:space="preserve"> to pursue a career in accounting.</w:t>
      </w:r>
      <w:r w:rsidRPr="008F1E62">
        <w:rPr>
          <w:rFonts w:asciiTheme="minorHAnsi" w:hAnsiTheme="minorHAnsi"/>
        </w:rPr>
        <w:t xml:space="preserve"> Some of these initiatives have been undertaken under the “Six-point expanding horizons strategic plan” which included “Enhance the image and reputation of the Accounting Professional”.  The initiatives include: the production of a 7-minute video (“I am an Accountant”), the introduction of a volunteer program, an Internship Program, publication of a news magazine, and the establishment of the “Accountancy team extemporaneous speaking tournament”.</w:t>
      </w:r>
    </w:p>
    <w:p w14:paraId="23D8A5D4" w14:textId="68A47369" w:rsidR="00F76E53" w:rsidRPr="00DD6632" w:rsidRDefault="00F76E53" w:rsidP="00F76E53">
      <w:pPr>
        <w:pStyle w:val="BodyText4"/>
        <w:numPr>
          <w:ilvl w:val="0"/>
          <w:numId w:val="2"/>
        </w:numPr>
        <w:spacing w:after="200" w:line="276" w:lineRule="auto"/>
        <w:ind w:left="0" w:hanging="567"/>
        <w:rPr>
          <w:rFonts w:asciiTheme="minorHAnsi" w:hAnsiTheme="minorHAnsi" w:cs="Arial"/>
          <w:b/>
          <w:bCs/>
        </w:rPr>
      </w:pPr>
      <w:r w:rsidRPr="008F1E62">
        <w:rPr>
          <w:rFonts w:asciiTheme="minorHAnsi" w:hAnsiTheme="minorHAnsi"/>
          <w:b/>
          <w:bCs/>
        </w:rPr>
        <w:t>PICPA is the recognized national professional organization and the accredited professional organization for CPAs.</w:t>
      </w:r>
      <w:r w:rsidRPr="008F1E62">
        <w:rPr>
          <w:rFonts w:asciiTheme="minorHAnsi" w:hAnsiTheme="minorHAnsi"/>
        </w:rPr>
        <w:t xml:space="preserve"> Formed in 1929, PICPA was recognized in 1975 by the PRC as an official body represented by members in the public practice, industry, government, and education sectors in the Philippines. PICPA employs 17 full-time staff members, and owns the building which serves as the PICPA Secretariat's office. It derives its revenue from annual membership fees -- 1,000 pesos (</w:t>
      </w:r>
      <w:r w:rsidR="0025002F">
        <w:rPr>
          <w:rFonts w:asciiTheme="minorHAnsi" w:hAnsiTheme="minorHAnsi"/>
        </w:rPr>
        <w:t xml:space="preserve">$ </w:t>
      </w:r>
      <w:r w:rsidRPr="008F1E62">
        <w:rPr>
          <w:rFonts w:asciiTheme="minorHAnsi" w:hAnsiTheme="minorHAnsi"/>
        </w:rPr>
        <w:t>20) per member, to which regional divisions may add a regional fee of around 200 pesos (</w:t>
      </w:r>
      <w:r w:rsidR="0025002F">
        <w:rPr>
          <w:rFonts w:asciiTheme="minorHAnsi" w:hAnsiTheme="minorHAnsi"/>
        </w:rPr>
        <w:t>$</w:t>
      </w:r>
      <w:r w:rsidR="0025002F" w:rsidRPr="008F1E62">
        <w:rPr>
          <w:rFonts w:asciiTheme="minorHAnsi" w:hAnsiTheme="minorHAnsi"/>
        </w:rPr>
        <w:t xml:space="preserve"> </w:t>
      </w:r>
      <w:r w:rsidRPr="008F1E62">
        <w:rPr>
          <w:rFonts w:asciiTheme="minorHAnsi" w:hAnsiTheme="minorHAnsi"/>
        </w:rPr>
        <w:t>4). Another source of revenue is CPD, including a fee “per head” of 50 or 100 pesos (</w:t>
      </w:r>
      <w:r w:rsidR="002820C0">
        <w:rPr>
          <w:rFonts w:asciiTheme="minorHAnsi" w:hAnsiTheme="minorHAnsi"/>
        </w:rPr>
        <w:t>$</w:t>
      </w:r>
      <w:r w:rsidR="002820C0" w:rsidRPr="008F1E62">
        <w:rPr>
          <w:rFonts w:asciiTheme="minorHAnsi" w:hAnsiTheme="minorHAnsi"/>
        </w:rPr>
        <w:t xml:space="preserve"> </w:t>
      </w:r>
      <w:r w:rsidRPr="008F1E62">
        <w:rPr>
          <w:rFonts w:asciiTheme="minorHAnsi" w:hAnsiTheme="minorHAnsi"/>
        </w:rPr>
        <w:t>1 or 2) for each CPD course delivered in the regions, and 20 pesos (</w:t>
      </w:r>
      <w:r w:rsidR="002820C0">
        <w:rPr>
          <w:rFonts w:asciiTheme="minorHAnsi" w:hAnsiTheme="minorHAnsi"/>
        </w:rPr>
        <w:t>$</w:t>
      </w:r>
      <w:r w:rsidR="002820C0" w:rsidRPr="008F1E62">
        <w:rPr>
          <w:rFonts w:asciiTheme="minorHAnsi" w:hAnsiTheme="minorHAnsi"/>
        </w:rPr>
        <w:t xml:space="preserve"> </w:t>
      </w:r>
      <w:r w:rsidRPr="008F1E62">
        <w:rPr>
          <w:rFonts w:asciiTheme="minorHAnsi" w:hAnsiTheme="minorHAnsi"/>
        </w:rPr>
        <w:t>0.40) for CPD delivered in the Metro Manila district. Accreditation of CPD providers and programs is another source of income.  Looking at the data on PICPA new membership for the past</w:t>
      </w:r>
      <w:r w:rsidR="00C11993">
        <w:rPr>
          <w:rFonts w:asciiTheme="minorHAnsi" w:hAnsiTheme="minorHAnsi"/>
        </w:rPr>
        <w:t xml:space="preserve"> three </w:t>
      </w:r>
      <w:r w:rsidRPr="008F1E62">
        <w:rPr>
          <w:rFonts w:asciiTheme="minorHAnsi" w:hAnsiTheme="minorHAnsi"/>
        </w:rPr>
        <w:t>years</w:t>
      </w:r>
      <w:r w:rsidR="00FD0233">
        <w:rPr>
          <w:rFonts w:asciiTheme="minorHAnsi" w:hAnsiTheme="minorHAnsi"/>
        </w:rPr>
        <w:t xml:space="preserve"> (Table 11)</w:t>
      </w:r>
      <w:r w:rsidRPr="008F1E62">
        <w:rPr>
          <w:rFonts w:asciiTheme="minorHAnsi" w:hAnsiTheme="minorHAnsi"/>
        </w:rPr>
        <w:t xml:space="preserve">, </w:t>
      </w:r>
      <w:proofErr w:type="gramStart"/>
      <w:r w:rsidRPr="008F1E62">
        <w:rPr>
          <w:rFonts w:asciiTheme="minorHAnsi" w:hAnsiTheme="minorHAnsi"/>
        </w:rPr>
        <w:t>a number of</w:t>
      </w:r>
      <w:proofErr w:type="gramEnd"/>
      <w:r w:rsidRPr="008F1E62">
        <w:rPr>
          <w:rFonts w:asciiTheme="minorHAnsi" w:hAnsiTheme="minorHAnsi"/>
        </w:rPr>
        <w:t xml:space="preserve"> CPAs who recently passed the examination do not automatically commit to become active members of PICPA.</w:t>
      </w:r>
    </w:p>
    <w:p w14:paraId="495E7C27" w14:textId="77777777"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rPr>
        <w:t xml:space="preserve">PICPA is a member of </w:t>
      </w:r>
      <w:r w:rsidR="00D72075">
        <w:rPr>
          <w:rFonts w:asciiTheme="minorHAnsi" w:hAnsiTheme="minorHAnsi"/>
          <w:b/>
        </w:rPr>
        <w:t xml:space="preserve">the </w:t>
      </w:r>
      <w:r w:rsidRPr="008F1E62">
        <w:rPr>
          <w:rFonts w:asciiTheme="minorHAnsi" w:hAnsiTheme="minorHAnsi"/>
          <w:b/>
        </w:rPr>
        <w:t>ASEAN Federation of Accountants (AFA)</w:t>
      </w:r>
      <w:r w:rsidR="00D72075">
        <w:rPr>
          <w:rFonts w:asciiTheme="minorHAnsi" w:hAnsiTheme="minorHAnsi"/>
          <w:b/>
        </w:rPr>
        <w:t>,</w:t>
      </w:r>
      <w:r w:rsidRPr="008F1E62">
        <w:rPr>
          <w:rFonts w:asciiTheme="minorHAnsi" w:hAnsiTheme="minorHAnsi"/>
          <w:b/>
        </w:rPr>
        <w:t xml:space="preserve"> a key regional accounting organization that has been formally recognized by the ASEAN Secretariat</w:t>
      </w:r>
      <w:r w:rsidRPr="008F1E62">
        <w:rPr>
          <w:rFonts w:asciiTheme="minorHAnsi" w:hAnsiTheme="minorHAnsi"/>
        </w:rPr>
        <w:t xml:space="preserve">. AFA’s mission is to “provide an organization for ASEAN Accountants for the further advancement of the status of the profession in the region with the view to establishing an ASEAN philosophy on the accounting profession”. It has commenced discussions with </w:t>
      </w:r>
      <w:r w:rsidR="0026246E" w:rsidRPr="0026246E">
        <w:rPr>
          <w:rFonts w:asciiTheme="minorHAnsi" w:hAnsiTheme="minorHAnsi"/>
        </w:rPr>
        <w:t xml:space="preserve">the International Federation of Accountants </w:t>
      </w:r>
      <w:r w:rsidR="0026246E">
        <w:rPr>
          <w:rFonts w:asciiTheme="minorHAnsi" w:hAnsiTheme="minorHAnsi"/>
        </w:rPr>
        <w:t>(</w:t>
      </w:r>
      <w:r w:rsidRPr="008F1E62">
        <w:rPr>
          <w:rFonts w:asciiTheme="minorHAnsi" w:hAnsiTheme="minorHAnsi"/>
        </w:rPr>
        <w:t>IFAC</w:t>
      </w:r>
      <w:r w:rsidR="0026246E">
        <w:rPr>
          <w:rFonts w:asciiTheme="minorHAnsi" w:hAnsiTheme="minorHAnsi"/>
        </w:rPr>
        <w:t>)</w:t>
      </w:r>
      <w:r w:rsidRPr="008F1E62">
        <w:rPr>
          <w:rFonts w:asciiTheme="minorHAnsi" w:hAnsiTheme="minorHAnsi"/>
        </w:rPr>
        <w:t xml:space="preserve"> about becoming a </w:t>
      </w:r>
      <w:r w:rsidR="00FB042C" w:rsidRPr="008F1E62">
        <w:rPr>
          <w:rFonts w:asciiTheme="minorHAnsi" w:hAnsiTheme="minorHAnsi"/>
        </w:rPr>
        <w:t>recognized regional organization</w:t>
      </w:r>
      <w:r w:rsidRPr="008F1E62">
        <w:rPr>
          <w:rFonts w:asciiTheme="minorHAnsi" w:hAnsiTheme="minorHAnsi"/>
        </w:rPr>
        <w:t xml:space="preserve">. AFA intends to develop a strategic plan and as part of that process will need to consider its future mandate and the role its member organizations want </w:t>
      </w:r>
      <w:r w:rsidR="00237CBC" w:rsidRPr="008F1E62">
        <w:rPr>
          <w:rFonts w:asciiTheme="minorHAnsi" w:hAnsiTheme="minorHAnsi"/>
        </w:rPr>
        <w:t xml:space="preserve">it </w:t>
      </w:r>
      <w:r w:rsidRPr="008F1E62">
        <w:rPr>
          <w:rFonts w:asciiTheme="minorHAnsi" w:hAnsiTheme="minorHAnsi"/>
        </w:rPr>
        <w:t xml:space="preserve">to play in development of the ASEAN accounting and auditing profession. Achieving mutual recognition amongst its members </w:t>
      </w:r>
      <w:proofErr w:type="gramStart"/>
      <w:r w:rsidRPr="008F1E62">
        <w:rPr>
          <w:rFonts w:asciiTheme="minorHAnsi" w:hAnsiTheme="minorHAnsi"/>
        </w:rPr>
        <w:t>in the area of</w:t>
      </w:r>
      <w:proofErr w:type="gramEnd"/>
      <w:r w:rsidRPr="008F1E62">
        <w:rPr>
          <w:rFonts w:asciiTheme="minorHAnsi" w:hAnsiTheme="minorHAnsi"/>
        </w:rPr>
        <w:t xml:space="preserve"> accountancy services is one of AFA’s goals, which should lead to harmonization of standards and practices amongst members.   </w:t>
      </w:r>
    </w:p>
    <w:p w14:paraId="15C8DDE1" w14:textId="77777777"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rPr>
        <w:t>PICPA is also the founding member of the Confederation of Asian and Pacific Accountants, which is currently hosted in Malaysia.</w:t>
      </w:r>
      <w:r w:rsidRPr="008F1E62">
        <w:rPr>
          <w:rFonts w:asciiTheme="minorHAnsi" w:hAnsiTheme="minorHAnsi"/>
        </w:rPr>
        <w:t xml:space="preserve"> </w:t>
      </w:r>
      <w:r w:rsidR="004603A2">
        <w:rPr>
          <w:rFonts w:asciiTheme="minorHAnsi" w:hAnsiTheme="minorHAnsi"/>
        </w:rPr>
        <w:t>This</w:t>
      </w:r>
      <w:r w:rsidRPr="008F1E62">
        <w:rPr>
          <w:rFonts w:asciiTheme="minorHAnsi" w:hAnsiTheme="minorHAnsi"/>
        </w:rPr>
        <w:t xml:space="preserve"> is a regional organization representing 32 national professional accountancy organizations operating in Asia and the Pacific. </w:t>
      </w:r>
      <w:r w:rsidR="0078434D">
        <w:rPr>
          <w:rFonts w:asciiTheme="minorHAnsi" w:hAnsiTheme="minorHAnsi"/>
        </w:rPr>
        <w:t>It</w:t>
      </w:r>
      <w:r w:rsidR="0078434D" w:rsidRPr="008F1E62">
        <w:rPr>
          <w:rFonts w:asciiTheme="minorHAnsi" w:hAnsiTheme="minorHAnsi"/>
        </w:rPr>
        <w:t xml:space="preserve"> </w:t>
      </w:r>
      <w:r w:rsidRPr="008F1E62">
        <w:rPr>
          <w:rFonts w:asciiTheme="minorHAnsi" w:hAnsiTheme="minorHAnsi"/>
        </w:rPr>
        <w:t xml:space="preserve">is one of four regional organizations recognized by IFAC. </w:t>
      </w:r>
      <w:r w:rsidR="003F41E8">
        <w:rPr>
          <w:rFonts w:asciiTheme="minorHAnsi" w:hAnsiTheme="minorHAnsi"/>
        </w:rPr>
        <w:t xml:space="preserve">The </w:t>
      </w:r>
      <w:r w:rsidR="003F41E8" w:rsidRPr="003F41E8">
        <w:rPr>
          <w:rFonts w:asciiTheme="minorHAnsi" w:hAnsiTheme="minorHAnsi"/>
        </w:rPr>
        <w:t>Confederation of Asian and Pacific Accountants</w:t>
      </w:r>
      <w:r w:rsidR="003F41E8" w:rsidRPr="003F41E8" w:rsidDel="003F41E8">
        <w:rPr>
          <w:rFonts w:asciiTheme="minorHAnsi" w:hAnsiTheme="minorHAnsi"/>
        </w:rPr>
        <w:t xml:space="preserve"> </w:t>
      </w:r>
      <w:r w:rsidRPr="008F1E62">
        <w:rPr>
          <w:rFonts w:asciiTheme="minorHAnsi" w:hAnsiTheme="minorHAnsi"/>
        </w:rPr>
        <w:t xml:space="preserve">provides the structure to enable relationship building and knowledge sharing among </w:t>
      </w:r>
      <w:r w:rsidR="000918FA" w:rsidRPr="000918FA">
        <w:rPr>
          <w:rFonts w:asciiTheme="minorHAnsi" w:hAnsiTheme="minorHAnsi"/>
        </w:rPr>
        <w:t>professional accountancy organization</w:t>
      </w:r>
      <w:r w:rsidRPr="008F1E62">
        <w:rPr>
          <w:rFonts w:asciiTheme="minorHAnsi" w:hAnsiTheme="minorHAnsi"/>
        </w:rPr>
        <w:t>s operating in the region and to undertake specific activities consistent with the organization’s vision and mission which is to develop, coordinate</w:t>
      </w:r>
      <w:r w:rsidR="003F41E8">
        <w:rPr>
          <w:rFonts w:asciiTheme="minorHAnsi" w:hAnsiTheme="minorHAnsi"/>
        </w:rPr>
        <w:t>,</w:t>
      </w:r>
      <w:r w:rsidRPr="008F1E62">
        <w:rPr>
          <w:rFonts w:asciiTheme="minorHAnsi" w:hAnsiTheme="minorHAnsi"/>
        </w:rPr>
        <w:t xml:space="preserve"> and advance the accountancy profession in the Asia-Pacific region.</w:t>
      </w:r>
    </w:p>
    <w:p w14:paraId="55F4B9FC"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Arial"/>
          <w:b/>
          <w:bCs/>
        </w:rPr>
      </w:pPr>
      <w:r w:rsidRPr="008F1E62">
        <w:rPr>
          <w:rFonts w:asciiTheme="minorHAnsi" w:hAnsiTheme="minorHAnsi"/>
          <w:b/>
          <w:bCs/>
        </w:rPr>
        <w:t xml:space="preserve">In </w:t>
      </w:r>
      <w:r w:rsidRPr="008F1E62">
        <w:rPr>
          <w:rFonts w:ascii="Calibri" w:hAnsi="Calibri"/>
          <w:b/>
          <w:bCs/>
        </w:rPr>
        <w:t>addition</w:t>
      </w:r>
      <w:r w:rsidRPr="008F1E62">
        <w:rPr>
          <w:rFonts w:asciiTheme="minorHAnsi" w:hAnsiTheme="minorHAnsi"/>
          <w:b/>
          <w:bCs/>
        </w:rPr>
        <w:t xml:space="preserve"> to meeting the education requirements </w:t>
      </w:r>
      <w:r w:rsidR="003F41E8">
        <w:rPr>
          <w:rFonts w:asciiTheme="minorHAnsi" w:hAnsiTheme="minorHAnsi"/>
          <w:b/>
          <w:bCs/>
        </w:rPr>
        <w:t>(</w:t>
      </w:r>
      <w:r w:rsidR="003D35AF">
        <w:rPr>
          <w:rFonts w:asciiTheme="minorHAnsi" w:hAnsiTheme="minorHAnsi"/>
          <w:b/>
          <w:bCs/>
        </w:rPr>
        <w:t>see</w:t>
      </w:r>
      <w:r w:rsidRPr="008F1E62">
        <w:rPr>
          <w:rFonts w:asciiTheme="minorHAnsi" w:hAnsiTheme="minorHAnsi"/>
          <w:b/>
          <w:bCs/>
        </w:rPr>
        <w:t xml:space="preserve"> the “Education” Section of this report</w:t>
      </w:r>
      <w:r w:rsidR="003D35AF">
        <w:rPr>
          <w:rFonts w:asciiTheme="minorHAnsi" w:hAnsiTheme="minorHAnsi"/>
          <w:b/>
          <w:bCs/>
        </w:rPr>
        <w:t>)</w:t>
      </w:r>
      <w:r w:rsidRPr="008F1E62">
        <w:rPr>
          <w:rFonts w:asciiTheme="minorHAnsi" w:hAnsiTheme="minorHAnsi"/>
          <w:b/>
          <w:bCs/>
        </w:rPr>
        <w:t xml:space="preserve"> becoming a licensed auditor </w:t>
      </w:r>
      <w:r w:rsidR="00260A45" w:rsidRPr="008F1E62">
        <w:rPr>
          <w:rFonts w:asciiTheme="minorHAnsi" w:hAnsiTheme="minorHAnsi"/>
          <w:b/>
          <w:bCs/>
        </w:rPr>
        <w:t xml:space="preserve">able to sign audit opinions </w:t>
      </w:r>
      <w:r w:rsidRPr="008F1E62">
        <w:rPr>
          <w:rFonts w:asciiTheme="minorHAnsi" w:hAnsiTheme="minorHAnsi"/>
          <w:b/>
          <w:bCs/>
        </w:rPr>
        <w:t>involves additional steps including a 3-year meaningful practical experience requirement and accreditation by the BOA</w:t>
      </w:r>
      <w:r w:rsidRPr="008F1E62">
        <w:rPr>
          <w:rFonts w:asciiTheme="minorHAnsi" w:hAnsiTheme="minorHAnsi"/>
        </w:rPr>
        <w:t>. Additional accreditation(s) may need to be obtained, such as with the SEC, BSP, IC or BIR, depending on the regulatory body that regulates the audit client. A licensed auditor may, therefore, be required to register with multiple regulatory agencies.</w:t>
      </w:r>
    </w:p>
    <w:p w14:paraId="288FC9B2" w14:textId="77777777" w:rsidR="00F76E53" w:rsidRPr="008F1E62" w:rsidRDefault="00F76E53" w:rsidP="009315BA">
      <w:pPr>
        <w:pStyle w:val="BodyText4"/>
        <w:numPr>
          <w:ilvl w:val="0"/>
          <w:numId w:val="2"/>
        </w:numPr>
        <w:spacing w:after="200" w:line="276" w:lineRule="auto"/>
        <w:ind w:left="0" w:hanging="567"/>
        <w:rPr>
          <w:rFonts w:asciiTheme="minorHAnsi" w:hAnsiTheme="minorHAnsi" w:cstheme="minorHAnsi"/>
          <w:b/>
          <w:bCs/>
        </w:rPr>
      </w:pPr>
      <w:r w:rsidRPr="009315BA">
        <w:rPr>
          <w:rFonts w:asciiTheme="minorHAnsi" w:hAnsiTheme="minorHAnsi"/>
          <w:b/>
        </w:rPr>
        <w:t>Single</w:t>
      </w:r>
      <w:r w:rsidRPr="008F1E62">
        <w:rPr>
          <w:rFonts w:asciiTheme="minorHAnsi" w:hAnsiTheme="minorHAnsi" w:cstheme="minorHAnsi"/>
          <w:b/>
          <w:bCs/>
        </w:rPr>
        <w:t xml:space="preserve"> practitioners and partnerships in public practice shall be registered </w:t>
      </w:r>
      <w:r w:rsidR="00661451" w:rsidRPr="00661451">
        <w:rPr>
          <w:rFonts w:asciiTheme="minorHAnsi" w:hAnsiTheme="minorHAnsi" w:cstheme="minorHAnsi"/>
          <w:b/>
          <w:bCs/>
        </w:rPr>
        <w:t>CPAs</w:t>
      </w:r>
      <w:r w:rsidRPr="008F1E62">
        <w:rPr>
          <w:rFonts w:asciiTheme="minorHAnsi" w:hAnsiTheme="minorHAnsi" w:cstheme="minorHAnsi"/>
          <w:b/>
          <w:bCs/>
        </w:rPr>
        <w:t xml:space="preserve"> in the Philippines.</w:t>
      </w:r>
      <w:r w:rsidRPr="008F1E62">
        <w:rPr>
          <w:rFonts w:asciiTheme="minorHAnsi" w:hAnsiTheme="minorHAnsi" w:cstheme="minorHAnsi"/>
        </w:rPr>
        <w:t xml:space="preserve">  A certificate of accreditation shall be issued to the CPA in public practice only upon showing, in accordance with rules and regulations promulgated by the BOA and approved by the PRC, that such registrant has acquired a minimum of three years meaningful practical experience in any of the areas of public practice, including taxation. Individual practitioners and firms or partnerships in public practice, including their partners and staff, are required to be accredited by the PRC and the BOA every three years.</w:t>
      </w:r>
    </w:p>
    <w:p w14:paraId="2F3980A4" w14:textId="79C1C7D1" w:rsidR="00F76E53" w:rsidRPr="008F1E62" w:rsidRDefault="00F76E53" w:rsidP="00FB3DC8">
      <w:pPr>
        <w:pStyle w:val="BodyText4"/>
        <w:numPr>
          <w:ilvl w:val="0"/>
          <w:numId w:val="2"/>
        </w:numPr>
        <w:spacing w:after="200" w:line="276" w:lineRule="auto"/>
        <w:ind w:left="0" w:hanging="567"/>
        <w:rPr>
          <w:rFonts w:asciiTheme="minorHAnsi" w:hAnsiTheme="minorHAnsi" w:cs="Arial"/>
          <w:b/>
          <w:bCs/>
        </w:rPr>
      </w:pPr>
      <w:r w:rsidRPr="008F1E62">
        <w:rPr>
          <w:rFonts w:ascii="Calibri" w:hAnsi="Calibri" w:cs="Arial"/>
          <w:b/>
          <w:bCs/>
        </w:rPr>
        <w:t>Requirements for accreditation of CPAs in public practice need to be simplified.</w:t>
      </w:r>
      <w:r w:rsidRPr="008F1E62">
        <w:rPr>
          <w:rFonts w:ascii="Calibri" w:hAnsi="Calibri" w:cs="Arial"/>
        </w:rPr>
        <w:t xml:space="preserve"> The BIR, SEC, BSP, IC, NEA and the CDA all require accreditation of external auditors for entities they are responsible for regulating, in addition to the BOA accreditation (Refer to Annex </w:t>
      </w:r>
      <w:r w:rsidR="00FD0233">
        <w:rPr>
          <w:rFonts w:ascii="Calibri" w:hAnsi="Calibri" w:cs="Arial"/>
        </w:rPr>
        <w:t xml:space="preserve">5 and </w:t>
      </w:r>
      <w:r w:rsidRPr="008F1E62">
        <w:rPr>
          <w:rFonts w:ascii="Calibri" w:hAnsi="Calibri" w:cs="Arial"/>
        </w:rPr>
        <w:t xml:space="preserve">6 for CPA accreditation requirements per Agency). A Memorandum of Agreement was executed in 2009 binding the BOA, SEC, BSP, and the IC for simplified and synchronized accreditation requirements for external auditor and/or auditing firm. However, SMPs still </w:t>
      </w:r>
      <w:r w:rsidR="00A8413B">
        <w:rPr>
          <w:rFonts w:ascii="Calibri" w:hAnsi="Calibri" w:cs="Arial"/>
        </w:rPr>
        <w:t>identify</w:t>
      </w:r>
      <w:r w:rsidR="00A8413B" w:rsidRPr="008F1E62">
        <w:rPr>
          <w:rFonts w:ascii="Calibri" w:hAnsi="Calibri" w:cs="Arial"/>
        </w:rPr>
        <w:t xml:space="preserve"> </w:t>
      </w:r>
      <w:r w:rsidR="00D748BD">
        <w:rPr>
          <w:rFonts w:ascii="Calibri" w:hAnsi="Calibri" w:cs="Arial"/>
        </w:rPr>
        <w:t>a</w:t>
      </w:r>
      <w:r w:rsidR="00D748BD" w:rsidRPr="008F1E62">
        <w:rPr>
          <w:rFonts w:ascii="Calibri" w:hAnsi="Calibri" w:cs="Arial"/>
        </w:rPr>
        <w:t xml:space="preserve"> </w:t>
      </w:r>
      <w:r w:rsidRPr="008F1E62">
        <w:rPr>
          <w:rFonts w:ascii="Calibri" w:hAnsi="Calibri" w:cs="Arial"/>
        </w:rPr>
        <w:t>need to rationalize various accreditation requirements by the different regulators. Present data show</w:t>
      </w:r>
      <w:r w:rsidR="00D748BD">
        <w:rPr>
          <w:rFonts w:ascii="Calibri" w:hAnsi="Calibri" w:cs="Arial"/>
        </w:rPr>
        <w:t>s</w:t>
      </w:r>
      <w:r w:rsidRPr="008F1E62">
        <w:rPr>
          <w:rFonts w:ascii="Calibri" w:hAnsi="Calibri" w:cs="Arial"/>
        </w:rPr>
        <w:t xml:space="preserve"> that there are only approximately 6,500 public practitioners registered with the BOA and/or BIR, and </w:t>
      </w:r>
      <w:r w:rsidR="006D6C9F">
        <w:rPr>
          <w:rFonts w:ascii="Calibri" w:hAnsi="Calibri" w:cs="Arial"/>
        </w:rPr>
        <w:t>less than 20%</w:t>
      </w:r>
      <w:r w:rsidRPr="008F1E62">
        <w:rPr>
          <w:rFonts w:ascii="Calibri" w:hAnsi="Calibri" w:cs="Arial"/>
        </w:rPr>
        <w:t xml:space="preserve"> have pursued further accreditations.  </w:t>
      </w:r>
      <w:r w:rsidRPr="008F1E62">
        <w:rPr>
          <w:rFonts w:asciiTheme="minorHAnsi" w:hAnsiTheme="minorHAnsi" w:cs="Arial"/>
        </w:rPr>
        <w:t xml:space="preserve">These registrations entail additional costs to SMPs for application fees, and other redundant </w:t>
      </w:r>
      <w:r w:rsidR="006D6C9F">
        <w:rPr>
          <w:rFonts w:asciiTheme="minorHAnsi" w:hAnsiTheme="minorHAnsi" w:cs="Arial"/>
        </w:rPr>
        <w:t xml:space="preserve">administrative </w:t>
      </w:r>
      <w:r w:rsidRPr="008F1E62">
        <w:rPr>
          <w:rFonts w:asciiTheme="minorHAnsi" w:hAnsiTheme="minorHAnsi" w:cs="Arial"/>
        </w:rPr>
        <w:t xml:space="preserve">requirements. There is </w:t>
      </w:r>
      <w:r w:rsidR="00A017C7">
        <w:rPr>
          <w:rFonts w:asciiTheme="minorHAnsi" w:hAnsiTheme="minorHAnsi" w:cs="Arial"/>
        </w:rPr>
        <w:t>interest in</w:t>
      </w:r>
      <w:r w:rsidRPr="008F1E62">
        <w:rPr>
          <w:rFonts w:asciiTheme="minorHAnsi" w:hAnsiTheme="minorHAnsi" w:cs="Arial"/>
        </w:rPr>
        <w:t xml:space="preserve"> one </w:t>
      </w:r>
      <w:r w:rsidR="00A017C7">
        <w:rPr>
          <w:rFonts w:asciiTheme="minorHAnsi" w:hAnsiTheme="minorHAnsi" w:cs="Arial"/>
        </w:rPr>
        <w:t>“</w:t>
      </w:r>
      <w:r w:rsidRPr="008F1E62">
        <w:rPr>
          <w:rFonts w:asciiTheme="minorHAnsi" w:hAnsiTheme="minorHAnsi" w:cs="Arial"/>
        </w:rPr>
        <w:t>passport</w:t>
      </w:r>
      <w:r w:rsidR="00A017C7">
        <w:rPr>
          <w:rFonts w:asciiTheme="minorHAnsi" w:hAnsiTheme="minorHAnsi" w:cs="Arial"/>
        </w:rPr>
        <w:t>” –</w:t>
      </w:r>
      <w:r w:rsidR="00A017C7">
        <w:rPr>
          <w:rFonts w:asciiTheme="minorHAnsi" w:hAnsiTheme="minorHAnsi" w:cstheme="minorBidi"/>
        </w:rPr>
        <w:t xml:space="preserve"> a single form of</w:t>
      </w:r>
      <w:r w:rsidRPr="008F1E62">
        <w:rPr>
          <w:rFonts w:asciiTheme="minorHAnsi" w:hAnsiTheme="minorHAnsi" w:cstheme="minorBidi"/>
        </w:rPr>
        <w:t xml:space="preserve"> accreditation by the three regulatory institutions</w:t>
      </w:r>
      <w:r w:rsidR="00D56589">
        <w:rPr>
          <w:rFonts w:asciiTheme="minorHAnsi" w:hAnsiTheme="minorHAnsi" w:cstheme="minorBidi"/>
        </w:rPr>
        <w:t>,</w:t>
      </w:r>
      <w:r w:rsidRPr="008F1E62">
        <w:rPr>
          <w:rFonts w:asciiTheme="minorHAnsi" w:hAnsiTheme="minorHAnsi" w:cstheme="minorBidi"/>
        </w:rPr>
        <w:t xml:space="preserve"> the SEC, BSP, and IC.  </w:t>
      </w:r>
      <w:r w:rsidR="006D6C9F">
        <w:rPr>
          <w:rFonts w:asciiTheme="minorHAnsi" w:hAnsiTheme="minorHAnsi" w:cstheme="minorBidi"/>
        </w:rPr>
        <w:t>However, it should be noted that i</w:t>
      </w:r>
      <w:r w:rsidRPr="008F1E62">
        <w:rPr>
          <w:rFonts w:asciiTheme="minorHAnsi" w:hAnsiTheme="minorHAnsi" w:cstheme="minorBidi"/>
        </w:rPr>
        <w:t>t is common and consistent with the Basel Principles for banking supervisors to impose additional and more stringent requirements for auditors to audit banks and other financial institutions because these audits are specialized and include substantial public risk.</w:t>
      </w:r>
    </w:p>
    <w:p w14:paraId="4C08D849"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Arial"/>
          <w:b/>
          <w:bCs/>
        </w:rPr>
      </w:pPr>
      <w:r w:rsidRPr="008F1E62">
        <w:rPr>
          <w:rFonts w:ascii="Calibri" w:hAnsi="Calibri"/>
          <w:b/>
          <w:bCs/>
        </w:rPr>
        <w:t>Compliance</w:t>
      </w:r>
      <w:r w:rsidRPr="008F1E62">
        <w:rPr>
          <w:rFonts w:asciiTheme="minorHAnsi" w:hAnsiTheme="minorHAnsi"/>
          <w:b/>
          <w:bCs/>
        </w:rPr>
        <w:t xml:space="preserve"> with the 3-year meaningful experience requirement must be demonstrated by CPA applicants.</w:t>
      </w:r>
      <w:r w:rsidRPr="008F1E62">
        <w:rPr>
          <w:rFonts w:asciiTheme="minorHAnsi" w:hAnsiTheme="minorHAnsi"/>
        </w:rPr>
        <w:t xml:space="preserve">  The implementing rules and regulations of </w:t>
      </w:r>
      <w:r w:rsidR="00AA180D">
        <w:rPr>
          <w:rFonts w:asciiTheme="minorHAnsi" w:hAnsiTheme="minorHAnsi"/>
        </w:rPr>
        <w:t>RA</w:t>
      </w:r>
      <w:r w:rsidRPr="008F1E62">
        <w:rPr>
          <w:rFonts w:asciiTheme="minorHAnsi" w:hAnsiTheme="minorHAnsi"/>
        </w:rPr>
        <w:t xml:space="preserve"> 9298 provides that meaningful experience shall be considered as compliance with the requirements of the law if it is earned in any one of four areas of practice: (a) Commerce and Industry, (b) Academ</w:t>
      </w:r>
      <w:r w:rsidR="00D56589">
        <w:rPr>
          <w:rFonts w:asciiTheme="minorHAnsi" w:hAnsiTheme="minorHAnsi"/>
        </w:rPr>
        <w:t>ia</w:t>
      </w:r>
      <w:r w:rsidRPr="008F1E62">
        <w:rPr>
          <w:rFonts w:asciiTheme="minorHAnsi" w:hAnsiTheme="minorHAnsi"/>
        </w:rPr>
        <w:t xml:space="preserve"> / Education, (c) Government, or (d) Public Practice. There is a perception that evaluation of experience requirements is not fully competency-based, nor in compliance with international best practices and IFAC International Education Standards. The reforms proposed by CHED (</w:t>
      </w:r>
      <w:r w:rsidRPr="008F1E62">
        <w:rPr>
          <w:rFonts w:asciiTheme="minorHAnsi" w:hAnsiTheme="minorHAnsi"/>
          <w:i/>
          <w:iCs/>
        </w:rPr>
        <w:t>see section on Education</w:t>
      </w:r>
      <w:r w:rsidRPr="008F1E62">
        <w:rPr>
          <w:rFonts w:asciiTheme="minorHAnsi" w:hAnsiTheme="minorHAnsi"/>
        </w:rPr>
        <w:t>) aim to address these shortcomings.</w:t>
      </w:r>
    </w:p>
    <w:tbl>
      <w:tblPr>
        <w:tblStyle w:val="TableGrid"/>
        <w:tblpPr w:leftFromText="180" w:rightFromText="180" w:vertAnchor="text" w:horzAnchor="margin" w:tblpXSpec="right" w:tblpY="84"/>
        <w:tblOverlap w:val="never"/>
        <w:tblW w:w="0" w:type="auto"/>
        <w:jc w:val="right"/>
        <w:tblCellSpacing w:w="57"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725"/>
        <w:gridCol w:w="903"/>
        <w:gridCol w:w="948"/>
        <w:gridCol w:w="1004"/>
        <w:gridCol w:w="881"/>
      </w:tblGrid>
      <w:tr w:rsidR="003C5D2C" w:rsidRPr="00550E31" w14:paraId="2B338F2E" w14:textId="77777777" w:rsidTr="003C5D2C">
        <w:trPr>
          <w:trHeight w:val="255"/>
          <w:tblCellSpacing w:w="57" w:type="dxa"/>
          <w:jc w:val="right"/>
        </w:trPr>
        <w:tc>
          <w:tcPr>
            <w:tcW w:w="5213" w:type="dxa"/>
            <w:gridSpan w:val="5"/>
            <w:shd w:val="clear" w:color="auto" w:fill="auto"/>
            <w:noWrap/>
          </w:tcPr>
          <w:p w14:paraId="208BB88C" w14:textId="364BA7EF" w:rsidR="003C5D2C" w:rsidRPr="00E71A07" w:rsidRDefault="003C5D2C" w:rsidP="003C5D2C">
            <w:pPr>
              <w:spacing w:after="0"/>
              <w:jc w:val="center"/>
              <w:rPr>
                <w:rFonts w:ascii="Calibri" w:hAnsi="Calibri" w:cs="Calibri"/>
                <w:b/>
                <w:color w:val="FFFFFF" w:themeColor="background1"/>
                <w:sz w:val="20"/>
              </w:rPr>
            </w:pPr>
            <w:r w:rsidRPr="00E71A07">
              <w:rPr>
                <w:b/>
                <w:sz w:val="20"/>
                <w:szCs w:val="24"/>
              </w:rPr>
              <w:t xml:space="preserve">Table </w:t>
            </w:r>
            <w:r w:rsidRPr="00E71A07">
              <w:rPr>
                <w:b/>
                <w:sz w:val="20"/>
                <w:szCs w:val="24"/>
              </w:rPr>
              <w:fldChar w:fldCharType="begin"/>
            </w:r>
            <w:r w:rsidRPr="00E71A07">
              <w:rPr>
                <w:b/>
                <w:sz w:val="20"/>
                <w:szCs w:val="24"/>
              </w:rPr>
              <w:instrText xml:space="preserve"> SEQ Table \* ARABIC </w:instrText>
            </w:r>
            <w:r w:rsidRPr="00E71A07">
              <w:rPr>
                <w:b/>
                <w:sz w:val="20"/>
                <w:szCs w:val="24"/>
              </w:rPr>
              <w:fldChar w:fldCharType="separate"/>
            </w:r>
            <w:r w:rsidR="004310EC">
              <w:rPr>
                <w:b/>
                <w:noProof/>
                <w:sz w:val="20"/>
                <w:szCs w:val="24"/>
              </w:rPr>
              <w:t>11</w:t>
            </w:r>
            <w:r w:rsidRPr="00E71A07">
              <w:rPr>
                <w:b/>
                <w:sz w:val="20"/>
                <w:szCs w:val="24"/>
              </w:rPr>
              <w:fldChar w:fldCharType="end"/>
            </w:r>
            <w:r w:rsidRPr="00E71A07">
              <w:rPr>
                <w:b/>
                <w:sz w:val="20"/>
                <w:szCs w:val="24"/>
              </w:rPr>
              <w:t>. PICPA Membership by Sector as of January 2016</w:t>
            </w:r>
            <w:r w:rsidRPr="00E71A07">
              <w:rPr>
                <w:rStyle w:val="FootnoteReference"/>
                <w:b/>
                <w:sz w:val="20"/>
                <w:szCs w:val="24"/>
              </w:rPr>
              <w:footnoteReference w:id="77"/>
            </w:r>
          </w:p>
        </w:tc>
      </w:tr>
      <w:tr w:rsidR="003C5D2C" w:rsidRPr="00550E31" w14:paraId="528BE912" w14:textId="77777777" w:rsidTr="003C5D2C">
        <w:trPr>
          <w:trHeight w:val="255"/>
          <w:tblCellSpacing w:w="57" w:type="dxa"/>
          <w:jc w:val="right"/>
        </w:trPr>
        <w:tc>
          <w:tcPr>
            <w:tcW w:w="1544" w:type="dxa"/>
            <w:shd w:val="clear" w:color="auto" w:fill="4472C4"/>
            <w:noWrap/>
            <w:hideMark/>
          </w:tcPr>
          <w:p w14:paraId="740893A7"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Sector</w:t>
            </w:r>
          </w:p>
        </w:tc>
        <w:tc>
          <w:tcPr>
            <w:tcW w:w="789" w:type="dxa"/>
            <w:shd w:val="clear" w:color="auto" w:fill="4472C4"/>
            <w:noWrap/>
            <w:hideMark/>
          </w:tcPr>
          <w:p w14:paraId="08155380"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Male</w:t>
            </w:r>
          </w:p>
        </w:tc>
        <w:tc>
          <w:tcPr>
            <w:tcW w:w="834" w:type="dxa"/>
            <w:shd w:val="clear" w:color="auto" w:fill="4472C4"/>
            <w:noWrap/>
            <w:hideMark/>
          </w:tcPr>
          <w:p w14:paraId="35310348"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Female</w:t>
            </w:r>
          </w:p>
        </w:tc>
        <w:tc>
          <w:tcPr>
            <w:tcW w:w="890" w:type="dxa"/>
            <w:shd w:val="clear" w:color="auto" w:fill="4472C4"/>
            <w:noWrap/>
            <w:hideMark/>
          </w:tcPr>
          <w:p w14:paraId="3457BA52"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Total</w:t>
            </w:r>
          </w:p>
        </w:tc>
        <w:tc>
          <w:tcPr>
            <w:tcW w:w="700" w:type="dxa"/>
            <w:shd w:val="clear" w:color="auto" w:fill="4472C4"/>
            <w:noWrap/>
            <w:hideMark/>
          </w:tcPr>
          <w:p w14:paraId="2493BB79"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w:t>
            </w:r>
          </w:p>
        </w:tc>
      </w:tr>
      <w:tr w:rsidR="003C5D2C" w:rsidRPr="00550E31" w14:paraId="6761729D" w14:textId="77777777" w:rsidTr="003C5D2C">
        <w:trPr>
          <w:trHeight w:val="255"/>
          <w:tblCellSpacing w:w="57" w:type="dxa"/>
          <w:jc w:val="right"/>
        </w:trPr>
        <w:tc>
          <w:tcPr>
            <w:tcW w:w="1544" w:type="dxa"/>
            <w:shd w:val="clear" w:color="auto" w:fill="C6E8D7"/>
            <w:noWrap/>
            <w:hideMark/>
          </w:tcPr>
          <w:p w14:paraId="5C7948C1" w14:textId="77777777" w:rsidR="003C5D2C" w:rsidRPr="00550E31" w:rsidRDefault="003C5D2C" w:rsidP="003C5D2C">
            <w:pPr>
              <w:spacing w:after="0"/>
              <w:jc w:val="left"/>
              <w:rPr>
                <w:rFonts w:ascii="Calibri" w:hAnsi="Calibri" w:cs="Calibri"/>
                <w:color w:val="000000"/>
                <w:sz w:val="20"/>
              </w:rPr>
            </w:pPr>
            <w:r w:rsidRPr="00550E31">
              <w:rPr>
                <w:rFonts w:ascii="Calibri" w:hAnsi="Calibri" w:cs="Calibri"/>
                <w:color w:val="000000"/>
                <w:sz w:val="20"/>
              </w:rPr>
              <w:t>Public Practice</w:t>
            </w:r>
          </w:p>
        </w:tc>
        <w:tc>
          <w:tcPr>
            <w:tcW w:w="789" w:type="dxa"/>
            <w:shd w:val="clear" w:color="auto" w:fill="C6E8D7"/>
            <w:noWrap/>
            <w:vAlign w:val="center"/>
            <w:hideMark/>
          </w:tcPr>
          <w:p w14:paraId="33E8FF90"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9,844</w:t>
            </w:r>
          </w:p>
        </w:tc>
        <w:tc>
          <w:tcPr>
            <w:tcW w:w="834" w:type="dxa"/>
            <w:shd w:val="clear" w:color="auto" w:fill="C6E8D7"/>
            <w:noWrap/>
            <w:vAlign w:val="center"/>
            <w:hideMark/>
          </w:tcPr>
          <w:p w14:paraId="0CA0FCED"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16,678</w:t>
            </w:r>
          </w:p>
        </w:tc>
        <w:tc>
          <w:tcPr>
            <w:tcW w:w="890" w:type="dxa"/>
            <w:shd w:val="clear" w:color="auto" w:fill="C6E8D7"/>
            <w:noWrap/>
            <w:vAlign w:val="center"/>
            <w:hideMark/>
          </w:tcPr>
          <w:p w14:paraId="1713B9C3"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26,522</w:t>
            </w:r>
          </w:p>
        </w:tc>
        <w:tc>
          <w:tcPr>
            <w:tcW w:w="700" w:type="dxa"/>
            <w:shd w:val="clear" w:color="auto" w:fill="C6E8D7"/>
            <w:noWrap/>
            <w:vAlign w:val="center"/>
            <w:hideMark/>
          </w:tcPr>
          <w:p w14:paraId="6ACA2103"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20%</w:t>
            </w:r>
          </w:p>
        </w:tc>
      </w:tr>
      <w:tr w:rsidR="003C5D2C" w:rsidRPr="00550E31" w14:paraId="02DABA2D" w14:textId="77777777" w:rsidTr="003C5D2C">
        <w:trPr>
          <w:trHeight w:val="255"/>
          <w:tblCellSpacing w:w="57" w:type="dxa"/>
          <w:jc w:val="right"/>
        </w:trPr>
        <w:tc>
          <w:tcPr>
            <w:tcW w:w="1544" w:type="dxa"/>
            <w:shd w:val="clear" w:color="auto" w:fill="C6E8D7"/>
            <w:noWrap/>
            <w:hideMark/>
          </w:tcPr>
          <w:p w14:paraId="2076DB10" w14:textId="77777777" w:rsidR="003C5D2C" w:rsidRPr="00550E31" w:rsidRDefault="003C5D2C" w:rsidP="003C5D2C">
            <w:pPr>
              <w:spacing w:after="0"/>
              <w:jc w:val="left"/>
              <w:rPr>
                <w:rFonts w:ascii="Calibri" w:hAnsi="Calibri" w:cs="Calibri"/>
                <w:color w:val="000000"/>
                <w:sz w:val="20"/>
              </w:rPr>
            </w:pPr>
            <w:r w:rsidRPr="00550E31">
              <w:rPr>
                <w:rFonts w:ascii="Calibri" w:hAnsi="Calibri" w:cs="Calibri"/>
                <w:color w:val="000000"/>
                <w:sz w:val="20"/>
              </w:rPr>
              <w:t>Commerce &amp; Industry</w:t>
            </w:r>
          </w:p>
        </w:tc>
        <w:tc>
          <w:tcPr>
            <w:tcW w:w="789" w:type="dxa"/>
            <w:shd w:val="clear" w:color="auto" w:fill="C6E8D7"/>
            <w:noWrap/>
            <w:vAlign w:val="center"/>
            <w:hideMark/>
          </w:tcPr>
          <w:p w14:paraId="0ABEA91E"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19,477</w:t>
            </w:r>
          </w:p>
        </w:tc>
        <w:tc>
          <w:tcPr>
            <w:tcW w:w="834" w:type="dxa"/>
            <w:shd w:val="clear" w:color="auto" w:fill="C6E8D7"/>
            <w:noWrap/>
            <w:vAlign w:val="center"/>
            <w:hideMark/>
          </w:tcPr>
          <w:p w14:paraId="4F6A8F22"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39,469</w:t>
            </w:r>
          </w:p>
        </w:tc>
        <w:tc>
          <w:tcPr>
            <w:tcW w:w="890" w:type="dxa"/>
            <w:shd w:val="clear" w:color="auto" w:fill="C6E8D7"/>
            <w:noWrap/>
            <w:vAlign w:val="center"/>
            <w:hideMark/>
          </w:tcPr>
          <w:p w14:paraId="4601DDC6"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58,946</w:t>
            </w:r>
          </w:p>
        </w:tc>
        <w:tc>
          <w:tcPr>
            <w:tcW w:w="700" w:type="dxa"/>
            <w:shd w:val="clear" w:color="auto" w:fill="C6E8D7"/>
            <w:noWrap/>
            <w:vAlign w:val="center"/>
            <w:hideMark/>
          </w:tcPr>
          <w:p w14:paraId="50A5C746"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44%</w:t>
            </w:r>
          </w:p>
        </w:tc>
      </w:tr>
      <w:tr w:rsidR="003C5D2C" w:rsidRPr="00550E31" w14:paraId="343D9082" w14:textId="77777777" w:rsidTr="003C5D2C">
        <w:trPr>
          <w:trHeight w:val="255"/>
          <w:tblCellSpacing w:w="57" w:type="dxa"/>
          <w:jc w:val="right"/>
        </w:trPr>
        <w:tc>
          <w:tcPr>
            <w:tcW w:w="1544" w:type="dxa"/>
            <w:shd w:val="clear" w:color="auto" w:fill="C6E8D7"/>
            <w:noWrap/>
            <w:hideMark/>
          </w:tcPr>
          <w:p w14:paraId="1C24F97C" w14:textId="77777777" w:rsidR="003C5D2C" w:rsidRPr="00550E31" w:rsidRDefault="003C5D2C" w:rsidP="003C5D2C">
            <w:pPr>
              <w:spacing w:after="0"/>
              <w:jc w:val="left"/>
              <w:rPr>
                <w:rFonts w:ascii="Calibri" w:hAnsi="Calibri" w:cs="Calibri"/>
                <w:color w:val="000000"/>
                <w:sz w:val="20"/>
              </w:rPr>
            </w:pPr>
            <w:r w:rsidRPr="00550E31">
              <w:rPr>
                <w:rFonts w:ascii="Calibri" w:hAnsi="Calibri" w:cs="Calibri"/>
                <w:color w:val="000000"/>
                <w:sz w:val="20"/>
              </w:rPr>
              <w:t>Academia</w:t>
            </w:r>
          </w:p>
        </w:tc>
        <w:tc>
          <w:tcPr>
            <w:tcW w:w="789" w:type="dxa"/>
            <w:shd w:val="clear" w:color="auto" w:fill="C6E8D7"/>
            <w:noWrap/>
            <w:vAlign w:val="center"/>
            <w:hideMark/>
          </w:tcPr>
          <w:p w14:paraId="5183D92C"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1,252</w:t>
            </w:r>
          </w:p>
        </w:tc>
        <w:tc>
          <w:tcPr>
            <w:tcW w:w="834" w:type="dxa"/>
            <w:shd w:val="clear" w:color="auto" w:fill="C6E8D7"/>
            <w:noWrap/>
            <w:vAlign w:val="center"/>
            <w:hideMark/>
          </w:tcPr>
          <w:p w14:paraId="4A2F56A2"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2,119</w:t>
            </w:r>
          </w:p>
        </w:tc>
        <w:tc>
          <w:tcPr>
            <w:tcW w:w="890" w:type="dxa"/>
            <w:shd w:val="clear" w:color="auto" w:fill="C6E8D7"/>
            <w:noWrap/>
            <w:vAlign w:val="center"/>
            <w:hideMark/>
          </w:tcPr>
          <w:p w14:paraId="151B630A"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3,371</w:t>
            </w:r>
          </w:p>
        </w:tc>
        <w:tc>
          <w:tcPr>
            <w:tcW w:w="700" w:type="dxa"/>
            <w:shd w:val="clear" w:color="auto" w:fill="C6E8D7"/>
            <w:noWrap/>
            <w:vAlign w:val="center"/>
            <w:hideMark/>
          </w:tcPr>
          <w:p w14:paraId="56B33678"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2%</w:t>
            </w:r>
          </w:p>
        </w:tc>
      </w:tr>
      <w:tr w:rsidR="003C5D2C" w:rsidRPr="00550E31" w14:paraId="2BBBBA04" w14:textId="77777777" w:rsidTr="003C5D2C">
        <w:trPr>
          <w:trHeight w:val="255"/>
          <w:tblCellSpacing w:w="57" w:type="dxa"/>
          <w:jc w:val="right"/>
        </w:trPr>
        <w:tc>
          <w:tcPr>
            <w:tcW w:w="1544" w:type="dxa"/>
            <w:shd w:val="clear" w:color="auto" w:fill="C6E8D7"/>
            <w:noWrap/>
            <w:hideMark/>
          </w:tcPr>
          <w:p w14:paraId="38DD88D2" w14:textId="77777777" w:rsidR="003C5D2C" w:rsidRPr="00550E31" w:rsidRDefault="003C5D2C" w:rsidP="003C5D2C">
            <w:pPr>
              <w:spacing w:after="0"/>
              <w:jc w:val="left"/>
              <w:rPr>
                <w:rFonts w:ascii="Calibri" w:hAnsi="Calibri" w:cs="Calibri"/>
                <w:color w:val="000000"/>
                <w:sz w:val="20"/>
              </w:rPr>
            </w:pPr>
            <w:r w:rsidRPr="00550E31">
              <w:rPr>
                <w:rFonts w:ascii="Calibri" w:hAnsi="Calibri" w:cs="Calibri"/>
                <w:color w:val="000000"/>
                <w:sz w:val="20"/>
              </w:rPr>
              <w:t>Government</w:t>
            </w:r>
          </w:p>
        </w:tc>
        <w:tc>
          <w:tcPr>
            <w:tcW w:w="789" w:type="dxa"/>
            <w:shd w:val="clear" w:color="auto" w:fill="C6E8D7"/>
            <w:noWrap/>
            <w:vAlign w:val="center"/>
            <w:hideMark/>
          </w:tcPr>
          <w:p w14:paraId="25D69F9B"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4,806</w:t>
            </w:r>
          </w:p>
        </w:tc>
        <w:tc>
          <w:tcPr>
            <w:tcW w:w="834" w:type="dxa"/>
            <w:shd w:val="clear" w:color="auto" w:fill="C6E8D7"/>
            <w:noWrap/>
            <w:vAlign w:val="center"/>
            <w:hideMark/>
          </w:tcPr>
          <w:p w14:paraId="35B5C371"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11,746</w:t>
            </w:r>
          </w:p>
        </w:tc>
        <w:tc>
          <w:tcPr>
            <w:tcW w:w="890" w:type="dxa"/>
            <w:shd w:val="clear" w:color="auto" w:fill="C6E8D7"/>
            <w:noWrap/>
            <w:vAlign w:val="center"/>
            <w:hideMark/>
          </w:tcPr>
          <w:p w14:paraId="1917A07E"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16,552</w:t>
            </w:r>
          </w:p>
        </w:tc>
        <w:tc>
          <w:tcPr>
            <w:tcW w:w="700" w:type="dxa"/>
            <w:shd w:val="clear" w:color="auto" w:fill="C6E8D7"/>
            <w:noWrap/>
            <w:vAlign w:val="center"/>
            <w:hideMark/>
          </w:tcPr>
          <w:p w14:paraId="3A74BE77"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12%</w:t>
            </w:r>
          </w:p>
        </w:tc>
      </w:tr>
      <w:tr w:rsidR="003C5D2C" w:rsidRPr="00550E31" w14:paraId="19F9E133" w14:textId="77777777" w:rsidTr="003C5D2C">
        <w:trPr>
          <w:trHeight w:val="255"/>
          <w:tblCellSpacing w:w="57" w:type="dxa"/>
          <w:jc w:val="right"/>
        </w:trPr>
        <w:tc>
          <w:tcPr>
            <w:tcW w:w="1544" w:type="dxa"/>
            <w:shd w:val="clear" w:color="auto" w:fill="C6E8D7"/>
            <w:noWrap/>
            <w:hideMark/>
          </w:tcPr>
          <w:p w14:paraId="5BDBFCAD" w14:textId="77777777" w:rsidR="003C5D2C" w:rsidRPr="00550E31" w:rsidRDefault="003C5D2C" w:rsidP="003C5D2C">
            <w:pPr>
              <w:spacing w:after="0"/>
              <w:jc w:val="left"/>
              <w:rPr>
                <w:rFonts w:ascii="Calibri" w:hAnsi="Calibri" w:cs="Calibri"/>
                <w:color w:val="000000"/>
                <w:sz w:val="20"/>
              </w:rPr>
            </w:pPr>
            <w:r w:rsidRPr="00550E31">
              <w:rPr>
                <w:rFonts w:ascii="Calibri" w:hAnsi="Calibri" w:cs="Calibri"/>
                <w:color w:val="000000"/>
                <w:sz w:val="20"/>
              </w:rPr>
              <w:t>No sector</w:t>
            </w:r>
          </w:p>
        </w:tc>
        <w:tc>
          <w:tcPr>
            <w:tcW w:w="789" w:type="dxa"/>
            <w:shd w:val="clear" w:color="auto" w:fill="C6E8D7"/>
            <w:noWrap/>
            <w:vAlign w:val="center"/>
            <w:hideMark/>
          </w:tcPr>
          <w:p w14:paraId="21794ECB"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9,616</w:t>
            </w:r>
          </w:p>
        </w:tc>
        <w:tc>
          <w:tcPr>
            <w:tcW w:w="834" w:type="dxa"/>
            <w:shd w:val="clear" w:color="auto" w:fill="C6E8D7"/>
            <w:noWrap/>
            <w:vAlign w:val="center"/>
            <w:hideMark/>
          </w:tcPr>
          <w:p w14:paraId="45D08256"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20,106</w:t>
            </w:r>
          </w:p>
        </w:tc>
        <w:tc>
          <w:tcPr>
            <w:tcW w:w="890" w:type="dxa"/>
            <w:shd w:val="clear" w:color="auto" w:fill="C6E8D7"/>
            <w:noWrap/>
            <w:vAlign w:val="center"/>
            <w:hideMark/>
          </w:tcPr>
          <w:p w14:paraId="6B24E6BF"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29,722</w:t>
            </w:r>
          </w:p>
        </w:tc>
        <w:tc>
          <w:tcPr>
            <w:tcW w:w="700" w:type="dxa"/>
            <w:shd w:val="clear" w:color="auto" w:fill="C6E8D7"/>
            <w:noWrap/>
            <w:vAlign w:val="center"/>
            <w:hideMark/>
          </w:tcPr>
          <w:p w14:paraId="01B50E7F" w14:textId="77777777" w:rsidR="003C5D2C" w:rsidRPr="00550E31" w:rsidRDefault="003C5D2C" w:rsidP="003C5D2C">
            <w:pPr>
              <w:spacing w:after="0"/>
              <w:jc w:val="center"/>
              <w:rPr>
                <w:rFonts w:ascii="Calibri" w:hAnsi="Calibri" w:cs="Calibri"/>
                <w:color w:val="000000"/>
                <w:sz w:val="20"/>
              </w:rPr>
            </w:pPr>
            <w:r w:rsidRPr="00550E31">
              <w:rPr>
                <w:rFonts w:ascii="Calibri" w:hAnsi="Calibri" w:cs="Calibri"/>
                <w:color w:val="000000"/>
                <w:sz w:val="20"/>
              </w:rPr>
              <w:t>22%</w:t>
            </w:r>
          </w:p>
        </w:tc>
      </w:tr>
      <w:tr w:rsidR="003C5D2C" w:rsidRPr="00550E31" w14:paraId="25D776FD" w14:textId="77777777" w:rsidTr="003C5D2C">
        <w:trPr>
          <w:trHeight w:val="255"/>
          <w:tblCellSpacing w:w="57" w:type="dxa"/>
          <w:jc w:val="right"/>
        </w:trPr>
        <w:tc>
          <w:tcPr>
            <w:tcW w:w="1544" w:type="dxa"/>
            <w:shd w:val="clear" w:color="auto" w:fill="4472C4"/>
            <w:noWrap/>
            <w:hideMark/>
          </w:tcPr>
          <w:p w14:paraId="22412AD0" w14:textId="77777777" w:rsidR="003C5D2C" w:rsidRPr="00550E31" w:rsidRDefault="003C5D2C" w:rsidP="003C5D2C">
            <w:pPr>
              <w:spacing w:after="0"/>
              <w:jc w:val="left"/>
              <w:rPr>
                <w:rFonts w:ascii="Calibri" w:hAnsi="Calibri" w:cs="Calibri"/>
                <w:b/>
                <w:color w:val="FFFFFF" w:themeColor="background1"/>
                <w:sz w:val="20"/>
              </w:rPr>
            </w:pPr>
            <w:r w:rsidRPr="00550E31">
              <w:rPr>
                <w:rFonts w:ascii="Calibri" w:hAnsi="Calibri" w:cs="Calibri"/>
                <w:b/>
                <w:color w:val="FFFFFF" w:themeColor="background1"/>
                <w:sz w:val="20"/>
              </w:rPr>
              <w:t>Total</w:t>
            </w:r>
          </w:p>
        </w:tc>
        <w:tc>
          <w:tcPr>
            <w:tcW w:w="789" w:type="dxa"/>
            <w:shd w:val="clear" w:color="auto" w:fill="4472C4"/>
            <w:noWrap/>
            <w:hideMark/>
          </w:tcPr>
          <w:p w14:paraId="39142A68"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44,995</w:t>
            </w:r>
          </w:p>
        </w:tc>
        <w:tc>
          <w:tcPr>
            <w:tcW w:w="834" w:type="dxa"/>
            <w:shd w:val="clear" w:color="auto" w:fill="4472C4"/>
            <w:noWrap/>
            <w:hideMark/>
          </w:tcPr>
          <w:p w14:paraId="55AB9E23"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90,118</w:t>
            </w:r>
          </w:p>
        </w:tc>
        <w:tc>
          <w:tcPr>
            <w:tcW w:w="890" w:type="dxa"/>
            <w:shd w:val="clear" w:color="auto" w:fill="4472C4"/>
            <w:noWrap/>
            <w:hideMark/>
          </w:tcPr>
          <w:p w14:paraId="33DE940F"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135,113</w:t>
            </w:r>
          </w:p>
        </w:tc>
        <w:tc>
          <w:tcPr>
            <w:tcW w:w="700" w:type="dxa"/>
            <w:shd w:val="clear" w:color="auto" w:fill="4472C4"/>
            <w:noWrap/>
            <w:hideMark/>
          </w:tcPr>
          <w:p w14:paraId="7CE2DA23" w14:textId="77777777" w:rsidR="003C5D2C" w:rsidRPr="00550E31" w:rsidRDefault="003C5D2C" w:rsidP="003C5D2C">
            <w:pPr>
              <w:spacing w:after="0"/>
              <w:jc w:val="center"/>
              <w:rPr>
                <w:rFonts w:ascii="Calibri" w:hAnsi="Calibri" w:cs="Calibri"/>
                <w:b/>
                <w:color w:val="FFFFFF" w:themeColor="background1"/>
                <w:sz w:val="20"/>
              </w:rPr>
            </w:pPr>
            <w:r w:rsidRPr="00550E31">
              <w:rPr>
                <w:rFonts w:ascii="Calibri" w:hAnsi="Calibri" w:cs="Calibri"/>
                <w:b/>
                <w:color w:val="FFFFFF" w:themeColor="background1"/>
                <w:sz w:val="20"/>
              </w:rPr>
              <w:t>100%</w:t>
            </w:r>
          </w:p>
        </w:tc>
      </w:tr>
      <w:tr w:rsidR="003C5D2C" w:rsidRPr="00550E31" w14:paraId="4943CBB5" w14:textId="77777777" w:rsidTr="003C5D2C">
        <w:trPr>
          <w:trHeight w:val="255"/>
          <w:tblCellSpacing w:w="57" w:type="dxa"/>
          <w:jc w:val="right"/>
        </w:trPr>
        <w:tc>
          <w:tcPr>
            <w:tcW w:w="1544" w:type="dxa"/>
            <w:shd w:val="clear" w:color="auto" w:fill="E7E6E6" w:themeFill="background2"/>
            <w:noWrap/>
            <w:hideMark/>
          </w:tcPr>
          <w:p w14:paraId="55FC8E91" w14:textId="77777777" w:rsidR="003C5D2C" w:rsidRPr="00550E31" w:rsidRDefault="003C5D2C" w:rsidP="003C5D2C">
            <w:pPr>
              <w:spacing w:after="0"/>
              <w:jc w:val="left"/>
              <w:rPr>
                <w:rFonts w:ascii="Calibri" w:hAnsi="Calibri" w:cs="Calibri"/>
                <w:b/>
                <w:color w:val="000000"/>
                <w:sz w:val="20"/>
              </w:rPr>
            </w:pPr>
            <w:r w:rsidRPr="00550E31">
              <w:rPr>
                <w:rFonts w:ascii="Calibri" w:hAnsi="Calibri" w:cs="Calibri"/>
                <w:b/>
                <w:color w:val="000000"/>
                <w:sz w:val="20"/>
              </w:rPr>
              <w:t>Gender Percentage</w:t>
            </w:r>
          </w:p>
        </w:tc>
        <w:tc>
          <w:tcPr>
            <w:tcW w:w="789" w:type="dxa"/>
            <w:shd w:val="clear" w:color="auto" w:fill="E7E6E6" w:themeFill="background2"/>
            <w:noWrap/>
            <w:vAlign w:val="center"/>
            <w:hideMark/>
          </w:tcPr>
          <w:p w14:paraId="54F63587" w14:textId="77777777" w:rsidR="003C5D2C" w:rsidRPr="00550E31" w:rsidRDefault="003C5D2C" w:rsidP="003C5D2C">
            <w:pPr>
              <w:spacing w:after="0"/>
              <w:jc w:val="center"/>
              <w:rPr>
                <w:rFonts w:ascii="Calibri" w:hAnsi="Calibri" w:cs="Calibri"/>
                <w:b/>
                <w:color w:val="000000"/>
                <w:sz w:val="20"/>
              </w:rPr>
            </w:pPr>
            <w:r w:rsidRPr="00550E31">
              <w:rPr>
                <w:rFonts w:ascii="Calibri" w:hAnsi="Calibri" w:cs="Calibri"/>
                <w:b/>
                <w:color w:val="000000"/>
                <w:sz w:val="20"/>
              </w:rPr>
              <w:t>33%</w:t>
            </w:r>
          </w:p>
        </w:tc>
        <w:tc>
          <w:tcPr>
            <w:tcW w:w="834" w:type="dxa"/>
            <w:shd w:val="clear" w:color="auto" w:fill="E7E6E6" w:themeFill="background2"/>
            <w:noWrap/>
            <w:vAlign w:val="center"/>
            <w:hideMark/>
          </w:tcPr>
          <w:p w14:paraId="0470689E" w14:textId="77777777" w:rsidR="003C5D2C" w:rsidRPr="00550E31" w:rsidRDefault="003C5D2C" w:rsidP="003C5D2C">
            <w:pPr>
              <w:spacing w:after="0"/>
              <w:jc w:val="center"/>
              <w:rPr>
                <w:rFonts w:ascii="Calibri" w:hAnsi="Calibri" w:cs="Calibri"/>
                <w:b/>
                <w:color w:val="000000"/>
                <w:sz w:val="20"/>
              </w:rPr>
            </w:pPr>
            <w:r w:rsidRPr="00550E31">
              <w:rPr>
                <w:rFonts w:ascii="Calibri" w:hAnsi="Calibri" w:cs="Calibri"/>
                <w:b/>
                <w:color w:val="000000"/>
                <w:sz w:val="20"/>
              </w:rPr>
              <w:t>67%</w:t>
            </w:r>
          </w:p>
        </w:tc>
        <w:tc>
          <w:tcPr>
            <w:tcW w:w="890" w:type="dxa"/>
            <w:noWrap/>
            <w:hideMark/>
          </w:tcPr>
          <w:p w14:paraId="676A3071" w14:textId="77777777" w:rsidR="003C5D2C" w:rsidRPr="00550E31" w:rsidRDefault="003C5D2C" w:rsidP="003C5D2C">
            <w:pPr>
              <w:spacing w:after="0"/>
              <w:jc w:val="center"/>
              <w:rPr>
                <w:rFonts w:ascii="Calibri" w:hAnsi="Calibri" w:cs="Calibri"/>
                <w:b/>
                <w:color w:val="000000"/>
                <w:sz w:val="20"/>
              </w:rPr>
            </w:pPr>
          </w:p>
        </w:tc>
        <w:tc>
          <w:tcPr>
            <w:tcW w:w="700" w:type="dxa"/>
            <w:noWrap/>
            <w:hideMark/>
          </w:tcPr>
          <w:p w14:paraId="6FD13DFB" w14:textId="77777777" w:rsidR="003C5D2C" w:rsidRPr="00550E31" w:rsidRDefault="003C5D2C" w:rsidP="003C5D2C">
            <w:pPr>
              <w:spacing w:after="0"/>
              <w:jc w:val="center"/>
              <w:rPr>
                <w:rFonts w:ascii="Calibri" w:hAnsi="Calibri" w:cs="Calibri"/>
                <w:b/>
                <w:color w:val="000000"/>
                <w:sz w:val="20"/>
              </w:rPr>
            </w:pPr>
          </w:p>
        </w:tc>
      </w:tr>
    </w:tbl>
    <w:p w14:paraId="0A5E5804" w14:textId="03C35992" w:rsidR="00F76E53"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There are more </w:t>
      </w:r>
      <w:r w:rsidRPr="008F1E62">
        <w:rPr>
          <w:rFonts w:ascii="Calibri" w:hAnsi="Calibri"/>
          <w:b/>
          <w:bCs/>
        </w:rPr>
        <w:t>than</w:t>
      </w:r>
      <w:r w:rsidRPr="008F1E62">
        <w:rPr>
          <w:rFonts w:asciiTheme="minorHAnsi" w:hAnsiTheme="minorHAnsi"/>
          <w:b/>
          <w:bCs/>
        </w:rPr>
        <w:t xml:space="preserve"> 175,000 CPAs registered in the Philippines, of which over 6,500 are currently active CPAs in Public Practice.</w:t>
      </w:r>
      <w:r w:rsidRPr="008F1E62">
        <w:rPr>
          <w:rFonts w:asciiTheme="minorHAnsi" w:hAnsiTheme="minorHAnsi"/>
        </w:rPr>
        <w:t xml:space="preserve"> PICPA has over 135,000 members of which 25,000 are currently in good standing. The PICPA organization consists of the National Office (supported by a National Secretariat), the geographical areas, the regions, the chapters, and the general membership. Membership is distributed into different sectors, as follows: (a) Commerce and Industry 36%; (b) Public Practice 25%; (c) Government or Public Sector 16%; (d) Education 4%; (e) Others 19%</w:t>
      </w:r>
      <w:r w:rsidRPr="008F1E62">
        <w:rPr>
          <w:rStyle w:val="FootnoteReference"/>
          <w:rFonts w:asciiTheme="minorHAnsi" w:hAnsiTheme="minorHAnsi"/>
        </w:rPr>
        <w:footnoteReference w:id="78"/>
      </w:r>
      <w:r w:rsidRPr="008F1E62">
        <w:rPr>
          <w:rFonts w:asciiTheme="minorHAnsi" w:hAnsiTheme="minorHAnsi"/>
        </w:rPr>
        <w:t xml:space="preserve">. </w:t>
      </w:r>
      <w:r w:rsidR="009C0C8B">
        <w:rPr>
          <w:rFonts w:asciiTheme="minorHAnsi" w:hAnsiTheme="minorHAnsi"/>
        </w:rPr>
        <w:t>D</w:t>
      </w:r>
      <w:r w:rsidRPr="008F1E62">
        <w:rPr>
          <w:rFonts w:asciiTheme="minorHAnsi" w:hAnsiTheme="minorHAnsi"/>
        </w:rPr>
        <w:t>ata from AFA</w:t>
      </w:r>
      <w:r w:rsidR="009C0C8B">
        <w:rPr>
          <w:rFonts w:asciiTheme="minorHAnsi" w:hAnsiTheme="minorHAnsi"/>
        </w:rPr>
        <w:t xml:space="preserve"> </w:t>
      </w:r>
      <w:r w:rsidR="009C0C8B" w:rsidRPr="008F1E62">
        <w:rPr>
          <w:rFonts w:asciiTheme="minorHAnsi" w:hAnsiTheme="minorHAnsi"/>
        </w:rPr>
        <w:t xml:space="preserve">as of January </w:t>
      </w:r>
      <w:r w:rsidR="00FD0233" w:rsidRPr="008F1E62">
        <w:rPr>
          <w:rFonts w:asciiTheme="minorHAnsi" w:hAnsiTheme="minorHAnsi"/>
        </w:rPr>
        <w:t>2016 is</w:t>
      </w:r>
      <w:r w:rsidRPr="008F1E62">
        <w:rPr>
          <w:rFonts w:asciiTheme="minorHAnsi" w:hAnsiTheme="minorHAnsi"/>
        </w:rPr>
        <w:t xml:space="preserve"> roughly consistent with the PICPA </w:t>
      </w:r>
      <w:r w:rsidR="00943447" w:rsidRPr="008F1E62">
        <w:rPr>
          <w:rFonts w:asciiTheme="minorHAnsi" w:hAnsiTheme="minorHAnsi"/>
        </w:rPr>
        <w:t>membership (</w:t>
      </w:r>
      <w:r w:rsidR="00943447">
        <w:rPr>
          <w:rFonts w:asciiTheme="minorHAnsi" w:hAnsiTheme="minorHAnsi"/>
        </w:rPr>
        <w:t xml:space="preserve">see </w:t>
      </w:r>
      <w:r w:rsidR="00943447" w:rsidRPr="008F1E62">
        <w:rPr>
          <w:rFonts w:asciiTheme="minorHAnsi" w:hAnsiTheme="minorHAnsi"/>
        </w:rPr>
        <w:t>Table 12)</w:t>
      </w:r>
      <w:r w:rsidR="009C0C8B">
        <w:rPr>
          <w:rFonts w:asciiTheme="minorHAnsi" w:hAnsiTheme="minorHAnsi"/>
        </w:rPr>
        <w:t>.</w:t>
      </w:r>
      <w:r w:rsidRPr="008F1E62">
        <w:rPr>
          <w:rFonts w:asciiTheme="minorHAnsi" w:hAnsiTheme="minorHAnsi"/>
        </w:rPr>
        <w:t xml:space="preserve"> The first four sectors correspond to those recognized by</w:t>
      </w:r>
      <w:r w:rsidRPr="008F1E62">
        <w:rPr>
          <w:rFonts w:asciiTheme="minorHAnsi" w:hAnsiTheme="minorHAnsi"/>
          <w:b/>
          <w:bCs/>
        </w:rPr>
        <w:t xml:space="preserve"> </w:t>
      </w:r>
      <w:r w:rsidRPr="008F1E62">
        <w:rPr>
          <w:rFonts w:asciiTheme="minorHAnsi" w:hAnsiTheme="minorHAnsi"/>
        </w:rPr>
        <w:t xml:space="preserve">PICPA, which endeavors to have equal sectoral representations in all its offices from the National Office to its chapters and affiliates. Each Regional Unit elects four Regional Sectoral Representatives who are tasked with the professional development of each </w:t>
      </w:r>
      <w:proofErr w:type="gramStart"/>
      <w:r w:rsidRPr="008F1E62">
        <w:rPr>
          <w:rFonts w:asciiTheme="minorHAnsi" w:hAnsiTheme="minorHAnsi"/>
        </w:rPr>
        <w:t>particular sector</w:t>
      </w:r>
      <w:proofErr w:type="gramEnd"/>
      <w:r w:rsidRPr="008F1E62">
        <w:rPr>
          <w:rFonts w:asciiTheme="minorHAnsi" w:hAnsiTheme="minorHAnsi"/>
        </w:rPr>
        <w:t xml:space="preserve"> through participation in an accredited CPD program.</w:t>
      </w:r>
    </w:p>
    <w:p w14:paraId="47B8DC41"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Calibri" w:hAnsi="Calibri"/>
          <w:b/>
          <w:bCs/>
        </w:rPr>
        <w:t>Although</w:t>
      </w:r>
      <w:r w:rsidRPr="008F1E62">
        <w:rPr>
          <w:rFonts w:asciiTheme="minorHAnsi" w:hAnsiTheme="minorHAnsi"/>
          <w:b/>
          <w:bCs/>
        </w:rPr>
        <w:t xml:space="preserve"> PICPA reports that roughly two-thirds of its members are female, this ratio is not representative of higher level positions in the largest public accounting firms.</w:t>
      </w:r>
      <w:r w:rsidRPr="008F1E62">
        <w:rPr>
          <w:rFonts w:asciiTheme="minorHAnsi" w:hAnsiTheme="minorHAnsi"/>
        </w:rPr>
        <w:t xml:space="preserve">  The percentage of female partners and principals is reported to be 50%, while females represent less than one-third of firm executives.</w:t>
      </w:r>
      <w:r w:rsidRPr="008F1E62">
        <w:rPr>
          <w:rStyle w:val="FootnoteReference"/>
          <w:rFonts w:asciiTheme="minorHAnsi" w:hAnsiTheme="minorHAnsi"/>
        </w:rPr>
        <w:footnoteReference w:id="79"/>
      </w:r>
      <w:r w:rsidRPr="008F1E62">
        <w:rPr>
          <w:rFonts w:asciiTheme="minorHAnsi" w:hAnsiTheme="minorHAnsi"/>
        </w:rPr>
        <w:t xml:space="preserve"> Similarly, only </w:t>
      </w:r>
      <w:r w:rsidR="00125F77">
        <w:rPr>
          <w:rFonts w:asciiTheme="minorHAnsi" w:hAnsiTheme="minorHAnsi"/>
        </w:rPr>
        <w:t>two</w:t>
      </w:r>
      <w:r w:rsidR="00125F77" w:rsidRPr="008F1E62">
        <w:rPr>
          <w:rFonts w:asciiTheme="minorHAnsi" w:hAnsiTheme="minorHAnsi"/>
        </w:rPr>
        <w:t xml:space="preserve"> </w:t>
      </w:r>
      <w:r w:rsidRPr="008F1E62">
        <w:rPr>
          <w:rFonts w:asciiTheme="minorHAnsi" w:hAnsiTheme="minorHAnsi"/>
        </w:rPr>
        <w:t xml:space="preserve">of the </w:t>
      </w:r>
      <w:r w:rsidR="003305CA">
        <w:rPr>
          <w:rFonts w:asciiTheme="minorHAnsi" w:hAnsiTheme="minorHAnsi"/>
        </w:rPr>
        <w:t>seven</w:t>
      </w:r>
      <w:r w:rsidR="003305CA" w:rsidRPr="008F1E62">
        <w:rPr>
          <w:rFonts w:asciiTheme="minorHAnsi" w:hAnsiTheme="minorHAnsi"/>
        </w:rPr>
        <w:t xml:space="preserve"> </w:t>
      </w:r>
      <w:r w:rsidR="008C6BAA" w:rsidRPr="008F1E62">
        <w:rPr>
          <w:rFonts w:asciiTheme="minorHAnsi" w:hAnsiTheme="minorHAnsi"/>
        </w:rPr>
        <w:t xml:space="preserve">BOA board </w:t>
      </w:r>
      <w:r w:rsidRPr="008F1E62">
        <w:rPr>
          <w:rFonts w:asciiTheme="minorHAnsi" w:hAnsiTheme="minorHAnsi"/>
        </w:rPr>
        <w:t>members are female.  This may be indicative of a need for viable career development paths for women in the profession.</w:t>
      </w:r>
      <w:r w:rsidR="007730E3" w:rsidRPr="008F1E62">
        <w:rPr>
          <w:rFonts w:asciiTheme="minorHAnsi" w:hAnsiTheme="minorHAnsi"/>
        </w:rPr>
        <w:t xml:space="preserve"> The Professional Regulations Commission and all professional regulatory boards have a Gender and Advocacy Development Program directed toward creating awareness and development of gender issues. The </w:t>
      </w:r>
      <w:r w:rsidR="00D026DB">
        <w:rPr>
          <w:rFonts w:asciiTheme="minorHAnsi" w:hAnsiTheme="minorHAnsi"/>
        </w:rPr>
        <w:t>BoA</w:t>
      </w:r>
      <w:r w:rsidR="007730E3" w:rsidRPr="008F1E62">
        <w:rPr>
          <w:rFonts w:asciiTheme="minorHAnsi" w:hAnsiTheme="minorHAnsi"/>
        </w:rPr>
        <w:t xml:space="preserve"> is in the process of upgrading the CPA accreditation data infrastructure that will generate relevant information on gender issues.</w:t>
      </w:r>
    </w:p>
    <w:p w14:paraId="19E67E06" w14:textId="77777777" w:rsidR="00F76E53" w:rsidRPr="008F1E62" w:rsidRDefault="00F76E53" w:rsidP="00FB3DC8">
      <w:pPr>
        <w:pStyle w:val="BodyText4"/>
        <w:numPr>
          <w:ilvl w:val="0"/>
          <w:numId w:val="2"/>
        </w:numPr>
        <w:spacing w:after="100" w:line="276" w:lineRule="auto"/>
        <w:ind w:left="0" w:hanging="562"/>
        <w:rPr>
          <w:rFonts w:asciiTheme="minorHAnsi" w:hAnsiTheme="minorHAnsi" w:cs="Arial"/>
          <w:b/>
          <w:bCs/>
        </w:rPr>
      </w:pPr>
      <w:r w:rsidRPr="008F1E62">
        <w:rPr>
          <w:rFonts w:asciiTheme="minorHAnsi" w:hAnsiTheme="minorHAnsi"/>
          <w:b/>
          <w:bCs/>
        </w:rPr>
        <w:t>Under the law, the practice of accountancy shall include, but not be limited to, the following: (a) Public Practice, (b) Practice in Commerce and Industry, (c) Practice in Academ</w:t>
      </w:r>
      <w:r w:rsidR="00D026DB">
        <w:rPr>
          <w:rFonts w:asciiTheme="minorHAnsi" w:hAnsiTheme="minorHAnsi"/>
          <w:b/>
          <w:bCs/>
        </w:rPr>
        <w:t>ia</w:t>
      </w:r>
      <w:r w:rsidRPr="008F1E62">
        <w:rPr>
          <w:rFonts w:asciiTheme="minorHAnsi" w:hAnsiTheme="minorHAnsi"/>
          <w:b/>
          <w:bCs/>
        </w:rPr>
        <w:t xml:space="preserve"> / Education, and (d) Practice in Government</w:t>
      </w:r>
      <w:r w:rsidRPr="008F1E62">
        <w:rPr>
          <w:rFonts w:asciiTheme="minorHAnsi" w:hAnsiTheme="minorHAnsi"/>
        </w:rPr>
        <w:t>. Public Practice shall constitute in a person, be it his/her individual capacity or as a staff member in an accounting or auditing firm, holding out himself / herself as one skilled in the knowledge, science</w:t>
      </w:r>
      <w:r w:rsidR="00E36235">
        <w:rPr>
          <w:rFonts w:asciiTheme="minorHAnsi" w:hAnsiTheme="minorHAnsi"/>
        </w:rPr>
        <w:t>,</w:t>
      </w:r>
      <w:r w:rsidRPr="008F1E62">
        <w:rPr>
          <w:rFonts w:asciiTheme="minorHAnsi" w:hAnsiTheme="minorHAnsi"/>
        </w:rPr>
        <w:t xml:space="preserve"> and practice of accounting, and as a qualified person to render professional services as a CPA; or offering or rendering, or both, for more than one client on a fee basis or otherwise, services as such as:</w:t>
      </w:r>
    </w:p>
    <w:p w14:paraId="3A7D643A" w14:textId="77777777" w:rsidR="00F76E53" w:rsidRPr="008F1E62" w:rsidRDefault="00F76E53" w:rsidP="00FF7A94">
      <w:pPr>
        <w:pStyle w:val="StyleROSC"/>
        <w:numPr>
          <w:ilvl w:val="0"/>
          <w:numId w:val="18"/>
        </w:numPr>
        <w:spacing w:after="100" w:line="276" w:lineRule="auto"/>
        <w:ind w:left="360"/>
        <w:rPr>
          <w:rFonts w:asciiTheme="minorHAnsi" w:hAnsiTheme="minorHAnsi"/>
        </w:rPr>
      </w:pPr>
      <w:r w:rsidRPr="008F1E62">
        <w:rPr>
          <w:rFonts w:asciiTheme="minorHAnsi" w:hAnsiTheme="minorHAnsi"/>
        </w:rPr>
        <w:t xml:space="preserve">the audit or verification of financial transaction and accounting records; </w:t>
      </w:r>
    </w:p>
    <w:p w14:paraId="777AD9D0" w14:textId="77777777" w:rsidR="00F76E53" w:rsidRPr="008F1E62" w:rsidRDefault="00F76E53" w:rsidP="00FF7A94">
      <w:pPr>
        <w:pStyle w:val="StyleROSC"/>
        <w:numPr>
          <w:ilvl w:val="0"/>
          <w:numId w:val="18"/>
        </w:numPr>
        <w:spacing w:after="100" w:line="276" w:lineRule="auto"/>
        <w:ind w:left="360"/>
        <w:rPr>
          <w:rFonts w:asciiTheme="minorHAnsi" w:hAnsiTheme="minorHAnsi"/>
        </w:rPr>
      </w:pPr>
      <w:r w:rsidRPr="008F1E62">
        <w:rPr>
          <w:rFonts w:asciiTheme="minorHAnsi" w:hAnsiTheme="minorHAnsi"/>
        </w:rPr>
        <w:t xml:space="preserve">the preparation, signing, or certification for clients of reports of audit, balance sheet, and other financial reports; </w:t>
      </w:r>
    </w:p>
    <w:p w14:paraId="3F02EB1C" w14:textId="77777777" w:rsidR="00F76E53" w:rsidRPr="008F1E62" w:rsidRDefault="00F76E53" w:rsidP="00FF7A94">
      <w:pPr>
        <w:pStyle w:val="StyleROSC"/>
        <w:numPr>
          <w:ilvl w:val="0"/>
          <w:numId w:val="18"/>
        </w:numPr>
        <w:spacing w:after="100" w:line="276" w:lineRule="auto"/>
        <w:ind w:left="360"/>
        <w:rPr>
          <w:rFonts w:asciiTheme="minorHAnsi" w:hAnsiTheme="minorHAnsi"/>
        </w:rPr>
      </w:pPr>
      <w:r w:rsidRPr="008F1E62">
        <w:rPr>
          <w:rFonts w:asciiTheme="minorHAnsi" w:hAnsiTheme="minorHAnsi"/>
        </w:rPr>
        <w:t xml:space="preserve">the design, installation, and revision of accounting systems and controls; </w:t>
      </w:r>
    </w:p>
    <w:p w14:paraId="6E027666" w14:textId="77777777" w:rsidR="00F76E53" w:rsidRPr="008F1E62" w:rsidRDefault="00F76E53" w:rsidP="00FF7A94">
      <w:pPr>
        <w:pStyle w:val="StyleROSC"/>
        <w:numPr>
          <w:ilvl w:val="0"/>
          <w:numId w:val="18"/>
        </w:numPr>
        <w:spacing w:after="100" w:line="276" w:lineRule="auto"/>
        <w:ind w:left="360"/>
        <w:rPr>
          <w:rFonts w:asciiTheme="minorHAnsi" w:hAnsiTheme="minorHAnsi"/>
        </w:rPr>
      </w:pPr>
      <w:r w:rsidRPr="008F1E62">
        <w:rPr>
          <w:rFonts w:asciiTheme="minorHAnsi" w:hAnsiTheme="minorHAnsi"/>
        </w:rPr>
        <w:t xml:space="preserve">the preparation of income tax returns related to accounting and auditing procedures; </w:t>
      </w:r>
    </w:p>
    <w:p w14:paraId="6F85101A" w14:textId="77777777" w:rsidR="00F76E53" w:rsidRPr="008F1E62" w:rsidRDefault="00F76E53" w:rsidP="00FF7A94">
      <w:pPr>
        <w:pStyle w:val="StyleROSC"/>
        <w:widowControl w:val="0"/>
        <w:numPr>
          <w:ilvl w:val="0"/>
          <w:numId w:val="18"/>
        </w:numPr>
        <w:spacing w:line="276" w:lineRule="auto"/>
        <w:ind w:left="360"/>
        <w:rPr>
          <w:rFonts w:asciiTheme="minorHAnsi" w:hAnsiTheme="minorHAnsi"/>
        </w:rPr>
      </w:pPr>
      <w:r w:rsidRPr="008F1E62">
        <w:rPr>
          <w:rFonts w:asciiTheme="minorHAnsi" w:hAnsiTheme="minorHAnsi"/>
        </w:rPr>
        <w:t>when he/she represent</w:t>
      </w:r>
      <w:r w:rsidR="00E36235">
        <w:rPr>
          <w:rFonts w:asciiTheme="minorHAnsi" w:hAnsiTheme="minorHAnsi"/>
        </w:rPr>
        <w:t>s</w:t>
      </w:r>
      <w:r w:rsidRPr="008F1E62">
        <w:rPr>
          <w:rFonts w:asciiTheme="minorHAnsi" w:hAnsiTheme="minorHAnsi"/>
        </w:rPr>
        <w:t xml:space="preserve"> clients before government agencies on tax and other matters relating to accounting, or renders professional assistance in matters relating to accounting procedures and the recording and presentation of financial facts or data.</w:t>
      </w:r>
    </w:p>
    <w:p w14:paraId="5EC7A8C2"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w:t>
      </w:r>
      <w:r w:rsidRPr="008F1E62">
        <w:rPr>
          <w:rFonts w:ascii="Calibri" w:hAnsi="Calibri"/>
          <w:b/>
          <w:bCs/>
        </w:rPr>
        <w:t>CPA</w:t>
      </w:r>
      <w:r w:rsidRPr="008F1E62">
        <w:rPr>
          <w:rFonts w:asciiTheme="minorHAnsi" w:hAnsiTheme="minorHAnsi"/>
          <w:b/>
          <w:bCs/>
        </w:rPr>
        <w:t xml:space="preserve"> title is protected by Law</w:t>
      </w:r>
      <w:r w:rsidRPr="008F1E62">
        <w:rPr>
          <w:rFonts w:asciiTheme="minorHAnsi" w:hAnsiTheme="minorHAnsi"/>
        </w:rPr>
        <w:t>.  A person who is not a citizen of the Philippines shall not be allowed to practice accountancy in the Philippines unless he/she can prove, in the manner provided by the Rules of Court, that a specific provision of the law of the country of which he/she is a citizen, subject or national, admits citizens of the Philippines to the practice of the same profession without restriction. At present, no countries have included Filipino CPAs in their approved list of qualifications. However, a temporary permit may be issued by the Board, subject to the approval of the Commission and upon payment of related fees, in limited cases where the services of the expert are deemed essential for the advancement of accountancy in the Philippines.</w:t>
      </w:r>
    </w:p>
    <w:p w14:paraId="2CA2094C"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The PICPA National Office is under the management of officers elected by the members of the Board themselves</w:t>
      </w:r>
      <w:r w:rsidRPr="008F1E62">
        <w:rPr>
          <w:rFonts w:asciiTheme="minorHAnsi" w:hAnsiTheme="minorHAnsi"/>
        </w:rPr>
        <w:t>. Headed by the President, the other officers are the Executive Vice President; the Vice President for Commerce and Industry, Education, Government and Public Practice; the Vice President for Operations; the Secretary; the Assistant Secretary; the Treasurer; and the Assistant Treasurer. The Board is composed of 21 members from the regions, as well as a representative from each of the four sectors of the profession. The President is elected annually but rotated among the regional directors and, to the extent practicable, among the four sectors.</w:t>
      </w:r>
    </w:p>
    <w:p w14:paraId="5F4B74E3"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Calibri" w:hAnsi="Calibri"/>
          <w:b/>
          <w:bCs/>
        </w:rPr>
        <w:t>Through</w:t>
      </w:r>
      <w:r w:rsidRPr="008F1E62">
        <w:rPr>
          <w:rFonts w:asciiTheme="minorHAnsi" w:hAnsiTheme="minorHAnsi"/>
          <w:b/>
          <w:bCs/>
        </w:rPr>
        <w:t xml:space="preserve"> PICPA, the Philippines is actively represented in the world’s major international, and relevant regional, accounting bodies</w:t>
      </w:r>
      <w:r w:rsidRPr="008F1E62">
        <w:rPr>
          <w:rFonts w:asciiTheme="minorHAnsi" w:hAnsiTheme="minorHAnsi"/>
        </w:rPr>
        <w:t xml:space="preserve">. In addition to </w:t>
      </w:r>
      <w:proofErr w:type="gramStart"/>
      <w:r w:rsidRPr="008F1E62">
        <w:rPr>
          <w:rFonts w:asciiTheme="minorHAnsi" w:hAnsiTheme="minorHAnsi"/>
        </w:rPr>
        <w:t>being</w:t>
      </w:r>
      <w:proofErr w:type="gramEnd"/>
      <w:r w:rsidRPr="008F1E62">
        <w:rPr>
          <w:rFonts w:asciiTheme="minorHAnsi" w:hAnsiTheme="minorHAnsi"/>
        </w:rPr>
        <w:t xml:space="preserve"> a full member of IFAC, PICPA is a member of the Confederation of Asian and Pacific Accountants, as well as a member of the AFA. PICPA ha</w:t>
      </w:r>
      <w:r w:rsidR="00562C4A">
        <w:rPr>
          <w:rFonts w:asciiTheme="minorHAnsi" w:hAnsiTheme="minorHAnsi"/>
        </w:rPr>
        <w:t>s</w:t>
      </w:r>
      <w:r w:rsidRPr="008F1E62">
        <w:rPr>
          <w:rFonts w:asciiTheme="minorHAnsi" w:hAnsiTheme="minorHAnsi"/>
        </w:rPr>
        <w:t xml:space="preserve"> assumed overall leadership of these organizations on </w:t>
      </w:r>
      <w:proofErr w:type="gramStart"/>
      <w:r w:rsidRPr="008F1E62">
        <w:rPr>
          <w:rFonts w:asciiTheme="minorHAnsi" w:hAnsiTheme="minorHAnsi"/>
        </w:rPr>
        <w:t>a number of</w:t>
      </w:r>
      <w:proofErr w:type="gramEnd"/>
      <w:r w:rsidRPr="008F1E62">
        <w:rPr>
          <w:rFonts w:asciiTheme="minorHAnsi" w:hAnsiTheme="minorHAnsi"/>
        </w:rPr>
        <w:t xml:space="preserve"> occasions and has been taking active roles in the pursuit of their respective goals. </w:t>
      </w:r>
    </w:p>
    <w:p w14:paraId="6CCFFEDB"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Calibri" w:hAnsi="Calibri"/>
          <w:b/>
          <w:bCs/>
        </w:rPr>
        <w:t>PICPA</w:t>
      </w:r>
      <w:r w:rsidRPr="008F1E62">
        <w:rPr>
          <w:rFonts w:asciiTheme="minorHAnsi" w:hAnsiTheme="minorHAnsi"/>
          <w:b/>
          <w:bCs/>
        </w:rPr>
        <w:t xml:space="preserve"> performs four important functions</w:t>
      </w:r>
      <w:r w:rsidRPr="008F1E62">
        <w:rPr>
          <w:rFonts w:asciiTheme="minorHAnsi" w:hAnsiTheme="minorHAnsi"/>
        </w:rPr>
        <w:t xml:space="preserve">: (i) Implementing the Code of Ethics promulgated by the BOA, (ii) </w:t>
      </w:r>
      <w:r w:rsidR="002E5B67" w:rsidRPr="008F1E62">
        <w:rPr>
          <w:rFonts w:asciiTheme="minorHAnsi" w:hAnsiTheme="minorHAnsi"/>
        </w:rPr>
        <w:t xml:space="preserve">overseeing </w:t>
      </w:r>
      <w:r w:rsidRPr="008F1E62">
        <w:rPr>
          <w:rFonts w:asciiTheme="minorHAnsi" w:hAnsiTheme="minorHAnsi"/>
        </w:rPr>
        <w:t xml:space="preserve">implementation of the CPD Program, (iii) </w:t>
      </w:r>
      <w:r w:rsidR="002E5B67" w:rsidRPr="008F1E62">
        <w:rPr>
          <w:rFonts w:asciiTheme="minorHAnsi" w:hAnsiTheme="minorHAnsi"/>
        </w:rPr>
        <w:t xml:space="preserve">publishing </w:t>
      </w:r>
      <w:r w:rsidRPr="008F1E62">
        <w:rPr>
          <w:rFonts w:asciiTheme="minorHAnsi" w:hAnsiTheme="minorHAnsi"/>
        </w:rPr>
        <w:t xml:space="preserve">pronouncements of the Accounting Standards Council and the Auditing Standards and Practices Council, the quarterly </w:t>
      </w:r>
      <w:r w:rsidRPr="008F1E62">
        <w:rPr>
          <w:rFonts w:asciiTheme="minorHAnsi" w:hAnsiTheme="minorHAnsi"/>
          <w:i/>
          <w:iCs/>
        </w:rPr>
        <w:t>Accountants’ Journal</w:t>
      </w:r>
      <w:r w:rsidRPr="008F1E62">
        <w:rPr>
          <w:rFonts w:asciiTheme="minorHAnsi" w:hAnsiTheme="minorHAnsi"/>
        </w:rPr>
        <w:t xml:space="preserve">, and the quarterly </w:t>
      </w:r>
      <w:r w:rsidRPr="008F1E62">
        <w:rPr>
          <w:rFonts w:asciiTheme="minorHAnsi" w:hAnsiTheme="minorHAnsi"/>
          <w:i/>
          <w:iCs/>
        </w:rPr>
        <w:t>Accounting Times</w:t>
      </w:r>
      <w:r w:rsidRPr="008F1E62">
        <w:rPr>
          <w:rFonts w:asciiTheme="minorHAnsi" w:hAnsiTheme="minorHAnsi"/>
        </w:rPr>
        <w:t xml:space="preserve">, and (iv) </w:t>
      </w:r>
      <w:r w:rsidR="007A3B88" w:rsidRPr="008F1E62">
        <w:rPr>
          <w:rFonts w:asciiTheme="minorHAnsi" w:hAnsiTheme="minorHAnsi"/>
        </w:rPr>
        <w:t xml:space="preserve">advocating </w:t>
      </w:r>
      <w:r w:rsidRPr="008F1E62">
        <w:rPr>
          <w:rFonts w:asciiTheme="minorHAnsi" w:hAnsiTheme="minorHAnsi"/>
        </w:rPr>
        <w:t>on behalf of the accounting profession.</w:t>
      </w:r>
    </w:p>
    <w:p w14:paraId="027101F6"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Four sectoral associations have been organized in the Philippines under the umbrella of PICPA, which reflect the recognized areas of practice</w:t>
      </w:r>
      <w:r w:rsidRPr="008F1E62">
        <w:rPr>
          <w:rFonts w:asciiTheme="minorHAnsi" w:hAnsiTheme="minorHAnsi"/>
        </w:rPr>
        <w:t>: (a) Government Association of Certified Public Accountants, (b) Association of Certified Public Accountants in Public Practice, (c) Association of Certified Public Accountants in Commerce and Industry, and (d) Association of Certified Public Accountants in Education. Some of these sectoral associations are quite large; they have their own chapters and website, and organize their own CPD events and seminars.</w:t>
      </w:r>
    </w:p>
    <w:p w14:paraId="4464EB25" w14:textId="77777777" w:rsidR="00F76E53" w:rsidRPr="00484744" w:rsidRDefault="00F76E53" w:rsidP="00484744">
      <w:pPr>
        <w:pStyle w:val="BodyText4"/>
        <w:numPr>
          <w:ilvl w:val="0"/>
          <w:numId w:val="2"/>
        </w:numPr>
        <w:spacing w:after="200" w:line="276" w:lineRule="auto"/>
        <w:ind w:left="0" w:hanging="567"/>
        <w:rPr>
          <w:rFonts w:ascii="Calibri" w:hAnsi="Calibri"/>
          <w:bCs/>
        </w:rPr>
      </w:pPr>
      <w:r w:rsidRPr="00484744">
        <w:rPr>
          <w:rFonts w:ascii="Calibri" w:hAnsi="Calibri"/>
          <w:b/>
          <w:bCs/>
        </w:rPr>
        <w:t xml:space="preserve">The Institute of Internal Auditors </w:t>
      </w:r>
      <w:r w:rsidR="00D716AB" w:rsidRPr="00484744">
        <w:rPr>
          <w:rFonts w:ascii="Calibri" w:hAnsi="Calibri"/>
          <w:b/>
          <w:bCs/>
        </w:rPr>
        <w:t>Philippines</w:t>
      </w:r>
      <w:r w:rsidR="00D716AB" w:rsidRPr="00484744" w:rsidDel="00510CA4">
        <w:rPr>
          <w:rFonts w:ascii="Calibri" w:hAnsi="Calibri"/>
          <w:b/>
          <w:bCs/>
        </w:rPr>
        <w:t xml:space="preserve"> </w:t>
      </w:r>
      <w:r w:rsidRPr="00484744">
        <w:rPr>
          <w:rFonts w:ascii="Calibri" w:hAnsi="Calibri"/>
          <w:b/>
          <w:bCs/>
        </w:rPr>
        <w:t xml:space="preserve">was established in Manila in 1948. </w:t>
      </w:r>
      <w:r w:rsidRPr="00484744">
        <w:rPr>
          <w:rFonts w:ascii="Calibri" w:hAnsi="Calibri"/>
          <w:bCs/>
        </w:rPr>
        <w:t>In 1982 its “Philippine Chapter” was registered with the SEC. In 2016, it reached its highest level of membership with 2,600 members.</w:t>
      </w:r>
    </w:p>
    <w:p w14:paraId="6E9DCDCC" w14:textId="77777777" w:rsidR="00F76E53" w:rsidRPr="008F1E62" w:rsidRDefault="00F76E53" w:rsidP="0077686B">
      <w:pPr>
        <w:pStyle w:val="Heading3"/>
      </w:pPr>
      <w:r w:rsidRPr="008F1E62">
        <w:t>Professional Education and Training</w:t>
      </w:r>
    </w:p>
    <w:tbl>
      <w:tblPr>
        <w:tblStyle w:val="TabelEcorys3"/>
        <w:tblpPr w:leftFromText="180" w:rightFromText="180" w:vertAnchor="text" w:horzAnchor="margin" w:tblpXSpec="right" w:tblpY="1481"/>
        <w:tblOverlap w:val="never"/>
        <w:tblW w:w="0" w:type="auto"/>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5958"/>
      </w:tblGrid>
      <w:tr w:rsidR="00C25082" w:rsidRPr="008F1E62" w14:paraId="517A63BD" w14:textId="77777777" w:rsidTr="00C25082">
        <w:trPr>
          <w:trHeight w:val="70"/>
        </w:trPr>
        <w:tc>
          <w:tcPr>
            <w:tcW w:w="5958" w:type="dxa"/>
            <w:shd w:val="clear" w:color="auto" w:fill="00AB51"/>
            <w:tcMar>
              <w:top w:w="144" w:type="dxa"/>
              <w:left w:w="144" w:type="dxa"/>
              <w:bottom w:w="144" w:type="dxa"/>
              <w:right w:w="144" w:type="dxa"/>
            </w:tcMar>
          </w:tcPr>
          <w:p w14:paraId="41B82BF0" w14:textId="77777777" w:rsidR="00C25082" w:rsidRPr="00C47C9A" w:rsidRDefault="00C25082" w:rsidP="00C25082">
            <w:pPr>
              <w:pStyle w:val="Caption"/>
              <w:spacing w:before="0" w:after="0"/>
              <w:jc w:val="center"/>
              <w:rPr>
                <w:color w:val="FFFFFF" w:themeColor="background1"/>
                <w:sz w:val="24"/>
                <w:szCs w:val="24"/>
                <w:lang w:val="en-US"/>
              </w:rPr>
            </w:pPr>
            <w:r w:rsidRPr="003C5D2C">
              <w:rPr>
                <w:color w:val="FFFFFF" w:themeColor="background1"/>
                <w:sz w:val="20"/>
                <w:szCs w:val="24"/>
                <w:lang w:val="en-US"/>
              </w:rPr>
              <w:t xml:space="preserve">Box </w:t>
            </w:r>
            <w:r>
              <w:rPr>
                <w:color w:val="FFFFFF" w:themeColor="background1"/>
                <w:sz w:val="20"/>
                <w:szCs w:val="24"/>
                <w:lang w:val="en-US"/>
              </w:rPr>
              <w:t>3</w:t>
            </w:r>
            <w:r w:rsidRPr="003C5D2C">
              <w:rPr>
                <w:color w:val="FFFFFF" w:themeColor="background1"/>
                <w:sz w:val="20"/>
                <w:szCs w:val="24"/>
                <w:lang w:val="en-US"/>
              </w:rPr>
              <w:t>.</w:t>
            </w:r>
            <w:r w:rsidRPr="003C5D2C">
              <w:rPr>
                <w:color w:val="FFFFFF" w:themeColor="background1"/>
                <w:sz w:val="14"/>
                <w:lang w:val="en-US"/>
              </w:rPr>
              <w:t xml:space="preserve"> </w:t>
            </w:r>
            <w:r w:rsidRPr="003C5D2C">
              <w:rPr>
                <w:color w:val="FFFFFF" w:themeColor="background1"/>
                <w:sz w:val="20"/>
                <w:szCs w:val="24"/>
                <w:lang w:val="en-US"/>
              </w:rPr>
              <w:t>K-12 Basic Education Model</w:t>
            </w:r>
            <w:r w:rsidRPr="003C5D2C">
              <w:rPr>
                <w:rStyle w:val="FootnoteReference"/>
                <w:color w:val="FFFFFF" w:themeColor="background1"/>
                <w:sz w:val="20"/>
                <w:szCs w:val="24"/>
                <w:lang w:val="en-US"/>
              </w:rPr>
              <w:footnoteReference w:id="80"/>
            </w:r>
          </w:p>
        </w:tc>
      </w:tr>
      <w:tr w:rsidR="00C25082" w:rsidRPr="008F1E62" w14:paraId="46C8D74D" w14:textId="77777777" w:rsidTr="00C25082">
        <w:trPr>
          <w:trHeight w:val="70"/>
        </w:trPr>
        <w:tc>
          <w:tcPr>
            <w:tcW w:w="5958" w:type="dxa"/>
            <w:shd w:val="clear" w:color="auto" w:fill="C6E8D7"/>
            <w:tcMar>
              <w:top w:w="144" w:type="dxa"/>
              <w:left w:w="144" w:type="dxa"/>
              <w:bottom w:w="144" w:type="dxa"/>
              <w:right w:w="144" w:type="dxa"/>
            </w:tcMar>
          </w:tcPr>
          <w:p w14:paraId="5F51236C" w14:textId="77777777" w:rsidR="00C25082" w:rsidRPr="00F6762B" w:rsidRDefault="00C25082" w:rsidP="00C25082">
            <w:pPr>
              <w:pStyle w:val="ListParagraph"/>
              <w:numPr>
                <w:ilvl w:val="0"/>
                <w:numId w:val="0"/>
              </w:numPr>
              <w:tabs>
                <w:tab w:val="left" w:pos="720"/>
              </w:tabs>
              <w:autoSpaceDE w:val="0"/>
              <w:autoSpaceDN w:val="0"/>
              <w:adjustRightInd w:val="0"/>
              <w:spacing w:before="0" w:beforeAutospacing="0" w:after="0" w:afterAutospacing="0" w:line="276" w:lineRule="auto"/>
              <w:rPr>
                <w:rFonts w:asciiTheme="minorHAnsi" w:hAnsiTheme="minorHAnsi" w:cs="Times New Roman"/>
                <w:b/>
                <w:sz w:val="2"/>
                <w:szCs w:val="2"/>
              </w:rPr>
            </w:pPr>
            <w:r w:rsidRPr="00F6762B">
              <w:rPr>
                <w:noProof/>
                <w:sz w:val="2"/>
                <w:szCs w:val="2"/>
              </w:rPr>
              <w:drawing>
                <wp:inline distT="0" distB="0" distL="0" distR="0" wp14:anchorId="21F8827C" wp14:editId="55B29CE5">
                  <wp:extent cx="3600679"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3101" b="-1"/>
                          <a:stretch/>
                        </pic:blipFill>
                        <pic:spPr bwMode="auto">
                          <a:xfrm>
                            <a:off x="0" y="0"/>
                            <a:ext cx="3621141" cy="22606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6A02995" w14:textId="77777777" w:rsidR="0002662F" w:rsidRPr="0002662F" w:rsidRDefault="00F76E53" w:rsidP="0002662F">
      <w:pPr>
        <w:pStyle w:val="BodyText4"/>
        <w:numPr>
          <w:ilvl w:val="0"/>
          <w:numId w:val="2"/>
        </w:numPr>
        <w:spacing w:after="200" w:line="276" w:lineRule="auto"/>
        <w:ind w:left="0" w:hanging="562"/>
        <w:rPr>
          <w:rFonts w:ascii="Calibri" w:hAnsi="Calibri"/>
        </w:rPr>
      </w:pPr>
      <w:r w:rsidRPr="008F1E62">
        <w:rPr>
          <w:rFonts w:ascii="Calibri" w:hAnsi="Calibri"/>
          <w:b/>
          <w:bCs/>
        </w:rPr>
        <w:t>The</w:t>
      </w:r>
      <w:r w:rsidRPr="008F1E62">
        <w:rPr>
          <w:rFonts w:asciiTheme="minorHAnsi" w:hAnsiTheme="minorHAnsi"/>
          <w:b/>
          <w:bCs/>
        </w:rPr>
        <w:t xml:space="preserve"> academic year in the Philippines starts in June and ends in March, covering a period of 40 weeks</w:t>
      </w:r>
      <w:r w:rsidRPr="008F1E62">
        <w:rPr>
          <w:rFonts w:asciiTheme="minorHAnsi" w:hAnsiTheme="minorHAnsi"/>
        </w:rPr>
        <w:t xml:space="preserve">. Institutions of higher education operate on a semester system with an optional summer semester. </w:t>
      </w:r>
      <w:proofErr w:type="gramStart"/>
      <w:r w:rsidRPr="008F1E62">
        <w:rPr>
          <w:rFonts w:asciiTheme="minorHAnsi" w:hAnsiTheme="minorHAnsi"/>
        </w:rPr>
        <w:t>A number of</w:t>
      </w:r>
      <w:proofErr w:type="gramEnd"/>
      <w:r w:rsidRPr="008F1E62">
        <w:rPr>
          <w:rFonts w:asciiTheme="minorHAnsi" w:hAnsiTheme="minorHAnsi"/>
        </w:rPr>
        <w:t xml:space="preserve"> prominent universities have recently changed their academic calendars to start the year in August, in line with international and regional norms. The Department of Education is considering a comprehensive change to this new calendar to bring it in line with other Southeast Asian nations.  English was the official language of instruction from 1935 to 1987. The new Constitution of 1987 prescribed that both Filipino and English are the official languages of communication and instruction. English continues to be widely used from the higher primary levels onwards.</w:t>
      </w:r>
    </w:p>
    <w:p w14:paraId="3BB5D1D1" w14:textId="15B0B1C2" w:rsidR="00F76E53" w:rsidRPr="0002662F" w:rsidRDefault="00512E09" w:rsidP="0002662F">
      <w:pPr>
        <w:pStyle w:val="BodyText4"/>
        <w:numPr>
          <w:ilvl w:val="0"/>
          <w:numId w:val="2"/>
        </w:numPr>
        <w:spacing w:after="200" w:line="276" w:lineRule="auto"/>
        <w:ind w:left="0" w:hanging="562"/>
        <w:rPr>
          <w:rFonts w:ascii="Calibri" w:hAnsi="Calibri"/>
        </w:rPr>
      </w:pPr>
      <w:r w:rsidRPr="0002662F">
        <w:rPr>
          <w:rFonts w:asciiTheme="minorHAnsi" w:hAnsiTheme="minorHAnsi"/>
          <w:b/>
          <w:bCs/>
        </w:rPr>
        <w:t xml:space="preserve">To </w:t>
      </w:r>
      <w:r w:rsidRPr="0002662F">
        <w:rPr>
          <w:rFonts w:ascii="Calibri" w:hAnsi="Calibri"/>
          <w:b/>
          <w:bCs/>
        </w:rPr>
        <w:t>help</w:t>
      </w:r>
      <w:r w:rsidRPr="0002662F">
        <w:rPr>
          <w:rFonts w:asciiTheme="minorHAnsi" w:hAnsiTheme="minorHAnsi"/>
          <w:b/>
          <w:bCs/>
        </w:rPr>
        <w:t xml:space="preserve"> better prepare students for post-secondary training, or to enter the workforce directly, the country began implementation of major structural and curricular reforms with the Kindergarten Act of 2012 and the Enhanced Basic Education Act of 2013. </w:t>
      </w:r>
      <w:r w:rsidRPr="0002662F">
        <w:rPr>
          <w:rFonts w:asciiTheme="minorHAnsi" w:hAnsiTheme="minorHAnsi"/>
          <w:bCs/>
        </w:rPr>
        <w:t>Together, they extended formal education from just 10 years to 13 years under a Kindergarten through Grade 12 system (K-12) by adding a mandatory year of Kindergarten and two years of senior high school (refer to Box 3).</w:t>
      </w:r>
    </w:p>
    <w:p w14:paraId="493F1731" w14:textId="19FED412"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w:t>
      </w:r>
      <w:r w:rsidRPr="009315BA">
        <w:rPr>
          <w:rFonts w:asciiTheme="minorHAnsi" w:hAnsiTheme="minorHAnsi"/>
          <w:b/>
        </w:rPr>
        <w:t>transition</w:t>
      </w:r>
      <w:r w:rsidRPr="008F1E62">
        <w:rPr>
          <w:rFonts w:asciiTheme="minorHAnsi" w:hAnsiTheme="minorHAnsi"/>
          <w:b/>
          <w:bCs/>
        </w:rPr>
        <w:t xml:space="preserve"> </w:t>
      </w:r>
      <w:r w:rsidRPr="008F1E62">
        <w:rPr>
          <w:rFonts w:ascii="Calibri" w:hAnsi="Calibri"/>
          <w:b/>
          <w:bCs/>
        </w:rPr>
        <w:t>period</w:t>
      </w:r>
      <w:r w:rsidRPr="008F1E62">
        <w:rPr>
          <w:rFonts w:asciiTheme="minorHAnsi" w:hAnsiTheme="minorHAnsi"/>
          <w:b/>
          <w:bCs/>
        </w:rPr>
        <w:t xml:space="preserve"> will end with the 2017-2018 school year, when the first cohort graduates from the new primary and junior high cycles</w:t>
      </w:r>
      <w:r w:rsidRPr="008F1E62">
        <w:rPr>
          <w:rFonts w:asciiTheme="minorHAnsi" w:hAnsiTheme="minorHAnsi"/>
        </w:rPr>
        <w:t xml:space="preserve">. Those graduating from the four-year junior high cycle will be the first in the nation to undertake the new two-year senior high school curriculum. The new high school curriculum includes core classes and specialization classes based on students’ choice(s) of specialization. For their specialization classes, students choose from four tracks: </w:t>
      </w:r>
      <w:r w:rsidR="00EA3DBF" w:rsidRPr="008F1E62">
        <w:rPr>
          <w:rFonts w:asciiTheme="minorHAnsi" w:hAnsiTheme="minorHAnsi"/>
        </w:rPr>
        <w:t xml:space="preserve">academic; technical-vocational-livelihood; sports; and arts and design. </w:t>
      </w:r>
      <w:r w:rsidRPr="008F1E62">
        <w:rPr>
          <w:rFonts w:asciiTheme="minorHAnsi" w:hAnsiTheme="minorHAnsi"/>
        </w:rPr>
        <w:t xml:space="preserve">Students in the </w:t>
      </w:r>
      <w:r w:rsidR="00EA3DBF" w:rsidRPr="008F1E62">
        <w:rPr>
          <w:rFonts w:asciiTheme="minorHAnsi" w:hAnsiTheme="minorHAnsi"/>
        </w:rPr>
        <w:t xml:space="preserve">academic </w:t>
      </w:r>
      <w:r w:rsidRPr="008F1E62">
        <w:rPr>
          <w:rFonts w:asciiTheme="minorHAnsi" w:hAnsiTheme="minorHAnsi"/>
        </w:rPr>
        <w:t xml:space="preserve">track choose from the following areas or strands: </w:t>
      </w:r>
      <w:r w:rsidR="00943447">
        <w:rPr>
          <w:rFonts w:asciiTheme="minorHAnsi" w:hAnsiTheme="minorHAnsi"/>
        </w:rPr>
        <w:t xml:space="preserve">a) </w:t>
      </w:r>
      <w:r w:rsidR="00EA3DBF" w:rsidRPr="008F1E62">
        <w:rPr>
          <w:rFonts w:asciiTheme="minorHAnsi" w:hAnsiTheme="minorHAnsi"/>
        </w:rPr>
        <w:t xml:space="preserve">accountancy, business and management; </w:t>
      </w:r>
      <w:r w:rsidR="00943447">
        <w:rPr>
          <w:rFonts w:asciiTheme="minorHAnsi" w:hAnsiTheme="minorHAnsi"/>
        </w:rPr>
        <w:t xml:space="preserve">b) </w:t>
      </w:r>
      <w:r w:rsidR="00EA3DBF" w:rsidRPr="008F1E62">
        <w:rPr>
          <w:rFonts w:asciiTheme="minorHAnsi" w:hAnsiTheme="minorHAnsi"/>
        </w:rPr>
        <w:t xml:space="preserve">humanities and social sciences; and </w:t>
      </w:r>
      <w:r w:rsidR="00943447">
        <w:rPr>
          <w:rFonts w:asciiTheme="minorHAnsi" w:hAnsiTheme="minorHAnsi"/>
        </w:rPr>
        <w:t xml:space="preserve">c) </w:t>
      </w:r>
      <w:r w:rsidR="00EA3DBF" w:rsidRPr="008F1E62">
        <w:rPr>
          <w:rFonts w:asciiTheme="minorHAnsi" w:hAnsiTheme="minorHAnsi"/>
        </w:rPr>
        <w:t>science, technology, engineering and mathematics</w:t>
      </w:r>
      <w:r w:rsidRPr="008F1E62">
        <w:rPr>
          <w:rFonts w:asciiTheme="minorHAnsi" w:hAnsiTheme="minorHAnsi"/>
        </w:rPr>
        <w:t xml:space="preserve">. High school leavers having followed the </w:t>
      </w:r>
      <w:r w:rsidR="00EA3DBF" w:rsidRPr="00641A3A">
        <w:rPr>
          <w:rFonts w:asciiTheme="minorHAnsi" w:hAnsiTheme="minorHAnsi"/>
        </w:rPr>
        <w:t xml:space="preserve">accountancy, business and management </w:t>
      </w:r>
      <w:r w:rsidRPr="008F1E62">
        <w:rPr>
          <w:rFonts w:asciiTheme="minorHAnsi" w:hAnsiTheme="minorHAnsi"/>
        </w:rPr>
        <w:t>academic track will have completed some basic bookkeeping courses, and be able to either work in small or micro enterprises, or pursue an accounting degree.</w:t>
      </w:r>
    </w:p>
    <w:p w14:paraId="14698B98"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Entrance to </w:t>
      </w:r>
      <w:r w:rsidR="007B21BC" w:rsidRPr="008F1E62">
        <w:rPr>
          <w:rFonts w:ascii="Calibri" w:hAnsi="Calibri"/>
          <w:b/>
          <w:bCs/>
        </w:rPr>
        <w:t>universities</w:t>
      </w:r>
      <w:r w:rsidR="007B21BC" w:rsidRPr="008F1E62">
        <w:rPr>
          <w:rFonts w:asciiTheme="minorHAnsi" w:hAnsiTheme="minorHAnsi"/>
          <w:b/>
          <w:bCs/>
        </w:rPr>
        <w:t xml:space="preserve"> </w:t>
      </w:r>
      <w:r w:rsidRPr="008F1E62">
        <w:rPr>
          <w:rFonts w:asciiTheme="minorHAnsi" w:hAnsiTheme="minorHAnsi"/>
          <w:b/>
          <w:bCs/>
        </w:rPr>
        <w:t xml:space="preserve">and other institutions of higher education is dependent on the possession of a high school Certificate of Graduation and, in some cases, on the results of the National Secondary Achievement Test. </w:t>
      </w:r>
      <w:r w:rsidRPr="008F1E62">
        <w:rPr>
          <w:rFonts w:asciiTheme="minorHAnsi" w:hAnsiTheme="minorHAnsi"/>
        </w:rPr>
        <w:t xml:space="preserve">Many </w:t>
      </w:r>
      <w:r w:rsidR="007C2719" w:rsidRPr="008F1E62">
        <w:rPr>
          <w:rFonts w:asciiTheme="minorHAnsi" w:hAnsiTheme="minorHAnsi"/>
        </w:rPr>
        <w:t xml:space="preserve">colleges and universities </w:t>
      </w:r>
      <w:r w:rsidRPr="008F1E62">
        <w:rPr>
          <w:rFonts w:asciiTheme="minorHAnsi" w:hAnsiTheme="minorHAnsi"/>
        </w:rPr>
        <w:t xml:space="preserve">either set their own entrance examinations, or make acceptance into a </w:t>
      </w:r>
      <w:r w:rsidR="007C2719" w:rsidRPr="008F1E62">
        <w:rPr>
          <w:rFonts w:asciiTheme="minorHAnsi" w:hAnsiTheme="minorHAnsi"/>
        </w:rPr>
        <w:t xml:space="preserve">degree program </w:t>
      </w:r>
      <w:r w:rsidRPr="008F1E62">
        <w:rPr>
          <w:rFonts w:asciiTheme="minorHAnsi" w:hAnsiTheme="minorHAnsi"/>
        </w:rPr>
        <w:t>conditional upon student grades. Accounting is a highly valued degree, and universities in the Philippines typically receive thousands of applications.</w:t>
      </w:r>
    </w:p>
    <w:p w14:paraId="301D0310"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Bachelor</w:t>
      </w:r>
      <w:r w:rsidR="000A07FD">
        <w:rPr>
          <w:rFonts w:asciiTheme="minorHAnsi" w:hAnsiTheme="minorHAnsi"/>
          <w:b/>
          <w:bCs/>
        </w:rPr>
        <w:t>’s</w:t>
      </w:r>
      <w:r w:rsidRPr="008F1E62">
        <w:rPr>
          <w:rFonts w:asciiTheme="minorHAnsi" w:hAnsiTheme="minorHAnsi"/>
          <w:b/>
          <w:bCs/>
        </w:rPr>
        <w:t xml:space="preserve"> </w:t>
      </w:r>
      <w:r w:rsidR="007C2719" w:rsidRPr="008F1E62">
        <w:rPr>
          <w:rFonts w:asciiTheme="minorHAnsi" w:hAnsiTheme="minorHAnsi"/>
          <w:b/>
          <w:bCs/>
        </w:rPr>
        <w:t xml:space="preserve">degree </w:t>
      </w:r>
      <w:r w:rsidRPr="008F1E62">
        <w:rPr>
          <w:rFonts w:ascii="Calibri" w:hAnsi="Calibri"/>
          <w:b/>
          <w:bCs/>
        </w:rPr>
        <w:t>programs</w:t>
      </w:r>
      <w:r w:rsidRPr="008F1E62">
        <w:rPr>
          <w:rFonts w:asciiTheme="minorHAnsi" w:hAnsiTheme="minorHAnsi"/>
          <w:b/>
          <w:bCs/>
        </w:rPr>
        <w:t xml:space="preserve"> are a minimum of four years in length. During the first two years of study, students are required to take general education courses; courses counting towards the major are usually undertaken in the last two years of the program</w:t>
      </w:r>
      <w:r w:rsidRPr="008F1E62">
        <w:rPr>
          <w:rFonts w:asciiTheme="minorHAnsi" w:hAnsiTheme="minorHAnsi"/>
        </w:rPr>
        <w:t xml:space="preserve">. Some institutions offer a two-year associate degree program, usually in arts, science or commerce. Associate </w:t>
      </w:r>
      <w:r w:rsidR="009D1361" w:rsidRPr="008F1E62">
        <w:rPr>
          <w:rFonts w:asciiTheme="minorHAnsi" w:hAnsiTheme="minorHAnsi"/>
        </w:rPr>
        <w:t xml:space="preserve">degrees in accounting or accounting technology </w:t>
      </w:r>
      <w:r w:rsidRPr="008F1E62">
        <w:rPr>
          <w:rFonts w:asciiTheme="minorHAnsi" w:hAnsiTheme="minorHAnsi"/>
        </w:rPr>
        <w:t>are available. Graduates of these programs can, if desired, transfer into the last two years of a Bachelor</w:t>
      </w:r>
      <w:r w:rsidR="000A07FD">
        <w:rPr>
          <w:rFonts w:asciiTheme="minorHAnsi" w:hAnsiTheme="minorHAnsi"/>
        </w:rPr>
        <w:t>’s</w:t>
      </w:r>
      <w:r w:rsidRPr="008F1E62">
        <w:rPr>
          <w:rFonts w:asciiTheme="minorHAnsi" w:hAnsiTheme="minorHAnsi"/>
        </w:rPr>
        <w:t xml:space="preserve"> degree program. </w:t>
      </w:r>
      <w:proofErr w:type="gramStart"/>
      <w:r w:rsidRPr="008F1E62">
        <w:rPr>
          <w:rFonts w:asciiTheme="minorHAnsi" w:hAnsiTheme="minorHAnsi"/>
        </w:rPr>
        <w:t>The majority of</w:t>
      </w:r>
      <w:proofErr w:type="gramEnd"/>
      <w:r w:rsidRPr="008F1E62">
        <w:rPr>
          <w:rFonts w:asciiTheme="minorHAnsi" w:hAnsiTheme="minorHAnsi"/>
        </w:rPr>
        <w:t xml:space="preserve"> graduates from </w:t>
      </w:r>
      <w:r w:rsidR="009D1361" w:rsidRPr="008F1E62">
        <w:rPr>
          <w:rFonts w:asciiTheme="minorHAnsi" w:hAnsiTheme="minorHAnsi"/>
        </w:rPr>
        <w:t xml:space="preserve">accounting </w:t>
      </w:r>
      <w:r w:rsidRPr="008F1E62">
        <w:rPr>
          <w:rFonts w:asciiTheme="minorHAnsi" w:hAnsiTheme="minorHAnsi"/>
        </w:rPr>
        <w:t>degree programs end up working in accounting firms or the financial sector.</w:t>
      </w:r>
    </w:p>
    <w:p w14:paraId="640B432B"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Calibri" w:hAnsi="Calibri"/>
          <w:b/>
          <w:bCs/>
        </w:rPr>
        <w:t>Master’s</w:t>
      </w:r>
      <w:r w:rsidRPr="008F1E62">
        <w:rPr>
          <w:rFonts w:asciiTheme="minorHAnsi" w:hAnsiTheme="minorHAnsi"/>
          <w:b/>
          <w:bCs/>
        </w:rPr>
        <w:t xml:space="preserve"> </w:t>
      </w:r>
      <w:r w:rsidR="009D1361" w:rsidRPr="008F1E62">
        <w:rPr>
          <w:rFonts w:asciiTheme="minorHAnsi" w:hAnsiTheme="minorHAnsi"/>
          <w:b/>
          <w:bCs/>
        </w:rPr>
        <w:t xml:space="preserve">degrees </w:t>
      </w:r>
      <w:r w:rsidRPr="008F1E62">
        <w:rPr>
          <w:rFonts w:asciiTheme="minorHAnsi" w:hAnsiTheme="minorHAnsi"/>
          <w:b/>
          <w:bCs/>
        </w:rPr>
        <w:t>usually require one or two years of full-time study and a minor thesis, comprehensive examinations</w:t>
      </w:r>
      <w:r w:rsidR="009D1361">
        <w:rPr>
          <w:rFonts w:asciiTheme="minorHAnsi" w:hAnsiTheme="minorHAnsi"/>
          <w:b/>
          <w:bCs/>
        </w:rPr>
        <w:t>,</w:t>
      </w:r>
      <w:r w:rsidRPr="008F1E62">
        <w:rPr>
          <w:rFonts w:asciiTheme="minorHAnsi" w:hAnsiTheme="minorHAnsi"/>
          <w:b/>
          <w:bCs/>
        </w:rPr>
        <w:t xml:space="preserve"> or a project</w:t>
      </w:r>
      <w:r w:rsidRPr="008F1E62">
        <w:rPr>
          <w:rFonts w:asciiTheme="minorHAnsi" w:hAnsiTheme="minorHAnsi"/>
        </w:rPr>
        <w:t>. The entrance requirement for most Master</w:t>
      </w:r>
      <w:r w:rsidR="006856DB">
        <w:rPr>
          <w:rFonts w:asciiTheme="minorHAnsi" w:hAnsiTheme="minorHAnsi"/>
        </w:rPr>
        <w:t>’s</w:t>
      </w:r>
      <w:r w:rsidRPr="008F1E62">
        <w:rPr>
          <w:rFonts w:asciiTheme="minorHAnsi" w:hAnsiTheme="minorHAnsi"/>
        </w:rPr>
        <w:t xml:space="preserve"> </w:t>
      </w:r>
      <w:r w:rsidR="009D1361" w:rsidRPr="008F1E62">
        <w:rPr>
          <w:rFonts w:asciiTheme="minorHAnsi" w:hAnsiTheme="minorHAnsi"/>
        </w:rPr>
        <w:t xml:space="preserve">degree programs is a </w:t>
      </w:r>
      <w:r w:rsidRPr="008F1E62">
        <w:rPr>
          <w:rFonts w:asciiTheme="minorHAnsi" w:hAnsiTheme="minorHAnsi"/>
        </w:rPr>
        <w:t xml:space="preserve">Bachelor </w:t>
      </w:r>
      <w:r w:rsidR="009D1361" w:rsidRPr="008F1E62">
        <w:rPr>
          <w:rFonts w:asciiTheme="minorHAnsi" w:hAnsiTheme="minorHAnsi"/>
        </w:rPr>
        <w:t xml:space="preserve">degree </w:t>
      </w:r>
      <w:r w:rsidRPr="008F1E62">
        <w:rPr>
          <w:rFonts w:asciiTheme="minorHAnsi" w:hAnsiTheme="minorHAnsi"/>
        </w:rPr>
        <w:t>in an appropriate discipline, with an average grade equal to or better than 85%.  Master</w:t>
      </w:r>
      <w:r w:rsidR="006856DB">
        <w:rPr>
          <w:rFonts w:asciiTheme="minorHAnsi" w:hAnsiTheme="minorHAnsi"/>
        </w:rPr>
        <w:t>’s</w:t>
      </w:r>
      <w:r w:rsidRPr="008F1E62">
        <w:rPr>
          <w:rFonts w:asciiTheme="minorHAnsi" w:hAnsiTheme="minorHAnsi"/>
        </w:rPr>
        <w:t xml:space="preserve"> </w:t>
      </w:r>
      <w:r w:rsidR="003C04AE" w:rsidRPr="008F1E62">
        <w:rPr>
          <w:rFonts w:asciiTheme="minorHAnsi" w:hAnsiTheme="minorHAnsi"/>
        </w:rPr>
        <w:t>degree programs in business administration and public administration are widely a</w:t>
      </w:r>
      <w:r w:rsidRPr="008F1E62">
        <w:rPr>
          <w:rFonts w:asciiTheme="minorHAnsi" w:hAnsiTheme="minorHAnsi"/>
        </w:rPr>
        <w:t>vailable in the Philippines. There are limited institutions which offer a Master</w:t>
      </w:r>
      <w:r w:rsidR="006856DB">
        <w:rPr>
          <w:rFonts w:asciiTheme="minorHAnsi" w:hAnsiTheme="minorHAnsi"/>
        </w:rPr>
        <w:t>’s</w:t>
      </w:r>
      <w:r w:rsidRPr="008F1E62">
        <w:rPr>
          <w:rFonts w:asciiTheme="minorHAnsi" w:hAnsiTheme="minorHAnsi"/>
        </w:rPr>
        <w:t xml:space="preserve"> </w:t>
      </w:r>
      <w:r w:rsidR="003C04AE" w:rsidRPr="008F1E62">
        <w:rPr>
          <w:rFonts w:asciiTheme="minorHAnsi" w:hAnsiTheme="minorHAnsi"/>
        </w:rPr>
        <w:t>degree program in accountancy</w:t>
      </w:r>
      <w:r w:rsidRPr="008F1E62">
        <w:rPr>
          <w:rFonts w:asciiTheme="minorHAnsi" w:hAnsiTheme="minorHAnsi"/>
        </w:rPr>
        <w:t>.</w:t>
      </w:r>
    </w:p>
    <w:p w14:paraId="1F1CB7F8"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Doctor of </w:t>
      </w:r>
      <w:r w:rsidR="003C04AE" w:rsidRPr="008F1E62">
        <w:rPr>
          <w:rFonts w:asciiTheme="minorHAnsi" w:hAnsiTheme="minorHAnsi"/>
          <w:b/>
          <w:bCs/>
        </w:rPr>
        <w:t xml:space="preserve">philosophy </w:t>
      </w:r>
      <w:r w:rsidRPr="008F1E62">
        <w:rPr>
          <w:rFonts w:asciiTheme="minorHAnsi" w:hAnsiTheme="minorHAnsi"/>
          <w:b/>
          <w:bCs/>
        </w:rPr>
        <w:t xml:space="preserve">programs often involve a substantial amount of coursework, while the </w:t>
      </w:r>
      <w:r w:rsidRPr="008F1E62">
        <w:rPr>
          <w:rFonts w:ascii="Calibri" w:hAnsi="Calibri"/>
          <w:b/>
          <w:bCs/>
        </w:rPr>
        <w:t>dissertation</w:t>
      </w:r>
      <w:r w:rsidRPr="008F1E62">
        <w:rPr>
          <w:rFonts w:asciiTheme="minorHAnsi" w:hAnsiTheme="minorHAnsi"/>
          <w:b/>
          <w:bCs/>
        </w:rPr>
        <w:t xml:space="preserve"> may comprise as little as a quarter or a fifth of the total credits</w:t>
      </w:r>
      <w:r w:rsidRPr="008F1E62">
        <w:rPr>
          <w:rFonts w:asciiTheme="minorHAnsi" w:hAnsiTheme="minorHAnsi"/>
        </w:rPr>
        <w:t xml:space="preserve">. Ph.D. programs usually require two or three years of full-time study beyond the Master’s </w:t>
      </w:r>
      <w:r w:rsidR="000A07FD" w:rsidRPr="008F1E62">
        <w:rPr>
          <w:rFonts w:asciiTheme="minorHAnsi" w:hAnsiTheme="minorHAnsi"/>
        </w:rPr>
        <w:t>degree</w:t>
      </w:r>
      <w:r w:rsidRPr="008F1E62">
        <w:rPr>
          <w:rFonts w:asciiTheme="minorHAnsi" w:hAnsiTheme="minorHAnsi"/>
        </w:rPr>
        <w:t>. The entrance requirement is usually a Master</w:t>
      </w:r>
      <w:r w:rsidR="006856DB">
        <w:rPr>
          <w:rFonts w:asciiTheme="minorHAnsi" w:hAnsiTheme="minorHAnsi"/>
        </w:rPr>
        <w:t>’s</w:t>
      </w:r>
      <w:r w:rsidRPr="008F1E62">
        <w:rPr>
          <w:rFonts w:asciiTheme="minorHAnsi" w:hAnsiTheme="minorHAnsi"/>
        </w:rPr>
        <w:t xml:space="preserve"> </w:t>
      </w:r>
      <w:r w:rsidR="000A07FD" w:rsidRPr="008F1E62">
        <w:rPr>
          <w:rFonts w:asciiTheme="minorHAnsi" w:hAnsiTheme="minorHAnsi"/>
        </w:rPr>
        <w:t>degree</w:t>
      </w:r>
      <w:r w:rsidRPr="008F1E62">
        <w:rPr>
          <w:rFonts w:asciiTheme="minorHAnsi" w:hAnsiTheme="minorHAnsi"/>
        </w:rPr>
        <w:t xml:space="preserve">, with an average grade equal to or better than 85%. Several </w:t>
      </w:r>
      <w:r w:rsidR="006856DB" w:rsidRPr="008F1E62">
        <w:rPr>
          <w:rFonts w:asciiTheme="minorHAnsi" w:hAnsiTheme="minorHAnsi"/>
        </w:rPr>
        <w:t xml:space="preserve">universities </w:t>
      </w:r>
      <w:r w:rsidRPr="008F1E62">
        <w:rPr>
          <w:rFonts w:asciiTheme="minorHAnsi" w:hAnsiTheme="minorHAnsi"/>
        </w:rPr>
        <w:t xml:space="preserve">offer PhD </w:t>
      </w:r>
      <w:r w:rsidR="006856DB" w:rsidRPr="008F1E62">
        <w:rPr>
          <w:rFonts w:asciiTheme="minorHAnsi" w:hAnsiTheme="minorHAnsi"/>
        </w:rPr>
        <w:t>programs in business administration or public administration, but only a few in accountancy.</w:t>
      </w:r>
    </w:p>
    <w:p w14:paraId="3C74CF55" w14:textId="77777777" w:rsidR="00BA25AD" w:rsidRPr="008F1E62" w:rsidRDefault="00BA25AD" w:rsidP="00BA25AD">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Higher Education Act (1994) created CHED. </w:t>
      </w:r>
      <w:r w:rsidRPr="008F1E62">
        <w:rPr>
          <w:rFonts w:asciiTheme="minorHAnsi" w:hAnsiTheme="minorHAnsi"/>
        </w:rPr>
        <w:t>Among other things, CHED is responsible for (i) formulating and recommending development plans, policies, priorities, and programs on higher education; (ii) setting minimum standards for programs and institutes of higher education; (iii) monitoring and evaluating the performance of programs and institutions; and (iv) imposing sanctions for poor performance (e.g., subsidy reductions, withdrawal of accreditation, program termination and closures).</w:t>
      </w:r>
    </w:p>
    <w:p w14:paraId="2BCA556D" w14:textId="32D94CA3" w:rsidR="00EB1D37" w:rsidRPr="00AA3C78" w:rsidRDefault="003E4260" w:rsidP="0002662F">
      <w:pPr>
        <w:pStyle w:val="BodyText4"/>
        <w:numPr>
          <w:ilvl w:val="0"/>
          <w:numId w:val="2"/>
        </w:numPr>
        <w:spacing w:after="160" w:line="259" w:lineRule="auto"/>
        <w:ind w:left="0" w:hanging="567"/>
      </w:pPr>
      <w:r w:rsidRPr="00AA3C78">
        <w:rPr>
          <w:rFonts w:asciiTheme="minorHAnsi" w:hAnsiTheme="minorHAnsi"/>
          <w:b/>
          <w:bCs/>
        </w:rPr>
        <w:t xml:space="preserve">In addition to regulating higher education, CHED is also responsible for developing policies to support </w:t>
      </w:r>
      <w:r w:rsidRPr="00BA21D1">
        <w:rPr>
          <w:rFonts w:ascii="Calibri" w:hAnsi="Calibri"/>
          <w:b/>
          <w:bCs/>
        </w:rPr>
        <w:t>quality</w:t>
      </w:r>
      <w:r w:rsidRPr="00BA21D1">
        <w:rPr>
          <w:b/>
          <w:bCs/>
        </w:rPr>
        <w:t xml:space="preserve"> improvement in the higher educational system</w:t>
      </w:r>
      <w:r w:rsidRPr="008F1E62">
        <w:rPr>
          <w:rFonts w:asciiTheme="minorHAnsi" w:hAnsiTheme="minorHAnsi"/>
        </w:rPr>
        <w:t xml:space="preserve">. As a matter of policy, CHED encourages institutions to seek accreditation and provides </w:t>
      </w:r>
      <w:proofErr w:type="gramStart"/>
      <w:r w:rsidRPr="008F1E62">
        <w:rPr>
          <w:rFonts w:asciiTheme="minorHAnsi" w:hAnsiTheme="minorHAnsi"/>
        </w:rPr>
        <w:t>a number of</w:t>
      </w:r>
      <w:proofErr w:type="gramEnd"/>
      <w:r w:rsidRPr="008F1E62">
        <w:rPr>
          <w:rFonts w:asciiTheme="minorHAnsi" w:hAnsiTheme="minorHAnsi"/>
        </w:rPr>
        <w:t xml:space="preserve"> incentives in the form of progressive deregulation, as well as grants and subsidies to institutions with accredited programs. However, all educational programs can operate legally if they have government recognition in the form of applying for and receiving a grant of authority and official recognition to operate.</w:t>
      </w:r>
    </w:p>
    <w:p w14:paraId="612A8FB8" w14:textId="77777777" w:rsidR="00F76E53" w:rsidRPr="008F1E62" w:rsidRDefault="00F76E53" w:rsidP="00F76E53">
      <w:pPr>
        <w:pStyle w:val="BodyText4"/>
        <w:spacing w:line="276" w:lineRule="auto"/>
        <w:rPr>
          <w:rFonts w:asciiTheme="minorHAnsi" w:hAnsiTheme="minorHAnsi"/>
        </w:rPr>
      </w:pPr>
    </w:p>
    <w:p w14:paraId="43E4C105" w14:textId="0AA4AC7B" w:rsidR="00F76E53"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w:t>
      </w:r>
      <w:r w:rsidRPr="009315BA">
        <w:rPr>
          <w:rFonts w:asciiTheme="minorHAnsi" w:hAnsiTheme="minorHAnsi"/>
          <w:b/>
        </w:rPr>
        <w:t>issuance</w:t>
      </w:r>
      <w:r w:rsidRPr="008F1E62">
        <w:rPr>
          <w:rFonts w:asciiTheme="minorHAnsi" w:hAnsiTheme="minorHAnsi"/>
          <w:b/>
          <w:bCs/>
        </w:rPr>
        <w:t xml:space="preserve"> of </w:t>
      </w:r>
      <w:r w:rsidRPr="008F1E62">
        <w:rPr>
          <w:rFonts w:ascii="Calibri" w:hAnsi="Calibri"/>
          <w:b/>
          <w:bCs/>
        </w:rPr>
        <w:t>Department</w:t>
      </w:r>
      <w:r w:rsidRPr="008F1E62">
        <w:rPr>
          <w:rFonts w:asciiTheme="minorHAnsi" w:hAnsiTheme="minorHAnsi"/>
          <w:b/>
          <w:bCs/>
        </w:rPr>
        <w:t xml:space="preserve"> of Education, Culture and Sports</w:t>
      </w:r>
      <w:r w:rsidRPr="008F1E62">
        <w:rPr>
          <w:rStyle w:val="FootnoteReference"/>
          <w:rFonts w:asciiTheme="minorHAnsi" w:hAnsiTheme="minorHAnsi"/>
          <w:b/>
          <w:bCs/>
        </w:rPr>
        <w:footnoteReference w:id="81"/>
      </w:r>
      <w:r w:rsidRPr="008F1E62">
        <w:rPr>
          <w:rFonts w:asciiTheme="minorHAnsi" w:hAnsiTheme="minorHAnsi"/>
          <w:b/>
          <w:bCs/>
        </w:rPr>
        <w:t xml:space="preserve"> Order No.5 (1991) established a Bachelor of Science in Accountancy (</w:t>
      </w:r>
      <w:r w:rsidR="00715261">
        <w:rPr>
          <w:rFonts w:asciiTheme="minorHAnsi" w:hAnsiTheme="minorHAnsi"/>
          <w:b/>
          <w:bCs/>
        </w:rPr>
        <w:t>“</w:t>
      </w:r>
      <w:r w:rsidRPr="008F1E62">
        <w:rPr>
          <w:rFonts w:asciiTheme="minorHAnsi" w:hAnsiTheme="minorHAnsi"/>
          <w:b/>
          <w:bCs/>
        </w:rPr>
        <w:t>BS</w:t>
      </w:r>
      <w:r w:rsidR="00715261">
        <w:rPr>
          <w:rFonts w:asciiTheme="minorHAnsi" w:hAnsiTheme="minorHAnsi"/>
          <w:b/>
          <w:bCs/>
        </w:rPr>
        <w:t xml:space="preserve">c </w:t>
      </w:r>
      <w:r w:rsidRPr="008F1E62">
        <w:rPr>
          <w:rFonts w:asciiTheme="minorHAnsi" w:hAnsiTheme="minorHAnsi"/>
          <w:b/>
          <w:bCs/>
        </w:rPr>
        <w:t>A</w:t>
      </w:r>
      <w:r w:rsidR="00715261">
        <w:rPr>
          <w:rFonts w:asciiTheme="minorHAnsi" w:hAnsiTheme="minorHAnsi"/>
          <w:b/>
          <w:bCs/>
        </w:rPr>
        <w:t>ccountancy”</w:t>
      </w:r>
      <w:r w:rsidRPr="008F1E62">
        <w:rPr>
          <w:rFonts w:asciiTheme="minorHAnsi" w:hAnsiTheme="minorHAnsi"/>
          <w:b/>
          <w:bCs/>
        </w:rPr>
        <w:t>) as a fully-fledged independent course.</w:t>
      </w:r>
      <w:r w:rsidRPr="008F1E62">
        <w:rPr>
          <w:rFonts w:asciiTheme="minorHAnsi" w:hAnsiTheme="minorHAnsi"/>
        </w:rPr>
        <w:t xml:space="preserve"> CHED has since taken over responsibility for coordinating tertiary education. In 2001, CHED set the curriculum requirements for the </w:t>
      </w:r>
      <w:r w:rsidR="00715261" w:rsidRPr="00715261">
        <w:rPr>
          <w:rFonts w:asciiTheme="minorHAnsi" w:hAnsiTheme="minorHAnsi"/>
        </w:rPr>
        <w:t>BSc Accountancy</w:t>
      </w:r>
      <w:r w:rsidRPr="008F1E62">
        <w:rPr>
          <w:rFonts w:asciiTheme="minorHAnsi" w:hAnsiTheme="minorHAnsi"/>
        </w:rPr>
        <w:t xml:space="preserve">, adopting an outcomes-based approach, and striving to meet international best practices. It provided a sample curriculum, based on 210 credit-units over a four-year period. The standards set by CHED establish minimum requirements which Higher Education Institutions </w:t>
      </w:r>
      <w:proofErr w:type="gramStart"/>
      <w:r w:rsidRPr="008F1E62">
        <w:rPr>
          <w:rFonts w:asciiTheme="minorHAnsi" w:hAnsiTheme="minorHAnsi"/>
        </w:rPr>
        <w:t>have to</w:t>
      </w:r>
      <w:proofErr w:type="gramEnd"/>
      <w:r w:rsidRPr="008F1E62">
        <w:rPr>
          <w:rFonts w:asciiTheme="minorHAnsi" w:hAnsiTheme="minorHAnsi"/>
        </w:rPr>
        <w:t xml:space="preserve"> comply with; however, they retain some autonomy in the areas of curriculum design and innovation, and have the ability to offer the </w:t>
      </w:r>
      <w:r w:rsidR="006E6217" w:rsidRPr="006E6217">
        <w:rPr>
          <w:rFonts w:asciiTheme="minorHAnsi" w:hAnsiTheme="minorHAnsi"/>
        </w:rPr>
        <w:t>BSc Accountancy</w:t>
      </w:r>
      <w:r w:rsidR="006E6217" w:rsidRPr="006E6217" w:rsidDel="006E6217">
        <w:rPr>
          <w:rFonts w:asciiTheme="minorHAnsi" w:hAnsiTheme="minorHAnsi"/>
        </w:rPr>
        <w:t xml:space="preserve"> </w:t>
      </w:r>
      <w:r w:rsidRPr="008F1E62">
        <w:rPr>
          <w:rFonts w:asciiTheme="minorHAnsi" w:hAnsiTheme="minorHAnsi"/>
        </w:rPr>
        <w:t>over a 5-year period. The breakdown of the sample curriculum is provided in Table 13.</w:t>
      </w:r>
    </w:p>
    <w:tbl>
      <w:tblPr>
        <w:tblW w:w="5000" w:type="pct"/>
        <w:jc w:val="center"/>
        <w:tblCellSpacing w:w="43" w:type="dxa"/>
        <w:tblBorders>
          <w:top w:val="single" w:sz="4" w:space="0" w:color="4472C4"/>
          <w:left w:val="single" w:sz="4" w:space="0" w:color="4472C4"/>
          <w:bottom w:val="single" w:sz="4" w:space="0" w:color="4472C4"/>
          <w:right w:val="single" w:sz="4" w:space="0" w:color="4472C4"/>
        </w:tblBorders>
        <w:tblCellMar>
          <w:top w:w="43" w:type="dxa"/>
          <w:left w:w="115" w:type="dxa"/>
          <w:bottom w:w="43" w:type="dxa"/>
          <w:right w:w="115" w:type="dxa"/>
        </w:tblCellMar>
        <w:tblLook w:val="04A0" w:firstRow="1" w:lastRow="0" w:firstColumn="1" w:lastColumn="0" w:noHBand="0" w:noVBand="1"/>
      </w:tblPr>
      <w:tblGrid>
        <w:gridCol w:w="7557"/>
        <w:gridCol w:w="1459"/>
      </w:tblGrid>
      <w:tr w:rsidR="002A6900" w:rsidRPr="00A27CBB" w14:paraId="4B3E6C01" w14:textId="77777777" w:rsidTr="00F6762B">
        <w:trPr>
          <w:trHeight w:val="315"/>
          <w:tblHeader/>
          <w:tblCellSpacing w:w="43" w:type="dxa"/>
          <w:jc w:val="center"/>
        </w:trPr>
        <w:tc>
          <w:tcPr>
            <w:tcW w:w="8798" w:type="dxa"/>
            <w:gridSpan w:val="2"/>
            <w:shd w:val="clear" w:color="auto" w:fill="auto"/>
            <w:vAlign w:val="center"/>
          </w:tcPr>
          <w:p w14:paraId="3AA79CFD" w14:textId="7F47DD30" w:rsidR="002A6900" w:rsidRPr="002A6900" w:rsidRDefault="002A6900" w:rsidP="00FA06D1">
            <w:pPr>
              <w:spacing w:after="0"/>
              <w:jc w:val="center"/>
              <w:rPr>
                <w:rFonts w:ascii="Calibri" w:eastAsia="Times New Roman" w:hAnsi="Calibri" w:cs="Times New Roman"/>
                <w:b/>
                <w:bCs/>
                <w:color w:val="FFFFFF" w:themeColor="background1"/>
                <w:sz w:val="20"/>
              </w:rPr>
            </w:pPr>
            <w:r w:rsidRPr="002A6900">
              <w:rPr>
                <w:b/>
                <w:sz w:val="20"/>
                <w:szCs w:val="24"/>
              </w:rPr>
              <w:t xml:space="preserve">Table </w:t>
            </w:r>
            <w:r w:rsidRPr="002A6900">
              <w:rPr>
                <w:b/>
                <w:sz w:val="20"/>
                <w:szCs w:val="24"/>
              </w:rPr>
              <w:fldChar w:fldCharType="begin"/>
            </w:r>
            <w:r w:rsidRPr="002A6900">
              <w:rPr>
                <w:b/>
                <w:sz w:val="20"/>
                <w:szCs w:val="24"/>
              </w:rPr>
              <w:instrText xml:space="preserve"> SEQ Table \* ARABIC </w:instrText>
            </w:r>
            <w:r w:rsidRPr="002A6900">
              <w:rPr>
                <w:b/>
                <w:sz w:val="20"/>
                <w:szCs w:val="24"/>
              </w:rPr>
              <w:fldChar w:fldCharType="separate"/>
            </w:r>
            <w:r w:rsidR="004310EC">
              <w:rPr>
                <w:b/>
                <w:noProof/>
                <w:sz w:val="20"/>
                <w:szCs w:val="24"/>
              </w:rPr>
              <w:t>12</w:t>
            </w:r>
            <w:r w:rsidRPr="002A6900">
              <w:rPr>
                <w:b/>
                <w:sz w:val="20"/>
                <w:szCs w:val="24"/>
              </w:rPr>
              <w:fldChar w:fldCharType="end"/>
            </w:r>
            <w:r w:rsidRPr="002A6900">
              <w:rPr>
                <w:b/>
                <w:sz w:val="20"/>
                <w:szCs w:val="24"/>
              </w:rPr>
              <w:t>. Sample curriculum - Bachelor of Science in Accountancy</w:t>
            </w:r>
          </w:p>
        </w:tc>
      </w:tr>
      <w:tr w:rsidR="002E6D28" w:rsidRPr="00A27CBB" w14:paraId="4E0CD8F9" w14:textId="77777777" w:rsidTr="00F6762B">
        <w:trPr>
          <w:trHeight w:val="315"/>
          <w:tblHeader/>
          <w:tblCellSpacing w:w="43" w:type="dxa"/>
          <w:jc w:val="center"/>
        </w:trPr>
        <w:tc>
          <w:tcPr>
            <w:tcW w:w="7389" w:type="dxa"/>
            <w:shd w:val="clear" w:color="auto" w:fill="4472C4"/>
            <w:vAlign w:val="center"/>
            <w:hideMark/>
          </w:tcPr>
          <w:p w14:paraId="21053DD0" w14:textId="4A216EDF" w:rsidR="002E6D28" w:rsidRPr="00A27CBB" w:rsidRDefault="002E6D28" w:rsidP="002E6D28">
            <w:pPr>
              <w:spacing w:after="0"/>
              <w:jc w:val="center"/>
              <w:rPr>
                <w:rFonts w:ascii="Calibri" w:eastAsia="Times New Roman" w:hAnsi="Calibri" w:cs="Times New Roman"/>
                <w:b/>
                <w:bCs/>
                <w:color w:val="FFFFFF" w:themeColor="background1"/>
                <w:sz w:val="20"/>
              </w:rPr>
            </w:pPr>
            <w:r w:rsidRPr="00A27CBB">
              <w:rPr>
                <w:rFonts w:ascii="Calibri" w:eastAsia="Times New Roman" w:hAnsi="Calibri" w:cs="Times New Roman"/>
                <w:b/>
                <w:bCs/>
                <w:color w:val="FFFFFF" w:themeColor="background1"/>
                <w:sz w:val="20"/>
              </w:rPr>
              <w:t>Curriculum</w:t>
            </w:r>
          </w:p>
        </w:tc>
        <w:tc>
          <w:tcPr>
            <w:tcW w:w="1295" w:type="dxa"/>
            <w:shd w:val="clear" w:color="auto" w:fill="4472C4"/>
            <w:vAlign w:val="bottom"/>
            <w:hideMark/>
          </w:tcPr>
          <w:p w14:paraId="2915AFB0" w14:textId="77777777" w:rsidR="002E6D28" w:rsidRPr="00A27CBB" w:rsidRDefault="002E6D28" w:rsidP="00FA06D1">
            <w:pPr>
              <w:spacing w:after="0"/>
              <w:jc w:val="center"/>
              <w:rPr>
                <w:rFonts w:ascii="Calibri" w:eastAsia="Times New Roman" w:hAnsi="Calibri" w:cs="Times New Roman"/>
                <w:b/>
                <w:bCs/>
                <w:color w:val="FFFFFF" w:themeColor="background1"/>
                <w:sz w:val="20"/>
              </w:rPr>
            </w:pPr>
            <w:r w:rsidRPr="00A27CBB">
              <w:rPr>
                <w:rFonts w:ascii="Calibri" w:eastAsia="Times New Roman" w:hAnsi="Calibri" w:cs="Times New Roman"/>
                <w:b/>
                <w:bCs/>
                <w:color w:val="FFFFFF" w:themeColor="background1"/>
                <w:sz w:val="20"/>
              </w:rPr>
              <w:t>Minimum Prescribed Units</w:t>
            </w:r>
          </w:p>
        </w:tc>
      </w:tr>
      <w:tr w:rsidR="002E6D28" w:rsidRPr="00A27CBB" w14:paraId="3F8114DF" w14:textId="77777777" w:rsidTr="00F6762B">
        <w:trPr>
          <w:trHeight w:val="315"/>
          <w:tblCellSpacing w:w="43" w:type="dxa"/>
          <w:jc w:val="center"/>
        </w:trPr>
        <w:tc>
          <w:tcPr>
            <w:tcW w:w="7389" w:type="dxa"/>
            <w:shd w:val="clear" w:color="auto" w:fill="C6E8D7"/>
            <w:vAlign w:val="bottom"/>
            <w:hideMark/>
          </w:tcPr>
          <w:p w14:paraId="5DECA764" w14:textId="77777777" w:rsidR="002E6D28" w:rsidRPr="00A27CBB" w:rsidRDefault="002E6D28" w:rsidP="00DD5BB1">
            <w:pPr>
              <w:spacing w:after="0"/>
              <w:jc w:val="left"/>
              <w:rPr>
                <w:rFonts w:ascii="Calibri" w:eastAsia="Times New Roman" w:hAnsi="Calibri" w:cs="Times New Roman"/>
                <w:b/>
                <w:bCs/>
                <w:color w:val="000000"/>
                <w:sz w:val="20"/>
              </w:rPr>
            </w:pPr>
            <w:r w:rsidRPr="00A27CBB">
              <w:rPr>
                <w:rFonts w:ascii="Calibri" w:eastAsia="Times New Roman" w:hAnsi="Calibri" w:cs="Times New Roman"/>
                <w:b/>
                <w:bCs/>
                <w:color w:val="000000"/>
                <w:sz w:val="20"/>
              </w:rPr>
              <w:t>1. Core Courses</w:t>
            </w:r>
          </w:p>
        </w:tc>
        <w:tc>
          <w:tcPr>
            <w:tcW w:w="1295" w:type="dxa"/>
            <w:shd w:val="clear" w:color="auto" w:fill="C6E8D7"/>
            <w:vAlign w:val="bottom"/>
            <w:hideMark/>
          </w:tcPr>
          <w:p w14:paraId="5ADE867C" w14:textId="5ED34E5B" w:rsidR="002E6D28" w:rsidRPr="00A27CBB" w:rsidRDefault="002E6D28" w:rsidP="00DD5BB1">
            <w:pPr>
              <w:spacing w:after="0"/>
              <w:jc w:val="left"/>
              <w:rPr>
                <w:rFonts w:ascii="Calibri" w:eastAsia="Times New Roman" w:hAnsi="Calibri" w:cs="Times New Roman"/>
                <w:b/>
                <w:color w:val="000000"/>
                <w:sz w:val="20"/>
              </w:rPr>
            </w:pPr>
            <w:r w:rsidRPr="00A27CBB">
              <w:rPr>
                <w:rFonts w:ascii="Calibri" w:eastAsia="Times New Roman" w:hAnsi="Calibri" w:cs="Times New Roman"/>
                <w:b/>
                <w:color w:val="000000"/>
                <w:sz w:val="20"/>
              </w:rPr>
              <w:t> 93</w:t>
            </w:r>
          </w:p>
        </w:tc>
      </w:tr>
      <w:tr w:rsidR="002E6D28" w:rsidRPr="00A27CBB" w14:paraId="5698E07C" w14:textId="77777777" w:rsidTr="00F6762B">
        <w:trPr>
          <w:trHeight w:val="315"/>
          <w:tblCellSpacing w:w="43" w:type="dxa"/>
          <w:jc w:val="center"/>
        </w:trPr>
        <w:tc>
          <w:tcPr>
            <w:tcW w:w="7389" w:type="dxa"/>
            <w:shd w:val="clear" w:color="auto" w:fill="E7E6E6" w:themeFill="background2"/>
            <w:vAlign w:val="bottom"/>
            <w:hideMark/>
          </w:tcPr>
          <w:p w14:paraId="560A97D6" w14:textId="77777777" w:rsidR="002E6D28" w:rsidRPr="00A27CBB" w:rsidRDefault="002E6D28" w:rsidP="00DD5BB1">
            <w:pPr>
              <w:spacing w:after="0"/>
              <w:jc w:val="left"/>
              <w:rPr>
                <w:rFonts w:ascii="Calibri" w:eastAsia="Times New Roman" w:hAnsi="Calibri" w:cs="Times New Roman"/>
                <w:color w:val="000000"/>
                <w:sz w:val="20"/>
              </w:rPr>
            </w:pPr>
            <w:r w:rsidRPr="00A27CBB">
              <w:rPr>
                <w:rFonts w:ascii="Calibri" w:eastAsia="Times New Roman" w:hAnsi="Calibri" w:cs="Times New Roman"/>
                <w:color w:val="000000"/>
                <w:sz w:val="20"/>
              </w:rPr>
              <w:t xml:space="preserve">     1.1 General Education</w:t>
            </w:r>
          </w:p>
        </w:tc>
        <w:tc>
          <w:tcPr>
            <w:tcW w:w="1295" w:type="dxa"/>
            <w:shd w:val="clear" w:color="auto" w:fill="E7E6E6" w:themeFill="background2"/>
            <w:vAlign w:val="bottom"/>
            <w:hideMark/>
          </w:tcPr>
          <w:p w14:paraId="6F6FCB00" w14:textId="77777777" w:rsidR="002E6D28" w:rsidRPr="00A27CBB" w:rsidRDefault="002E6D28" w:rsidP="00DD5BB1">
            <w:pPr>
              <w:spacing w:after="0"/>
              <w:jc w:val="right"/>
              <w:rPr>
                <w:rFonts w:ascii="Calibri" w:eastAsia="Times New Roman" w:hAnsi="Calibri" w:cs="Times New Roman"/>
                <w:color w:val="000000"/>
                <w:sz w:val="20"/>
              </w:rPr>
            </w:pPr>
            <w:r w:rsidRPr="00A27CBB">
              <w:rPr>
                <w:rFonts w:ascii="Calibri" w:eastAsia="Times New Roman" w:hAnsi="Calibri" w:cs="Times New Roman"/>
                <w:color w:val="000000"/>
                <w:sz w:val="20"/>
              </w:rPr>
              <w:t>51</w:t>
            </w:r>
          </w:p>
        </w:tc>
      </w:tr>
      <w:tr w:rsidR="002E6D28" w:rsidRPr="00A27CBB" w14:paraId="2AE89D48" w14:textId="77777777" w:rsidTr="00F6762B">
        <w:trPr>
          <w:trHeight w:val="315"/>
          <w:tblCellSpacing w:w="43" w:type="dxa"/>
          <w:jc w:val="center"/>
        </w:trPr>
        <w:tc>
          <w:tcPr>
            <w:tcW w:w="7389" w:type="dxa"/>
            <w:shd w:val="clear" w:color="auto" w:fill="E7E6E6" w:themeFill="background2"/>
            <w:vAlign w:val="bottom"/>
            <w:hideMark/>
          </w:tcPr>
          <w:p w14:paraId="41E8E058" w14:textId="77777777" w:rsidR="002E6D28" w:rsidRPr="00A27CBB" w:rsidRDefault="002E6D28" w:rsidP="00DD5BB1">
            <w:pPr>
              <w:spacing w:after="0"/>
              <w:jc w:val="left"/>
              <w:rPr>
                <w:rFonts w:ascii="Calibri" w:eastAsia="Times New Roman" w:hAnsi="Calibri" w:cs="Times New Roman"/>
                <w:color w:val="000000"/>
                <w:sz w:val="20"/>
              </w:rPr>
            </w:pPr>
            <w:r w:rsidRPr="00A27CBB">
              <w:rPr>
                <w:rFonts w:ascii="Calibri" w:eastAsia="Times New Roman" w:hAnsi="Calibri" w:cs="Times New Roman"/>
                <w:color w:val="000000"/>
                <w:sz w:val="20"/>
              </w:rPr>
              <w:t xml:space="preserve">     1.2 Basics Business Core</w:t>
            </w:r>
          </w:p>
        </w:tc>
        <w:tc>
          <w:tcPr>
            <w:tcW w:w="1295" w:type="dxa"/>
            <w:shd w:val="clear" w:color="auto" w:fill="E7E6E6" w:themeFill="background2"/>
            <w:vAlign w:val="bottom"/>
            <w:hideMark/>
          </w:tcPr>
          <w:p w14:paraId="1DF36E02" w14:textId="77777777" w:rsidR="002E6D28" w:rsidRPr="00A27CBB" w:rsidRDefault="002E6D28" w:rsidP="00DD5BB1">
            <w:pPr>
              <w:spacing w:after="0"/>
              <w:jc w:val="right"/>
              <w:rPr>
                <w:rFonts w:ascii="Calibri" w:eastAsia="Times New Roman" w:hAnsi="Calibri" w:cs="Times New Roman"/>
                <w:color w:val="000000"/>
                <w:sz w:val="20"/>
              </w:rPr>
            </w:pPr>
            <w:r w:rsidRPr="00A27CBB">
              <w:rPr>
                <w:rFonts w:ascii="Calibri" w:eastAsia="Times New Roman" w:hAnsi="Calibri" w:cs="Times New Roman"/>
                <w:color w:val="000000"/>
                <w:sz w:val="20"/>
              </w:rPr>
              <w:t>42</w:t>
            </w:r>
          </w:p>
        </w:tc>
      </w:tr>
      <w:tr w:rsidR="002E6D28" w:rsidRPr="00A27CBB" w14:paraId="37A5961D" w14:textId="77777777" w:rsidTr="00F6762B">
        <w:trPr>
          <w:trHeight w:val="315"/>
          <w:tblCellSpacing w:w="43" w:type="dxa"/>
          <w:jc w:val="center"/>
        </w:trPr>
        <w:tc>
          <w:tcPr>
            <w:tcW w:w="7389" w:type="dxa"/>
            <w:shd w:val="clear" w:color="auto" w:fill="C6E8D7"/>
            <w:vAlign w:val="bottom"/>
            <w:hideMark/>
          </w:tcPr>
          <w:p w14:paraId="38E69000" w14:textId="77777777" w:rsidR="002E6D28" w:rsidRPr="00A27CBB" w:rsidRDefault="002E6D28" w:rsidP="00DD5BB1">
            <w:pPr>
              <w:spacing w:after="0"/>
              <w:jc w:val="left"/>
              <w:rPr>
                <w:rFonts w:ascii="Calibri" w:eastAsia="Times New Roman" w:hAnsi="Calibri" w:cs="Times New Roman"/>
                <w:b/>
                <w:bCs/>
                <w:color w:val="000000"/>
                <w:sz w:val="20"/>
              </w:rPr>
            </w:pPr>
            <w:r w:rsidRPr="00A27CBB">
              <w:rPr>
                <w:rFonts w:ascii="Calibri" w:eastAsia="Times New Roman" w:hAnsi="Calibri" w:cs="Times New Roman"/>
                <w:b/>
                <w:bCs/>
                <w:color w:val="000000"/>
                <w:sz w:val="20"/>
              </w:rPr>
              <w:t>2. Professional Education</w:t>
            </w:r>
          </w:p>
        </w:tc>
        <w:tc>
          <w:tcPr>
            <w:tcW w:w="1295" w:type="dxa"/>
            <w:shd w:val="clear" w:color="auto" w:fill="C6E8D7"/>
            <w:vAlign w:val="bottom"/>
            <w:hideMark/>
          </w:tcPr>
          <w:p w14:paraId="002F165D" w14:textId="775D4A86" w:rsidR="002E6D28" w:rsidRPr="00A27CBB" w:rsidRDefault="002E6D28" w:rsidP="00DD5BB1">
            <w:pPr>
              <w:spacing w:after="0"/>
              <w:jc w:val="left"/>
              <w:rPr>
                <w:rFonts w:ascii="Calibri" w:eastAsia="Times New Roman" w:hAnsi="Calibri" w:cs="Times New Roman"/>
                <w:b/>
                <w:color w:val="000000"/>
                <w:sz w:val="20"/>
              </w:rPr>
            </w:pPr>
            <w:r w:rsidRPr="00A27CBB">
              <w:rPr>
                <w:rFonts w:ascii="Calibri" w:eastAsia="Times New Roman" w:hAnsi="Calibri" w:cs="Times New Roman"/>
                <w:b/>
                <w:color w:val="000000"/>
                <w:sz w:val="20"/>
              </w:rPr>
              <w:t> 103</w:t>
            </w:r>
          </w:p>
        </w:tc>
      </w:tr>
      <w:tr w:rsidR="002E6D28" w:rsidRPr="00A27CBB" w14:paraId="0B48CD04" w14:textId="77777777" w:rsidTr="00F6762B">
        <w:trPr>
          <w:trHeight w:val="315"/>
          <w:tblCellSpacing w:w="43" w:type="dxa"/>
          <w:jc w:val="center"/>
        </w:trPr>
        <w:tc>
          <w:tcPr>
            <w:tcW w:w="7389" w:type="dxa"/>
            <w:shd w:val="clear" w:color="auto" w:fill="E7E6E6" w:themeFill="background2"/>
            <w:vAlign w:val="bottom"/>
            <w:hideMark/>
          </w:tcPr>
          <w:p w14:paraId="667C9E77" w14:textId="77777777" w:rsidR="002E6D28" w:rsidRPr="00A27CBB" w:rsidRDefault="002E6D28" w:rsidP="00DD5BB1">
            <w:pPr>
              <w:spacing w:after="0"/>
              <w:jc w:val="left"/>
              <w:rPr>
                <w:rFonts w:ascii="Calibri" w:eastAsia="Times New Roman" w:hAnsi="Calibri" w:cs="Times New Roman"/>
                <w:color w:val="000000"/>
                <w:sz w:val="20"/>
              </w:rPr>
            </w:pPr>
            <w:r w:rsidRPr="00A27CBB">
              <w:rPr>
                <w:rFonts w:ascii="Calibri" w:eastAsia="Times New Roman" w:hAnsi="Calibri" w:cs="Times New Roman"/>
                <w:color w:val="000000"/>
                <w:sz w:val="20"/>
              </w:rPr>
              <w:t xml:space="preserve">     2.2 I.T. Education</w:t>
            </w:r>
          </w:p>
        </w:tc>
        <w:tc>
          <w:tcPr>
            <w:tcW w:w="1295" w:type="dxa"/>
            <w:shd w:val="clear" w:color="auto" w:fill="E7E6E6" w:themeFill="background2"/>
            <w:vAlign w:val="bottom"/>
            <w:hideMark/>
          </w:tcPr>
          <w:p w14:paraId="55D82374" w14:textId="77777777" w:rsidR="002E6D28" w:rsidRPr="00A27CBB" w:rsidRDefault="002E6D28" w:rsidP="00DD5BB1">
            <w:pPr>
              <w:spacing w:after="0"/>
              <w:jc w:val="right"/>
              <w:rPr>
                <w:rFonts w:ascii="Calibri" w:eastAsia="Times New Roman" w:hAnsi="Calibri" w:cs="Times New Roman"/>
                <w:color w:val="000000"/>
                <w:sz w:val="20"/>
              </w:rPr>
            </w:pPr>
            <w:r w:rsidRPr="00A27CBB">
              <w:rPr>
                <w:rFonts w:ascii="Calibri" w:eastAsia="Times New Roman" w:hAnsi="Calibri" w:cs="Times New Roman"/>
                <w:color w:val="000000"/>
                <w:sz w:val="20"/>
              </w:rPr>
              <w:t>9</w:t>
            </w:r>
          </w:p>
        </w:tc>
      </w:tr>
      <w:tr w:rsidR="002E6D28" w:rsidRPr="00A27CBB" w14:paraId="38F5EBBD" w14:textId="77777777" w:rsidTr="00F6762B">
        <w:trPr>
          <w:trHeight w:val="62"/>
          <w:tblCellSpacing w:w="43" w:type="dxa"/>
          <w:jc w:val="center"/>
        </w:trPr>
        <w:tc>
          <w:tcPr>
            <w:tcW w:w="7389" w:type="dxa"/>
            <w:shd w:val="clear" w:color="auto" w:fill="E7E6E6" w:themeFill="background2"/>
            <w:vAlign w:val="bottom"/>
            <w:hideMark/>
          </w:tcPr>
          <w:p w14:paraId="02EDDBE3" w14:textId="77777777" w:rsidR="002E6D28" w:rsidRPr="00A27CBB" w:rsidRDefault="002E6D28" w:rsidP="00DD5BB1">
            <w:pPr>
              <w:spacing w:after="0"/>
              <w:jc w:val="left"/>
              <w:rPr>
                <w:rFonts w:ascii="Calibri" w:eastAsia="Times New Roman" w:hAnsi="Calibri" w:cs="Times New Roman"/>
                <w:color w:val="000000"/>
                <w:sz w:val="20"/>
              </w:rPr>
            </w:pPr>
            <w:r w:rsidRPr="00A27CBB">
              <w:rPr>
                <w:rFonts w:ascii="Calibri" w:eastAsia="Times New Roman" w:hAnsi="Calibri" w:cs="Times New Roman"/>
                <w:color w:val="000000"/>
                <w:sz w:val="20"/>
              </w:rPr>
              <w:t xml:space="preserve">     2.3 Accounting and Finance Education</w:t>
            </w:r>
          </w:p>
        </w:tc>
        <w:tc>
          <w:tcPr>
            <w:tcW w:w="1295" w:type="dxa"/>
            <w:shd w:val="clear" w:color="auto" w:fill="E7E6E6" w:themeFill="background2"/>
            <w:vAlign w:val="bottom"/>
            <w:hideMark/>
          </w:tcPr>
          <w:p w14:paraId="7A19473D" w14:textId="77777777" w:rsidR="002E6D28" w:rsidRPr="00A27CBB" w:rsidRDefault="002E6D28" w:rsidP="00DD5BB1">
            <w:pPr>
              <w:spacing w:after="0"/>
              <w:jc w:val="right"/>
              <w:rPr>
                <w:rFonts w:ascii="Calibri" w:eastAsia="Times New Roman" w:hAnsi="Calibri" w:cs="Times New Roman"/>
                <w:color w:val="000000"/>
                <w:sz w:val="20"/>
              </w:rPr>
            </w:pPr>
            <w:r w:rsidRPr="00A27CBB">
              <w:rPr>
                <w:rFonts w:ascii="Calibri" w:eastAsia="Times New Roman" w:hAnsi="Calibri" w:cs="Times New Roman"/>
                <w:color w:val="000000"/>
                <w:sz w:val="20"/>
              </w:rPr>
              <w:t>94</w:t>
            </w:r>
          </w:p>
        </w:tc>
      </w:tr>
      <w:tr w:rsidR="002E6D28" w:rsidRPr="00A27CBB" w14:paraId="6EF9E40C" w14:textId="77777777" w:rsidTr="00F6762B">
        <w:trPr>
          <w:trHeight w:val="315"/>
          <w:tblCellSpacing w:w="43" w:type="dxa"/>
          <w:jc w:val="center"/>
        </w:trPr>
        <w:tc>
          <w:tcPr>
            <w:tcW w:w="7389" w:type="dxa"/>
            <w:shd w:val="clear" w:color="auto" w:fill="C6E8D7"/>
            <w:vAlign w:val="bottom"/>
            <w:hideMark/>
          </w:tcPr>
          <w:p w14:paraId="4D617F49" w14:textId="77777777" w:rsidR="002E6D28" w:rsidRPr="00A27CBB" w:rsidRDefault="002E6D28" w:rsidP="00DD5BB1">
            <w:pPr>
              <w:spacing w:after="0"/>
              <w:jc w:val="left"/>
              <w:rPr>
                <w:rFonts w:ascii="Calibri" w:eastAsia="Times New Roman" w:hAnsi="Calibri" w:cs="Times New Roman"/>
                <w:b/>
                <w:bCs/>
                <w:color w:val="000000"/>
                <w:sz w:val="20"/>
              </w:rPr>
            </w:pPr>
            <w:r w:rsidRPr="00A27CBB">
              <w:rPr>
                <w:rFonts w:ascii="Calibri" w:eastAsia="Times New Roman" w:hAnsi="Calibri" w:cs="Times New Roman"/>
                <w:b/>
                <w:bCs/>
                <w:color w:val="000000"/>
                <w:sz w:val="20"/>
              </w:rPr>
              <w:t>3. Physical Education (PE) / National Service Training Program (NSTP)</w:t>
            </w:r>
          </w:p>
        </w:tc>
        <w:tc>
          <w:tcPr>
            <w:tcW w:w="1295" w:type="dxa"/>
            <w:shd w:val="clear" w:color="auto" w:fill="C6E8D7"/>
            <w:vAlign w:val="bottom"/>
            <w:hideMark/>
          </w:tcPr>
          <w:p w14:paraId="305CF441" w14:textId="348032A7" w:rsidR="002E6D28" w:rsidRPr="00A27CBB" w:rsidRDefault="002E6D28" w:rsidP="00DD5BB1">
            <w:pPr>
              <w:spacing w:after="0"/>
              <w:jc w:val="left"/>
              <w:rPr>
                <w:rFonts w:ascii="Calibri" w:eastAsia="Times New Roman" w:hAnsi="Calibri" w:cs="Times New Roman"/>
                <w:b/>
                <w:color w:val="000000"/>
                <w:sz w:val="20"/>
              </w:rPr>
            </w:pPr>
            <w:r w:rsidRPr="00A27CBB">
              <w:rPr>
                <w:rFonts w:ascii="Calibri" w:eastAsia="Times New Roman" w:hAnsi="Calibri" w:cs="Times New Roman"/>
                <w:b/>
                <w:color w:val="000000"/>
                <w:sz w:val="20"/>
              </w:rPr>
              <w:t> 14</w:t>
            </w:r>
          </w:p>
        </w:tc>
      </w:tr>
      <w:tr w:rsidR="002E6D28" w:rsidRPr="00A27CBB" w14:paraId="3394BE89" w14:textId="77777777" w:rsidTr="00F6762B">
        <w:trPr>
          <w:trHeight w:val="315"/>
          <w:tblCellSpacing w:w="43" w:type="dxa"/>
          <w:jc w:val="center"/>
        </w:trPr>
        <w:tc>
          <w:tcPr>
            <w:tcW w:w="7389" w:type="dxa"/>
            <w:shd w:val="clear" w:color="auto" w:fill="4472C4"/>
            <w:vAlign w:val="bottom"/>
            <w:hideMark/>
          </w:tcPr>
          <w:p w14:paraId="03AE9121" w14:textId="77777777" w:rsidR="002E6D28" w:rsidRPr="00A27CBB" w:rsidRDefault="002E6D28" w:rsidP="00DD5BB1">
            <w:pPr>
              <w:spacing w:after="0"/>
              <w:jc w:val="left"/>
              <w:rPr>
                <w:rFonts w:ascii="Calibri" w:eastAsia="Times New Roman" w:hAnsi="Calibri" w:cs="Times New Roman"/>
                <w:b/>
                <w:bCs/>
                <w:color w:val="FFFFFF" w:themeColor="background1"/>
                <w:sz w:val="20"/>
              </w:rPr>
            </w:pPr>
            <w:r w:rsidRPr="00A27CBB">
              <w:rPr>
                <w:rFonts w:ascii="Calibri" w:eastAsia="Times New Roman" w:hAnsi="Calibri" w:cs="Times New Roman"/>
                <w:b/>
                <w:bCs/>
                <w:color w:val="FFFFFF" w:themeColor="background1"/>
                <w:sz w:val="20"/>
              </w:rPr>
              <w:t>TOTAL</w:t>
            </w:r>
          </w:p>
        </w:tc>
        <w:tc>
          <w:tcPr>
            <w:tcW w:w="1295" w:type="dxa"/>
            <w:shd w:val="clear" w:color="auto" w:fill="4472C4"/>
            <w:vAlign w:val="bottom"/>
            <w:hideMark/>
          </w:tcPr>
          <w:p w14:paraId="5B0260B3" w14:textId="769616A9" w:rsidR="002E6D28" w:rsidRPr="00A27CBB" w:rsidRDefault="002E6D28" w:rsidP="00571F14">
            <w:pPr>
              <w:spacing w:after="0"/>
              <w:jc w:val="center"/>
              <w:rPr>
                <w:rFonts w:ascii="Calibri" w:eastAsia="Times New Roman" w:hAnsi="Calibri" w:cs="Times New Roman"/>
                <w:color w:val="FFFFFF" w:themeColor="background1"/>
                <w:sz w:val="20"/>
              </w:rPr>
            </w:pPr>
            <w:r w:rsidRPr="00A27CBB">
              <w:rPr>
                <w:rFonts w:ascii="Calibri" w:eastAsia="Times New Roman" w:hAnsi="Calibri" w:cs="Times New Roman"/>
                <w:color w:val="FFFFFF" w:themeColor="background1"/>
                <w:sz w:val="20"/>
              </w:rPr>
              <w:t>210</w:t>
            </w:r>
          </w:p>
        </w:tc>
      </w:tr>
    </w:tbl>
    <w:p w14:paraId="6C5E5673" w14:textId="77777777" w:rsidR="00F76E53" w:rsidRPr="008F1E62" w:rsidRDefault="00F76E53" w:rsidP="00F6762B">
      <w:pPr>
        <w:spacing w:after="0"/>
      </w:pPr>
    </w:p>
    <w:p w14:paraId="7A275AF5" w14:textId="77777777"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Philippines has a </w:t>
      </w:r>
      <w:r w:rsidRPr="009315BA">
        <w:rPr>
          <w:rFonts w:asciiTheme="minorHAnsi" w:hAnsiTheme="minorHAnsi"/>
          <w:b/>
        </w:rPr>
        <w:t>total</w:t>
      </w:r>
      <w:r w:rsidRPr="008F1E62">
        <w:rPr>
          <w:rFonts w:asciiTheme="minorHAnsi" w:hAnsiTheme="minorHAnsi"/>
          <w:b/>
          <w:bCs/>
        </w:rPr>
        <w:t xml:space="preserve"> of over 2,000 institutions of higher education, of which over 1,500 are in the private sector. An accredited </w:t>
      </w:r>
      <w:r w:rsidR="00A57D52" w:rsidRPr="00A57D52">
        <w:rPr>
          <w:rFonts w:asciiTheme="minorHAnsi" w:hAnsiTheme="minorHAnsi"/>
          <w:b/>
          <w:bCs/>
        </w:rPr>
        <w:t>BSc Accountancy</w:t>
      </w:r>
      <w:r w:rsidR="00A57D52" w:rsidRPr="00A57D52" w:rsidDel="00A57D52">
        <w:rPr>
          <w:rFonts w:asciiTheme="minorHAnsi" w:hAnsiTheme="minorHAnsi"/>
          <w:b/>
          <w:bCs/>
        </w:rPr>
        <w:t xml:space="preserve"> </w:t>
      </w:r>
      <w:r w:rsidRPr="008F1E62">
        <w:rPr>
          <w:rFonts w:asciiTheme="minorHAnsi" w:hAnsiTheme="minorHAnsi"/>
          <w:b/>
          <w:bCs/>
        </w:rPr>
        <w:t xml:space="preserve">Program is offered by over 100 public and around 500 private </w:t>
      </w:r>
      <w:r w:rsidR="003F7766" w:rsidRPr="008F1E62">
        <w:rPr>
          <w:rFonts w:asciiTheme="minorHAnsi" w:hAnsiTheme="minorHAnsi"/>
          <w:b/>
          <w:bCs/>
        </w:rPr>
        <w:t>institutions</w:t>
      </w:r>
      <w:r w:rsidRPr="008F1E62">
        <w:rPr>
          <w:rFonts w:asciiTheme="minorHAnsi" w:hAnsiTheme="minorHAnsi"/>
        </w:rPr>
        <w:t xml:space="preserve">. The quality of these programs differs substantially if assessed </w:t>
      </w:r>
      <w:proofErr w:type="gramStart"/>
      <w:r w:rsidRPr="008F1E62">
        <w:rPr>
          <w:rFonts w:asciiTheme="minorHAnsi" w:hAnsiTheme="minorHAnsi"/>
        </w:rPr>
        <w:t>on the basis of</w:t>
      </w:r>
      <w:proofErr w:type="gramEnd"/>
      <w:r w:rsidRPr="008F1E62">
        <w:rPr>
          <w:rFonts w:asciiTheme="minorHAnsi" w:hAnsiTheme="minorHAnsi"/>
        </w:rPr>
        <w:t xml:space="preserve"> graduate success in the CPA Licensure examination. Considering an average CPA pass rate of 40% from 2010 to 2016, 68% of schools offering a </w:t>
      </w:r>
      <w:r w:rsidR="00B76CF0" w:rsidRPr="00B76CF0">
        <w:rPr>
          <w:rFonts w:asciiTheme="minorHAnsi" w:hAnsiTheme="minorHAnsi"/>
        </w:rPr>
        <w:t>BSc Accountancy</w:t>
      </w:r>
      <w:r w:rsidR="00B76CF0" w:rsidRPr="00B76CF0" w:rsidDel="00B76CF0">
        <w:rPr>
          <w:rFonts w:asciiTheme="minorHAnsi" w:hAnsiTheme="minorHAnsi"/>
        </w:rPr>
        <w:t xml:space="preserve"> </w:t>
      </w:r>
      <w:r w:rsidRPr="008F1E62">
        <w:rPr>
          <w:rFonts w:asciiTheme="minorHAnsi" w:hAnsiTheme="minorHAnsi"/>
        </w:rPr>
        <w:t xml:space="preserve">Program have a pass rate below the national average.  </w:t>
      </w:r>
    </w:p>
    <w:p w14:paraId="52D95978"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Both CHED and BOA have been working on evaluating and reforming the programs of poor performing institutions.</w:t>
      </w:r>
      <w:r w:rsidRPr="008F1E62">
        <w:rPr>
          <w:rFonts w:asciiTheme="minorHAnsi" w:hAnsiTheme="minorHAnsi"/>
        </w:rPr>
        <w:t xml:space="preserve"> Cooperation between BOA and CHED is facilitated by BOA’s presence on CHED’s technical committee. CHED has implemented a monitoring instrument, and conducted site visits, which have enabled it to identify the causes for low performing programs. CHED </w:t>
      </w:r>
      <w:proofErr w:type="gramStart"/>
      <w:r w:rsidRPr="008F1E62">
        <w:rPr>
          <w:rFonts w:asciiTheme="minorHAnsi" w:hAnsiTheme="minorHAnsi"/>
        </w:rPr>
        <w:t>is able to</w:t>
      </w:r>
      <w:proofErr w:type="gramEnd"/>
      <w:r w:rsidRPr="008F1E62">
        <w:rPr>
          <w:rFonts w:asciiTheme="minorHAnsi" w:hAnsiTheme="minorHAnsi"/>
        </w:rPr>
        <w:t xml:space="preserve"> draw on specific funding and support mechanisms to address issues identified. CPA </w:t>
      </w:r>
      <w:r w:rsidR="004D75BF" w:rsidRPr="008F1E62">
        <w:rPr>
          <w:rFonts w:asciiTheme="minorHAnsi" w:hAnsiTheme="minorHAnsi"/>
        </w:rPr>
        <w:t xml:space="preserve">licensure </w:t>
      </w:r>
      <w:r w:rsidRPr="008F1E62">
        <w:rPr>
          <w:rFonts w:asciiTheme="minorHAnsi" w:hAnsiTheme="minorHAnsi"/>
        </w:rPr>
        <w:t xml:space="preserve">examination statistics cannot be taken at face value, as some institutions </w:t>
      </w:r>
      <w:proofErr w:type="gramStart"/>
      <w:r w:rsidRPr="008F1E62">
        <w:rPr>
          <w:rFonts w:asciiTheme="minorHAnsi" w:hAnsiTheme="minorHAnsi"/>
        </w:rPr>
        <w:t>have the ability to</w:t>
      </w:r>
      <w:proofErr w:type="gramEnd"/>
      <w:r w:rsidRPr="008F1E62">
        <w:rPr>
          <w:rFonts w:asciiTheme="minorHAnsi" w:hAnsiTheme="minorHAnsi"/>
        </w:rPr>
        <w:t xml:space="preserve"> “coach” a small number of students who are encouraged to take the </w:t>
      </w:r>
      <w:r w:rsidR="0066676A" w:rsidRPr="008F1E62">
        <w:rPr>
          <w:rFonts w:asciiTheme="minorHAnsi" w:hAnsiTheme="minorHAnsi"/>
        </w:rPr>
        <w:t xml:space="preserve">licensure </w:t>
      </w:r>
      <w:r w:rsidRPr="008F1E62">
        <w:rPr>
          <w:rFonts w:asciiTheme="minorHAnsi" w:hAnsiTheme="minorHAnsi"/>
        </w:rPr>
        <w:t>examination, which then ensures the program can continue to be offered despite a poor track record over a number of years.</w:t>
      </w:r>
    </w:p>
    <w:tbl>
      <w:tblPr>
        <w:tblStyle w:val="TableGrid"/>
        <w:tblW w:w="0" w:type="auto"/>
        <w:jc w:val="center"/>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B01A69" w14:paraId="2942E86D" w14:textId="77777777" w:rsidTr="002A6900">
        <w:trPr>
          <w:jc w:val="center"/>
        </w:trPr>
        <w:tc>
          <w:tcPr>
            <w:tcW w:w="4855" w:type="dxa"/>
            <w:shd w:val="clear" w:color="auto" w:fill="4472C4"/>
            <w:vAlign w:val="center"/>
          </w:tcPr>
          <w:p w14:paraId="0F7C2923" w14:textId="3FF2BB3F" w:rsidR="00B01A69" w:rsidRPr="002A6900" w:rsidRDefault="00B01A69" w:rsidP="00B01A69">
            <w:pPr>
              <w:pStyle w:val="Caption"/>
              <w:spacing w:before="0" w:after="0" w:line="276" w:lineRule="auto"/>
              <w:jc w:val="center"/>
              <w:rPr>
                <w:color w:val="FFFFFF" w:themeColor="background1"/>
                <w:sz w:val="20"/>
                <w:szCs w:val="24"/>
                <w:lang w:val="en-US"/>
              </w:rPr>
            </w:pPr>
            <w:r w:rsidRPr="002A6900">
              <w:rPr>
                <w:color w:val="FFFFFF" w:themeColor="background1"/>
                <w:sz w:val="20"/>
                <w:szCs w:val="24"/>
                <w:lang w:val="en-US"/>
              </w:rPr>
              <w:t xml:space="preserve">Figure </w:t>
            </w:r>
            <w:r w:rsidRPr="002A6900">
              <w:rPr>
                <w:color w:val="FFFFFF" w:themeColor="background1"/>
                <w:sz w:val="20"/>
                <w:szCs w:val="24"/>
                <w:lang w:val="en-US"/>
              </w:rPr>
              <w:fldChar w:fldCharType="begin"/>
            </w:r>
            <w:r w:rsidRPr="002A6900">
              <w:rPr>
                <w:color w:val="FFFFFF" w:themeColor="background1"/>
                <w:sz w:val="20"/>
                <w:szCs w:val="24"/>
                <w:lang w:val="en-US"/>
              </w:rPr>
              <w:instrText xml:space="preserve"> SEQ Figure \* ARABIC </w:instrText>
            </w:r>
            <w:r w:rsidRPr="002A6900">
              <w:rPr>
                <w:color w:val="FFFFFF" w:themeColor="background1"/>
                <w:sz w:val="20"/>
                <w:szCs w:val="24"/>
                <w:lang w:val="en-US"/>
              </w:rPr>
              <w:fldChar w:fldCharType="separate"/>
            </w:r>
            <w:r w:rsidR="004310EC">
              <w:rPr>
                <w:noProof/>
                <w:color w:val="FFFFFF" w:themeColor="background1"/>
                <w:sz w:val="20"/>
                <w:szCs w:val="24"/>
                <w:lang w:val="en-US"/>
              </w:rPr>
              <w:t>5</w:t>
            </w:r>
            <w:r w:rsidRPr="002A6900">
              <w:rPr>
                <w:color w:val="FFFFFF" w:themeColor="background1"/>
                <w:sz w:val="20"/>
                <w:szCs w:val="24"/>
                <w:lang w:val="en-US"/>
              </w:rPr>
              <w:fldChar w:fldCharType="end"/>
            </w:r>
            <w:r w:rsidRPr="002A6900">
              <w:rPr>
                <w:color w:val="FFFFFF" w:themeColor="background1"/>
                <w:sz w:val="20"/>
                <w:szCs w:val="24"/>
                <w:lang w:val="en-US"/>
              </w:rPr>
              <w:t>. CPA Examination Annual Passing Rate</w:t>
            </w:r>
          </w:p>
        </w:tc>
      </w:tr>
      <w:tr w:rsidR="00B01A69" w14:paraId="2A00D233" w14:textId="77777777" w:rsidTr="002A6900">
        <w:trPr>
          <w:jc w:val="center"/>
        </w:trPr>
        <w:tc>
          <w:tcPr>
            <w:tcW w:w="4855" w:type="dxa"/>
            <w:shd w:val="clear" w:color="auto" w:fill="auto"/>
            <w:vAlign w:val="center"/>
          </w:tcPr>
          <w:p w14:paraId="06DB66BB" w14:textId="05F0507E" w:rsidR="00B01A69" w:rsidRDefault="00B01A69" w:rsidP="00147FA6">
            <w:pPr>
              <w:pStyle w:val="BodyText4"/>
              <w:spacing w:line="276" w:lineRule="auto"/>
              <w:rPr>
                <w:rFonts w:asciiTheme="minorHAnsi" w:hAnsiTheme="minorHAnsi"/>
                <w:b/>
              </w:rPr>
            </w:pPr>
            <w:r w:rsidRPr="008F1E62">
              <w:rPr>
                <w:noProof/>
              </w:rPr>
              <w:drawing>
                <wp:inline distT="0" distB="0" distL="0" distR="0" wp14:anchorId="6F4CA1BA" wp14:editId="70046D57">
                  <wp:extent cx="5676405" cy="2267585"/>
                  <wp:effectExtent l="0" t="0" r="63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B01A69" w14:paraId="3F9C3392" w14:textId="77777777" w:rsidTr="002A6900">
        <w:trPr>
          <w:jc w:val="center"/>
        </w:trPr>
        <w:tc>
          <w:tcPr>
            <w:tcW w:w="4855" w:type="dxa"/>
            <w:shd w:val="clear" w:color="auto" w:fill="4472C4"/>
            <w:vAlign w:val="center"/>
          </w:tcPr>
          <w:p w14:paraId="7C8CC631" w14:textId="77777777" w:rsidR="00B01A69" w:rsidRPr="00F6762B" w:rsidRDefault="00B01A69" w:rsidP="00147FA6">
            <w:pPr>
              <w:pStyle w:val="BodyText4"/>
              <w:spacing w:line="276" w:lineRule="auto"/>
              <w:jc w:val="center"/>
              <w:rPr>
                <w:rFonts w:asciiTheme="minorHAnsi" w:hAnsiTheme="minorHAnsi"/>
                <w:noProof/>
                <w:sz w:val="2"/>
                <w:szCs w:val="2"/>
              </w:rPr>
            </w:pPr>
          </w:p>
        </w:tc>
      </w:tr>
    </w:tbl>
    <w:p w14:paraId="1EC71948" w14:textId="77777777" w:rsidR="00F6762B" w:rsidRPr="00F6762B" w:rsidRDefault="00F6762B" w:rsidP="00F6762B">
      <w:pPr>
        <w:pStyle w:val="BodyText4"/>
        <w:spacing w:line="276" w:lineRule="auto"/>
        <w:rPr>
          <w:rFonts w:asciiTheme="minorHAnsi" w:hAnsiTheme="minorHAnsi"/>
        </w:rPr>
      </w:pPr>
    </w:p>
    <w:p w14:paraId="09A32AC2" w14:textId="5B3E8A72"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CHED’s </w:t>
      </w:r>
      <w:r w:rsidRPr="008F1E62">
        <w:rPr>
          <w:rFonts w:ascii="Calibri" w:hAnsi="Calibri"/>
          <w:b/>
          <w:bCs/>
        </w:rPr>
        <w:t>qualification</w:t>
      </w:r>
      <w:r w:rsidRPr="008F1E62">
        <w:rPr>
          <w:rFonts w:asciiTheme="minorHAnsi" w:hAnsiTheme="minorHAnsi"/>
          <w:b/>
          <w:bCs/>
        </w:rPr>
        <w:t xml:space="preserve"> requirements for the faculty teaching undergraduate accounting </w:t>
      </w:r>
      <w:r w:rsidRPr="009315BA">
        <w:rPr>
          <w:rFonts w:asciiTheme="minorHAnsi" w:hAnsiTheme="minorHAnsi"/>
          <w:b/>
        </w:rPr>
        <w:t>programs</w:t>
      </w:r>
      <w:r w:rsidRPr="008F1E62">
        <w:rPr>
          <w:rFonts w:asciiTheme="minorHAnsi" w:hAnsiTheme="minorHAnsi"/>
          <w:b/>
          <w:bCs/>
        </w:rPr>
        <w:t xml:space="preserve"> address a range of factors including qualifications, professional experience, classroom teaching ability, and computer literacy</w:t>
      </w:r>
      <w:r w:rsidRPr="008F1E62">
        <w:rPr>
          <w:rFonts w:asciiTheme="minorHAnsi" w:hAnsiTheme="minorHAnsi"/>
        </w:rPr>
        <w:t>. Current policies and standards for graduate programs in accountancy are laid out in CHED Memorandum Order No</w:t>
      </w:r>
      <w:r w:rsidR="00A15AA8">
        <w:rPr>
          <w:rFonts w:asciiTheme="minorHAnsi" w:hAnsiTheme="minorHAnsi"/>
        </w:rPr>
        <w:t>.</w:t>
      </w:r>
      <w:r w:rsidRPr="008F1E62">
        <w:rPr>
          <w:rFonts w:asciiTheme="minorHAnsi" w:hAnsiTheme="minorHAnsi"/>
        </w:rPr>
        <w:t xml:space="preserve"> 3 Series 2007 and CHED Memorandum Order N</w:t>
      </w:r>
      <w:r w:rsidR="00A15AA8">
        <w:rPr>
          <w:rFonts w:asciiTheme="minorHAnsi" w:hAnsiTheme="minorHAnsi"/>
        </w:rPr>
        <w:t>o.</w:t>
      </w:r>
      <w:r w:rsidRPr="008F1E62">
        <w:rPr>
          <w:rFonts w:asciiTheme="minorHAnsi" w:hAnsiTheme="minorHAnsi"/>
        </w:rPr>
        <w:t xml:space="preserve"> 43 Series 2010. All faculty teaching accounting and finance courses are required to possess the following qualifications: (1) Registered as a </w:t>
      </w:r>
      <w:r w:rsidR="00433593" w:rsidRPr="008F1E62">
        <w:rPr>
          <w:rFonts w:asciiTheme="minorHAnsi" w:hAnsiTheme="minorHAnsi"/>
        </w:rPr>
        <w:t xml:space="preserve">professional accountant </w:t>
      </w:r>
      <w:r w:rsidRPr="008F1E62">
        <w:rPr>
          <w:rFonts w:asciiTheme="minorHAnsi" w:hAnsiTheme="minorHAnsi"/>
        </w:rPr>
        <w:t xml:space="preserve">in the Philippines with a current PRC </w:t>
      </w:r>
      <w:r w:rsidR="00433593" w:rsidRPr="008F1E62">
        <w:rPr>
          <w:rFonts w:asciiTheme="minorHAnsi" w:hAnsiTheme="minorHAnsi"/>
        </w:rPr>
        <w:t>identification c</w:t>
      </w:r>
      <w:r w:rsidRPr="008F1E62">
        <w:rPr>
          <w:rFonts w:asciiTheme="minorHAnsi" w:hAnsiTheme="minorHAnsi"/>
        </w:rPr>
        <w:t xml:space="preserve">ard; (2) Holder of a valid certificate of </w:t>
      </w:r>
      <w:r w:rsidR="00EA0061" w:rsidRPr="008F1E62">
        <w:rPr>
          <w:rFonts w:asciiTheme="minorHAnsi" w:hAnsiTheme="minorHAnsi"/>
        </w:rPr>
        <w:t xml:space="preserve">accreditation as accounting teacher </w:t>
      </w:r>
      <w:r w:rsidRPr="008F1E62">
        <w:rPr>
          <w:rFonts w:asciiTheme="minorHAnsi" w:hAnsiTheme="minorHAnsi"/>
        </w:rPr>
        <w:t xml:space="preserve">from the BOA/PRC; (3) Holder of at least a Master’s </w:t>
      </w:r>
      <w:r w:rsidR="00EA0061" w:rsidRPr="008F1E62">
        <w:rPr>
          <w:rFonts w:asciiTheme="minorHAnsi" w:hAnsiTheme="minorHAnsi"/>
        </w:rPr>
        <w:t xml:space="preserve">degree </w:t>
      </w:r>
      <w:r w:rsidRPr="008F1E62">
        <w:rPr>
          <w:rFonts w:asciiTheme="minorHAnsi" w:hAnsiTheme="minorHAnsi"/>
        </w:rPr>
        <w:t>in accountancy, or other related area of studies</w:t>
      </w:r>
      <w:r w:rsidRPr="008F1E62">
        <w:rPr>
          <w:rStyle w:val="FootnoteReference"/>
          <w:rFonts w:asciiTheme="minorHAnsi" w:hAnsiTheme="minorHAnsi"/>
        </w:rPr>
        <w:footnoteReference w:id="82"/>
      </w:r>
      <w:r w:rsidRPr="008F1E62">
        <w:rPr>
          <w:rFonts w:asciiTheme="minorHAnsi" w:hAnsiTheme="minorHAnsi"/>
        </w:rPr>
        <w:t>; (4) Must have earned twelve units of professional education subjects or equivalent program (e.g.</w:t>
      </w:r>
      <w:r w:rsidR="00D905E6">
        <w:rPr>
          <w:rFonts w:asciiTheme="minorHAnsi" w:hAnsiTheme="minorHAnsi"/>
        </w:rPr>
        <w:t>,</w:t>
      </w:r>
      <w:r w:rsidRPr="008F1E62">
        <w:rPr>
          <w:rFonts w:asciiTheme="minorHAnsi" w:hAnsiTheme="minorHAnsi"/>
        </w:rPr>
        <w:t xml:space="preserve"> teaching and learning philosophies, test and measurements); (5) Three years of relevant practical experience (in the fields of public  practice, commerce and industry, or government); (6) Member in good standing of the accredited professional organization for </w:t>
      </w:r>
      <w:r w:rsidR="00661451" w:rsidRPr="00661451">
        <w:rPr>
          <w:rFonts w:asciiTheme="minorHAnsi" w:hAnsiTheme="minorHAnsi"/>
        </w:rPr>
        <w:t>CPAs</w:t>
      </w:r>
      <w:r w:rsidRPr="008F1E62">
        <w:rPr>
          <w:rFonts w:asciiTheme="minorHAnsi" w:hAnsiTheme="minorHAnsi"/>
        </w:rPr>
        <w:t>; and (7) Must be of good moral character.</w:t>
      </w:r>
      <w:r w:rsidR="00AA3C78">
        <w:rPr>
          <w:rFonts w:asciiTheme="minorHAnsi" w:hAnsiTheme="minorHAnsi"/>
        </w:rPr>
        <w:t xml:space="preserve">  Refer to Annex 9.E for </w:t>
      </w:r>
      <w:proofErr w:type="spellStart"/>
      <w:r w:rsidR="00AA3C78">
        <w:rPr>
          <w:rFonts w:asciiTheme="minorHAnsi" w:hAnsiTheme="minorHAnsi"/>
        </w:rPr>
        <w:t>geomapping</w:t>
      </w:r>
      <w:proofErr w:type="spellEnd"/>
      <w:r w:rsidR="00AA3C78">
        <w:rPr>
          <w:rFonts w:asciiTheme="minorHAnsi" w:hAnsiTheme="minorHAnsi"/>
        </w:rPr>
        <w:t xml:space="preserve"> analysis of CPAs accredited as accounting teachers.</w:t>
      </w:r>
    </w:p>
    <w:p w14:paraId="53AC1BF5" w14:textId="77777777"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w:t>
      </w:r>
      <w:r w:rsidRPr="009315BA">
        <w:rPr>
          <w:rFonts w:asciiTheme="minorHAnsi" w:hAnsiTheme="minorHAnsi"/>
          <w:b/>
        </w:rPr>
        <w:t>Accountancy</w:t>
      </w:r>
      <w:r w:rsidRPr="008F1E62">
        <w:rPr>
          <w:rFonts w:asciiTheme="minorHAnsi" w:hAnsiTheme="minorHAnsi"/>
          <w:b/>
          <w:bCs/>
        </w:rPr>
        <w:t xml:space="preserve"> Law 1923 established the CPA title for those who passed a written licensure examination. The BOA, under the oversight of the PRC, determines and prescribes the minimum requirements for CPA licensure.</w:t>
      </w:r>
      <w:r w:rsidRPr="008F1E62">
        <w:rPr>
          <w:rFonts w:asciiTheme="minorHAnsi" w:hAnsiTheme="minorHAnsi"/>
        </w:rPr>
        <w:t xml:space="preserve">  The current CPA licensure requirements include completion of an undergraduate degree in </w:t>
      </w:r>
      <w:r w:rsidR="00342237" w:rsidRPr="008F1E62">
        <w:rPr>
          <w:rFonts w:asciiTheme="minorHAnsi" w:hAnsiTheme="minorHAnsi"/>
        </w:rPr>
        <w:t xml:space="preserve">accountancy </w:t>
      </w:r>
      <w:r w:rsidRPr="008F1E62">
        <w:rPr>
          <w:rFonts w:asciiTheme="minorHAnsi" w:hAnsiTheme="minorHAnsi"/>
        </w:rPr>
        <w:t>from a CHED- accredited University, and successful completion of the CPA Licensure examination. The CPA License can be renewed every</w:t>
      </w:r>
      <w:r w:rsidR="007643C7" w:rsidRPr="007643C7">
        <w:t xml:space="preserve"> </w:t>
      </w:r>
      <w:r w:rsidR="007643C7" w:rsidRPr="007643C7">
        <w:rPr>
          <w:rFonts w:asciiTheme="minorHAnsi" w:hAnsiTheme="minorHAnsi"/>
        </w:rPr>
        <w:t xml:space="preserve">three </w:t>
      </w:r>
      <w:r w:rsidRPr="008F1E62">
        <w:rPr>
          <w:rFonts w:asciiTheme="minorHAnsi" w:hAnsiTheme="minorHAnsi"/>
        </w:rPr>
        <w:t xml:space="preserve">years, subject to demonstrating compliance with </w:t>
      </w:r>
      <w:r w:rsidR="00342237">
        <w:rPr>
          <w:rFonts w:asciiTheme="minorHAnsi" w:hAnsiTheme="minorHAnsi"/>
        </w:rPr>
        <w:t>CPD</w:t>
      </w:r>
      <w:r w:rsidRPr="008F1E62">
        <w:rPr>
          <w:rFonts w:asciiTheme="minorHAnsi" w:hAnsiTheme="minorHAnsi"/>
        </w:rPr>
        <w:t xml:space="preserve"> requirements (which are explained below).</w:t>
      </w:r>
    </w:p>
    <w:p w14:paraId="0CB96AC9" w14:textId="6BE6C9B7"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The current </w:t>
      </w:r>
      <w:r w:rsidRPr="008F1E62">
        <w:rPr>
          <w:rFonts w:ascii="Calibri" w:hAnsi="Calibri"/>
          <w:b/>
          <w:bCs/>
        </w:rPr>
        <w:t>CPA</w:t>
      </w:r>
      <w:r w:rsidRPr="008F1E62">
        <w:rPr>
          <w:rFonts w:asciiTheme="minorHAnsi" w:hAnsiTheme="minorHAnsi"/>
          <w:b/>
          <w:bCs/>
        </w:rPr>
        <w:t xml:space="preserve"> Licensure examination is offered twice a year (usually in May and October). It is often taken </w:t>
      </w:r>
      <w:r w:rsidRPr="009315BA">
        <w:rPr>
          <w:rFonts w:asciiTheme="minorHAnsi" w:hAnsiTheme="minorHAnsi"/>
          <w:b/>
        </w:rPr>
        <w:t>shortly</w:t>
      </w:r>
      <w:r w:rsidRPr="008F1E62">
        <w:rPr>
          <w:rFonts w:asciiTheme="minorHAnsi" w:hAnsiTheme="minorHAnsi"/>
          <w:b/>
          <w:bCs/>
        </w:rPr>
        <w:t xml:space="preserve"> after completion of a BSc in Accountancy degree and is administered </w:t>
      </w:r>
      <w:r w:rsidR="00C264E5" w:rsidRPr="008F1E62">
        <w:rPr>
          <w:rFonts w:asciiTheme="minorHAnsi" w:hAnsiTheme="minorHAnsi"/>
          <w:b/>
          <w:bCs/>
        </w:rPr>
        <w:t xml:space="preserve">exclusively </w:t>
      </w:r>
      <w:r w:rsidRPr="008F1E62">
        <w:rPr>
          <w:rFonts w:asciiTheme="minorHAnsi" w:hAnsiTheme="minorHAnsi"/>
          <w:b/>
          <w:bCs/>
        </w:rPr>
        <w:t>through multiple choice questions</w:t>
      </w:r>
      <w:r w:rsidRPr="008F1E62">
        <w:rPr>
          <w:rFonts w:asciiTheme="minorHAnsi" w:hAnsiTheme="minorHAnsi"/>
        </w:rPr>
        <w:t xml:space="preserve">. The current licensure examination for CPAs covers the following subjects: (a) </w:t>
      </w:r>
      <w:r w:rsidR="006B2DA4" w:rsidRPr="008F1E62">
        <w:rPr>
          <w:rFonts w:asciiTheme="minorHAnsi" w:hAnsiTheme="minorHAnsi"/>
        </w:rPr>
        <w:t>theory of accounts, (b) business law and taxation, (c) management services, (d) auditing theory, (e) auditing problems, (f) practical accounting problems I,</w:t>
      </w:r>
      <w:r w:rsidR="00AF4232">
        <w:rPr>
          <w:rFonts w:asciiTheme="minorHAnsi" w:hAnsiTheme="minorHAnsi"/>
        </w:rPr>
        <w:t xml:space="preserve"> and</w:t>
      </w:r>
      <w:r w:rsidR="006B2DA4" w:rsidRPr="008F1E62">
        <w:rPr>
          <w:rFonts w:asciiTheme="minorHAnsi" w:hAnsiTheme="minorHAnsi"/>
        </w:rPr>
        <w:t xml:space="preserve"> (g) practical accounting problems </w:t>
      </w:r>
      <w:r w:rsidRPr="008F1E62">
        <w:rPr>
          <w:rFonts w:asciiTheme="minorHAnsi" w:hAnsiTheme="minorHAnsi"/>
        </w:rPr>
        <w:t>II. To pass</w:t>
      </w:r>
      <w:r w:rsidR="00AF4232">
        <w:rPr>
          <w:rFonts w:asciiTheme="minorHAnsi" w:hAnsiTheme="minorHAnsi"/>
        </w:rPr>
        <w:t xml:space="preserve"> the exam,</w:t>
      </w:r>
      <w:r w:rsidR="00E400B7">
        <w:rPr>
          <w:rFonts w:asciiTheme="minorHAnsi" w:hAnsiTheme="minorHAnsi"/>
        </w:rPr>
        <w:t xml:space="preserve"> </w:t>
      </w:r>
      <w:r w:rsidRPr="008F1E62">
        <w:rPr>
          <w:rFonts w:asciiTheme="minorHAnsi" w:hAnsiTheme="minorHAnsi"/>
        </w:rPr>
        <w:t xml:space="preserve">a candidate must obtain an overall average of </w:t>
      </w:r>
      <w:r w:rsidR="00E400B7" w:rsidRPr="008F1E62">
        <w:rPr>
          <w:rFonts w:asciiTheme="minorHAnsi" w:hAnsiTheme="minorHAnsi"/>
        </w:rPr>
        <w:t>75</w:t>
      </w:r>
      <w:r w:rsidR="00E400B7">
        <w:rPr>
          <w:rFonts w:asciiTheme="minorHAnsi" w:hAnsiTheme="minorHAnsi"/>
        </w:rPr>
        <w:t xml:space="preserve"> </w:t>
      </w:r>
      <w:r w:rsidRPr="008F1E62">
        <w:rPr>
          <w:rFonts w:asciiTheme="minorHAnsi" w:hAnsiTheme="minorHAnsi"/>
        </w:rPr>
        <w:t>percent, with no grades in any subject</w:t>
      </w:r>
      <w:r w:rsidR="00875913" w:rsidRPr="00875913">
        <w:rPr>
          <w:rFonts w:asciiTheme="minorHAnsi" w:hAnsiTheme="minorHAnsi"/>
        </w:rPr>
        <w:t xml:space="preserve"> </w:t>
      </w:r>
      <w:r w:rsidR="00875913" w:rsidRPr="008F1E62">
        <w:rPr>
          <w:rFonts w:asciiTheme="minorHAnsi" w:hAnsiTheme="minorHAnsi"/>
        </w:rPr>
        <w:t>lower than 65</w:t>
      </w:r>
      <w:r w:rsidR="00875913">
        <w:rPr>
          <w:rFonts w:asciiTheme="minorHAnsi" w:hAnsiTheme="minorHAnsi"/>
        </w:rPr>
        <w:t xml:space="preserve"> </w:t>
      </w:r>
      <w:r w:rsidR="00875913" w:rsidRPr="008F1E62">
        <w:rPr>
          <w:rFonts w:asciiTheme="minorHAnsi" w:hAnsiTheme="minorHAnsi"/>
        </w:rPr>
        <w:t>percent</w:t>
      </w:r>
      <w:r w:rsidRPr="008F1E62">
        <w:rPr>
          <w:rFonts w:asciiTheme="minorHAnsi" w:hAnsiTheme="minorHAnsi"/>
        </w:rPr>
        <w:t xml:space="preserve">. There are several private “Review Centers” where CPA candidates can enroll to prepare for the licensure examination.  The content of the CPA Licensure examination is not compliant with IFAC’s </w:t>
      </w:r>
      <w:r w:rsidR="00436D60" w:rsidRPr="00436D60">
        <w:rPr>
          <w:rFonts w:asciiTheme="minorHAnsi" w:hAnsiTheme="minorHAnsi"/>
        </w:rPr>
        <w:t>International Education Standard</w:t>
      </w:r>
      <w:r w:rsidR="00436D60">
        <w:rPr>
          <w:rFonts w:asciiTheme="minorHAnsi" w:hAnsiTheme="minorHAnsi"/>
        </w:rPr>
        <w:t>s</w:t>
      </w:r>
      <w:r w:rsidR="00436D60" w:rsidRPr="00436D60">
        <w:rPr>
          <w:rFonts w:asciiTheme="minorHAnsi" w:hAnsiTheme="minorHAnsi"/>
        </w:rPr>
        <w:t xml:space="preserve"> </w:t>
      </w:r>
      <w:r w:rsidR="00436D60">
        <w:rPr>
          <w:rFonts w:asciiTheme="minorHAnsi" w:hAnsiTheme="minorHAnsi"/>
        </w:rPr>
        <w:t>(</w:t>
      </w:r>
      <w:r w:rsidRPr="008F1E62">
        <w:rPr>
          <w:rFonts w:asciiTheme="minorHAnsi" w:hAnsiTheme="minorHAnsi"/>
        </w:rPr>
        <w:t>IES</w:t>
      </w:r>
      <w:r w:rsidR="00436D60">
        <w:rPr>
          <w:rFonts w:asciiTheme="minorHAnsi" w:hAnsiTheme="minorHAnsi"/>
        </w:rPr>
        <w:t>)</w:t>
      </w:r>
      <w:r w:rsidRPr="008F1E62">
        <w:rPr>
          <w:rFonts w:asciiTheme="minorHAnsi" w:hAnsiTheme="minorHAnsi"/>
        </w:rPr>
        <w:t xml:space="preserve"> as it does not address some of the competency areas listed in IES 2 “Initial Professional Development – Technical Competence”: Governance, risk management and internal control, business and organizational environment, economics, business strategy and management, information technology. It is unlikely that all these competencies would be included in the degree </w:t>
      </w:r>
      <w:r w:rsidR="006D6C9F">
        <w:rPr>
          <w:rFonts w:asciiTheme="minorHAnsi" w:hAnsiTheme="minorHAnsi"/>
        </w:rPr>
        <w:t xml:space="preserve">program </w:t>
      </w:r>
      <w:r w:rsidRPr="008F1E62">
        <w:rPr>
          <w:rFonts w:asciiTheme="minorHAnsi" w:hAnsiTheme="minorHAnsi"/>
        </w:rPr>
        <w:t xml:space="preserve">completed to be eligible to write the CPA examination. IES 3 “Initial Professional Development – Professional Skills” and IES 4 “Initial Professional Development – Professional Values, Ethics, and Attitudes” list a range of competencies which the CPA Licensure examination cannot address </w:t>
      </w:r>
      <w:r w:rsidR="000B756E">
        <w:rPr>
          <w:rFonts w:asciiTheme="minorHAnsi" w:hAnsiTheme="minorHAnsi"/>
        </w:rPr>
        <w:t>i</w:t>
      </w:r>
      <w:r w:rsidRPr="008F1E62">
        <w:rPr>
          <w:rFonts w:asciiTheme="minorHAnsi" w:hAnsiTheme="minorHAnsi"/>
        </w:rPr>
        <w:t xml:space="preserve">n its </w:t>
      </w:r>
      <w:r w:rsidR="000B756E">
        <w:rPr>
          <w:rFonts w:asciiTheme="minorHAnsi" w:hAnsiTheme="minorHAnsi"/>
        </w:rPr>
        <w:t xml:space="preserve">existing </w:t>
      </w:r>
      <w:r w:rsidRPr="008F1E62">
        <w:rPr>
          <w:rFonts w:asciiTheme="minorHAnsi" w:hAnsiTheme="minorHAnsi"/>
        </w:rPr>
        <w:t>format and content.  The anticipated overhaul of the CPA Licensure which is explained further below will aim at achieving full compliance with IFAC’s IESs.</w:t>
      </w:r>
    </w:p>
    <w:p w14:paraId="40426042"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A new framework for tertiary education for accountants and auditors is due to be implemented over the next few years</w:t>
      </w:r>
      <w:r w:rsidRPr="008F1E62">
        <w:rPr>
          <w:rFonts w:asciiTheme="minorHAnsi" w:hAnsiTheme="minorHAnsi"/>
        </w:rPr>
        <w:t xml:space="preserve">. The reform is the result of number of factors, including the K-12 educational reforms, regional integration efforts with ASEAN neighbors, the release of IFAC’s new IESs, as well as the need to harmonize the licensing requirements. </w:t>
      </w:r>
    </w:p>
    <w:p w14:paraId="4D73A981" w14:textId="77777777" w:rsidR="00F76E53" w:rsidRPr="008F1E62" w:rsidRDefault="00F76E53" w:rsidP="009315BA">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At the </w:t>
      </w:r>
      <w:r w:rsidRPr="009315BA">
        <w:rPr>
          <w:rFonts w:asciiTheme="minorHAnsi" w:hAnsiTheme="minorHAnsi"/>
          <w:b/>
        </w:rPr>
        <w:t>undergraduate</w:t>
      </w:r>
      <w:r w:rsidRPr="008F1E62">
        <w:rPr>
          <w:rFonts w:asciiTheme="minorHAnsi" w:hAnsiTheme="minorHAnsi"/>
          <w:b/>
          <w:bCs/>
        </w:rPr>
        <w:t xml:space="preserve"> level, the revised model involves students being required to choose either one of three additional specializations offered, or the revised </w:t>
      </w:r>
      <w:r w:rsidR="00B76CF0" w:rsidRPr="00B76CF0">
        <w:rPr>
          <w:rFonts w:asciiTheme="minorHAnsi" w:hAnsiTheme="minorHAnsi"/>
          <w:b/>
          <w:bCs/>
        </w:rPr>
        <w:t>BSc Accountancy</w:t>
      </w:r>
      <w:r w:rsidR="00B76CF0" w:rsidRPr="00B76CF0" w:rsidDel="00B76CF0">
        <w:rPr>
          <w:rFonts w:asciiTheme="minorHAnsi" w:hAnsiTheme="minorHAnsi"/>
          <w:b/>
          <w:bCs/>
        </w:rPr>
        <w:t xml:space="preserve"> </w:t>
      </w:r>
      <w:r w:rsidRPr="008F1E62">
        <w:rPr>
          <w:rFonts w:asciiTheme="minorHAnsi" w:hAnsiTheme="minorHAnsi"/>
          <w:b/>
          <w:bCs/>
        </w:rPr>
        <w:t xml:space="preserve">track. </w:t>
      </w:r>
      <w:r w:rsidRPr="008F1E62">
        <w:rPr>
          <w:rFonts w:asciiTheme="minorHAnsi" w:hAnsiTheme="minorHAnsi"/>
        </w:rPr>
        <w:t>The three additional specializations are: (1) Bachelor of Science in Management Accounting; (2) Bachelor of Science in Internal Auditing; (3) Bachelor of Science in Accounting Information Systems. These specializations are due to be made available to students by academic year 2018/2019. The detailed curriculum for each of the specializations is in the process of being finalized.</w:t>
      </w:r>
    </w:p>
    <w:p w14:paraId="693A986C" w14:textId="555DDEDB" w:rsidR="00F76E53" w:rsidRPr="008F1E62" w:rsidRDefault="00F76E53" w:rsidP="009315BA">
      <w:pPr>
        <w:pStyle w:val="BodyText4"/>
        <w:numPr>
          <w:ilvl w:val="0"/>
          <w:numId w:val="2"/>
        </w:numPr>
        <w:spacing w:after="200" w:line="276" w:lineRule="auto"/>
        <w:ind w:left="0" w:hanging="567"/>
        <w:rPr>
          <w:rStyle w:val="Hyperlink"/>
          <w:rFonts w:asciiTheme="minorHAnsi" w:hAnsiTheme="minorHAnsi"/>
        </w:rPr>
      </w:pPr>
      <w:r w:rsidRPr="00484744">
        <w:rPr>
          <w:rFonts w:asciiTheme="minorHAnsi" w:hAnsiTheme="minorHAnsi"/>
          <w:b/>
        </w:rPr>
        <w:t>T</w:t>
      </w:r>
      <w:r w:rsidRPr="00A73391">
        <w:rPr>
          <w:rFonts w:asciiTheme="minorHAnsi" w:hAnsiTheme="minorHAnsi"/>
          <w:b/>
          <w:bCs/>
        </w:rPr>
        <w:t>he</w:t>
      </w:r>
      <w:r w:rsidRPr="008F1E62">
        <w:rPr>
          <w:rFonts w:asciiTheme="minorHAnsi" w:hAnsiTheme="minorHAnsi"/>
          <w:b/>
          <w:bCs/>
        </w:rPr>
        <w:t xml:space="preserve"> four tracks are being prescribed, but not </w:t>
      </w:r>
      <w:r w:rsidRPr="009315BA">
        <w:rPr>
          <w:rFonts w:asciiTheme="minorHAnsi" w:hAnsiTheme="minorHAnsi"/>
          <w:b/>
        </w:rPr>
        <w:t>mandated</w:t>
      </w:r>
      <w:r w:rsidRPr="008F1E62">
        <w:rPr>
          <w:rFonts w:asciiTheme="minorHAnsi" w:hAnsiTheme="minorHAnsi"/>
          <w:b/>
          <w:bCs/>
        </w:rPr>
        <w:t>. They will share a “common core” of competencies required of accountants and auditors in accordance with IFAC IESs</w:t>
      </w:r>
      <w:r w:rsidRPr="008F1E62">
        <w:rPr>
          <w:rFonts w:asciiTheme="minorHAnsi" w:hAnsiTheme="minorHAnsi"/>
        </w:rPr>
        <w:t xml:space="preserve">.  </w:t>
      </w:r>
      <w:proofErr w:type="gramStart"/>
      <w:r w:rsidRPr="008F1E62">
        <w:rPr>
          <w:rFonts w:asciiTheme="minorHAnsi" w:hAnsiTheme="minorHAnsi"/>
        </w:rPr>
        <w:t>At the moment</w:t>
      </w:r>
      <w:proofErr w:type="gramEnd"/>
      <w:r w:rsidRPr="008F1E62">
        <w:rPr>
          <w:rFonts w:asciiTheme="minorHAnsi" w:hAnsiTheme="minorHAnsi"/>
        </w:rPr>
        <w:t xml:space="preserve">, </w:t>
      </w:r>
      <w:r w:rsidR="00415437" w:rsidRPr="008F1E62">
        <w:rPr>
          <w:rFonts w:asciiTheme="minorHAnsi" w:hAnsiTheme="minorHAnsi"/>
        </w:rPr>
        <w:t xml:space="preserve">universities </w:t>
      </w:r>
      <w:r w:rsidRPr="008F1E62">
        <w:rPr>
          <w:rFonts w:asciiTheme="minorHAnsi" w:hAnsiTheme="minorHAnsi"/>
        </w:rPr>
        <w:t xml:space="preserve">(partly as a result of the need to demonstrate a high pass rate at the CPA </w:t>
      </w:r>
      <w:r w:rsidR="00415437" w:rsidRPr="008F1E62">
        <w:rPr>
          <w:rFonts w:asciiTheme="minorHAnsi" w:hAnsiTheme="minorHAnsi"/>
        </w:rPr>
        <w:t xml:space="preserve">licensure </w:t>
      </w:r>
      <w:r w:rsidRPr="008F1E62">
        <w:rPr>
          <w:rFonts w:asciiTheme="minorHAnsi" w:hAnsiTheme="minorHAnsi"/>
        </w:rPr>
        <w:t xml:space="preserve">examination) have very stringent retention requirements for the </w:t>
      </w:r>
      <w:r w:rsidR="00B76CF0" w:rsidRPr="00B76CF0">
        <w:rPr>
          <w:rFonts w:asciiTheme="minorHAnsi" w:hAnsiTheme="minorHAnsi"/>
        </w:rPr>
        <w:t>BSc Accountancy</w:t>
      </w:r>
      <w:r w:rsidR="00B76CF0" w:rsidRPr="00B76CF0" w:rsidDel="00B76CF0">
        <w:rPr>
          <w:rFonts w:asciiTheme="minorHAnsi" w:hAnsiTheme="minorHAnsi"/>
        </w:rPr>
        <w:t xml:space="preserve"> </w:t>
      </w:r>
      <w:r w:rsidRPr="008F1E62">
        <w:rPr>
          <w:rFonts w:asciiTheme="minorHAnsi" w:hAnsiTheme="minorHAnsi"/>
        </w:rPr>
        <w:t xml:space="preserve">Programs, and students whose performance is sub-standard are denied an opportunity to continue their studies </w:t>
      </w:r>
      <w:r w:rsidR="00F81A6E">
        <w:rPr>
          <w:rFonts w:asciiTheme="minorHAnsi" w:hAnsiTheme="minorHAnsi"/>
        </w:rPr>
        <w:t>on</w:t>
      </w:r>
      <w:r w:rsidR="00F81A6E" w:rsidRPr="008F1E62">
        <w:rPr>
          <w:rFonts w:asciiTheme="minorHAnsi" w:hAnsiTheme="minorHAnsi"/>
        </w:rPr>
        <w:t xml:space="preserve"> </w:t>
      </w:r>
      <w:r w:rsidRPr="008F1E62">
        <w:rPr>
          <w:rFonts w:asciiTheme="minorHAnsi" w:hAnsiTheme="minorHAnsi"/>
        </w:rPr>
        <w:t>th</w:t>
      </w:r>
      <w:r w:rsidR="00F81A6E">
        <w:rPr>
          <w:rFonts w:asciiTheme="minorHAnsi" w:hAnsiTheme="minorHAnsi"/>
        </w:rPr>
        <w:t>at</w:t>
      </w:r>
      <w:r w:rsidR="00B76CF0" w:rsidRPr="00B76CF0" w:rsidDel="00B76CF0">
        <w:rPr>
          <w:rFonts w:asciiTheme="minorHAnsi" w:hAnsiTheme="minorHAnsi"/>
        </w:rPr>
        <w:t xml:space="preserve"> </w:t>
      </w:r>
      <w:r w:rsidRPr="008F1E62">
        <w:rPr>
          <w:rFonts w:asciiTheme="minorHAnsi" w:hAnsiTheme="minorHAnsi"/>
        </w:rPr>
        <w:t xml:space="preserve">track, and generally required to transfer to a less prestigious alternative track of accountancy studies. This is </w:t>
      </w:r>
      <w:proofErr w:type="gramStart"/>
      <w:r w:rsidRPr="008F1E62">
        <w:rPr>
          <w:rFonts w:asciiTheme="minorHAnsi" w:hAnsiTheme="minorHAnsi"/>
        </w:rPr>
        <w:t>despite the fact that</w:t>
      </w:r>
      <w:proofErr w:type="gramEnd"/>
      <w:r w:rsidRPr="008F1E62">
        <w:rPr>
          <w:rFonts w:asciiTheme="minorHAnsi" w:hAnsiTheme="minorHAnsi"/>
        </w:rPr>
        <w:t xml:space="preserve"> the majority of students completing the current </w:t>
      </w:r>
      <w:r w:rsidR="0040130A" w:rsidRPr="0040130A">
        <w:rPr>
          <w:rFonts w:asciiTheme="minorHAnsi" w:hAnsiTheme="minorHAnsi"/>
        </w:rPr>
        <w:t>BSc Accountancy</w:t>
      </w:r>
      <w:r w:rsidR="0040130A" w:rsidRPr="0040130A" w:rsidDel="0040130A">
        <w:rPr>
          <w:rFonts w:asciiTheme="minorHAnsi" w:hAnsiTheme="minorHAnsi"/>
        </w:rPr>
        <w:t xml:space="preserve"> </w:t>
      </w:r>
      <w:r w:rsidRPr="008F1E62">
        <w:rPr>
          <w:rFonts w:asciiTheme="minorHAnsi" w:hAnsiTheme="minorHAnsi"/>
        </w:rPr>
        <w:t>program will not pursue a career for which a CPA License is required. By prescribing a minimum curriculum for</w:t>
      </w:r>
      <w:r w:rsidR="00D20925" w:rsidRPr="00D20925">
        <w:t xml:space="preserve"> </w:t>
      </w:r>
      <w:r w:rsidR="00D20925" w:rsidRPr="00D20925">
        <w:rPr>
          <w:rFonts w:asciiTheme="minorHAnsi" w:hAnsiTheme="minorHAnsi"/>
        </w:rPr>
        <w:t xml:space="preserve">three </w:t>
      </w:r>
      <w:r w:rsidRPr="008F1E62">
        <w:rPr>
          <w:rFonts w:asciiTheme="minorHAnsi" w:hAnsiTheme="minorHAnsi"/>
        </w:rPr>
        <w:t xml:space="preserve">alternative tracks, CHED’s objectives are to: (a) ensure other paths are available to students but incorporate a “common core” of accounting knowledge and competencies in accordance with IFAC IESs; </w:t>
      </w:r>
      <w:r w:rsidR="004D4CD2">
        <w:rPr>
          <w:rFonts w:asciiTheme="minorHAnsi" w:hAnsiTheme="minorHAnsi"/>
        </w:rPr>
        <w:t xml:space="preserve">and </w:t>
      </w:r>
      <w:r w:rsidRPr="008F1E62">
        <w:rPr>
          <w:rFonts w:asciiTheme="minorHAnsi" w:hAnsiTheme="minorHAnsi"/>
        </w:rPr>
        <w:t xml:space="preserve">(b) prepare accounting graduates for the diversified work opportunities both in the Philippines and overseas. An overview of the proposed framework is included in </w:t>
      </w:r>
      <w:r w:rsidRPr="008F1E62">
        <w:rPr>
          <w:rFonts w:asciiTheme="minorHAnsi" w:hAnsiTheme="minorHAnsi"/>
          <w:b/>
        </w:rPr>
        <w:t>Box</w:t>
      </w:r>
      <w:r w:rsidRPr="008F1E62">
        <w:rPr>
          <w:rStyle w:val="Hyperlink"/>
          <w:rFonts w:asciiTheme="minorHAnsi" w:hAnsiTheme="minorHAnsi"/>
          <w:b/>
          <w:color w:val="auto"/>
          <w:u w:val="none"/>
        </w:rPr>
        <w:t xml:space="preserve"> </w:t>
      </w:r>
      <w:r w:rsidR="00AA3C78">
        <w:rPr>
          <w:rStyle w:val="Hyperlink"/>
          <w:rFonts w:asciiTheme="minorHAnsi" w:hAnsiTheme="minorHAnsi"/>
          <w:b/>
          <w:color w:val="auto"/>
          <w:u w:val="none"/>
        </w:rPr>
        <w:t>4</w:t>
      </w:r>
      <w:r w:rsidRPr="008F1E62">
        <w:rPr>
          <w:rStyle w:val="Hyperlink"/>
          <w:rFonts w:asciiTheme="minorHAnsi" w:hAnsiTheme="minorHAnsi"/>
          <w:color w:val="auto"/>
          <w:u w:val="none"/>
        </w:rPr>
        <w:t xml:space="preserve">.  Refer to </w:t>
      </w:r>
      <w:r w:rsidRPr="008F1E62">
        <w:rPr>
          <w:rStyle w:val="Hyperlink"/>
          <w:rFonts w:asciiTheme="minorHAnsi" w:hAnsiTheme="minorHAnsi"/>
          <w:b/>
          <w:color w:val="auto"/>
          <w:u w:val="none"/>
        </w:rPr>
        <w:t>Annex 8</w:t>
      </w:r>
      <w:r w:rsidRPr="008F1E62">
        <w:rPr>
          <w:rStyle w:val="Hyperlink"/>
          <w:rFonts w:asciiTheme="minorHAnsi" w:hAnsiTheme="minorHAnsi"/>
          <w:color w:val="auto"/>
          <w:u w:val="none"/>
        </w:rPr>
        <w:t xml:space="preserve"> for a detailed discussion on the envisioned 2-tiered CPA framework.</w:t>
      </w:r>
    </w:p>
    <w:tbl>
      <w:tblPr>
        <w:tblStyle w:val="TabelEcorys3"/>
        <w:tblW w:w="0" w:type="auto"/>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8966"/>
      </w:tblGrid>
      <w:tr w:rsidR="00063D42" w:rsidRPr="008F1E62" w14:paraId="341107B4" w14:textId="77777777" w:rsidTr="00063D42">
        <w:trPr>
          <w:trHeight w:val="83"/>
        </w:trPr>
        <w:tc>
          <w:tcPr>
            <w:tcW w:w="8966" w:type="dxa"/>
            <w:shd w:val="clear" w:color="auto" w:fill="00AB51"/>
            <w:tcMar>
              <w:top w:w="144" w:type="dxa"/>
              <w:left w:w="144" w:type="dxa"/>
              <w:bottom w:w="144" w:type="dxa"/>
              <w:right w:w="144" w:type="dxa"/>
            </w:tcMar>
          </w:tcPr>
          <w:p w14:paraId="4EC343E8" w14:textId="0D3B6901" w:rsidR="00063D42" w:rsidRPr="00154A45" w:rsidRDefault="00063D42" w:rsidP="00154A45">
            <w:pPr>
              <w:pStyle w:val="Caption"/>
              <w:spacing w:before="0" w:after="0"/>
              <w:jc w:val="center"/>
              <w:rPr>
                <w:sz w:val="20"/>
                <w:szCs w:val="24"/>
                <w:lang w:val="en-US"/>
              </w:rPr>
            </w:pPr>
            <w:r w:rsidRPr="00154A45">
              <w:rPr>
                <w:color w:val="FFFFFF" w:themeColor="background1"/>
                <w:sz w:val="20"/>
                <w:szCs w:val="24"/>
                <w:lang w:val="en-US"/>
              </w:rPr>
              <w:t xml:space="preserve">Box </w:t>
            </w:r>
            <w:r w:rsidR="00AA3C78">
              <w:rPr>
                <w:color w:val="FFFFFF" w:themeColor="background1"/>
                <w:sz w:val="20"/>
                <w:szCs w:val="24"/>
                <w:lang w:val="en-US"/>
              </w:rPr>
              <w:t>4</w:t>
            </w:r>
            <w:r w:rsidRPr="00154A45">
              <w:rPr>
                <w:color w:val="FFFFFF" w:themeColor="background1"/>
                <w:sz w:val="20"/>
                <w:szCs w:val="24"/>
                <w:lang w:val="en-US"/>
              </w:rPr>
              <w:t>.</w:t>
            </w:r>
            <w:r w:rsidRPr="00154A45">
              <w:rPr>
                <w:color w:val="FFFFFF" w:themeColor="background1"/>
                <w:sz w:val="20"/>
                <w:lang w:val="en-US"/>
              </w:rPr>
              <w:t xml:space="preserve"> </w:t>
            </w:r>
            <w:r w:rsidRPr="00154A45">
              <w:rPr>
                <w:color w:val="FFFFFF" w:themeColor="background1"/>
                <w:sz w:val="20"/>
                <w:szCs w:val="24"/>
                <w:lang w:val="en-US"/>
              </w:rPr>
              <w:t>Philippine Accountancy Education Framework</w:t>
            </w:r>
            <w:r w:rsidRPr="00154A45">
              <w:rPr>
                <w:rStyle w:val="FootnoteReference"/>
                <w:color w:val="FFFFFF" w:themeColor="background1"/>
                <w:sz w:val="20"/>
                <w:szCs w:val="24"/>
                <w:lang w:val="en-US"/>
              </w:rPr>
              <w:footnoteReference w:id="83"/>
            </w:r>
          </w:p>
        </w:tc>
      </w:tr>
      <w:tr w:rsidR="00F76E53" w:rsidRPr="008F1E62" w14:paraId="6CA950E5" w14:textId="77777777" w:rsidTr="00063D42">
        <w:trPr>
          <w:trHeight w:val="83"/>
        </w:trPr>
        <w:tc>
          <w:tcPr>
            <w:tcW w:w="8966" w:type="dxa"/>
            <w:shd w:val="clear" w:color="auto" w:fill="C6E8D7"/>
            <w:tcMar>
              <w:top w:w="144" w:type="dxa"/>
              <w:left w:w="144" w:type="dxa"/>
              <w:bottom w:w="144" w:type="dxa"/>
              <w:right w:w="144" w:type="dxa"/>
            </w:tcMar>
          </w:tcPr>
          <w:p w14:paraId="24DA7AE4" w14:textId="77777777" w:rsidR="00F76E53" w:rsidRPr="008F1E62" w:rsidRDefault="00F76E53" w:rsidP="00DD5BB1">
            <w:pPr>
              <w:pStyle w:val="ListParagraph"/>
              <w:numPr>
                <w:ilvl w:val="0"/>
                <w:numId w:val="0"/>
              </w:numPr>
              <w:tabs>
                <w:tab w:val="left" w:pos="720"/>
              </w:tabs>
              <w:autoSpaceDE w:val="0"/>
              <w:autoSpaceDN w:val="0"/>
              <w:adjustRightInd w:val="0"/>
              <w:spacing w:before="0" w:beforeAutospacing="0" w:after="0" w:afterAutospacing="0" w:line="276" w:lineRule="auto"/>
              <w:jc w:val="center"/>
              <w:rPr>
                <w:rFonts w:asciiTheme="minorHAnsi" w:hAnsiTheme="minorHAnsi" w:cs="Times New Roman"/>
                <w:b/>
                <w:sz w:val="18"/>
                <w:szCs w:val="18"/>
              </w:rPr>
            </w:pPr>
            <w:r w:rsidRPr="008F1E62">
              <w:rPr>
                <w:rFonts w:asciiTheme="minorHAnsi" w:hAnsiTheme="minorHAnsi" w:cs="Times New Roman"/>
                <w:b/>
                <w:noProof/>
                <w:szCs w:val="24"/>
              </w:rPr>
              <w:drawing>
                <wp:inline distT="0" distB="0" distL="0" distR="0" wp14:anchorId="3DCA64DD" wp14:editId="17FBEEFD">
                  <wp:extent cx="5497753" cy="2801372"/>
                  <wp:effectExtent l="0" t="0" r="0" b="0"/>
                  <wp:docPr id="10" name="Picture 10" descr="C:\Users\wb335681\Desktop\ROSC Philippines\ALFRED WORK FILES\Screenshots\New Accounting Education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35681\Desktop\ROSC Philippines\ALFRED WORK FILES\Screenshots\New Accounting Education Framework.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497753" cy="28013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18D88E" w14:textId="77777777" w:rsidR="00F6762B" w:rsidRPr="00F6762B" w:rsidRDefault="00F6762B" w:rsidP="00F6762B">
      <w:pPr>
        <w:pStyle w:val="BodyText4"/>
        <w:spacing w:line="276" w:lineRule="auto"/>
      </w:pPr>
    </w:p>
    <w:p w14:paraId="012CFEA2" w14:textId="5CDA55C2" w:rsidR="00DE1FDB" w:rsidRPr="008F1E62" w:rsidRDefault="00DE1FDB" w:rsidP="00DE1FDB">
      <w:pPr>
        <w:pStyle w:val="BodyText4"/>
        <w:numPr>
          <w:ilvl w:val="0"/>
          <w:numId w:val="2"/>
        </w:numPr>
        <w:tabs>
          <w:tab w:val="clear" w:pos="360"/>
          <w:tab w:val="num" w:pos="0"/>
        </w:tabs>
        <w:spacing w:after="200" w:line="276" w:lineRule="auto"/>
        <w:ind w:left="0" w:hanging="540"/>
      </w:pPr>
      <w:r w:rsidRPr="008F1E62">
        <w:rPr>
          <w:rFonts w:asciiTheme="minorHAnsi" w:eastAsiaTheme="minorEastAsia" w:hAnsiTheme="minorHAnsi" w:cstheme="minorBidi"/>
          <w:b/>
          <w:bCs/>
        </w:rPr>
        <w:t xml:space="preserve">There are 217 accredited universities in the country that offer courses aligned with the certified </w:t>
      </w:r>
      <w:r w:rsidRPr="008F1E62">
        <w:rPr>
          <w:rFonts w:ascii="Calibri" w:hAnsi="Calibri"/>
          <w:b/>
          <w:bCs/>
        </w:rPr>
        <w:t>accounting</w:t>
      </w:r>
      <w:r w:rsidRPr="008F1E62">
        <w:rPr>
          <w:rFonts w:asciiTheme="minorHAnsi" w:eastAsiaTheme="minorEastAsia" w:hAnsiTheme="minorHAnsi" w:cstheme="minorBidi"/>
          <w:b/>
          <w:bCs/>
        </w:rPr>
        <w:t xml:space="preserve"> technician program syllabus.</w:t>
      </w:r>
      <w:r w:rsidRPr="008F1E62">
        <w:rPr>
          <w:rFonts w:asciiTheme="minorHAnsi" w:eastAsiaTheme="minorEastAsia" w:hAnsiTheme="minorHAnsi" w:cstheme="minorBidi"/>
        </w:rPr>
        <w:t xml:space="preserve"> Th</w:t>
      </w:r>
      <w:r>
        <w:rPr>
          <w:rFonts w:asciiTheme="minorHAnsi" w:eastAsiaTheme="minorEastAsia" w:hAnsiTheme="minorHAnsi" w:cstheme="minorBidi"/>
        </w:rPr>
        <w:t>is</w:t>
      </w:r>
      <w:r w:rsidRPr="008F1E62">
        <w:rPr>
          <w:rFonts w:asciiTheme="minorHAnsi" w:eastAsiaTheme="minorEastAsia" w:hAnsiTheme="minorHAnsi" w:cstheme="minorBidi"/>
        </w:rPr>
        <w:t xml:space="preserve"> is a globally recognized program of the Philippines National Institute of Accounting Technicians</w:t>
      </w:r>
      <w:r w:rsidRPr="008F1E62">
        <w:rPr>
          <w:rFonts w:asciiTheme="minorHAnsi" w:eastAsiaTheme="minorEastAsia" w:hAnsiTheme="minorHAnsi" w:cstheme="minorBidi"/>
          <w:b/>
          <w:bCs/>
        </w:rPr>
        <w:t xml:space="preserve"> </w:t>
      </w:r>
      <w:r w:rsidRPr="008F1E62">
        <w:rPr>
          <w:rFonts w:asciiTheme="minorHAnsi" w:eastAsiaTheme="minorEastAsia" w:hAnsiTheme="minorHAnsi" w:cstheme="minorBidi"/>
        </w:rPr>
        <w:t xml:space="preserve">that grants the </w:t>
      </w:r>
      <w:r w:rsidRPr="0072764C">
        <w:rPr>
          <w:rFonts w:asciiTheme="minorHAnsi" w:eastAsiaTheme="minorEastAsia" w:hAnsiTheme="minorHAnsi" w:cstheme="minorBidi"/>
        </w:rPr>
        <w:t xml:space="preserve">certified accounting technician </w:t>
      </w:r>
      <w:r w:rsidRPr="008F1E62">
        <w:rPr>
          <w:rFonts w:asciiTheme="minorHAnsi" w:eastAsiaTheme="minorEastAsia" w:hAnsiTheme="minorHAnsi" w:cstheme="minorBidi"/>
        </w:rPr>
        <w:t xml:space="preserve">title or designation to successful candidates or members worldwide. It is designed to be an intensive bookkeeping program. Graduate students of accredited providers are qualified to take the </w:t>
      </w:r>
      <w:r w:rsidRPr="00547472">
        <w:rPr>
          <w:rFonts w:asciiTheme="minorHAnsi" w:eastAsiaTheme="minorEastAsia" w:hAnsiTheme="minorHAnsi" w:cstheme="minorBidi"/>
        </w:rPr>
        <w:t xml:space="preserve">Certified Accounting Technician </w:t>
      </w:r>
      <w:r w:rsidRPr="008F1E62">
        <w:rPr>
          <w:rFonts w:asciiTheme="minorHAnsi" w:eastAsiaTheme="minorEastAsia" w:hAnsiTheme="minorHAnsi" w:cstheme="minorBidi"/>
        </w:rPr>
        <w:t>Challenge Exam. At least one year of relevant experience after passing the exams is required to fully become an Accounting Technician.  The Accounting Technician designation is relatively new in the Philippines marketplace but is commonplace worldwide to identify a range of account</w:t>
      </w:r>
      <w:r>
        <w:rPr>
          <w:rFonts w:asciiTheme="minorHAnsi" w:eastAsiaTheme="minorEastAsia" w:hAnsiTheme="minorHAnsi" w:cstheme="minorBidi"/>
        </w:rPr>
        <w:t>ing</w:t>
      </w:r>
      <w:r w:rsidRPr="008F1E62">
        <w:rPr>
          <w:rFonts w:asciiTheme="minorHAnsi" w:eastAsiaTheme="minorEastAsia" w:hAnsiTheme="minorHAnsi" w:cstheme="minorBidi"/>
        </w:rPr>
        <w:t xml:space="preserve"> or bookkeeping occupations in all industries and sectors.  </w:t>
      </w:r>
    </w:p>
    <w:p w14:paraId="36314533" w14:textId="77777777" w:rsidR="00F76E53" w:rsidRPr="008F1E62" w:rsidRDefault="00F76E53" w:rsidP="00FB3DC8">
      <w:pPr>
        <w:pStyle w:val="BodyText4"/>
        <w:numPr>
          <w:ilvl w:val="0"/>
          <w:numId w:val="2"/>
        </w:numPr>
        <w:spacing w:after="200" w:line="276" w:lineRule="auto"/>
        <w:ind w:left="0" w:hanging="567"/>
        <w:rPr>
          <w:rFonts w:asciiTheme="minorHAnsi" w:hAnsiTheme="minorHAnsi"/>
        </w:rPr>
      </w:pPr>
      <w:r w:rsidRPr="008F1E62">
        <w:rPr>
          <w:rFonts w:asciiTheme="minorHAnsi" w:hAnsiTheme="minorHAnsi"/>
          <w:b/>
          <w:bCs/>
        </w:rPr>
        <w:t xml:space="preserve">CPD requirements </w:t>
      </w:r>
      <w:r w:rsidR="00DE1FDB">
        <w:rPr>
          <w:rFonts w:asciiTheme="minorHAnsi" w:hAnsiTheme="minorHAnsi"/>
          <w:b/>
          <w:bCs/>
        </w:rPr>
        <w:t xml:space="preserve">for CPAs </w:t>
      </w:r>
      <w:r w:rsidRPr="008F1E62">
        <w:rPr>
          <w:rFonts w:asciiTheme="minorHAnsi" w:hAnsiTheme="minorHAnsi"/>
          <w:b/>
          <w:bCs/>
        </w:rPr>
        <w:t>were also recently reformed through laws and regulations</w:t>
      </w:r>
      <w:r w:rsidRPr="008F1E62">
        <w:rPr>
          <w:rFonts w:asciiTheme="minorHAnsi" w:hAnsiTheme="minorHAnsi"/>
        </w:rPr>
        <w:t xml:space="preserve">. The changes were enacted through </w:t>
      </w:r>
      <w:r w:rsidR="00AA180D">
        <w:rPr>
          <w:rFonts w:asciiTheme="minorHAnsi" w:hAnsiTheme="minorHAnsi"/>
        </w:rPr>
        <w:t>RA</w:t>
      </w:r>
      <w:r w:rsidRPr="008F1E62">
        <w:rPr>
          <w:rFonts w:asciiTheme="minorHAnsi" w:hAnsiTheme="minorHAnsi"/>
        </w:rPr>
        <w:t xml:space="preserve"> No. 10912 of July </w:t>
      </w:r>
      <w:r w:rsidR="00914FD9" w:rsidRPr="008F1E62">
        <w:rPr>
          <w:rFonts w:asciiTheme="minorHAnsi" w:hAnsiTheme="minorHAnsi"/>
        </w:rPr>
        <w:t>26</w:t>
      </w:r>
      <w:r w:rsidR="00914FD9">
        <w:rPr>
          <w:rFonts w:asciiTheme="minorHAnsi" w:hAnsiTheme="minorHAnsi"/>
        </w:rPr>
        <w:t>,</w:t>
      </w:r>
      <w:r w:rsidR="00914FD9" w:rsidRPr="008F1E62">
        <w:rPr>
          <w:rFonts w:asciiTheme="minorHAnsi" w:hAnsiTheme="minorHAnsi"/>
        </w:rPr>
        <w:t xml:space="preserve"> </w:t>
      </w:r>
      <w:r w:rsidRPr="008F1E62">
        <w:rPr>
          <w:rFonts w:asciiTheme="minorHAnsi" w:hAnsiTheme="minorHAnsi"/>
        </w:rPr>
        <w:t>2015, PRC Resolution No 2013-774 Series of 2013. The reform ensured continued compliance with IFAC’s CPD requirements by gradually increasing the three-year requirement from 60 to 120 hours, but also shifting from a thematic approach to a competency-based approach. This change represents real progress as the inclusion of online learning, self-directed learning, and professional work experience ensures the training needs of an increasingly specialized profession can be met.</w:t>
      </w:r>
    </w:p>
    <w:p w14:paraId="1B387FC9" w14:textId="77777777" w:rsidR="00F76E53" w:rsidRPr="008F1E62" w:rsidRDefault="00F76E53" w:rsidP="00FB3DC8">
      <w:pPr>
        <w:pStyle w:val="BodyText4"/>
        <w:numPr>
          <w:ilvl w:val="0"/>
          <w:numId w:val="2"/>
        </w:numPr>
        <w:spacing w:after="200" w:line="276" w:lineRule="auto"/>
        <w:ind w:left="0" w:hanging="567"/>
        <w:rPr>
          <w:rFonts w:ascii="c" w:eastAsia="c" w:hAnsi="c" w:cs="c"/>
        </w:rPr>
      </w:pPr>
      <w:r w:rsidRPr="008F1E62">
        <w:rPr>
          <w:rFonts w:asciiTheme="minorHAnsi" w:hAnsiTheme="minorHAnsi"/>
          <w:b/>
          <w:bCs/>
        </w:rPr>
        <w:t>The new CPD requirements are greatly misunderstood, and considered as too burdensome by many.</w:t>
      </w:r>
      <w:r w:rsidRPr="008F1E62">
        <w:rPr>
          <w:rFonts w:asciiTheme="minorHAnsi" w:hAnsiTheme="minorHAnsi"/>
        </w:rPr>
        <w:t xml:space="preserve"> They have been extended to members in academia in coordination with CHED. 120 hours are considered excessive when compared to the CPD requirements of many of the other professions in the Philippines. Even though the new requirement provides broader, more flexible options for compliance, the process of accreditation of CPD providers is perceived as being burdensome, and accredited CPD offerings as being unsuitable for sectoral needs, such as those of CPAs employed in the insurance or government sectors. There is also concern </w:t>
      </w:r>
      <w:r w:rsidR="008A7BF7">
        <w:rPr>
          <w:rFonts w:asciiTheme="minorHAnsi" w:hAnsiTheme="minorHAnsi"/>
        </w:rPr>
        <w:t>about</w:t>
      </w:r>
      <w:r w:rsidR="008A7BF7" w:rsidRPr="008F1E62">
        <w:rPr>
          <w:rFonts w:asciiTheme="minorHAnsi" w:hAnsiTheme="minorHAnsi"/>
        </w:rPr>
        <w:t xml:space="preserve"> </w:t>
      </w:r>
      <w:r w:rsidRPr="008F1E62">
        <w:rPr>
          <w:rFonts w:asciiTheme="minorHAnsi" w:hAnsiTheme="minorHAnsi"/>
        </w:rPr>
        <w:t>the lack of available training in the provinces and regions, one reason cited was due to insufficient accredited trainers.</w:t>
      </w:r>
    </w:p>
    <w:p w14:paraId="618B012F" w14:textId="77777777" w:rsidR="00F76E53" w:rsidRPr="008F1E62" w:rsidRDefault="00F76E53" w:rsidP="0077686B">
      <w:pPr>
        <w:pStyle w:val="Heading3"/>
      </w:pPr>
      <w:r w:rsidRPr="008F1E62">
        <w:t>Setting Accounting Standards</w:t>
      </w:r>
    </w:p>
    <w:p w14:paraId="2CB946A3"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Eras Light ITC"/>
          <w:color w:val="000000" w:themeColor="text1"/>
        </w:rPr>
      </w:pPr>
      <w:r w:rsidRPr="008F1E62">
        <w:rPr>
          <w:rFonts w:asciiTheme="minorHAnsi" w:hAnsiTheme="minorHAnsi"/>
          <w:b/>
          <w:bCs/>
        </w:rPr>
        <w:t>The FRSC was established by BOA in 2006</w:t>
      </w:r>
      <w:r w:rsidR="003B324D">
        <w:rPr>
          <w:rFonts w:asciiTheme="minorHAnsi" w:hAnsiTheme="minorHAnsi"/>
          <w:b/>
          <w:bCs/>
        </w:rPr>
        <w:t>,</w:t>
      </w:r>
      <w:r w:rsidRPr="008F1E62">
        <w:rPr>
          <w:rFonts w:asciiTheme="minorHAnsi" w:hAnsiTheme="minorHAnsi"/>
          <w:b/>
          <w:bCs/>
        </w:rPr>
        <w:t xml:space="preserve"> under the </w:t>
      </w:r>
      <w:r w:rsidR="003B324D" w:rsidRPr="008F1E62">
        <w:rPr>
          <w:rFonts w:asciiTheme="minorHAnsi" w:hAnsiTheme="minorHAnsi"/>
          <w:b/>
          <w:bCs/>
        </w:rPr>
        <w:t xml:space="preserve">implementing rules </w:t>
      </w:r>
      <w:r w:rsidR="003B324D" w:rsidRPr="008F1E62">
        <w:rPr>
          <w:rFonts w:ascii="Calibri" w:hAnsi="Calibri"/>
          <w:b/>
          <w:bCs/>
        </w:rPr>
        <w:t>and</w:t>
      </w:r>
      <w:r w:rsidR="003B324D" w:rsidRPr="008F1E62">
        <w:rPr>
          <w:rFonts w:asciiTheme="minorHAnsi" w:hAnsiTheme="minorHAnsi"/>
          <w:b/>
          <w:bCs/>
        </w:rPr>
        <w:t xml:space="preserve"> regulations </w:t>
      </w:r>
      <w:r w:rsidRPr="008F1E62">
        <w:rPr>
          <w:rFonts w:asciiTheme="minorHAnsi" w:hAnsiTheme="minorHAnsi"/>
          <w:b/>
          <w:bCs/>
        </w:rPr>
        <w:t>of the Philippine Accountancy of Act of 2004</w:t>
      </w:r>
      <w:r w:rsidR="003B324D">
        <w:rPr>
          <w:rFonts w:asciiTheme="minorHAnsi" w:hAnsiTheme="minorHAnsi"/>
          <w:b/>
          <w:bCs/>
        </w:rPr>
        <w:t>,</w:t>
      </w:r>
      <w:r w:rsidRPr="008F1E62">
        <w:rPr>
          <w:rFonts w:asciiTheme="minorHAnsi" w:hAnsiTheme="minorHAnsi"/>
          <w:b/>
          <w:bCs/>
        </w:rPr>
        <w:t xml:space="preserve"> to assist the Board in carrying out its power and function to promulgate accounting standards in the Philippines.</w:t>
      </w:r>
      <w:r w:rsidRPr="008F1E62">
        <w:rPr>
          <w:rFonts w:asciiTheme="minorHAnsi" w:hAnsiTheme="minorHAnsi"/>
        </w:rPr>
        <w:t xml:space="preserve"> The FRSC’s main function is to establish generally accepted accounting principles in the Philippines.  </w:t>
      </w:r>
      <w:r w:rsidRPr="008F1E62">
        <w:rPr>
          <w:rFonts w:asciiTheme="minorHAnsi" w:hAnsiTheme="minorHAnsi" w:cs="Arial"/>
          <w:color w:val="000000" w:themeColor="text1"/>
        </w:rPr>
        <w:t xml:space="preserve">The FRSC formed the </w:t>
      </w:r>
      <w:r w:rsidRPr="008F1E62">
        <w:rPr>
          <w:rFonts w:asciiTheme="minorHAnsi" w:hAnsiTheme="minorHAnsi" w:cs="Arial"/>
        </w:rPr>
        <w:t>Philippine Interpretations Committee</w:t>
      </w:r>
      <w:r w:rsidR="004B3880" w:rsidRPr="008F1E62">
        <w:rPr>
          <w:rStyle w:val="FootnoteReference"/>
          <w:rFonts w:asciiTheme="minorHAnsi" w:hAnsiTheme="minorHAnsi" w:cs="Arial"/>
          <w:color w:val="000000" w:themeColor="text1"/>
        </w:rPr>
        <w:footnoteReference w:id="84"/>
      </w:r>
      <w:r w:rsidRPr="008F1E62">
        <w:rPr>
          <w:rFonts w:asciiTheme="minorHAnsi" w:hAnsiTheme="minorHAnsi" w:cs="Arial"/>
          <w:color w:val="000000" w:themeColor="text1"/>
        </w:rPr>
        <w:t xml:space="preserve"> in August 2006 to assist the FRSC in establishing and improving financial reporting standards. The role of the </w:t>
      </w:r>
      <w:r w:rsidR="006F4A51">
        <w:rPr>
          <w:rFonts w:asciiTheme="minorHAnsi" w:hAnsiTheme="minorHAnsi" w:cs="Arial"/>
          <w:color w:val="000000" w:themeColor="text1"/>
        </w:rPr>
        <w:t>committee</w:t>
      </w:r>
      <w:r w:rsidR="006F4A51" w:rsidRPr="008F1E62">
        <w:rPr>
          <w:rFonts w:asciiTheme="minorHAnsi" w:hAnsiTheme="minorHAnsi" w:cs="Arial"/>
          <w:color w:val="000000" w:themeColor="text1"/>
        </w:rPr>
        <w:t xml:space="preserve"> </w:t>
      </w:r>
      <w:r w:rsidRPr="008F1E62">
        <w:rPr>
          <w:rFonts w:asciiTheme="minorHAnsi" w:hAnsiTheme="minorHAnsi" w:cs="Arial"/>
          <w:color w:val="000000" w:themeColor="text1"/>
        </w:rPr>
        <w:t xml:space="preserve">is principally to issue implementation guidance on PFRSs. The </w:t>
      </w:r>
      <w:r w:rsidR="006F4A51">
        <w:rPr>
          <w:rFonts w:asciiTheme="minorHAnsi" w:hAnsiTheme="minorHAnsi" w:cs="Arial"/>
        </w:rPr>
        <w:t>committee</w:t>
      </w:r>
      <w:r w:rsidR="006F4A51" w:rsidRPr="008F1E62">
        <w:rPr>
          <w:rFonts w:asciiTheme="minorHAnsi" w:hAnsiTheme="minorHAnsi" w:cs="Arial"/>
        </w:rPr>
        <w:t xml:space="preserve"> </w:t>
      </w:r>
      <w:r w:rsidRPr="008F1E62">
        <w:rPr>
          <w:rFonts w:asciiTheme="minorHAnsi" w:hAnsiTheme="minorHAnsi" w:cs="Arial"/>
        </w:rPr>
        <w:t>members</w:t>
      </w:r>
      <w:r w:rsidR="004B3880" w:rsidRPr="008F1E62">
        <w:rPr>
          <w:rStyle w:val="FootnoteReference"/>
          <w:rFonts w:asciiTheme="minorHAnsi" w:hAnsiTheme="minorHAnsi" w:cs="Arial"/>
          <w:color w:val="000000" w:themeColor="text1"/>
        </w:rPr>
        <w:footnoteReference w:id="85"/>
      </w:r>
      <w:r w:rsidRPr="008F1E62">
        <w:rPr>
          <w:rFonts w:asciiTheme="minorHAnsi" w:hAnsiTheme="minorHAnsi" w:cs="Arial"/>
          <w:color w:val="000000" w:themeColor="text1"/>
        </w:rPr>
        <w:t xml:space="preserve"> are appointed by the FRSC and include accountants in public practice, academ</w:t>
      </w:r>
      <w:r w:rsidR="006F4A51">
        <w:rPr>
          <w:rFonts w:asciiTheme="minorHAnsi" w:hAnsiTheme="minorHAnsi" w:cs="Arial"/>
          <w:color w:val="000000" w:themeColor="text1"/>
        </w:rPr>
        <w:t>ia</w:t>
      </w:r>
      <w:r w:rsidRPr="008F1E62">
        <w:rPr>
          <w:rFonts w:asciiTheme="minorHAnsi" w:hAnsiTheme="minorHAnsi" w:cs="Arial"/>
          <w:color w:val="000000" w:themeColor="text1"/>
        </w:rPr>
        <w:t xml:space="preserve"> and regulatory bodies</w:t>
      </w:r>
      <w:r w:rsidR="006F4A51">
        <w:rPr>
          <w:rFonts w:asciiTheme="minorHAnsi" w:hAnsiTheme="minorHAnsi" w:cs="Arial"/>
          <w:color w:val="000000" w:themeColor="text1"/>
        </w:rPr>
        <w:t>,</w:t>
      </w:r>
      <w:r w:rsidRPr="008F1E62">
        <w:rPr>
          <w:rFonts w:asciiTheme="minorHAnsi" w:hAnsiTheme="minorHAnsi" w:cs="Arial"/>
          <w:color w:val="000000" w:themeColor="text1"/>
        </w:rPr>
        <w:t xml:space="preserve"> and users of financial statements. </w:t>
      </w:r>
    </w:p>
    <w:p w14:paraId="5AD79788"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Eras Light ITC"/>
          <w:color w:val="000000"/>
        </w:rPr>
      </w:pPr>
      <w:r w:rsidRPr="008F1E62">
        <w:rPr>
          <w:rFonts w:asciiTheme="minorHAnsi" w:hAnsiTheme="minorHAnsi" w:cs="Arial"/>
          <w:b/>
          <w:bCs/>
          <w:color w:val="000000" w:themeColor="text1"/>
        </w:rPr>
        <w:t xml:space="preserve">The FRSC monitors the technical activities of the IASB and provides comments on exposure drafts of </w:t>
      </w:r>
      <w:r w:rsidRPr="008F1E62">
        <w:rPr>
          <w:rFonts w:ascii="Calibri" w:hAnsi="Calibri"/>
          <w:b/>
          <w:bCs/>
        </w:rPr>
        <w:t>proposed</w:t>
      </w:r>
      <w:r w:rsidRPr="008F1E62">
        <w:rPr>
          <w:rFonts w:asciiTheme="minorHAnsi" w:hAnsiTheme="minorHAnsi" w:cs="Arial"/>
          <w:b/>
          <w:bCs/>
          <w:color w:val="000000" w:themeColor="text1"/>
        </w:rPr>
        <w:t xml:space="preserve"> IFRSs as these are issued by the IASB.</w:t>
      </w:r>
      <w:r w:rsidRPr="008F1E62">
        <w:rPr>
          <w:rFonts w:asciiTheme="minorHAnsi" w:hAnsiTheme="minorHAnsi" w:cs="Arial"/>
          <w:color w:val="000000" w:themeColor="text1"/>
        </w:rPr>
        <w:t xml:space="preserve"> When finalized, these are adopted as PFRS. The FRSC similarly monitors issuances of the IFRIC of the IASB, which it adopts as Philippine Interpretations–IFRIC. PFRS and Philippine Interpretations–IFRIC approved for adoption are submitted to the BOA and PRC for approval.</w:t>
      </w:r>
    </w:p>
    <w:p w14:paraId="1BDD1EB7" w14:textId="77777777" w:rsidR="00F76E53" w:rsidRPr="008F1E62" w:rsidRDefault="00F76E53" w:rsidP="00FB3DC8">
      <w:pPr>
        <w:pStyle w:val="BodyText4"/>
        <w:numPr>
          <w:ilvl w:val="0"/>
          <w:numId w:val="2"/>
        </w:numPr>
        <w:spacing w:line="276" w:lineRule="auto"/>
        <w:ind w:left="0" w:hanging="562"/>
        <w:rPr>
          <w:rFonts w:ascii="Calibri" w:hAnsi="Calibri" w:cs="Calibri"/>
        </w:rPr>
      </w:pPr>
      <w:r w:rsidRPr="008F1E62">
        <w:rPr>
          <w:rFonts w:ascii="Calibri" w:hAnsi="Calibri"/>
          <w:bCs/>
        </w:rPr>
        <w:t>Following</w:t>
      </w:r>
      <w:r w:rsidRPr="008F1E62">
        <w:rPr>
          <w:rFonts w:ascii="Calibri" w:hAnsi="Calibri"/>
        </w:rPr>
        <w:t xml:space="preserve"> are the steps followed by the FRSC on the adoption of new IASB Board pronouncements as PFRS: </w:t>
      </w:r>
    </w:p>
    <w:tbl>
      <w:tblPr>
        <w:tblStyle w:val="TableGrid"/>
        <w:tblW w:w="0" w:type="auto"/>
        <w:jc w:val="center"/>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6935"/>
      </w:tblGrid>
      <w:tr w:rsidR="0056551F" w:rsidRPr="00A16362" w14:paraId="2889927A" w14:textId="77777777" w:rsidTr="00F6762B">
        <w:trPr>
          <w:jc w:val="center"/>
        </w:trPr>
        <w:tc>
          <w:tcPr>
            <w:tcW w:w="6475" w:type="dxa"/>
            <w:shd w:val="clear" w:color="auto" w:fill="4472C4"/>
            <w:vAlign w:val="center"/>
          </w:tcPr>
          <w:p w14:paraId="1D6AE2C0" w14:textId="4741FB9B" w:rsidR="0056551F" w:rsidRPr="00A16362" w:rsidRDefault="0056551F" w:rsidP="00A16362">
            <w:pPr>
              <w:pStyle w:val="Caption"/>
              <w:spacing w:before="0" w:after="0"/>
              <w:jc w:val="center"/>
              <w:rPr>
                <w:color w:val="FFFFFF" w:themeColor="background1"/>
                <w:sz w:val="20"/>
                <w:szCs w:val="20"/>
                <w:lang w:val="en-US"/>
              </w:rPr>
            </w:pPr>
            <w:r w:rsidRPr="00A16362">
              <w:rPr>
                <w:color w:val="FFFFFF" w:themeColor="background1"/>
                <w:sz w:val="20"/>
                <w:szCs w:val="20"/>
                <w:lang w:val="en-US"/>
              </w:rPr>
              <w:t xml:space="preserve">Figure </w:t>
            </w:r>
            <w:r w:rsidRPr="00A16362">
              <w:rPr>
                <w:color w:val="FFFFFF" w:themeColor="background1"/>
                <w:sz w:val="20"/>
                <w:szCs w:val="20"/>
                <w:lang w:val="en-US"/>
              </w:rPr>
              <w:fldChar w:fldCharType="begin"/>
            </w:r>
            <w:r w:rsidRPr="00A16362">
              <w:rPr>
                <w:color w:val="FFFFFF" w:themeColor="background1"/>
                <w:sz w:val="20"/>
                <w:szCs w:val="20"/>
                <w:lang w:val="en-US"/>
              </w:rPr>
              <w:instrText xml:space="preserve"> SEQ Figure \* ARABIC </w:instrText>
            </w:r>
            <w:r w:rsidRPr="00A16362">
              <w:rPr>
                <w:color w:val="FFFFFF" w:themeColor="background1"/>
                <w:sz w:val="20"/>
                <w:szCs w:val="20"/>
                <w:lang w:val="en-US"/>
              </w:rPr>
              <w:fldChar w:fldCharType="separate"/>
            </w:r>
            <w:r w:rsidR="004310EC">
              <w:rPr>
                <w:noProof/>
                <w:color w:val="FFFFFF" w:themeColor="background1"/>
                <w:sz w:val="20"/>
                <w:szCs w:val="20"/>
                <w:lang w:val="en-US"/>
              </w:rPr>
              <w:t>6</w:t>
            </w:r>
            <w:r w:rsidRPr="00A16362">
              <w:rPr>
                <w:color w:val="FFFFFF" w:themeColor="background1"/>
                <w:sz w:val="20"/>
                <w:szCs w:val="20"/>
                <w:lang w:val="en-US"/>
              </w:rPr>
              <w:fldChar w:fldCharType="end"/>
            </w:r>
            <w:r w:rsidRPr="00A16362">
              <w:rPr>
                <w:color w:val="FFFFFF" w:themeColor="background1"/>
                <w:sz w:val="20"/>
                <w:szCs w:val="20"/>
                <w:lang w:val="en-US"/>
              </w:rPr>
              <w:t xml:space="preserve">. FRSC Process </w:t>
            </w:r>
          </w:p>
        </w:tc>
      </w:tr>
      <w:tr w:rsidR="0056551F" w:rsidRPr="00A16362" w14:paraId="6710D481" w14:textId="77777777" w:rsidTr="00F6762B">
        <w:trPr>
          <w:jc w:val="center"/>
        </w:trPr>
        <w:tc>
          <w:tcPr>
            <w:tcW w:w="6475" w:type="dxa"/>
            <w:shd w:val="clear" w:color="auto" w:fill="auto"/>
            <w:vAlign w:val="center"/>
          </w:tcPr>
          <w:p w14:paraId="40C52B09" w14:textId="5B207AAA" w:rsidR="0056551F" w:rsidRPr="00A16362" w:rsidRDefault="0056551F" w:rsidP="00A16362">
            <w:pPr>
              <w:pStyle w:val="BodyText4"/>
              <w:spacing w:before="100"/>
              <w:jc w:val="center"/>
              <w:rPr>
                <w:rFonts w:asciiTheme="minorHAnsi" w:hAnsiTheme="minorHAnsi"/>
                <w:b/>
                <w:sz w:val="20"/>
              </w:rPr>
            </w:pPr>
            <w:r w:rsidRPr="00A16362">
              <w:rPr>
                <w:noProof/>
                <w:sz w:val="20"/>
              </w:rPr>
              <w:drawing>
                <wp:inline distT="0" distB="0" distL="0" distR="0" wp14:anchorId="080EBFAD" wp14:editId="5722B6E1">
                  <wp:extent cx="4257675" cy="25150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38" t="3339" r="2229"/>
                          <a:stretch/>
                        </pic:blipFill>
                        <pic:spPr bwMode="auto">
                          <a:xfrm>
                            <a:off x="0" y="0"/>
                            <a:ext cx="4291462" cy="2534985"/>
                          </a:xfrm>
                          <a:prstGeom prst="rect">
                            <a:avLst/>
                          </a:prstGeom>
                          <a:ln>
                            <a:noFill/>
                          </a:ln>
                          <a:extLst>
                            <a:ext uri="{53640926-AAD7-44D8-BBD7-CCE9431645EC}">
                              <a14:shadowObscured xmlns:a14="http://schemas.microsoft.com/office/drawing/2010/main"/>
                            </a:ext>
                          </a:extLst>
                        </pic:spPr>
                      </pic:pic>
                    </a:graphicData>
                  </a:graphic>
                </wp:inline>
              </w:drawing>
            </w:r>
          </w:p>
        </w:tc>
      </w:tr>
      <w:tr w:rsidR="0056551F" w:rsidRPr="00A16362" w14:paraId="44D96D5C" w14:textId="77777777" w:rsidTr="00F6762B">
        <w:trPr>
          <w:trHeight w:val="52"/>
          <w:jc w:val="center"/>
        </w:trPr>
        <w:tc>
          <w:tcPr>
            <w:tcW w:w="6475" w:type="dxa"/>
            <w:shd w:val="clear" w:color="auto" w:fill="4472C4"/>
            <w:vAlign w:val="center"/>
          </w:tcPr>
          <w:p w14:paraId="0BB549B5" w14:textId="77777777" w:rsidR="0056551F" w:rsidRPr="00F6762B" w:rsidRDefault="0056551F" w:rsidP="00A16362">
            <w:pPr>
              <w:pStyle w:val="BodyText4"/>
              <w:jc w:val="center"/>
              <w:rPr>
                <w:rFonts w:asciiTheme="minorHAnsi" w:hAnsiTheme="minorHAnsi"/>
                <w:noProof/>
                <w:sz w:val="2"/>
                <w:szCs w:val="2"/>
              </w:rPr>
            </w:pPr>
          </w:p>
        </w:tc>
      </w:tr>
    </w:tbl>
    <w:p w14:paraId="6A45A80A" w14:textId="77777777" w:rsidR="00F6762B" w:rsidRPr="00F6762B" w:rsidRDefault="00F6762B" w:rsidP="00F6762B">
      <w:pPr>
        <w:pStyle w:val="BodyText4"/>
        <w:spacing w:line="276" w:lineRule="auto"/>
        <w:rPr>
          <w:rFonts w:cs="Eras Light ITC"/>
          <w:color w:val="000000"/>
        </w:rPr>
      </w:pPr>
    </w:p>
    <w:p w14:paraId="597C49BE" w14:textId="11FE77C6" w:rsidR="00F76E53" w:rsidRPr="008F1E62" w:rsidRDefault="00F76E53" w:rsidP="00FB3DC8">
      <w:pPr>
        <w:pStyle w:val="BodyText4"/>
        <w:numPr>
          <w:ilvl w:val="0"/>
          <w:numId w:val="2"/>
        </w:numPr>
        <w:spacing w:after="200" w:line="276" w:lineRule="auto"/>
        <w:ind w:left="0" w:hanging="567"/>
        <w:rPr>
          <w:rFonts w:cs="Eras Light ITC"/>
          <w:color w:val="000000"/>
        </w:rPr>
      </w:pPr>
      <w:r w:rsidRPr="008F1E62">
        <w:rPr>
          <w:rFonts w:ascii="Calibri" w:hAnsi="Calibri" w:cs="Calibri"/>
          <w:b/>
          <w:bCs/>
        </w:rPr>
        <w:t xml:space="preserve">Since FRSC is </w:t>
      </w:r>
      <w:r w:rsidRPr="008F1E62">
        <w:rPr>
          <w:rFonts w:ascii="Calibri" w:hAnsi="Calibri"/>
          <w:b/>
          <w:bCs/>
        </w:rPr>
        <w:t>adopting</w:t>
      </w:r>
      <w:r w:rsidRPr="008F1E62">
        <w:rPr>
          <w:rFonts w:ascii="Calibri" w:hAnsi="Calibri" w:cs="Calibri"/>
          <w:b/>
          <w:bCs/>
        </w:rPr>
        <w:t xml:space="preserve"> standards issued by the IASB, it is infrequent that a discussion paper will be issued, nor will there be local public consultations and eventual publication of the responses.</w:t>
      </w:r>
      <w:r w:rsidRPr="008F1E62">
        <w:rPr>
          <w:rFonts w:ascii="Calibri" w:hAnsi="Calibri" w:cs="Calibri"/>
        </w:rPr>
        <w:t xml:space="preserve"> </w:t>
      </w:r>
      <w:r w:rsidRPr="008F1E62">
        <w:rPr>
          <w:rFonts w:ascii="Calibri" w:hAnsi="Calibri"/>
        </w:rPr>
        <w:t xml:space="preserve">When deemed necessary, discussion papers are prepared for purposes of studying the impact of a new standard to local companies. For example, before adopting IFRS 15 Revenue from Contracts with Customers, the FRSC commissioned the Philippine Interpretations Committee to conduct a study on the impact of IFRS 15 to the local real estate companies. </w:t>
      </w:r>
      <w:r w:rsidRPr="008F1E62">
        <w:rPr>
          <w:rFonts w:ascii="Calibri" w:hAnsi="Calibri" w:cs="Calibri"/>
        </w:rPr>
        <w:t xml:space="preserve">Public consultation is not a statutory requirement.  </w:t>
      </w:r>
      <w:r w:rsidRPr="008F1E62">
        <w:rPr>
          <w:rFonts w:ascii="Calibri" w:hAnsi="Calibri"/>
        </w:rPr>
        <w:t>P</w:t>
      </w:r>
      <w:r w:rsidRPr="008F1E62">
        <w:rPr>
          <w:rFonts w:ascii="Calibri" w:eastAsiaTheme="majorEastAsia" w:hAnsi="Calibri" w:cs="Calibri"/>
        </w:rPr>
        <w:t xml:space="preserve">ost-implementation reviews are </w:t>
      </w:r>
      <w:r w:rsidRPr="008F1E62">
        <w:rPr>
          <w:rFonts w:ascii="Calibri" w:hAnsi="Calibri" w:cs="Calibri"/>
        </w:rPr>
        <w:t xml:space="preserve">not </w:t>
      </w:r>
      <w:r w:rsidRPr="008F1E62">
        <w:rPr>
          <w:rFonts w:ascii="Calibri" w:eastAsiaTheme="majorEastAsia" w:hAnsi="Calibri" w:cs="Calibri"/>
        </w:rPr>
        <w:t xml:space="preserve">performed </w:t>
      </w:r>
      <w:r w:rsidRPr="008F1E62">
        <w:rPr>
          <w:rFonts w:ascii="Calibri" w:hAnsi="Calibri" w:cs="Calibri"/>
        </w:rPr>
        <w:t>by FRSC but reliance is placed on auditing firms to implement the standards.</w:t>
      </w:r>
    </w:p>
    <w:tbl>
      <w:tblPr>
        <w:tblStyle w:val="TabelEcorys3"/>
        <w:tblpPr w:leftFromText="180" w:rightFromText="180" w:vertAnchor="text" w:horzAnchor="margin" w:tblpXSpec="right" w:tblpY="97"/>
        <w:tblOverlap w:val="never"/>
        <w:tblW w:w="0" w:type="auto"/>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4543"/>
      </w:tblGrid>
      <w:tr w:rsidR="000F27C2" w:rsidRPr="008F1E62" w14:paraId="21C695A5" w14:textId="77777777" w:rsidTr="000F27C2">
        <w:trPr>
          <w:trHeight w:val="83"/>
        </w:trPr>
        <w:tc>
          <w:tcPr>
            <w:tcW w:w="4543" w:type="dxa"/>
            <w:shd w:val="clear" w:color="auto" w:fill="00AB51"/>
            <w:tcMar>
              <w:top w:w="144" w:type="dxa"/>
              <w:left w:w="144" w:type="dxa"/>
              <w:bottom w:w="144" w:type="dxa"/>
              <w:right w:w="144" w:type="dxa"/>
            </w:tcMar>
          </w:tcPr>
          <w:p w14:paraId="36742BF1" w14:textId="3B37FEFD" w:rsidR="000F27C2" w:rsidRPr="00F27B38" w:rsidRDefault="000F27C2" w:rsidP="000F27C2">
            <w:pPr>
              <w:pStyle w:val="Caption"/>
              <w:spacing w:before="0" w:after="0"/>
              <w:jc w:val="center"/>
              <w:rPr>
                <w:sz w:val="20"/>
                <w:szCs w:val="24"/>
                <w:lang w:val="en-US"/>
              </w:rPr>
            </w:pPr>
            <w:r w:rsidRPr="00F27B38">
              <w:rPr>
                <w:color w:val="FFFFFF" w:themeColor="background1"/>
                <w:sz w:val="20"/>
                <w:szCs w:val="24"/>
                <w:lang w:val="en-US"/>
              </w:rPr>
              <w:t xml:space="preserve">Box </w:t>
            </w:r>
            <w:r w:rsidR="00AA3C78">
              <w:rPr>
                <w:color w:val="FFFFFF" w:themeColor="background1"/>
                <w:sz w:val="20"/>
                <w:szCs w:val="24"/>
                <w:lang w:val="en-US"/>
              </w:rPr>
              <w:t>5</w:t>
            </w:r>
            <w:r w:rsidRPr="00F27B38">
              <w:rPr>
                <w:color w:val="FFFFFF" w:themeColor="background1"/>
                <w:sz w:val="20"/>
                <w:szCs w:val="24"/>
                <w:lang w:val="en-US"/>
              </w:rPr>
              <w:t>.</w:t>
            </w:r>
            <w:r w:rsidRPr="00F27B38">
              <w:rPr>
                <w:color w:val="FFFFFF" w:themeColor="background1"/>
                <w:sz w:val="20"/>
                <w:lang w:val="en-US"/>
              </w:rPr>
              <w:t xml:space="preserve"> </w:t>
            </w:r>
            <w:r w:rsidRPr="00F27B38">
              <w:rPr>
                <w:color w:val="FFFFFF" w:themeColor="background1"/>
                <w:sz w:val="20"/>
                <w:szCs w:val="24"/>
                <w:lang w:val="en-US"/>
              </w:rPr>
              <w:t>Composition of the FRSC</w:t>
            </w:r>
          </w:p>
        </w:tc>
      </w:tr>
      <w:tr w:rsidR="000F27C2" w:rsidRPr="008F1E62" w14:paraId="1217F74B" w14:textId="77777777" w:rsidTr="000F27C2">
        <w:trPr>
          <w:trHeight w:val="5952"/>
        </w:trPr>
        <w:tc>
          <w:tcPr>
            <w:tcW w:w="4543" w:type="dxa"/>
            <w:shd w:val="clear" w:color="auto" w:fill="auto"/>
            <w:tcMar>
              <w:top w:w="144" w:type="dxa"/>
              <w:left w:w="144" w:type="dxa"/>
              <w:bottom w:w="144" w:type="dxa"/>
              <w:right w:w="144" w:type="dxa"/>
            </w:tcMar>
          </w:tcPr>
          <w:tbl>
            <w:tblPr>
              <w:tblW w:w="4255" w:type="dxa"/>
              <w:jc w:val="center"/>
              <w:tblCellSpacing w:w="43" w:type="dxa"/>
              <w:tblCellMar>
                <w:top w:w="43" w:type="dxa"/>
                <w:left w:w="115" w:type="dxa"/>
                <w:bottom w:w="43" w:type="dxa"/>
                <w:right w:w="115" w:type="dxa"/>
              </w:tblCellMar>
              <w:tblLook w:val="0000" w:firstRow="0" w:lastRow="0" w:firstColumn="0" w:lastColumn="0" w:noHBand="0" w:noVBand="0"/>
            </w:tblPr>
            <w:tblGrid>
              <w:gridCol w:w="3693"/>
              <w:gridCol w:w="562"/>
            </w:tblGrid>
            <w:tr w:rsidR="000F27C2" w:rsidRPr="0030697C" w14:paraId="27FD2987" w14:textId="77777777" w:rsidTr="00191DEC">
              <w:trPr>
                <w:trHeight w:val="245"/>
                <w:tblCellSpacing w:w="43" w:type="dxa"/>
                <w:jc w:val="center"/>
              </w:trPr>
              <w:tc>
                <w:tcPr>
                  <w:tcW w:w="3564" w:type="dxa"/>
                  <w:shd w:val="clear" w:color="auto" w:fill="8C8D90"/>
                </w:tcPr>
                <w:p w14:paraId="5A678D4B" w14:textId="77777777" w:rsidR="000F27C2" w:rsidRPr="0030697C" w:rsidRDefault="000F27C2" w:rsidP="000F27C2">
                  <w:pPr>
                    <w:framePr w:hSpace="180" w:wrap="around" w:vAnchor="text" w:hAnchor="margin" w:xAlign="right" w:y="97"/>
                    <w:spacing w:after="0" w:line="240" w:lineRule="auto"/>
                    <w:suppressOverlap/>
                    <w:jc w:val="left"/>
                    <w:rPr>
                      <w:rFonts w:ascii="Calibri" w:eastAsia="Times New Roman" w:hAnsi="Calibri" w:cs="Times New Roman"/>
                      <w:color w:val="FFFFFF" w:themeColor="background1"/>
                      <w:sz w:val="20"/>
                      <w:szCs w:val="24"/>
                    </w:rPr>
                  </w:pPr>
                  <w:r w:rsidRPr="0030697C">
                    <w:rPr>
                      <w:rFonts w:ascii="Calibri" w:eastAsia="Times New Roman" w:hAnsi="Calibri" w:cs="Times New Roman"/>
                      <w:color w:val="FFFFFF" w:themeColor="background1"/>
                      <w:sz w:val="20"/>
                      <w:szCs w:val="24"/>
                    </w:rPr>
                    <w:t>Chairman</w:t>
                  </w:r>
                </w:p>
              </w:tc>
              <w:tc>
                <w:tcPr>
                  <w:tcW w:w="433" w:type="dxa"/>
                  <w:shd w:val="clear" w:color="auto" w:fill="8C8D90"/>
                  <w:vAlign w:val="center"/>
                </w:tcPr>
                <w:p w14:paraId="51A4527B"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FFFFFF" w:themeColor="background1"/>
                      <w:sz w:val="20"/>
                      <w:szCs w:val="24"/>
                    </w:rPr>
                  </w:pPr>
                  <w:r w:rsidRPr="0030697C">
                    <w:rPr>
                      <w:rFonts w:ascii="Calibri" w:eastAsia="Times New Roman" w:hAnsi="Calibri" w:cs="Times New Roman"/>
                      <w:color w:val="FFFFFF" w:themeColor="background1"/>
                      <w:sz w:val="20"/>
                      <w:szCs w:val="24"/>
                    </w:rPr>
                    <w:t>1</w:t>
                  </w:r>
                </w:p>
              </w:tc>
            </w:tr>
            <w:tr w:rsidR="000F27C2" w:rsidRPr="0030697C" w14:paraId="40A00285" w14:textId="77777777" w:rsidTr="00191DEC">
              <w:trPr>
                <w:trHeight w:val="245"/>
                <w:tblCellSpacing w:w="43" w:type="dxa"/>
                <w:jc w:val="center"/>
              </w:trPr>
              <w:tc>
                <w:tcPr>
                  <w:tcW w:w="4083" w:type="dxa"/>
                  <w:gridSpan w:val="2"/>
                  <w:shd w:val="clear" w:color="auto" w:fill="8C8D90"/>
                  <w:vAlign w:val="center"/>
                </w:tcPr>
                <w:p w14:paraId="362EE8A6" w14:textId="77777777" w:rsidR="000F27C2" w:rsidRPr="0030697C" w:rsidRDefault="000F27C2" w:rsidP="000F27C2">
                  <w:pPr>
                    <w:framePr w:hSpace="180" w:wrap="around" w:vAnchor="text" w:hAnchor="margin" w:xAlign="right" w:y="97"/>
                    <w:spacing w:after="0" w:line="240" w:lineRule="auto"/>
                    <w:suppressOverlap/>
                    <w:jc w:val="left"/>
                    <w:rPr>
                      <w:rFonts w:ascii="Calibri" w:eastAsia="Times New Roman" w:hAnsi="Calibri" w:cs="Times New Roman"/>
                      <w:b/>
                      <w:color w:val="FFFFFF" w:themeColor="background1"/>
                      <w:sz w:val="20"/>
                      <w:szCs w:val="24"/>
                    </w:rPr>
                  </w:pPr>
                  <w:r w:rsidRPr="0030697C">
                    <w:rPr>
                      <w:rFonts w:ascii="Calibri" w:eastAsia="Times New Roman" w:hAnsi="Calibri" w:cs="Times New Roman"/>
                      <w:b/>
                      <w:color w:val="FFFFFF" w:themeColor="background1"/>
                      <w:sz w:val="20"/>
                      <w:szCs w:val="24"/>
                    </w:rPr>
                    <w:t>Representatives from:</w:t>
                  </w:r>
                </w:p>
              </w:tc>
            </w:tr>
            <w:tr w:rsidR="000F27C2" w:rsidRPr="0030697C" w14:paraId="2BF6BF57" w14:textId="77777777" w:rsidTr="00191DEC">
              <w:trPr>
                <w:trHeight w:val="245"/>
                <w:tblCellSpacing w:w="43" w:type="dxa"/>
                <w:jc w:val="center"/>
              </w:trPr>
              <w:tc>
                <w:tcPr>
                  <w:tcW w:w="3564" w:type="dxa"/>
                  <w:shd w:val="clear" w:color="auto" w:fill="E7E6E6" w:themeFill="background2"/>
                </w:tcPr>
                <w:p w14:paraId="558D7677" w14:textId="77777777" w:rsidR="000F27C2" w:rsidRPr="0030697C" w:rsidRDefault="000F27C2" w:rsidP="000F27C2">
                  <w:pPr>
                    <w:framePr w:hSpace="180" w:wrap="around" w:vAnchor="text" w:hAnchor="margin" w:xAlign="right" w:y="97"/>
                    <w:spacing w:after="0" w:line="240" w:lineRule="auto"/>
                    <w:ind w:left="338"/>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Board of Accountancy</w:t>
                  </w:r>
                </w:p>
              </w:tc>
              <w:tc>
                <w:tcPr>
                  <w:tcW w:w="433" w:type="dxa"/>
                  <w:shd w:val="clear" w:color="auto" w:fill="E7E6E6" w:themeFill="background2"/>
                  <w:vAlign w:val="center"/>
                </w:tcPr>
                <w:p w14:paraId="2F069E61"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1</w:t>
                  </w:r>
                </w:p>
              </w:tc>
            </w:tr>
            <w:tr w:rsidR="000F27C2" w:rsidRPr="0030697C" w14:paraId="7DD20EA1" w14:textId="77777777" w:rsidTr="00191DEC">
              <w:trPr>
                <w:trHeight w:val="245"/>
                <w:tblCellSpacing w:w="43" w:type="dxa"/>
                <w:jc w:val="center"/>
              </w:trPr>
              <w:tc>
                <w:tcPr>
                  <w:tcW w:w="3564" w:type="dxa"/>
                  <w:shd w:val="clear" w:color="auto" w:fill="E7E6E6" w:themeFill="background2"/>
                </w:tcPr>
                <w:p w14:paraId="341726C0" w14:textId="77777777" w:rsidR="000F27C2" w:rsidRPr="0030697C" w:rsidRDefault="000F27C2" w:rsidP="000F27C2">
                  <w:pPr>
                    <w:framePr w:hSpace="180" w:wrap="around" w:vAnchor="text" w:hAnchor="margin" w:xAlign="right" w:y="97"/>
                    <w:spacing w:after="0" w:line="240" w:lineRule="auto"/>
                    <w:ind w:left="338"/>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Securities and Exchange Commission</w:t>
                  </w:r>
                </w:p>
              </w:tc>
              <w:tc>
                <w:tcPr>
                  <w:tcW w:w="433" w:type="dxa"/>
                  <w:shd w:val="clear" w:color="auto" w:fill="E7E6E6" w:themeFill="background2"/>
                  <w:vAlign w:val="center"/>
                </w:tcPr>
                <w:p w14:paraId="77366BCA"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1</w:t>
                  </w:r>
                </w:p>
              </w:tc>
            </w:tr>
            <w:tr w:rsidR="000F27C2" w:rsidRPr="0030697C" w14:paraId="3DB70AD9" w14:textId="77777777" w:rsidTr="00191DEC">
              <w:trPr>
                <w:trHeight w:val="245"/>
                <w:tblCellSpacing w:w="43" w:type="dxa"/>
                <w:jc w:val="center"/>
              </w:trPr>
              <w:tc>
                <w:tcPr>
                  <w:tcW w:w="3564" w:type="dxa"/>
                  <w:shd w:val="clear" w:color="auto" w:fill="E7E6E6" w:themeFill="background2"/>
                </w:tcPr>
                <w:p w14:paraId="7E882634" w14:textId="77777777" w:rsidR="000F27C2" w:rsidRPr="0030697C" w:rsidRDefault="000F27C2" w:rsidP="000F27C2">
                  <w:pPr>
                    <w:framePr w:hSpace="180" w:wrap="around" w:vAnchor="text" w:hAnchor="margin" w:xAlign="right" w:y="97"/>
                    <w:spacing w:after="0" w:line="240" w:lineRule="auto"/>
                    <w:ind w:left="338"/>
                    <w:suppressOverlap/>
                    <w:jc w:val="left"/>
                    <w:rPr>
                      <w:rFonts w:ascii="Calibri" w:eastAsia="Times New Roman" w:hAnsi="Calibri" w:cs="Times New Roman"/>
                      <w:color w:val="000000"/>
                      <w:sz w:val="20"/>
                      <w:szCs w:val="24"/>
                    </w:rPr>
                  </w:pPr>
                  <w:proofErr w:type="spellStart"/>
                  <w:r w:rsidRPr="0030697C">
                    <w:rPr>
                      <w:rFonts w:ascii="Calibri" w:eastAsia="Times New Roman" w:hAnsi="Calibri" w:cs="Times New Roman"/>
                      <w:color w:val="000000"/>
                      <w:sz w:val="20"/>
                      <w:szCs w:val="24"/>
                    </w:rPr>
                    <w:t>Bangko</w:t>
                  </w:r>
                  <w:proofErr w:type="spellEnd"/>
                  <w:r w:rsidRPr="0030697C">
                    <w:rPr>
                      <w:rFonts w:ascii="Calibri" w:eastAsia="Times New Roman" w:hAnsi="Calibri" w:cs="Times New Roman"/>
                      <w:color w:val="000000"/>
                      <w:sz w:val="20"/>
                      <w:szCs w:val="24"/>
                    </w:rPr>
                    <w:t xml:space="preserve"> </w:t>
                  </w:r>
                  <w:proofErr w:type="spellStart"/>
                  <w:r w:rsidRPr="0030697C">
                    <w:rPr>
                      <w:rFonts w:ascii="Calibri" w:eastAsia="Times New Roman" w:hAnsi="Calibri" w:cs="Times New Roman"/>
                      <w:color w:val="000000"/>
                      <w:sz w:val="20"/>
                      <w:szCs w:val="24"/>
                    </w:rPr>
                    <w:t>Sentral</w:t>
                  </w:r>
                  <w:proofErr w:type="spellEnd"/>
                  <w:r w:rsidRPr="0030697C">
                    <w:rPr>
                      <w:rFonts w:ascii="Calibri" w:eastAsia="Times New Roman" w:hAnsi="Calibri" w:cs="Times New Roman"/>
                      <w:color w:val="000000"/>
                      <w:sz w:val="20"/>
                      <w:szCs w:val="24"/>
                    </w:rPr>
                    <w:t xml:space="preserve"> ng </w:t>
                  </w:r>
                  <w:proofErr w:type="spellStart"/>
                  <w:r w:rsidRPr="0030697C">
                    <w:rPr>
                      <w:rFonts w:ascii="Calibri" w:eastAsia="Times New Roman" w:hAnsi="Calibri" w:cs="Times New Roman"/>
                      <w:color w:val="000000"/>
                      <w:sz w:val="20"/>
                      <w:szCs w:val="24"/>
                    </w:rPr>
                    <w:t>Pilipinas</w:t>
                  </w:r>
                  <w:proofErr w:type="spellEnd"/>
                </w:p>
              </w:tc>
              <w:tc>
                <w:tcPr>
                  <w:tcW w:w="433" w:type="dxa"/>
                  <w:shd w:val="clear" w:color="auto" w:fill="E7E6E6" w:themeFill="background2"/>
                  <w:vAlign w:val="center"/>
                </w:tcPr>
                <w:p w14:paraId="482E9280"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1</w:t>
                  </w:r>
                </w:p>
              </w:tc>
            </w:tr>
            <w:tr w:rsidR="000F27C2" w:rsidRPr="0030697C" w14:paraId="78FA3B05" w14:textId="77777777" w:rsidTr="00191DEC">
              <w:trPr>
                <w:trHeight w:val="245"/>
                <w:tblCellSpacing w:w="43" w:type="dxa"/>
                <w:jc w:val="center"/>
              </w:trPr>
              <w:tc>
                <w:tcPr>
                  <w:tcW w:w="3564" w:type="dxa"/>
                  <w:shd w:val="clear" w:color="auto" w:fill="E7E6E6" w:themeFill="background2"/>
                </w:tcPr>
                <w:p w14:paraId="3227F236" w14:textId="77777777" w:rsidR="000F27C2" w:rsidRPr="0030697C" w:rsidRDefault="000F27C2" w:rsidP="000F27C2">
                  <w:pPr>
                    <w:framePr w:hSpace="180" w:wrap="around" w:vAnchor="text" w:hAnchor="margin" w:xAlign="right" w:y="97"/>
                    <w:spacing w:after="0" w:line="240" w:lineRule="auto"/>
                    <w:ind w:left="338"/>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Bureau of Internal Revenue</w:t>
                  </w:r>
                </w:p>
              </w:tc>
              <w:tc>
                <w:tcPr>
                  <w:tcW w:w="433" w:type="dxa"/>
                  <w:shd w:val="clear" w:color="auto" w:fill="E7E6E6" w:themeFill="background2"/>
                  <w:vAlign w:val="center"/>
                </w:tcPr>
                <w:p w14:paraId="4183D11E"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1</w:t>
                  </w:r>
                </w:p>
              </w:tc>
            </w:tr>
            <w:tr w:rsidR="000F27C2" w:rsidRPr="0030697C" w14:paraId="38B5532B" w14:textId="77777777" w:rsidTr="00191DEC">
              <w:trPr>
                <w:trHeight w:val="245"/>
                <w:tblCellSpacing w:w="43" w:type="dxa"/>
                <w:jc w:val="center"/>
              </w:trPr>
              <w:tc>
                <w:tcPr>
                  <w:tcW w:w="3564" w:type="dxa"/>
                  <w:shd w:val="clear" w:color="auto" w:fill="E7E6E6" w:themeFill="background2"/>
                </w:tcPr>
                <w:p w14:paraId="32B727D4" w14:textId="77777777" w:rsidR="000F27C2" w:rsidRPr="0030697C" w:rsidRDefault="000F27C2" w:rsidP="000F27C2">
                  <w:pPr>
                    <w:framePr w:hSpace="180" w:wrap="around" w:vAnchor="text" w:hAnchor="margin" w:xAlign="right" w:y="97"/>
                    <w:spacing w:after="0" w:line="240" w:lineRule="auto"/>
                    <w:ind w:left="338"/>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Commission on Audit</w:t>
                  </w:r>
                </w:p>
              </w:tc>
              <w:tc>
                <w:tcPr>
                  <w:tcW w:w="433" w:type="dxa"/>
                  <w:shd w:val="clear" w:color="auto" w:fill="E7E6E6" w:themeFill="background2"/>
                  <w:vAlign w:val="center"/>
                </w:tcPr>
                <w:p w14:paraId="377FB0FB"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1</w:t>
                  </w:r>
                </w:p>
              </w:tc>
            </w:tr>
            <w:tr w:rsidR="000F27C2" w:rsidRPr="0030697C" w14:paraId="7227E8FB" w14:textId="77777777" w:rsidTr="00191DEC">
              <w:trPr>
                <w:trHeight w:val="14"/>
                <w:tblCellSpacing w:w="43" w:type="dxa"/>
                <w:jc w:val="center"/>
              </w:trPr>
              <w:tc>
                <w:tcPr>
                  <w:tcW w:w="3564" w:type="dxa"/>
                  <w:shd w:val="clear" w:color="auto" w:fill="E7E6E6" w:themeFill="background2"/>
                </w:tcPr>
                <w:p w14:paraId="1F446520" w14:textId="77777777" w:rsidR="000F27C2" w:rsidRPr="0030697C" w:rsidRDefault="000F27C2" w:rsidP="000F27C2">
                  <w:pPr>
                    <w:framePr w:hSpace="180" w:wrap="around" w:vAnchor="text" w:hAnchor="margin" w:xAlign="right" w:y="97"/>
                    <w:spacing w:after="0" w:line="240" w:lineRule="auto"/>
                    <w:ind w:left="338"/>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Major organization composed of preparers and users of financial statements (e.g., Financial Executives Institute of the Philippines)</w:t>
                  </w:r>
                </w:p>
              </w:tc>
              <w:tc>
                <w:tcPr>
                  <w:tcW w:w="433" w:type="dxa"/>
                  <w:shd w:val="clear" w:color="auto" w:fill="E7E6E6" w:themeFill="background2"/>
                  <w:vAlign w:val="center"/>
                </w:tcPr>
                <w:p w14:paraId="1DE84190"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1</w:t>
                  </w:r>
                </w:p>
              </w:tc>
            </w:tr>
            <w:tr w:rsidR="000F27C2" w:rsidRPr="0030697C" w14:paraId="2F2D7B81" w14:textId="77777777" w:rsidTr="00191DEC">
              <w:trPr>
                <w:trHeight w:val="245"/>
                <w:tblCellSpacing w:w="43" w:type="dxa"/>
                <w:jc w:val="center"/>
              </w:trPr>
              <w:tc>
                <w:tcPr>
                  <w:tcW w:w="4083" w:type="dxa"/>
                  <w:gridSpan w:val="2"/>
                  <w:shd w:val="clear" w:color="auto" w:fill="8C8D90"/>
                  <w:vAlign w:val="center"/>
                </w:tcPr>
                <w:p w14:paraId="0021E3D1" w14:textId="77777777" w:rsidR="000F27C2" w:rsidRPr="0030697C" w:rsidRDefault="000F27C2" w:rsidP="000F27C2">
                  <w:pPr>
                    <w:framePr w:hSpace="180" w:wrap="around" w:vAnchor="text" w:hAnchor="margin" w:xAlign="right" w:y="97"/>
                    <w:spacing w:after="0" w:line="240" w:lineRule="auto"/>
                    <w:ind w:left="338"/>
                    <w:suppressOverlap/>
                    <w:jc w:val="left"/>
                    <w:rPr>
                      <w:rFonts w:ascii="Calibri" w:eastAsia="Times New Roman" w:hAnsi="Calibri" w:cs="Times New Roman"/>
                      <w:b/>
                      <w:color w:val="FFFFFF" w:themeColor="background1"/>
                      <w:sz w:val="20"/>
                      <w:szCs w:val="24"/>
                    </w:rPr>
                  </w:pPr>
                  <w:r w:rsidRPr="0030697C">
                    <w:rPr>
                      <w:rFonts w:ascii="Calibri" w:eastAsia="Times New Roman" w:hAnsi="Calibri" w:cs="Times New Roman"/>
                      <w:b/>
                      <w:color w:val="FFFFFF" w:themeColor="background1"/>
                      <w:sz w:val="20"/>
                      <w:szCs w:val="24"/>
                    </w:rPr>
                    <w:t>Philippine Institute of CPAs:</w:t>
                  </w:r>
                </w:p>
              </w:tc>
            </w:tr>
            <w:tr w:rsidR="000F27C2" w:rsidRPr="0030697C" w14:paraId="02BA466D" w14:textId="77777777" w:rsidTr="00191DEC">
              <w:trPr>
                <w:trHeight w:val="245"/>
                <w:tblCellSpacing w:w="43" w:type="dxa"/>
                <w:jc w:val="center"/>
              </w:trPr>
              <w:tc>
                <w:tcPr>
                  <w:tcW w:w="3564" w:type="dxa"/>
                  <w:shd w:val="clear" w:color="auto" w:fill="E7E6E6" w:themeFill="background2"/>
                </w:tcPr>
                <w:p w14:paraId="7EE7CEA4" w14:textId="77777777" w:rsidR="000F27C2" w:rsidRPr="0030697C" w:rsidRDefault="000F27C2" w:rsidP="000F27C2">
                  <w:pPr>
                    <w:framePr w:hSpace="180" w:wrap="around" w:vAnchor="text" w:hAnchor="margin" w:xAlign="right" w:y="97"/>
                    <w:spacing w:after="0" w:line="240" w:lineRule="auto"/>
                    <w:ind w:left="617"/>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Public Practice</w:t>
                  </w:r>
                </w:p>
              </w:tc>
              <w:tc>
                <w:tcPr>
                  <w:tcW w:w="433" w:type="dxa"/>
                  <w:shd w:val="clear" w:color="auto" w:fill="E7E6E6" w:themeFill="background2"/>
                  <w:vAlign w:val="center"/>
                </w:tcPr>
                <w:p w14:paraId="1DEF5C72"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2</w:t>
                  </w:r>
                </w:p>
              </w:tc>
            </w:tr>
            <w:tr w:rsidR="000F27C2" w:rsidRPr="0030697C" w14:paraId="28CFCA81" w14:textId="77777777" w:rsidTr="00191DEC">
              <w:trPr>
                <w:trHeight w:val="245"/>
                <w:tblCellSpacing w:w="43" w:type="dxa"/>
                <w:jc w:val="center"/>
              </w:trPr>
              <w:tc>
                <w:tcPr>
                  <w:tcW w:w="3564" w:type="dxa"/>
                  <w:shd w:val="clear" w:color="auto" w:fill="E7E6E6" w:themeFill="background2"/>
                </w:tcPr>
                <w:p w14:paraId="3F2C823D" w14:textId="77777777" w:rsidR="000F27C2" w:rsidRPr="0030697C" w:rsidRDefault="000F27C2" w:rsidP="000F27C2">
                  <w:pPr>
                    <w:framePr w:hSpace="180" w:wrap="around" w:vAnchor="text" w:hAnchor="margin" w:xAlign="right" w:y="97"/>
                    <w:spacing w:after="0" w:line="240" w:lineRule="auto"/>
                    <w:ind w:left="617"/>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Commerce and Industry</w:t>
                  </w:r>
                </w:p>
              </w:tc>
              <w:tc>
                <w:tcPr>
                  <w:tcW w:w="433" w:type="dxa"/>
                  <w:shd w:val="clear" w:color="auto" w:fill="E7E6E6" w:themeFill="background2"/>
                  <w:vAlign w:val="center"/>
                </w:tcPr>
                <w:p w14:paraId="298D324F"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2</w:t>
                  </w:r>
                </w:p>
              </w:tc>
            </w:tr>
            <w:tr w:rsidR="000F27C2" w:rsidRPr="0030697C" w14:paraId="5AEB44E7" w14:textId="77777777" w:rsidTr="00191DEC">
              <w:trPr>
                <w:trHeight w:val="245"/>
                <w:tblCellSpacing w:w="43" w:type="dxa"/>
                <w:jc w:val="center"/>
              </w:trPr>
              <w:tc>
                <w:tcPr>
                  <w:tcW w:w="3564" w:type="dxa"/>
                  <w:shd w:val="clear" w:color="auto" w:fill="E7E6E6" w:themeFill="background2"/>
                </w:tcPr>
                <w:p w14:paraId="46988D7B" w14:textId="77777777" w:rsidR="000F27C2" w:rsidRPr="0030697C" w:rsidRDefault="000F27C2" w:rsidP="000F27C2">
                  <w:pPr>
                    <w:framePr w:hSpace="180" w:wrap="around" w:vAnchor="text" w:hAnchor="margin" w:xAlign="right" w:y="97"/>
                    <w:spacing w:after="0" w:line="240" w:lineRule="auto"/>
                    <w:ind w:left="617"/>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 xml:space="preserve">Academia/Education                     </w:t>
                  </w:r>
                </w:p>
              </w:tc>
              <w:tc>
                <w:tcPr>
                  <w:tcW w:w="433" w:type="dxa"/>
                  <w:shd w:val="clear" w:color="auto" w:fill="E7E6E6" w:themeFill="background2"/>
                  <w:vAlign w:val="center"/>
                </w:tcPr>
                <w:p w14:paraId="6578809F"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2</w:t>
                  </w:r>
                </w:p>
              </w:tc>
            </w:tr>
            <w:tr w:rsidR="000F27C2" w:rsidRPr="0030697C" w14:paraId="2808DEAC" w14:textId="77777777" w:rsidTr="00191DEC">
              <w:trPr>
                <w:trHeight w:val="245"/>
                <w:tblCellSpacing w:w="43" w:type="dxa"/>
                <w:jc w:val="center"/>
              </w:trPr>
              <w:tc>
                <w:tcPr>
                  <w:tcW w:w="3564" w:type="dxa"/>
                  <w:shd w:val="clear" w:color="auto" w:fill="E7E6E6" w:themeFill="background2"/>
                </w:tcPr>
                <w:p w14:paraId="0EBF3666" w14:textId="77777777" w:rsidR="000F27C2" w:rsidRPr="0030697C" w:rsidRDefault="000F27C2" w:rsidP="000F27C2">
                  <w:pPr>
                    <w:framePr w:hSpace="180" w:wrap="around" w:vAnchor="text" w:hAnchor="margin" w:xAlign="right" w:y="97"/>
                    <w:spacing w:after="0" w:line="240" w:lineRule="auto"/>
                    <w:ind w:left="617"/>
                    <w:suppressOverlap/>
                    <w:jc w:val="left"/>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Government</w:t>
                  </w:r>
                </w:p>
              </w:tc>
              <w:tc>
                <w:tcPr>
                  <w:tcW w:w="433" w:type="dxa"/>
                  <w:shd w:val="clear" w:color="auto" w:fill="E7E6E6" w:themeFill="background2"/>
                  <w:vAlign w:val="center"/>
                </w:tcPr>
                <w:p w14:paraId="5896B0C8"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color w:val="000000"/>
                      <w:sz w:val="20"/>
                      <w:szCs w:val="24"/>
                    </w:rPr>
                  </w:pPr>
                  <w:r w:rsidRPr="0030697C">
                    <w:rPr>
                      <w:rFonts w:ascii="Calibri" w:eastAsia="Times New Roman" w:hAnsi="Calibri" w:cs="Times New Roman"/>
                      <w:color w:val="000000"/>
                      <w:sz w:val="20"/>
                      <w:szCs w:val="24"/>
                    </w:rPr>
                    <w:t>2</w:t>
                  </w:r>
                </w:p>
              </w:tc>
            </w:tr>
            <w:tr w:rsidR="000F27C2" w:rsidRPr="0030697C" w14:paraId="110F0C66" w14:textId="77777777" w:rsidTr="00191DEC">
              <w:trPr>
                <w:trHeight w:val="245"/>
                <w:tblCellSpacing w:w="43" w:type="dxa"/>
                <w:jc w:val="center"/>
              </w:trPr>
              <w:tc>
                <w:tcPr>
                  <w:tcW w:w="3564" w:type="dxa"/>
                  <w:shd w:val="clear" w:color="auto" w:fill="C6E8D7"/>
                </w:tcPr>
                <w:p w14:paraId="7753232E" w14:textId="77777777" w:rsidR="000F27C2" w:rsidRPr="0030697C" w:rsidRDefault="000F27C2" w:rsidP="000F27C2">
                  <w:pPr>
                    <w:framePr w:hSpace="180" w:wrap="around" w:vAnchor="text" w:hAnchor="margin" w:xAlign="right" w:y="97"/>
                    <w:spacing w:after="0" w:line="240" w:lineRule="auto"/>
                    <w:suppressOverlap/>
                    <w:jc w:val="left"/>
                    <w:rPr>
                      <w:rFonts w:ascii="Calibri" w:eastAsia="Times New Roman" w:hAnsi="Calibri" w:cs="Times New Roman"/>
                      <w:b/>
                      <w:sz w:val="20"/>
                      <w:szCs w:val="24"/>
                    </w:rPr>
                  </w:pPr>
                  <w:r w:rsidRPr="0030697C">
                    <w:rPr>
                      <w:rFonts w:ascii="Calibri" w:eastAsia="Times New Roman" w:hAnsi="Calibri" w:cs="Times New Roman"/>
                      <w:b/>
                      <w:sz w:val="20"/>
                      <w:szCs w:val="24"/>
                    </w:rPr>
                    <w:t>Total</w:t>
                  </w:r>
                </w:p>
              </w:tc>
              <w:tc>
                <w:tcPr>
                  <w:tcW w:w="433" w:type="dxa"/>
                  <w:shd w:val="clear" w:color="auto" w:fill="C6E8D7"/>
                  <w:vAlign w:val="center"/>
                </w:tcPr>
                <w:p w14:paraId="4B798C7A" w14:textId="77777777" w:rsidR="000F27C2" w:rsidRPr="0030697C" w:rsidRDefault="000F27C2" w:rsidP="000F27C2">
                  <w:pPr>
                    <w:framePr w:hSpace="180" w:wrap="around" w:vAnchor="text" w:hAnchor="margin" w:xAlign="right" w:y="97"/>
                    <w:spacing w:after="0" w:line="240" w:lineRule="auto"/>
                    <w:suppressOverlap/>
                    <w:jc w:val="center"/>
                    <w:rPr>
                      <w:rFonts w:ascii="Calibri" w:eastAsia="Times New Roman" w:hAnsi="Calibri" w:cs="Times New Roman"/>
                      <w:b/>
                      <w:sz w:val="20"/>
                      <w:szCs w:val="24"/>
                    </w:rPr>
                  </w:pPr>
                  <w:r w:rsidRPr="0030697C">
                    <w:rPr>
                      <w:rFonts w:ascii="Calibri" w:eastAsia="Times New Roman" w:hAnsi="Calibri" w:cs="Times New Roman"/>
                      <w:b/>
                      <w:sz w:val="20"/>
                      <w:szCs w:val="24"/>
                    </w:rPr>
                    <w:t>15</w:t>
                  </w:r>
                </w:p>
              </w:tc>
            </w:tr>
          </w:tbl>
          <w:p w14:paraId="095B6400" w14:textId="77777777" w:rsidR="000F27C2" w:rsidRPr="000767A5" w:rsidRDefault="000F27C2" w:rsidP="000F27C2">
            <w:pPr>
              <w:pStyle w:val="ListParagraph"/>
              <w:numPr>
                <w:ilvl w:val="0"/>
                <w:numId w:val="0"/>
              </w:numPr>
              <w:tabs>
                <w:tab w:val="left" w:pos="720"/>
              </w:tabs>
              <w:autoSpaceDE w:val="0"/>
              <w:autoSpaceDN w:val="0"/>
              <w:adjustRightInd w:val="0"/>
              <w:spacing w:before="0" w:beforeAutospacing="0" w:after="0" w:afterAutospacing="0" w:line="276" w:lineRule="auto"/>
              <w:jc w:val="center"/>
              <w:rPr>
                <w:rFonts w:asciiTheme="minorHAnsi" w:hAnsiTheme="minorHAnsi" w:cs="Times New Roman"/>
                <w:b/>
                <w:szCs w:val="18"/>
              </w:rPr>
            </w:pPr>
          </w:p>
        </w:tc>
      </w:tr>
    </w:tbl>
    <w:p w14:paraId="1025E1E8" w14:textId="406DB4BA" w:rsidR="00F76E53" w:rsidRPr="008F1E62" w:rsidRDefault="00F76E53" w:rsidP="00FB3DC8">
      <w:pPr>
        <w:pStyle w:val="BodyText4"/>
        <w:numPr>
          <w:ilvl w:val="0"/>
          <w:numId w:val="2"/>
        </w:numPr>
        <w:spacing w:after="200" w:line="276" w:lineRule="auto"/>
        <w:ind w:left="0" w:hanging="567"/>
        <w:rPr>
          <w:rFonts w:ascii="Calibri" w:hAnsi="Calibri" w:cs="Calibri"/>
        </w:rPr>
      </w:pPr>
      <w:r w:rsidRPr="008F1E62">
        <w:rPr>
          <w:rFonts w:ascii="Calibri" w:hAnsi="Calibri" w:cs="Calibri"/>
          <w:b/>
          <w:bCs/>
        </w:rPr>
        <w:t xml:space="preserve">The SEC, having jurisdiction and the power to supervise all corporations in the Philippines, has the power to prescribe the applicable financial framework to be used by the </w:t>
      </w:r>
      <w:r w:rsidRPr="008F1E62">
        <w:rPr>
          <w:rFonts w:ascii="Calibri" w:hAnsi="Calibri"/>
          <w:b/>
          <w:bCs/>
        </w:rPr>
        <w:t>said</w:t>
      </w:r>
      <w:r w:rsidRPr="008F1E62">
        <w:rPr>
          <w:rFonts w:ascii="Calibri" w:hAnsi="Calibri" w:cs="Calibri"/>
          <w:b/>
          <w:bCs/>
        </w:rPr>
        <w:t xml:space="preserve"> corporations.</w:t>
      </w:r>
      <w:r w:rsidRPr="008F1E62">
        <w:rPr>
          <w:rFonts w:ascii="Calibri" w:hAnsi="Calibri" w:cs="Calibri"/>
        </w:rPr>
        <w:t xml:space="preserve"> It adopts accounting pronouncements issued by the FRSC as part of its rules and regulations as soon as the accounting pronouncements are: (1) approved by the BOA and the PRC and (2) published in the Official Gazette.</w:t>
      </w:r>
      <w:r w:rsidR="001B6F34">
        <w:rPr>
          <w:rFonts w:ascii="Calibri" w:hAnsi="Calibri" w:cs="Calibri"/>
        </w:rPr>
        <w:t xml:space="preserve"> </w:t>
      </w:r>
    </w:p>
    <w:p w14:paraId="185839A1" w14:textId="47ED1164" w:rsidR="00F76E53" w:rsidRDefault="00F76E53" w:rsidP="009315BA">
      <w:pPr>
        <w:pStyle w:val="BodyText4"/>
        <w:numPr>
          <w:ilvl w:val="0"/>
          <w:numId w:val="2"/>
        </w:numPr>
        <w:spacing w:after="200" w:line="276" w:lineRule="auto"/>
        <w:ind w:left="0" w:hanging="567"/>
        <w:rPr>
          <w:rFonts w:asciiTheme="minorHAnsi" w:hAnsiTheme="minorHAnsi" w:cs="Calibri"/>
        </w:rPr>
      </w:pPr>
      <w:r w:rsidRPr="008F1E62">
        <w:rPr>
          <w:rFonts w:asciiTheme="minorHAnsi" w:hAnsiTheme="minorHAnsi" w:cs="Arial"/>
          <w:b/>
          <w:bCs/>
          <w:color w:val="000000" w:themeColor="text1"/>
        </w:rPr>
        <w:t xml:space="preserve">The </w:t>
      </w:r>
      <w:r w:rsidRPr="009315BA">
        <w:rPr>
          <w:rFonts w:asciiTheme="minorHAnsi" w:hAnsiTheme="minorHAnsi"/>
          <w:b/>
        </w:rPr>
        <w:t>Chairman</w:t>
      </w:r>
      <w:r w:rsidRPr="008F1E62">
        <w:rPr>
          <w:rFonts w:asciiTheme="minorHAnsi" w:hAnsiTheme="minorHAnsi" w:cs="Arial"/>
          <w:b/>
          <w:bCs/>
          <w:color w:val="000000" w:themeColor="text1"/>
        </w:rPr>
        <w:t xml:space="preserve"> of the FRSC shall be </w:t>
      </w:r>
      <w:r w:rsidRPr="008F1E62">
        <w:rPr>
          <w:rFonts w:ascii="Calibri" w:hAnsi="Calibri"/>
          <w:b/>
          <w:bCs/>
        </w:rPr>
        <w:t>appointed</w:t>
      </w:r>
      <w:r w:rsidRPr="008F1E62">
        <w:rPr>
          <w:rFonts w:asciiTheme="minorHAnsi" w:hAnsiTheme="minorHAnsi" w:cs="Arial"/>
          <w:b/>
          <w:bCs/>
          <w:color w:val="000000" w:themeColor="text1"/>
        </w:rPr>
        <w:t xml:space="preserve"> by the PRC upon recommendation of the BOA.  </w:t>
      </w:r>
      <w:r w:rsidRPr="008F1E62">
        <w:rPr>
          <w:rFonts w:asciiTheme="minorHAnsi" w:hAnsiTheme="minorHAnsi" w:cs="Arial"/>
          <w:color w:val="000000" w:themeColor="text1"/>
        </w:rPr>
        <w:t>The FRSC shall make an annual review of the composition of their respective councils and may recommend to PRC and BOA a more suitable representation as they deem fit.  Members of the FRSC shall have a term of</w:t>
      </w:r>
      <w:r w:rsidR="00D20925" w:rsidRPr="00D20925">
        <w:t xml:space="preserve"> </w:t>
      </w:r>
      <w:r w:rsidR="00D20925" w:rsidRPr="00D20925">
        <w:rPr>
          <w:rFonts w:asciiTheme="minorHAnsi" w:hAnsiTheme="minorHAnsi" w:cs="Arial"/>
          <w:color w:val="000000" w:themeColor="text1"/>
        </w:rPr>
        <w:t xml:space="preserve">three </w:t>
      </w:r>
      <w:r w:rsidRPr="008F1E62">
        <w:rPr>
          <w:rFonts w:asciiTheme="minorHAnsi" w:hAnsiTheme="minorHAnsi" w:cs="Arial"/>
          <w:color w:val="000000" w:themeColor="text1"/>
        </w:rPr>
        <w:t xml:space="preserve">years renewable for another term.  </w:t>
      </w:r>
      <w:r w:rsidRPr="008F1E62">
        <w:rPr>
          <w:rFonts w:asciiTheme="minorHAnsi" w:hAnsiTheme="minorHAnsi" w:cs="Calibri"/>
        </w:rPr>
        <w:t xml:space="preserve">Some members of the FRSC are nominated by the PICPA while some are nominated by their respective organizations (BSP, BIR, </w:t>
      </w:r>
      <w:r w:rsidR="00AA059B" w:rsidRPr="00AA059B">
        <w:rPr>
          <w:rFonts w:asciiTheme="minorHAnsi" w:hAnsiTheme="minorHAnsi" w:cs="Calibri"/>
        </w:rPr>
        <w:t>Financial Executives Institute of the Philippines</w:t>
      </w:r>
      <w:r w:rsidRPr="008F1E62">
        <w:rPr>
          <w:rFonts w:asciiTheme="minorHAnsi" w:hAnsiTheme="minorHAnsi" w:cs="Calibri"/>
        </w:rPr>
        <w:t xml:space="preserve">, SEC).  The members of the FRSC are then approved by the BOA.  </w:t>
      </w:r>
      <w:r w:rsidR="005644AA" w:rsidRPr="005644AA">
        <w:rPr>
          <w:rFonts w:asciiTheme="minorHAnsi" w:hAnsiTheme="minorHAnsi" w:cs="Calibri"/>
        </w:rPr>
        <w:t xml:space="preserve">Philippine Interpretations Committee </w:t>
      </w:r>
      <w:r w:rsidRPr="008F1E62">
        <w:rPr>
          <w:rFonts w:asciiTheme="minorHAnsi" w:hAnsiTheme="minorHAnsi" w:cs="Calibri"/>
        </w:rPr>
        <w:t>membership is by nomination by the respective accounting firms, by BSP, SEC, IC, PICPA, and then approved by FRSC.  BOA members and SEC commissioners are appointed by the Office of the President.</w:t>
      </w:r>
    </w:p>
    <w:p w14:paraId="5FC98D74" w14:textId="68C7A7F4" w:rsidR="00F76E53" w:rsidRPr="008F1E62" w:rsidRDefault="00F76E53" w:rsidP="009315BA">
      <w:pPr>
        <w:pStyle w:val="BodyText4"/>
        <w:numPr>
          <w:ilvl w:val="0"/>
          <w:numId w:val="2"/>
        </w:numPr>
        <w:spacing w:after="200" w:line="276" w:lineRule="auto"/>
        <w:ind w:left="0" w:hanging="567"/>
        <w:rPr>
          <w:rFonts w:ascii="Calibri" w:hAnsi="Calibri" w:cs="Calibri"/>
        </w:rPr>
      </w:pPr>
      <w:r w:rsidRPr="008F1E62">
        <w:rPr>
          <w:rFonts w:ascii="Calibri" w:hAnsi="Calibri" w:cs="Calibri"/>
          <w:b/>
          <w:bCs/>
        </w:rPr>
        <w:t xml:space="preserve">The BOA and SEC are funded by the government. </w:t>
      </w:r>
      <w:r w:rsidRPr="008F1E62">
        <w:rPr>
          <w:rFonts w:ascii="Calibri" w:hAnsi="Calibri"/>
          <w:b/>
          <w:bCs/>
        </w:rPr>
        <w:t>Although</w:t>
      </w:r>
      <w:r w:rsidRPr="008F1E62">
        <w:rPr>
          <w:rFonts w:ascii="Calibri" w:hAnsi="Calibri" w:cs="Calibri"/>
          <w:b/>
          <w:bCs/>
        </w:rPr>
        <w:t xml:space="preserve"> FRSC and </w:t>
      </w:r>
      <w:r w:rsidR="00BF47EA">
        <w:rPr>
          <w:rFonts w:ascii="Calibri" w:hAnsi="Calibri" w:cs="Calibri"/>
          <w:b/>
          <w:bCs/>
        </w:rPr>
        <w:t xml:space="preserve">the </w:t>
      </w:r>
      <w:r w:rsidR="00BF47EA" w:rsidRPr="00BF47EA">
        <w:rPr>
          <w:rFonts w:ascii="Calibri" w:hAnsi="Calibri" w:cs="Calibri"/>
          <w:b/>
          <w:bCs/>
        </w:rPr>
        <w:t>Philippine Interpretations Committee</w:t>
      </w:r>
      <w:r w:rsidR="00BF47EA" w:rsidRPr="00BF47EA" w:rsidDel="00BF47EA">
        <w:rPr>
          <w:rFonts w:ascii="Calibri" w:hAnsi="Calibri" w:cs="Calibri"/>
          <w:b/>
          <w:bCs/>
        </w:rPr>
        <w:t xml:space="preserve"> </w:t>
      </w:r>
      <w:r w:rsidRPr="008F1E62">
        <w:rPr>
          <w:rFonts w:ascii="Calibri" w:hAnsi="Calibri" w:cs="Calibri"/>
          <w:b/>
          <w:bCs/>
        </w:rPr>
        <w:t xml:space="preserve">were created through BOA, the councils have no specific budget </w:t>
      </w:r>
      <w:r w:rsidRPr="009315BA">
        <w:rPr>
          <w:rFonts w:asciiTheme="minorHAnsi" w:hAnsiTheme="minorHAnsi"/>
          <w:b/>
        </w:rPr>
        <w:t>provision</w:t>
      </w:r>
      <w:r w:rsidRPr="008F1E62">
        <w:rPr>
          <w:rFonts w:ascii="Calibri" w:hAnsi="Calibri" w:cs="Calibri"/>
          <w:b/>
          <w:bCs/>
        </w:rPr>
        <w:t xml:space="preserve"> in the General Appropriations Act.</w:t>
      </w:r>
      <w:r w:rsidRPr="008F1E62">
        <w:rPr>
          <w:rFonts w:ascii="Calibri" w:hAnsi="Calibri" w:cs="Calibri"/>
        </w:rPr>
        <w:t xml:space="preserve">  Appointed members from accounting firms in the </w:t>
      </w:r>
      <w:r w:rsidRPr="00764D37">
        <w:rPr>
          <w:rFonts w:asciiTheme="minorHAnsi" w:hAnsiTheme="minorHAnsi" w:cstheme="minorHAnsi"/>
        </w:rPr>
        <w:t xml:space="preserve">council contribute their own resources for FRSC and </w:t>
      </w:r>
      <w:r w:rsidR="008C7BFB" w:rsidRPr="00764D37">
        <w:rPr>
          <w:rFonts w:asciiTheme="minorHAnsi" w:hAnsiTheme="minorHAnsi" w:cstheme="minorHAnsi"/>
        </w:rPr>
        <w:t>Philippine Interpretations Committee</w:t>
      </w:r>
      <w:r w:rsidR="008C7BFB" w:rsidRPr="00764D37" w:rsidDel="008C7BFB">
        <w:rPr>
          <w:rFonts w:asciiTheme="minorHAnsi" w:hAnsiTheme="minorHAnsi" w:cstheme="minorHAnsi"/>
        </w:rPr>
        <w:t xml:space="preserve"> </w:t>
      </w:r>
      <w:r w:rsidRPr="00764D37">
        <w:rPr>
          <w:rFonts w:asciiTheme="minorHAnsi" w:hAnsiTheme="minorHAnsi" w:cstheme="minorHAnsi"/>
        </w:rPr>
        <w:t>operations.</w:t>
      </w:r>
      <w:r w:rsidRPr="00AF4232">
        <w:rPr>
          <w:rFonts w:asciiTheme="minorHAnsi" w:hAnsiTheme="minorHAnsi" w:cstheme="minorHAnsi"/>
          <w:color w:val="000000" w:themeColor="text1"/>
        </w:rPr>
        <w:t xml:space="preserve">  </w:t>
      </w:r>
      <w:r w:rsidRPr="00764D37">
        <w:rPr>
          <w:rFonts w:asciiTheme="minorHAnsi" w:hAnsiTheme="minorHAnsi" w:cstheme="minorHAnsi"/>
        </w:rPr>
        <w:t xml:space="preserve">The FRSC is supposed to receive annual funding </w:t>
      </w:r>
      <w:r w:rsidR="001D45CB" w:rsidRPr="00764D37">
        <w:rPr>
          <w:rFonts w:asciiTheme="minorHAnsi" w:hAnsiTheme="minorHAnsi" w:cstheme="minorHAnsi"/>
        </w:rPr>
        <w:t xml:space="preserve">from the PICPA Foundation </w:t>
      </w:r>
      <w:r w:rsidR="008E4292" w:rsidRPr="00764D37">
        <w:rPr>
          <w:rFonts w:asciiTheme="minorHAnsi" w:hAnsiTheme="minorHAnsi" w:cstheme="minorHAnsi"/>
        </w:rPr>
        <w:t>(formerly</w:t>
      </w:r>
      <w:r w:rsidRPr="00764D37">
        <w:rPr>
          <w:rFonts w:asciiTheme="minorHAnsi" w:hAnsiTheme="minorHAnsi" w:cstheme="minorHAnsi"/>
        </w:rPr>
        <w:t xml:space="preserve"> 100</w:t>
      </w:r>
      <w:r w:rsidR="008C7BFB" w:rsidRPr="00764D37">
        <w:rPr>
          <w:rFonts w:asciiTheme="minorHAnsi" w:hAnsiTheme="minorHAnsi" w:cstheme="minorHAnsi"/>
        </w:rPr>
        <w:t xml:space="preserve"> thousand pesos</w:t>
      </w:r>
      <w:r w:rsidRPr="008F1E62">
        <w:rPr>
          <w:rFonts w:ascii="Calibri" w:hAnsi="Calibri" w:cs="Calibri"/>
        </w:rPr>
        <w:t xml:space="preserve"> </w:t>
      </w:r>
      <w:r w:rsidR="00AF4232">
        <w:rPr>
          <w:rFonts w:ascii="Calibri" w:hAnsi="Calibri" w:cs="Calibri"/>
        </w:rPr>
        <w:t xml:space="preserve">or </w:t>
      </w:r>
      <w:r w:rsidRPr="008F1E62">
        <w:rPr>
          <w:rFonts w:ascii="Calibri" w:hAnsi="Calibri" w:cs="Calibri"/>
        </w:rPr>
        <w:t>approximately $</w:t>
      </w:r>
      <w:r w:rsidR="008C7BFB">
        <w:rPr>
          <w:rFonts w:ascii="Calibri" w:hAnsi="Calibri" w:cs="Calibri"/>
        </w:rPr>
        <w:t xml:space="preserve"> </w:t>
      </w:r>
      <w:r w:rsidRPr="008F1E62">
        <w:rPr>
          <w:rFonts w:ascii="Calibri" w:hAnsi="Calibri" w:cs="Calibri"/>
        </w:rPr>
        <w:t xml:space="preserve">2,100) </w:t>
      </w:r>
      <w:r w:rsidR="008E4292">
        <w:rPr>
          <w:rFonts w:ascii="Calibri" w:hAnsi="Calibri" w:cs="Calibri"/>
        </w:rPr>
        <w:t xml:space="preserve">but </w:t>
      </w:r>
      <w:r w:rsidRPr="008F1E62">
        <w:rPr>
          <w:rFonts w:ascii="Calibri" w:hAnsi="Calibri" w:cs="Calibri"/>
        </w:rPr>
        <w:t>reduced two years ago to 50</w:t>
      </w:r>
      <w:r w:rsidR="008C7BFB">
        <w:rPr>
          <w:rFonts w:ascii="Calibri" w:hAnsi="Calibri" w:cs="Calibri"/>
        </w:rPr>
        <w:t xml:space="preserve"> thousand pesos</w:t>
      </w:r>
      <w:r w:rsidRPr="008F1E62">
        <w:rPr>
          <w:rFonts w:ascii="Calibri" w:hAnsi="Calibri" w:cs="Calibri"/>
        </w:rPr>
        <w:t xml:space="preserve"> ($</w:t>
      </w:r>
      <w:r w:rsidR="001D45CB">
        <w:rPr>
          <w:rFonts w:ascii="Calibri" w:hAnsi="Calibri" w:cs="Calibri"/>
        </w:rPr>
        <w:t xml:space="preserve"> </w:t>
      </w:r>
      <w:r w:rsidRPr="008F1E62">
        <w:rPr>
          <w:rFonts w:ascii="Calibri" w:hAnsi="Calibri" w:cs="Calibri"/>
        </w:rPr>
        <w:t xml:space="preserve">1,050), however release of the funding is not regular. </w:t>
      </w:r>
    </w:p>
    <w:p w14:paraId="5244840A" w14:textId="77777777" w:rsidR="00F54366" w:rsidRPr="008F1E62" w:rsidRDefault="00274A14" w:rsidP="00C202D6">
      <w:pPr>
        <w:pStyle w:val="BodyText4"/>
        <w:numPr>
          <w:ilvl w:val="0"/>
          <w:numId w:val="2"/>
        </w:numPr>
        <w:spacing w:after="100" w:line="276" w:lineRule="auto"/>
        <w:ind w:left="0" w:hanging="562"/>
        <w:rPr>
          <w:rFonts w:asciiTheme="minorHAnsi" w:hAnsiTheme="minorHAnsi" w:cstheme="minorHAnsi"/>
          <w:szCs w:val="24"/>
        </w:rPr>
      </w:pPr>
      <w:r>
        <w:rPr>
          <w:rFonts w:asciiTheme="minorHAnsi" w:hAnsiTheme="minorHAnsi" w:cstheme="minorHAnsi"/>
          <w:b/>
          <w:szCs w:val="24"/>
        </w:rPr>
        <w:t>O</w:t>
      </w:r>
      <w:r w:rsidR="000101A7" w:rsidRPr="008F1E62">
        <w:rPr>
          <w:rFonts w:asciiTheme="minorHAnsi" w:hAnsiTheme="minorHAnsi" w:cstheme="minorHAnsi"/>
          <w:b/>
          <w:szCs w:val="24"/>
        </w:rPr>
        <w:t xml:space="preserve">n November 22, 2016, the SEC released a new </w:t>
      </w:r>
      <w:r w:rsidR="00DA7B68" w:rsidRPr="008F1E62">
        <w:rPr>
          <w:rFonts w:ascii="Calibri" w:hAnsi="Calibri" w:cs="Calibri"/>
          <w:b/>
          <w:color w:val="000000" w:themeColor="text1"/>
          <w:szCs w:val="24"/>
        </w:rPr>
        <w:t>Code of Corporate Governance for Publicly-Listed Companies</w:t>
      </w:r>
      <w:r w:rsidR="00856488" w:rsidRPr="008F1E62">
        <w:rPr>
          <w:rStyle w:val="FootnoteReference"/>
          <w:rFonts w:ascii="Calibri" w:hAnsi="Calibri" w:cs="Calibri"/>
          <w:b/>
          <w:color w:val="000000" w:themeColor="text1"/>
          <w:szCs w:val="24"/>
        </w:rPr>
        <w:footnoteReference w:id="86"/>
      </w:r>
      <w:r w:rsidR="00856488" w:rsidRPr="008F1E62">
        <w:rPr>
          <w:rFonts w:ascii="Calibri" w:hAnsi="Calibri" w:cs="Calibri"/>
          <w:b/>
          <w:color w:val="000000" w:themeColor="text1"/>
          <w:szCs w:val="24"/>
        </w:rPr>
        <w:t>.</w:t>
      </w:r>
      <w:r w:rsidR="00DA7B68" w:rsidRPr="008F1E62">
        <w:rPr>
          <w:rFonts w:ascii="Calibri" w:hAnsi="Calibri" w:cs="Calibri"/>
          <w:color w:val="000000" w:themeColor="text1"/>
          <w:szCs w:val="24"/>
        </w:rPr>
        <w:t xml:space="preserve"> The intent of th</w:t>
      </w:r>
      <w:r w:rsidR="005A2EBA">
        <w:rPr>
          <w:rFonts w:ascii="Calibri" w:hAnsi="Calibri" w:cs="Calibri"/>
          <w:color w:val="000000" w:themeColor="text1"/>
          <w:szCs w:val="24"/>
        </w:rPr>
        <w:t>is</w:t>
      </w:r>
      <w:r w:rsidR="00DA7B68" w:rsidRPr="008F1E62">
        <w:rPr>
          <w:rFonts w:ascii="Calibri" w:hAnsi="Calibri" w:cs="Calibri"/>
          <w:color w:val="000000" w:themeColor="text1"/>
          <w:szCs w:val="24"/>
        </w:rPr>
        <w:t xml:space="preserve"> new Code is to raise the corporate governance standards of Philippine corporations to a level at par with its regional and global counterparts by: </w:t>
      </w:r>
    </w:p>
    <w:p w14:paraId="298A58DD" w14:textId="77777777" w:rsidR="00F54366" w:rsidRPr="008F1E62" w:rsidRDefault="00DA7B68" w:rsidP="00FF7A94">
      <w:pPr>
        <w:pStyle w:val="BodyText4"/>
        <w:numPr>
          <w:ilvl w:val="0"/>
          <w:numId w:val="29"/>
        </w:numPr>
        <w:spacing w:after="100" w:line="276" w:lineRule="auto"/>
        <w:ind w:left="360"/>
        <w:rPr>
          <w:rFonts w:asciiTheme="minorHAnsi" w:hAnsiTheme="minorHAnsi" w:cstheme="minorHAnsi"/>
          <w:szCs w:val="24"/>
        </w:rPr>
      </w:pPr>
      <w:r w:rsidRPr="008F1E62">
        <w:rPr>
          <w:rFonts w:ascii="Calibri" w:hAnsi="Calibri" w:cs="Calibri"/>
          <w:color w:val="000000" w:themeColor="text1"/>
          <w:szCs w:val="24"/>
        </w:rPr>
        <w:t xml:space="preserve">increasing the responsibilities of the board and ensuring the competence and commitment of the directors; </w:t>
      </w:r>
    </w:p>
    <w:p w14:paraId="3B7FD8F9" w14:textId="77777777" w:rsidR="00F54366" w:rsidRPr="008F1E62" w:rsidRDefault="00DA7B68" w:rsidP="00FF7A94">
      <w:pPr>
        <w:pStyle w:val="BodyText4"/>
        <w:numPr>
          <w:ilvl w:val="0"/>
          <w:numId w:val="29"/>
        </w:numPr>
        <w:spacing w:after="100" w:line="276" w:lineRule="auto"/>
        <w:ind w:left="360"/>
        <w:rPr>
          <w:rFonts w:asciiTheme="minorHAnsi" w:hAnsiTheme="minorHAnsi" w:cstheme="minorHAnsi"/>
          <w:szCs w:val="24"/>
        </w:rPr>
      </w:pPr>
      <w:r w:rsidRPr="008F1E62">
        <w:rPr>
          <w:rFonts w:ascii="Calibri" w:hAnsi="Calibri" w:cs="Calibri"/>
          <w:color w:val="000000" w:themeColor="text1"/>
          <w:szCs w:val="24"/>
        </w:rPr>
        <w:t xml:space="preserve">strengthening the protection of shareholders and other stakeholders; and </w:t>
      </w:r>
    </w:p>
    <w:p w14:paraId="32B39542" w14:textId="5CED818F" w:rsidR="00F54366" w:rsidRPr="008F1E62" w:rsidRDefault="00DA7B68" w:rsidP="00FF7A94">
      <w:pPr>
        <w:pStyle w:val="BodyText4"/>
        <w:numPr>
          <w:ilvl w:val="0"/>
          <w:numId w:val="29"/>
        </w:numPr>
        <w:spacing w:after="300" w:line="276" w:lineRule="auto"/>
        <w:ind w:left="360"/>
        <w:rPr>
          <w:rFonts w:asciiTheme="minorHAnsi" w:hAnsiTheme="minorHAnsi" w:cstheme="minorHAnsi"/>
          <w:szCs w:val="24"/>
        </w:rPr>
      </w:pPr>
      <w:r w:rsidRPr="008F1E62">
        <w:rPr>
          <w:rFonts w:ascii="Calibri" w:hAnsi="Calibri" w:cs="Calibri"/>
          <w:color w:val="000000" w:themeColor="text1"/>
          <w:szCs w:val="24"/>
        </w:rPr>
        <w:t>promoting full disclosure and transparency in both financial and non-financial</w:t>
      </w:r>
      <w:r w:rsidR="00D33581" w:rsidRPr="008F1E62">
        <w:rPr>
          <w:rFonts w:ascii="Calibri" w:hAnsi="Calibri" w:cs="Calibri"/>
          <w:color w:val="000000" w:themeColor="text1"/>
          <w:szCs w:val="24"/>
        </w:rPr>
        <w:t xml:space="preserve"> </w:t>
      </w:r>
      <w:r w:rsidRPr="008F1E62">
        <w:rPr>
          <w:rFonts w:ascii="Calibri" w:hAnsi="Calibri" w:cs="Calibri"/>
          <w:color w:val="000000" w:themeColor="text1"/>
          <w:szCs w:val="24"/>
        </w:rPr>
        <w:t>reporting.</w:t>
      </w:r>
      <w:r w:rsidR="00D33581" w:rsidRPr="008F1E62">
        <w:rPr>
          <w:rFonts w:ascii="Calibri" w:hAnsi="Calibri" w:cs="Calibri"/>
          <w:color w:val="000000" w:themeColor="text1"/>
          <w:szCs w:val="24"/>
        </w:rPr>
        <w:t xml:space="preserve"> </w:t>
      </w:r>
    </w:p>
    <w:p w14:paraId="2E71E5C9" w14:textId="32B5E763" w:rsidR="00901062" w:rsidRDefault="00DA7B68" w:rsidP="00901062">
      <w:pPr>
        <w:pStyle w:val="BodyText4"/>
        <w:spacing w:after="200" w:line="276" w:lineRule="auto"/>
        <w:rPr>
          <w:rFonts w:ascii="Calibri" w:hAnsi="Calibri" w:cs="Calibri"/>
          <w:color w:val="000000" w:themeColor="text1"/>
          <w:szCs w:val="24"/>
        </w:rPr>
      </w:pPr>
      <w:r w:rsidRPr="008F1E62">
        <w:rPr>
          <w:rFonts w:ascii="Calibri" w:hAnsi="Calibri" w:cs="Calibri"/>
          <w:color w:val="000000" w:themeColor="text1"/>
          <w:szCs w:val="24"/>
        </w:rPr>
        <w:t xml:space="preserve">The main feature of this new Code is the adoption of the 'comply or explain" approach, which differs from the combined mandatory/voluntary approach of the previous Revised Code of Corporate Governance issued by the SEC. This approach combines voluntary compliance with mandatory disclosure. Companies do not have to comply with the </w:t>
      </w:r>
      <w:r w:rsidR="009913A8">
        <w:rPr>
          <w:rFonts w:ascii="Calibri" w:hAnsi="Calibri" w:cs="Calibri"/>
          <w:color w:val="000000" w:themeColor="text1"/>
          <w:szCs w:val="24"/>
        </w:rPr>
        <w:t xml:space="preserve">new </w:t>
      </w:r>
      <w:r w:rsidRPr="008F1E62">
        <w:rPr>
          <w:rFonts w:ascii="Calibri" w:hAnsi="Calibri" w:cs="Calibri"/>
          <w:color w:val="000000" w:themeColor="text1"/>
          <w:szCs w:val="24"/>
        </w:rPr>
        <w:t>Code but they must dis</w:t>
      </w:r>
      <w:r w:rsidR="009913A8">
        <w:rPr>
          <w:rFonts w:ascii="Calibri" w:hAnsi="Calibri" w:cs="Calibri"/>
          <w:color w:val="000000" w:themeColor="text1"/>
          <w:szCs w:val="24"/>
        </w:rPr>
        <w:t>cl</w:t>
      </w:r>
      <w:r w:rsidR="003E3230">
        <w:rPr>
          <w:rFonts w:ascii="Calibri" w:hAnsi="Calibri" w:cs="Calibri"/>
          <w:color w:val="000000" w:themeColor="text1"/>
          <w:szCs w:val="24"/>
        </w:rPr>
        <w:t>ose</w:t>
      </w:r>
      <w:r w:rsidRPr="008F1E62">
        <w:rPr>
          <w:rFonts w:ascii="Calibri" w:hAnsi="Calibri" w:cs="Calibri"/>
          <w:color w:val="000000" w:themeColor="text1"/>
          <w:szCs w:val="24"/>
        </w:rPr>
        <w:t xml:space="preserve"> in their annual corporate governance reports whether they complied with the Code provisions, identify any area of non-compliance, and explain the reasons for non-compliance and how the over-all </w:t>
      </w:r>
      <w:r w:rsidR="00D11CEE" w:rsidRPr="00D11CEE">
        <w:rPr>
          <w:rFonts w:ascii="Calibri" w:hAnsi="Calibri" w:cs="Calibri"/>
          <w:color w:val="000000" w:themeColor="text1"/>
          <w:szCs w:val="24"/>
        </w:rPr>
        <w:t xml:space="preserve">corporate governance </w:t>
      </w:r>
      <w:r w:rsidR="00D11CEE" w:rsidRPr="008F1E62">
        <w:rPr>
          <w:rFonts w:ascii="Calibri" w:hAnsi="Calibri" w:cs="Calibri"/>
          <w:color w:val="000000" w:themeColor="text1"/>
          <w:szCs w:val="24"/>
        </w:rPr>
        <w:t xml:space="preserve">principle </w:t>
      </w:r>
      <w:r w:rsidRPr="008F1E62">
        <w:rPr>
          <w:rFonts w:ascii="Calibri" w:hAnsi="Calibri" w:cs="Calibri"/>
          <w:color w:val="000000" w:themeColor="text1"/>
          <w:szCs w:val="24"/>
        </w:rPr>
        <w:t>recommended</w:t>
      </w:r>
      <w:r w:rsidR="00D33581" w:rsidRPr="008F1E62">
        <w:rPr>
          <w:rFonts w:ascii="Calibri" w:hAnsi="Calibri" w:cs="Calibri"/>
          <w:color w:val="000000" w:themeColor="text1"/>
          <w:szCs w:val="24"/>
        </w:rPr>
        <w:t xml:space="preserve"> </w:t>
      </w:r>
      <w:r w:rsidRPr="008F1E62">
        <w:rPr>
          <w:rFonts w:ascii="Calibri" w:hAnsi="Calibri" w:cs="Calibri"/>
          <w:color w:val="000000" w:themeColor="text1"/>
          <w:szCs w:val="24"/>
        </w:rPr>
        <w:t>in the Code is still being achieved.</w:t>
      </w:r>
      <w:r w:rsidR="00D33581" w:rsidRPr="008F1E62">
        <w:rPr>
          <w:rFonts w:ascii="Calibri" w:hAnsi="Calibri" w:cs="Calibri"/>
          <w:color w:val="000000" w:themeColor="text1"/>
          <w:szCs w:val="24"/>
        </w:rPr>
        <w:t xml:space="preserve"> </w:t>
      </w:r>
    </w:p>
    <w:p w14:paraId="4AE4983E" w14:textId="77777777" w:rsidR="0054602B" w:rsidRPr="00484744" w:rsidRDefault="0054602B" w:rsidP="0054602B">
      <w:pPr>
        <w:pStyle w:val="BodyText4"/>
        <w:widowControl w:val="0"/>
        <w:numPr>
          <w:ilvl w:val="0"/>
          <w:numId w:val="2"/>
        </w:numPr>
        <w:spacing w:after="200" w:line="276" w:lineRule="auto"/>
        <w:ind w:left="0" w:hanging="562"/>
        <w:rPr>
          <w:rFonts w:ascii="Calibri" w:hAnsi="Calibri" w:cs="Calibri"/>
          <w:color w:val="000000" w:themeColor="text1"/>
          <w:szCs w:val="24"/>
        </w:rPr>
      </w:pPr>
      <w:r w:rsidRPr="000833DB">
        <w:rPr>
          <w:rFonts w:asciiTheme="minorHAnsi" w:hAnsiTheme="minorHAnsi" w:cstheme="minorHAnsi"/>
          <w:b/>
          <w:szCs w:val="24"/>
        </w:rPr>
        <w:t>The new Code induces a Principle (Principle 10) on "Increasing Focus on Nonfinancial and Sustainability Reporting".</w:t>
      </w:r>
      <w:r w:rsidRPr="00901062">
        <w:rPr>
          <w:rFonts w:asciiTheme="minorHAnsi" w:hAnsiTheme="minorHAnsi" w:cstheme="minorHAnsi"/>
          <w:szCs w:val="24"/>
        </w:rPr>
        <w:t xml:space="preserve"> Under this Principle, it is recommended that companies adopt a globally recognized standard/framework in reporting sustainability and non-f</w:t>
      </w:r>
      <w:r>
        <w:rPr>
          <w:rFonts w:asciiTheme="minorHAnsi" w:hAnsiTheme="minorHAnsi" w:cstheme="minorHAnsi"/>
          <w:szCs w:val="24"/>
        </w:rPr>
        <w:t>inancial issues, such as</w:t>
      </w:r>
      <w:r w:rsidRPr="00901062">
        <w:rPr>
          <w:rFonts w:asciiTheme="minorHAnsi" w:hAnsiTheme="minorHAnsi" w:cstheme="minorHAnsi"/>
          <w:szCs w:val="24"/>
        </w:rPr>
        <w:t>: the G4 Framework by the Global Reporting Initiative, the Integrated Reporting Framework by the International Integrated Reporting Council and/or the Sustainability Accounting Standards Board's Conceptual Framework.</w:t>
      </w:r>
      <w:r>
        <w:rPr>
          <w:rFonts w:asciiTheme="minorHAnsi" w:hAnsiTheme="minorHAnsi" w:cstheme="minorHAnsi"/>
          <w:szCs w:val="24"/>
        </w:rPr>
        <w:t xml:space="preserve">  </w:t>
      </w:r>
      <w:r>
        <w:rPr>
          <w:rFonts w:asciiTheme="minorHAnsi" w:hAnsiTheme="minorHAnsi" w:cstheme="minorHAnsi"/>
          <w:color w:val="333333"/>
          <w:szCs w:val="24"/>
        </w:rPr>
        <w:t>Integrated/Sustainability R</w:t>
      </w:r>
      <w:r w:rsidRPr="00484744">
        <w:rPr>
          <w:rFonts w:asciiTheme="minorHAnsi" w:hAnsiTheme="minorHAnsi" w:cstheme="minorHAnsi"/>
          <w:color w:val="333333"/>
          <w:szCs w:val="24"/>
        </w:rPr>
        <w:t>eporting</w:t>
      </w:r>
      <w:r w:rsidRPr="00127BF4">
        <w:rPr>
          <w:rFonts w:asciiTheme="minorHAnsi" w:hAnsiTheme="minorHAnsi" w:cstheme="minorHAnsi"/>
          <w:szCs w:val="24"/>
        </w:rPr>
        <w:t xml:space="preserve"> combines the most material elements of information currently contained in separate reports - such as financial, management commentary, governance and remuneration, and sustainability - into a single coherent whole.  The </w:t>
      </w:r>
      <w:r w:rsidRPr="008F1E62">
        <w:rPr>
          <w:rFonts w:asciiTheme="minorHAnsi" w:hAnsiTheme="minorHAnsi" w:cstheme="minorHAnsi"/>
          <w:color w:val="000000"/>
          <w:szCs w:val="24"/>
        </w:rPr>
        <w:t xml:space="preserve">global financial crisis, persistent economic disparities, climate change, and evidence of corporate governance failures are just some of the issues that are raising the profile of corporate transparency among regulators, civil society bodies, and the </w:t>
      </w:r>
      <w:proofErr w:type="gramStart"/>
      <w:r w:rsidRPr="008F1E62">
        <w:rPr>
          <w:rFonts w:asciiTheme="minorHAnsi" w:hAnsiTheme="minorHAnsi" w:cstheme="minorHAnsi"/>
          <w:color w:val="000000"/>
          <w:szCs w:val="24"/>
        </w:rPr>
        <w:t>general public</w:t>
      </w:r>
      <w:proofErr w:type="gramEnd"/>
      <w:r w:rsidRPr="008F1E62">
        <w:rPr>
          <w:rStyle w:val="FootnoteReference"/>
          <w:rFonts w:asciiTheme="minorHAnsi" w:hAnsiTheme="minorHAnsi" w:cstheme="minorHAnsi"/>
          <w:color w:val="000000"/>
          <w:szCs w:val="24"/>
        </w:rPr>
        <w:footnoteReference w:id="87"/>
      </w:r>
      <w:r w:rsidRPr="008F1E62">
        <w:rPr>
          <w:rFonts w:asciiTheme="minorHAnsi" w:hAnsiTheme="minorHAnsi" w:cstheme="minorHAnsi"/>
          <w:color w:val="000000"/>
          <w:szCs w:val="24"/>
        </w:rPr>
        <w:t xml:space="preserve">.  </w:t>
      </w:r>
      <w:r w:rsidRPr="008F1E62">
        <w:rPr>
          <w:rFonts w:asciiTheme="minorHAnsi" w:hAnsiTheme="minorHAnsi" w:cstheme="minorHAnsi"/>
          <w:iCs/>
          <w:szCs w:val="24"/>
        </w:rPr>
        <w:t>Integrated</w:t>
      </w:r>
      <w:r>
        <w:rPr>
          <w:rFonts w:asciiTheme="minorHAnsi" w:hAnsiTheme="minorHAnsi" w:cstheme="minorHAnsi"/>
          <w:iCs/>
          <w:szCs w:val="24"/>
        </w:rPr>
        <w:t>/Sustainability</w:t>
      </w:r>
      <w:r w:rsidRPr="008F1E62">
        <w:rPr>
          <w:rFonts w:asciiTheme="minorHAnsi" w:hAnsiTheme="minorHAnsi" w:cstheme="minorHAnsi"/>
          <w:iCs/>
          <w:szCs w:val="24"/>
        </w:rPr>
        <w:t xml:space="preserve"> Reporting brings together material information about an organization’s strategy, governance, performance and prospects in a way that reflects the commercial, social and environmental cont</w:t>
      </w:r>
      <w:r>
        <w:rPr>
          <w:rFonts w:asciiTheme="minorHAnsi" w:hAnsiTheme="minorHAnsi" w:cstheme="minorHAnsi"/>
          <w:iCs/>
          <w:szCs w:val="24"/>
        </w:rPr>
        <w:t>ext within which it operates to provide</w:t>
      </w:r>
      <w:r w:rsidRPr="008F1E62">
        <w:rPr>
          <w:rFonts w:asciiTheme="minorHAnsi" w:hAnsiTheme="minorHAnsi" w:cstheme="minorHAnsi"/>
          <w:iCs/>
          <w:szCs w:val="24"/>
        </w:rPr>
        <w:t xml:space="preserve"> a clear and concise representation of how an organization demonstrates stewardship and how it creates value, now and in the future. </w:t>
      </w:r>
    </w:p>
    <w:p w14:paraId="4C933061" w14:textId="77777777" w:rsidR="0060356C" w:rsidRPr="008F1E62" w:rsidRDefault="00F76E53" w:rsidP="0077686B">
      <w:pPr>
        <w:pStyle w:val="Heading3"/>
      </w:pPr>
      <w:r w:rsidRPr="008F1E62">
        <w:t>Setting Auditing Standards</w:t>
      </w:r>
    </w:p>
    <w:p w14:paraId="5976008A" w14:textId="5A69233E" w:rsidR="00F76E53" w:rsidRPr="000767A5" w:rsidRDefault="00F76E53" w:rsidP="00FB3DC8">
      <w:pPr>
        <w:pStyle w:val="BodyText4"/>
        <w:numPr>
          <w:ilvl w:val="0"/>
          <w:numId w:val="2"/>
        </w:numPr>
        <w:spacing w:after="200" w:line="276" w:lineRule="auto"/>
        <w:ind w:left="0" w:hanging="567"/>
        <w:rPr>
          <w:rFonts w:ascii="Calibri" w:hAnsi="Calibri" w:cs="Calibri"/>
        </w:rPr>
      </w:pPr>
      <w:r w:rsidRPr="008F1E62">
        <w:rPr>
          <w:rFonts w:ascii="Calibri" w:hAnsi="Calibri"/>
          <w:b/>
          <w:bCs/>
        </w:rPr>
        <w:t xml:space="preserve">The </w:t>
      </w:r>
      <w:r w:rsidRPr="008F1E62">
        <w:rPr>
          <w:rFonts w:ascii="Calibri" w:hAnsi="Calibri" w:cs="Calibri"/>
          <w:b/>
          <w:bCs/>
        </w:rPr>
        <w:t>AASC was created by the BOA pursuant to the Accountancy Act of 2004.</w:t>
      </w:r>
      <w:r w:rsidRPr="008F1E62">
        <w:rPr>
          <w:rFonts w:ascii="Calibri" w:hAnsi="Calibri" w:cs="Calibri"/>
        </w:rPr>
        <w:t xml:space="preserve">  </w:t>
      </w:r>
      <w:r w:rsidRPr="008F1E62">
        <w:rPr>
          <w:rFonts w:ascii="Calibri" w:hAnsi="Calibri"/>
        </w:rPr>
        <w:t xml:space="preserve">To date, the AASC is composed of 18 members. </w:t>
      </w:r>
    </w:p>
    <w:p w14:paraId="33EA2DB9" w14:textId="31933D68" w:rsidR="000767A5" w:rsidRPr="000F27C2" w:rsidRDefault="000767A5" w:rsidP="000767A5">
      <w:pPr>
        <w:pStyle w:val="BodyText4"/>
        <w:numPr>
          <w:ilvl w:val="0"/>
          <w:numId w:val="2"/>
        </w:numPr>
        <w:spacing w:after="200" w:line="276" w:lineRule="auto"/>
        <w:ind w:left="0" w:hanging="567"/>
        <w:rPr>
          <w:rFonts w:ascii="Calibri" w:hAnsi="Calibri" w:cs="Calibri"/>
          <w:b/>
          <w:bCs/>
        </w:rPr>
      </w:pPr>
      <w:r w:rsidRPr="008F1E62">
        <w:rPr>
          <w:rFonts w:ascii="Calibri" w:hAnsi="Calibri"/>
          <w:b/>
          <w:bCs/>
        </w:rPr>
        <w:t>The Chairman and members of the AASC are appointed by the PRC upon the recommendation of the BOA.</w:t>
      </w:r>
      <w:r w:rsidRPr="008F1E62">
        <w:rPr>
          <w:rFonts w:ascii="Calibri" w:hAnsi="Calibri"/>
        </w:rPr>
        <w:t xml:space="preserve"> Each member-organization nominates its representative and </w:t>
      </w:r>
      <w:r>
        <w:rPr>
          <w:rFonts w:ascii="Calibri" w:hAnsi="Calibri"/>
        </w:rPr>
        <w:t xml:space="preserve">these are </w:t>
      </w:r>
      <w:r w:rsidRPr="008F1E62">
        <w:rPr>
          <w:rFonts w:ascii="Calibri" w:hAnsi="Calibri"/>
        </w:rPr>
        <w:t>submit</w:t>
      </w:r>
      <w:r>
        <w:rPr>
          <w:rFonts w:ascii="Calibri" w:hAnsi="Calibri"/>
        </w:rPr>
        <w:t>ted</w:t>
      </w:r>
      <w:r w:rsidRPr="008F1E62">
        <w:rPr>
          <w:rFonts w:ascii="Calibri" w:hAnsi="Calibri"/>
        </w:rPr>
        <w:t xml:space="preserve"> to BOA for appropriate consideration.  The Chairman of the AASC should be someone who has been or is presently a senior practitioner in public practice.</w:t>
      </w:r>
      <w:r w:rsidRPr="008F1E62">
        <w:rPr>
          <w:rFonts w:ascii="Calibri" w:hAnsi="Calibri" w:cs="Calibri"/>
        </w:rPr>
        <w:t xml:space="preserve"> The AASC is directly accountable to the PRC </w:t>
      </w:r>
      <w:r>
        <w:rPr>
          <w:rFonts w:ascii="Calibri" w:hAnsi="Calibri" w:cs="Calibri"/>
        </w:rPr>
        <w:t>and</w:t>
      </w:r>
      <w:r w:rsidRPr="008F1E62">
        <w:rPr>
          <w:rFonts w:ascii="Calibri" w:hAnsi="Calibri" w:cs="Calibri"/>
        </w:rPr>
        <w:t xml:space="preserve"> BOA. </w:t>
      </w:r>
    </w:p>
    <w:tbl>
      <w:tblPr>
        <w:tblStyle w:val="TabelEcorys3"/>
        <w:tblpPr w:leftFromText="180" w:rightFromText="180" w:vertAnchor="text" w:horzAnchor="margin" w:tblpXSpec="right" w:tblpY="20"/>
        <w:tblOverlap w:val="never"/>
        <w:tblW w:w="0" w:type="auto"/>
        <w:jc w:val="right"/>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4774"/>
      </w:tblGrid>
      <w:tr w:rsidR="00BB6F16" w:rsidRPr="008F1E62" w14:paraId="2285E39E" w14:textId="77777777" w:rsidTr="000F27C2">
        <w:trPr>
          <w:trHeight w:val="83"/>
          <w:jc w:val="right"/>
        </w:trPr>
        <w:tc>
          <w:tcPr>
            <w:tcW w:w="4774" w:type="dxa"/>
            <w:shd w:val="clear" w:color="auto" w:fill="00AB51"/>
            <w:tcMar>
              <w:top w:w="144" w:type="dxa"/>
              <w:left w:w="144" w:type="dxa"/>
              <w:bottom w:w="144" w:type="dxa"/>
              <w:right w:w="144" w:type="dxa"/>
            </w:tcMar>
          </w:tcPr>
          <w:p w14:paraId="1B65915A" w14:textId="6E3E0F84" w:rsidR="00BB6F16" w:rsidRPr="00775E4A" w:rsidRDefault="00BB6F16" w:rsidP="000F27C2">
            <w:pPr>
              <w:pStyle w:val="Caption"/>
              <w:keepNext w:val="0"/>
              <w:spacing w:before="0" w:after="0"/>
              <w:jc w:val="center"/>
              <w:rPr>
                <w:color w:val="FFFFFF" w:themeColor="background1"/>
                <w:sz w:val="20"/>
                <w:szCs w:val="24"/>
                <w:lang w:val="en-US"/>
              </w:rPr>
            </w:pPr>
            <w:r w:rsidRPr="00775E4A">
              <w:rPr>
                <w:color w:val="FFFFFF" w:themeColor="background1"/>
                <w:sz w:val="20"/>
                <w:szCs w:val="24"/>
                <w:lang w:val="en-US"/>
              </w:rPr>
              <w:t xml:space="preserve">Box </w:t>
            </w:r>
            <w:r w:rsidR="00A51D27">
              <w:rPr>
                <w:color w:val="FFFFFF" w:themeColor="background1"/>
                <w:sz w:val="20"/>
                <w:szCs w:val="24"/>
                <w:lang w:val="en-US"/>
              </w:rPr>
              <w:t>6</w:t>
            </w:r>
            <w:r w:rsidRPr="00775E4A">
              <w:rPr>
                <w:color w:val="FFFFFF" w:themeColor="background1"/>
                <w:sz w:val="20"/>
                <w:szCs w:val="24"/>
                <w:lang w:val="en-US"/>
              </w:rPr>
              <w:t>.</w:t>
            </w:r>
            <w:r w:rsidRPr="00775E4A">
              <w:rPr>
                <w:color w:val="FFFFFF" w:themeColor="background1"/>
                <w:sz w:val="20"/>
                <w:lang w:val="en-US"/>
              </w:rPr>
              <w:t xml:space="preserve"> </w:t>
            </w:r>
            <w:r w:rsidRPr="00775E4A">
              <w:rPr>
                <w:color w:val="FFFFFF" w:themeColor="background1"/>
                <w:sz w:val="20"/>
                <w:szCs w:val="24"/>
                <w:lang w:val="en-US"/>
              </w:rPr>
              <w:t>Composition of the AASC</w:t>
            </w:r>
          </w:p>
        </w:tc>
      </w:tr>
      <w:tr w:rsidR="00BB6F16" w:rsidRPr="008F1E62" w14:paraId="2864341B" w14:textId="77777777" w:rsidTr="000F27C2">
        <w:trPr>
          <w:trHeight w:val="83"/>
          <w:jc w:val="right"/>
        </w:trPr>
        <w:tc>
          <w:tcPr>
            <w:tcW w:w="4774" w:type="dxa"/>
            <w:shd w:val="clear" w:color="auto" w:fill="auto"/>
            <w:tcMar>
              <w:top w:w="144" w:type="dxa"/>
              <w:left w:w="144" w:type="dxa"/>
              <w:bottom w:w="144" w:type="dxa"/>
              <w:right w:w="144" w:type="dxa"/>
            </w:tcMar>
          </w:tcPr>
          <w:tbl>
            <w:tblPr>
              <w:tblStyle w:val="TableGrid"/>
              <w:tblW w:w="0" w:type="auto"/>
              <w:jc w:val="center"/>
              <w:tblCellSpacing w:w="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750"/>
              <w:gridCol w:w="736"/>
            </w:tblGrid>
            <w:tr w:rsidR="00BB6F16" w:rsidRPr="00775E4A" w14:paraId="0E7BDEE7" w14:textId="77777777" w:rsidTr="00191DEC">
              <w:trPr>
                <w:tblCellSpacing w:w="43" w:type="dxa"/>
                <w:jc w:val="center"/>
              </w:trPr>
              <w:tc>
                <w:tcPr>
                  <w:tcW w:w="3621" w:type="dxa"/>
                  <w:shd w:val="clear" w:color="auto" w:fill="8C8D90"/>
                  <w:noWrap/>
                  <w:hideMark/>
                </w:tcPr>
                <w:p w14:paraId="0579E78A" w14:textId="77777777" w:rsidR="00BB6F16" w:rsidRPr="00775E4A" w:rsidRDefault="00BB6F16" w:rsidP="000F27C2">
                  <w:pPr>
                    <w:framePr w:hSpace="180" w:wrap="around" w:vAnchor="text" w:hAnchor="margin" w:xAlign="right" w:y="20"/>
                    <w:spacing w:after="0" w:line="240" w:lineRule="auto"/>
                    <w:suppressOverlap/>
                    <w:jc w:val="left"/>
                    <w:rPr>
                      <w:rFonts w:ascii="Calibri" w:eastAsia="Times New Roman" w:hAnsi="Calibri" w:cs="Times New Roman"/>
                      <w:color w:val="FFFFFF" w:themeColor="background1"/>
                      <w:sz w:val="20"/>
                      <w:szCs w:val="24"/>
                    </w:rPr>
                  </w:pPr>
                  <w:r w:rsidRPr="00775E4A">
                    <w:rPr>
                      <w:rFonts w:ascii="Calibri" w:eastAsia="Times New Roman" w:hAnsi="Calibri" w:cs="Times New Roman"/>
                      <w:color w:val="FFFFFF" w:themeColor="background1"/>
                      <w:sz w:val="20"/>
                      <w:szCs w:val="24"/>
                    </w:rPr>
                    <w:t>Chairman</w:t>
                  </w:r>
                </w:p>
              </w:tc>
              <w:tc>
                <w:tcPr>
                  <w:tcW w:w="527" w:type="dxa"/>
                  <w:shd w:val="clear" w:color="auto" w:fill="8C8D90"/>
                  <w:noWrap/>
                  <w:vAlign w:val="center"/>
                  <w:hideMark/>
                </w:tcPr>
                <w:p w14:paraId="30B44305"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FFFFFF" w:themeColor="background1"/>
                      <w:sz w:val="20"/>
                      <w:szCs w:val="24"/>
                    </w:rPr>
                  </w:pPr>
                  <w:r w:rsidRPr="00775E4A">
                    <w:rPr>
                      <w:rFonts w:ascii="Calibri" w:eastAsia="Times New Roman" w:hAnsi="Calibri" w:cs="Times New Roman"/>
                      <w:color w:val="FFFFFF" w:themeColor="background1"/>
                      <w:sz w:val="20"/>
                      <w:szCs w:val="24"/>
                    </w:rPr>
                    <w:t>1</w:t>
                  </w:r>
                </w:p>
              </w:tc>
            </w:tr>
            <w:tr w:rsidR="00BB6F16" w:rsidRPr="00775E4A" w14:paraId="73F880B1" w14:textId="77777777" w:rsidTr="00191DEC">
              <w:trPr>
                <w:tblCellSpacing w:w="43" w:type="dxa"/>
                <w:jc w:val="center"/>
              </w:trPr>
              <w:tc>
                <w:tcPr>
                  <w:tcW w:w="4314" w:type="dxa"/>
                  <w:gridSpan w:val="2"/>
                  <w:shd w:val="clear" w:color="auto" w:fill="8C8D90"/>
                  <w:noWrap/>
                  <w:vAlign w:val="center"/>
                  <w:hideMark/>
                </w:tcPr>
                <w:p w14:paraId="4122ED5B" w14:textId="77777777" w:rsidR="00BB6F16" w:rsidRPr="00775E4A" w:rsidRDefault="00BB6F16" w:rsidP="000F27C2">
                  <w:pPr>
                    <w:framePr w:hSpace="180" w:wrap="around" w:vAnchor="text" w:hAnchor="margin" w:xAlign="right" w:y="20"/>
                    <w:spacing w:after="0" w:line="240" w:lineRule="auto"/>
                    <w:suppressOverlap/>
                    <w:jc w:val="left"/>
                    <w:rPr>
                      <w:rFonts w:ascii="Calibri" w:eastAsia="Times New Roman" w:hAnsi="Calibri" w:cs="Times New Roman"/>
                      <w:b/>
                      <w:color w:val="000000"/>
                      <w:sz w:val="20"/>
                      <w:szCs w:val="24"/>
                    </w:rPr>
                  </w:pPr>
                  <w:r w:rsidRPr="00775E4A">
                    <w:rPr>
                      <w:rFonts w:ascii="Calibri" w:eastAsia="Times New Roman" w:hAnsi="Calibri" w:cs="Times New Roman"/>
                      <w:b/>
                      <w:color w:val="FFFFFF" w:themeColor="background1"/>
                      <w:sz w:val="20"/>
                      <w:szCs w:val="24"/>
                    </w:rPr>
                    <w:t>Representatives from:</w:t>
                  </w:r>
                </w:p>
              </w:tc>
            </w:tr>
            <w:tr w:rsidR="00BB6F16" w:rsidRPr="00775E4A" w14:paraId="7E5C0F94" w14:textId="77777777" w:rsidTr="00191DEC">
              <w:trPr>
                <w:tblCellSpacing w:w="43" w:type="dxa"/>
                <w:jc w:val="center"/>
              </w:trPr>
              <w:tc>
                <w:tcPr>
                  <w:tcW w:w="3621" w:type="dxa"/>
                  <w:shd w:val="clear" w:color="auto" w:fill="E7E6E6" w:themeFill="background2"/>
                  <w:noWrap/>
                  <w:hideMark/>
                </w:tcPr>
                <w:p w14:paraId="1F6DEED4" w14:textId="77777777" w:rsidR="00BB6F16" w:rsidRPr="00775E4A" w:rsidRDefault="00BB6F16" w:rsidP="000F27C2">
                  <w:pPr>
                    <w:framePr w:hSpace="180" w:wrap="around" w:vAnchor="text" w:hAnchor="margin" w:xAlign="right" w:y="20"/>
                    <w:spacing w:after="0" w:line="240" w:lineRule="auto"/>
                    <w:ind w:left="33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Board of Accountancy</w:t>
                  </w:r>
                </w:p>
              </w:tc>
              <w:tc>
                <w:tcPr>
                  <w:tcW w:w="527" w:type="dxa"/>
                  <w:shd w:val="clear" w:color="auto" w:fill="E7E6E6" w:themeFill="background2"/>
                  <w:noWrap/>
                  <w:vAlign w:val="center"/>
                  <w:hideMark/>
                </w:tcPr>
                <w:p w14:paraId="576FFD7A"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1815D73D" w14:textId="77777777" w:rsidTr="00191DEC">
              <w:trPr>
                <w:tblCellSpacing w:w="43" w:type="dxa"/>
                <w:jc w:val="center"/>
              </w:trPr>
              <w:tc>
                <w:tcPr>
                  <w:tcW w:w="3621" w:type="dxa"/>
                  <w:shd w:val="clear" w:color="auto" w:fill="E7E6E6" w:themeFill="background2"/>
                  <w:noWrap/>
                  <w:hideMark/>
                </w:tcPr>
                <w:p w14:paraId="2CCE8DF0" w14:textId="77777777" w:rsidR="00BB6F16" w:rsidRPr="00775E4A" w:rsidRDefault="00BB6F16" w:rsidP="000F27C2">
                  <w:pPr>
                    <w:framePr w:hSpace="180" w:wrap="around" w:vAnchor="text" w:hAnchor="margin" w:xAlign="right" w:y="20"/>
                    <w:spacing w:after="0" w:line="240" w:lineRule="auto"/>
                    <w:ind w:left="33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Securities and Exchange Commission</w:t>
                  </w:r>
                </w:p>
              </w:tc>
              <w:tc>
                <w:tcPr>
                  <w:tcW w:w="527" w:type="dxa"/>
                  <w:shd w:val="clear" w:color="auto" w:fill="E7E6E6" w:themeFill="background2"/>
                  <w:noWrap/>
                  <w:vAlign w:val="center"/>
                  <w:hideMark/>
                </w:tcPr>
                <w:p w14:paraId="0B27FCB1"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28978FBC" w14:textId="77777777" w:rsidTr="00191DEC">
              <w:trPr>
                <w:tblCellSpacing w:w="43" w:type="dxa"/>
                <w:jc w:val="center"/>
              </w:trPr>
              <w:tc>
                <w:tcPr>
                  <w:tcW w:w="3621" w:type="dxa"/>
                  <w:shd w:val="clear" w:color="auto" w:fill="E7E6E6" w:themeFill="background2"/>
                  <w:noWrap/>
                  <w:hideMark/>
                </w:tcPr>
                <w:p w14:paraId="18EEF6D6" w14:textId="77777777" w:rsidR="00BB6F16" w:rsidRPr="00775E4A" w:rsidRDefault="00BB6F16" w:rsidP="000F27C2">
                  <w:pPr>
                    <w:framePr w:hSpace="180" w:wrap="around" w:vAnchor="text" w:hAnchor="margin" w:xAlign="right" w:y="20"/>
                    <w:spacing w:after="0" w:line="240" w:lineRule="auto"/>
                    <w:ind w:left="338"/>
                    <w:suppressOverlap/>
                    <w:jc w:val="left"/>
                    <w:rPr>
                      <w:rFonts w:ascii="Calibri" w:eastAsia="Times New Roman" w:hAnsi="Calibri" w:cs="Times New Roman"/>
                      <w:color w:val="000000"/>
                      <w:sz w:val="20"/>
                      <w:szCs w:val="24"/>
                    </w:rPr>
                  </w:pPr>
                  <w:proofErr w:type="spellStart"/>
                  <w:r w:rsidRPr="00775E4A">
                    <w:rPr>
                      <w:rFonts w:ascii="Calibri" w:eastAsia="Times New Roman" w:hAnsi="Calibri" w:cs="Times New Roman"/>
                      <w:color w:val="000000"/>
                      <w:sz w:val="20"/>
                      <w:szCs w:val="24"/>
                    </w:rPr>
                    <w:t>Bangko</w:t>
                  </w:r>
                  <w:proofErr w:type="spellEnd"/>
                  <w:r w:rsidRPr="00775E4A">
                    <w:rPr>
                      <w:rFonts w:ascii="Calibri" w:eastAsia="Times New Roman" w:hAnsi="Calibri" w:cs="Times New Roman"/>
                      <w:color w:val="000000"/>
                      <w:sz w:val="20"/>
                      <w:szCs w:val="24"/>
                    </w:rPr>
                    <w:t xml:space="preserve"> </w:t>
                  </w:r>
                  <w:proofErr w:type="spellStart"/>
                  <w:r w:rsidRPr="00775E4A">
                    <w:rPr>
                      <w:rFonts w:ascii="Calibri" w:eastAsia="Times New Roman" w:hAnsi="Calibri" w:cs="Times New Roman"/>
                      <w:color w:val="000000"/>
                      <w:sz w:val="20"/>
                      <w:szCs w:val="24"/>
                    </w:rPr>
                    <w:t>Sentral</w:t>
                  </w:r>
                  <w:proofErr w:type="spellEnd"/>
                  <w:r w:rsidRPr="00775E4A">
                    <w:rPr>
                      <w:rFonts w:ascii="Calibri" w:eastAsia="Times New Roman" w:hAnsi="Calibri" w:cs="Times New Roman"/>
                      <w:color w:val="000000"/>
                      <w:sz w:val="20"/>
                      <w:szCs w:val="24"/>
                    </w:rPr>
                    <w:t xml:space="preserve"> ng </w:t>
                  </w:r>
                  <w:proofErr w:type="spellStart"/>
                  <w:r w:rsidRPr="00775E4A">
                    <w:rPr>
                      <w:rFonts w:ascii="Calibri" w:eastAsia="Times New Roman" w:hAnsi="Calibri" w:cs="Times New Roman"/>
                      <w:color w:val="000000"/>
                      <w:sz w:val="20"/>
                      <w:szCs w:val="24"/>
                    </w:rPr>
                    <w:t>Pilipinas</w:t>
                  </w:r>
                  <w:proofErr w:type="spellEnd"/>
                </w:p>
              </w:tc>
              <w:tc>
                <w:tcPr>
                  <w:tcW w:w="527" w:type="dxa"/>
                  <w:shd w:val="clear" w:color="auto" w:fill="E7E6E6" w:themeFill="background2"/>
                  <w:noWrap/>
                  <w:vAlign w:val="center"/>
                  <w:hideMark/>
                </w:tcPr>
                <w:p w14:paraId="228021A6"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10EAECAC" w14:textId="77777777" w:rsidTr="00191DEC">
              <w:trPr>
                <w:tblCellSpacing w:w="43" w:type="dxa"/>
                <w:jc w:val="center"/>
              </w:trPr>
              <w:tc>
                <w:tcPr>
                  <w:tcW w:w="3621" w:type="dxa"/>
                  <w:shd w:val="clear" w:color="auto" w:fill="E7E6E6" w:themeFill="background2"/>
                  <w:noWrap/>
                  <w:hideMark/>
                </w:tcPr>
                <w:p w14:paraId="5971DC23" w14:textId="77777777" w:rsidR="00BB6F16" w:rsidRPr="00775E4A" w:rsidRDefault="00BB6F16" w:rsidP="000F27C2">
                  <w:pPr>
                    <w:framePr w:hSpace="180" w:wrap="around" w:vAnchor="text" w:hAnchor="margin" w:xAlign="right" w:y="20"/>
                    <w:spacing w:after="0" w:line="240" w:lineRule="auto"/>
                    <w:ind w:left="33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Commission on Audit</w:t>
                  </w:r>
                </w:p>
              </w:tc>
              <w:tc>
                <w:tcPr>
                  <w:tcW w:w="527" w:type="dxa"/>
                  <w:shd w:val="clear" w:color="auto" w:fill="E7E6E6" w:themeFill="background2"/>
                  <w:noWrap/>
                  <w:vAlign w:val="center"/>
                  <w:hideMark/>
                </w:tcPr>
                <w:p w14:paraId="00171771"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27140A07" w14:textId="77777777" w:rsidTr="00191DEC">
              <w:trPr>
                <w:tblCellSpacing w:w="43" w:type="dxa"/>
                <w:jc w:val="center"/>
              </w:trPr>
              <w:tc>
                <w:tcPr>
                  <w:tcW w:w="3621" w:type="dxa"/>
                  <w:shd w:val="clear" w:color="auto" w:fill="E7E6E6" w:themeFill="background2"/>
                  <w:noWrap/>
                  <w:hideMark/>
                </w:tcPr>
                <w:p w14:paraId="1F8632D1" w14:textId="77777777" w:rsidR="00BB6F16" w:rsidRPr="00775E4A" w:rsidRDefault="00BB6F16" w:rsidP="000F27C2">
                  <w:pPr>
                    <w:framePr w:hSpace="180" w:wrap="around" w:vAnchor="text" w:hAnchor="margin" w:xAlign="right" w:y="20"/>
                    <w:spacing w:after="0" w:line="240" w:lineRule="auto"/>
                    <w:ind w:left="33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Association of CPAs in Public Practice</w:t>
                  </w:r>
                </w:p>
              </w:tc>
              <w:tc>
                <w:tcPr>
                  <w:tcW w:w="527" w:type="dxa"/>
                  <w:shd w:val="clear" w:color="auto" w:fill="E7E6E6" w:themeFill="background2"/>
                  <w:noWrap/>
                  <w:vAlign w:val="center"/>
                  <w:hideMark/>
                </w:tcPr>
                <w:p w14:paraId="7A584320"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6D7B7F84" w14:textId="77777777" w:rsidTr="00191DEC">
              <w:trPr>
                <w:tblCellSpacing w:w="43" w:type="dxa"/>
                <w:jc w:val="center"/>
              </w:trPr>
              <w:tc>
                <w:tcPr>
                  <w:tcW w:w="4314" w:type="dxa"/>
                  <w:gridSpan w:val="2"/>
                  <w:shd w:val="clear" w:color="auto" w:fill="8C8D90"/>
                  <w:noWrap/>
                  <w:vAlign w:val="center"/>
                  <w:hideMark/>
                </w:tcPr>
                <w:p w14:paraId="46D17B7F" w14:textId="77777777" w:rsidR="00BB6F16" w:rsidRPr="00775E4A" w:rsidRDefault="00BB6F16" w:rsidP="000F27C2">
                  <w:pPr>
                    <w:framePr w:hSpace="180" w:wrap="around" w:vAnchor="text" w:hAnchor="margin" w:xAlign="right" w:y="20"/>
                    <w:spacing w:after="0" w:line="240" w:lineRule="auto"/>
                    <w:ind w:left="338"/>
                    <w:suppressOverlap/>
                    <w:jc w:val="left"/>
                    <w:rPr>
                      <w:rFonts w:ascii="Calibri" w:eastAsia="Times New Roman" w:hAnsi="Calibri" w:cs="Times New Roman"/>
                      <w:b/>
                      <w:color w:val="FFFFFF" w:themeColor="background1"/>
                      <w:sz w:val="20"/>
                      <w:szCs w:val="24"/>
                    </w:rPr>
                  </w:pPr>
                  <w:r w:rsidRPr="00775E4A">
                    <w:rPr>
                      <w:rFonts w:ascii="Calibri" w:eastAsia="Times New Roman" w:hAnsi="Calibri" w:cs="Times New Roman"/>
                      <w:b/>
                      <w:color w:val="FFFFFF" w:themeColor="background1"/>
                      <w:sz w:val="20"/>
                      <w:szCs w:val="24"/>
                    </w:rPr>
                    <w:t>Philippine Institute of CPAs:</w:t>
                  </w:r>
                </w:p>
              </w:tc>
            </w:tr>
            <w:tr w:rsidR="00BB6F16" w:rsidRPr="00775E4A" w14:paraId="3876411C" w14:textId="77777777" w:rsidTr="00191DEC">
              <w:trPr>
                <w:tblCellSpacing w:w="43" w:type="dxa"/>
                <w:jc w:val="center"/>
              </w:trPr>
              <w:tc>
                <w:tcPr>
                  <w:tcW w:w="3621" w:type="dxa"/>
                  <w:shd w:val="clear" w:color="auto" w:fill="E7E6E6" w:themeFill="background2"/>
                  <w:noWrap/>
                  <w:hideMark/>
                </w:tcPr>
                <w:p w14:paraId="35D7D6A0" w14:textId="77777777" w:rsidR="00BB6F16" w:rsidRPr="00775E4A" w:rsidRDefault="00BB6F16" w:rsidP="000F27C2">
                  <w:pPr>
                    <w:framePr w:hSpace="180" w:wrap="around" w:vAnchor="text" w:hAnchor="margin" w:xAlign="right" w:y="20"/>
                    <w:spacing w:after="0" w:line="240" w:lineRule="auto"/>
                    <w:ind w:left="69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Public Practice</w:t>
                  </w:r>
                </w:p>
              </w:tc>
              <w:tc>
                <w:tcPr>
                  <w:tcW w:w="527" w:type="dxa"/>
                  <w:shd w:val="clear" w:color="auto" w:fill="E7E6E6" w:themeFill="background2"/>
                  <w:noWrap/>
                  <w:vAlign w:val="center"/>
                  <w:hideMark/>
                </w:tcPr>
                <w:p w14:paraId="345192B7"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9</w:t>
                  </w:r>
                </w:p>
              </w:tc>
            </w:tr>
            <w:tr w:rsidR="00BB6F16" w:rsidRPr="00775E4A" w14:paraId="4D4F440A" w14:textId="77777777" w:rsidTr="00191DEC">
              <w:trPr>
                <w:tblCellSpacing w:w="43" w:type="dxa"/>
                <w:jc w:val="center"/>
              </w:trPr>
              <w:tc>
                <w:tcPr>
                  <w:tcW w:w="3621" w:type="dxa"/>
                  <w:shd w:val="clear" w:color="auto" w:fill="E7E6E6" w:themeFill="background2"/>
                  <w:noWrap/>
                  <w:hideMark/>
                </w:tcPr>
                <w:p w14:paraId="2BACA5B7" w14:textId="77777777" w:rsidR="00BB6F16" w:rsidRPr="00775E4A" w:rsidRDefault="00BB6F16" w:rsidP="000F27C2">
                  <w:pPr>
                    <w:framePr w:hSpace="180" w:wrap="around" w:vAnchor="text" w:hAnchor="margin" w:xAlign="right" w:y="20"/>
                    <w:spacing w:after="0" w:line="240" w:lineRule="auto"/>
                    <w:ind w:left="69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Commerce and Industry</w:t>
                  </w:r>
                </w:p>
              </w:tc>
              <w:tc>
                <w:tcPr>
                  <w:tcW w:w="527" w:type="dxa"/>
                  <w:shd w:val="clear" w:color="auto" w:fill="E7E6E6" w:themeFill="background2"/>
                  <w:noWrap/>
                  <w:vAlign w:val="center"/>
                  <w:hideMark/>
                </w:tcPr>
                <w:p w14:paraId="195E2F74"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49C920F9" w14:textId="77777777" w:rsidTr="00191DEC">
              <w:trPr>
                <w:tblCellSpacing w:w="43" w:type="dxa"/>
                <w:jc w:val="center"/>
              </w:trPr>
              <w:tc>
                <w:tcPr>
                  <w:tcW w:w="3621" w:type="dxa"/>
                  <w:shd w:val="clear" w:color="auto" w:fill="E7E6E6" w:themeFill="background2"/>
                  <w:noWrap/>
                  <w:hideMark/>
                </w:tcPr>
                <w:p w14:paraId="74F217BC" w14:textId="77777777" w:rsidR="00BB6F16" w:rsidRPr="00775E4A" w:rsidRDefault="00BB6F16" w:rsidP="000F27C2">
                  <w:pPr>
                    <w:framePr w:hSpace="180" w:wrap="around" w:vAnchor="text" w:hAnchor="margin" w:xAlign="right" w:y="20"/>
                    <w:spacing w:after="0" w:line="240" w:lineRule="auto"/>
                    <w:ind w:left="69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 xml:space="preserve">Academia/Education                     </w:t>
                  </w:r>
                </w:p>
              </w:tc>
              <w:tc>
                <w:tcPr>
                  <w:tcW w:w="527" w:type="dxa"/>
                  <w:shd w:val="clear" w:color="auto" w:fill="E7E6E6" w:themeFill="background2"/>
                  <w:noWrap/>
                  <w:vAlign w:val="center"/>
                  <w:hideMark/>
                </w:tcPr>
                <w:p w14:paraId="06857AEA"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069B686A" w14:textId="77777777" w:rsidTr="00191DEC">
              <w:trPr>
                <w:tblCellSpacing w:w="43" w:type="dxa"/>
                <w:jc w:val="center"/>
              </w:trPr>
              <w:tc>
                <w:tcPr>
                  <w:tcW w:w="3621" w:type="dxa"/>
                  <w:shd w:val="clear" w:color="auto" w:fill="E7E6E6" w:themeFill="background2"/>
                  <w:noWrap/>
                  <w:hideMark/>
                </w:tcPr>
                <w:p w14:paraId="4402D29D" w14:textId="77777777" w:rsidR="00BB6F16" w:rsidRPr="00775E4A" w:rsidRDefault="00BB6F16" w:rsidP="000F27C2">
                  <w:pPr>
                    <w:framePr w:hSpace="180" w:wrap="around" w:vAnchor="text" w:hAnchor="margin" w:xAlign="right" w:y="20"/>
                    <w:spacing w:after="0" w:line="240" w:lineRule="auto"/>
                    <w:ind w:left="698"/>
                    <w:suppressOverlap/>
                    <w:jc w:val="left"/>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Government</w:t>
                  </w:r>
                </w:p>
              </w:tc>
              <w:tc>
                <w:tcPr>
                  <w:tcW w:w="527" w:type="dxa"/>
                  <w:shd w:val="clear" w:color="auto" w:fill="E7E6E6" w:themeFill="background2"/>
                  <w:noWrap/>
                  <w:vAlign w:val="center"/>
                  <w:hideMark/>
                </w:tcPr>
                <w:p w14:paraId="3B56A8ED" w14:textId="77777777" w:rsidR="00BB6F16" w:rsidRPr="00775E4A" w:rsidRDefault="00BB6F16" w:rsidP="000F27C2">
                  <w:pPr>
                    <w:framePr w:hSpace="180" w:wrap="around" w:vAnchor="text" w:hAnchor="margin" w:xAlign="right" w:y="20"/>
                    <w:spacing w:after="0" w:line="240" w:lineRule="auto"/>
                    <w:suppressOverlap/>
                    <w:jc w:val="center"/>
                    <w:rPr>
                      <w:rFonts w:ascii="Calibri" w:eastAsia="Times New Roman" w:hAnsi="Calibri" w:cs="Times New Roman"/>
                      <w:color w:val="000000"/>
                      <w:sz w:val="20"/>
                      <w:szCs w:val="24"/>
                    </w:rPr>
                  </w:pPr>
                  <w:r w:rsidRPr="00775E4A">
                    <w:rPr>
                      <w:rFonts w:ascii="Calibri" w:eastAsia="Times New Roman" w:hAnsi="Calibri" w:cs="Times New Roman"/>
                      <w:color w:val="000000"/>
                      <w:sz w:val="20"/>
                      <w:szCs w:val="24"/>
                    </w:rPr>
                    <w:t>1</w:t>
                  </w:r>
                </w:p>
              </w:tc>
            </w:tr>
            <w:tr w:rsidR="00BB6F16" w:rsidRPr="00775E4A" w14:paraId="10800FFB" w14:textId="77777777" w:rsidTr="00191DEC">
              <w:trPr>
                <w:tblCellSpacing w:w="43" w:type="dxa"/>
                <w:jc w:val="center"/>
              </w:trPr>
              <w:tc>
                <w:tcPr>
                  <w:tcW w:w="3621" w:type="dxa"/>
                  <w:shd w:val="clear" w:color="auto" w:fill="C6E8D7"/>
                  <w:noWrap/>
                  <w:hideMark/>
                </w:tcPr>
                <w:p w14:paraId="13015598" w14:textId="77777777" w:rsidR="00BB6F16" w:rsidRPr="0060356C" w:rsidRDefault="00BB6F16" w:rsidP="000F27C2">
                  <w:pPr>
                    <w:framePr w:hSpace="180" w:wrap="around" w:vAnchor="text" w:hAnchor="margin" w:xAlign="right" w:y="20"/>
                    <w:spacing w:after="0" w:line="240" w:lineRule="auto"/>
                    <w:suppressOverlap/>
                    <w:jc w:val="left"/>
                    <w:rPr>
                      <w:rFonts w:ascii="Calibri" w:eastAsia="Times New Roman" w:hAnsi="Calibri" w:cs="Times New Roman"/>
                      <w:b/>
                      <w:sz w:val="20"/>
                      <w:szCs w:val="24"/>
                    </w:rPr>
                  </w:pPr>
                  <w:r w:rsidRPr="0060356C">
                    <w:rPr>
                      <w:rFonts w:ascii="Calibri" w:eastAsia="Times New Roman" w:hAnsi="Calibri" w:cs="Times New Roman"/>
                      <w:b/>
                      <w:sz w:val="20"/>
                      <w:szCs w:val="24"/>
                    </w:rPr>
                    <w:t>Total</w:t>
                  </w:r>
                </w:p>
              </w:tc>
              <w:tc>
                <w:tcPr>
                  <w:tcW w:w="527" w:type="dxa"/>
                  <w:shd w:val="clear" w:color="auto" w:fill="C6E8D7"/>
                  <w:noWrap/>
                  <w:vAlign w:val="center"/>
                  <w:hideMark/>
                </w:tcPr>
                <w:p w14:paraId="353D6CB4" w14:textId="77777777" w:rsidR="00BB6F16" w:rsidRPr="0060356C" w:rsidRDefault="00BB6F16" w:rsidP="000F27C2">
                  <w:pPr>
                    <w:framePr w:hSpace="180" w:wrap="around" w:vAnchor="text" w:hAnchor="margin" w:xAlign="right" w:y="20"/>
                    <w:spacing w:after="0" w:line="240" w:lineRule="auto"/>
                    <w:suppressOverlap/>
                    <w:jc w:val="center"/>
                    <w:rPr>
                      <w:rFonts w:ascii="Calibri" w:eastAsia="Times New Roman" w:hAnsi="Calibri" w:cs="Times New Roman"/>
                      <w:b/>
                      <w:sz w:val="20"/>
                      <w:szCs w:val="24"/>
                    </w:rPr>
                  </w:pPr>
                  <w:r w:rsidRPr="0060356C">
                    <w:rPr>
                      <w:rFonts w:ascii="Calibri" w:eastAsia="Times New Roman" w:hAnsi="Calibri" w:cs="Times New Roman"/>
                      <w:b/>
                      <w:sz w:val="20"/>
                      <w:szCs w:val="24"/>
                    </w:rPr>
                    <w:t>18</w:t>
                  </w:r>
                </w:p>
              </w:tc>
            </w:tr>
          </w:tbl>
          <w:p w14:paraId="1BF1DAD1" w14:textId="77777777" w:rsidR="00BB6F16" w:rsidRPr="008F1E62" w:rsidRDefault="00BB6F16" w:rsidP="000F27C2">
            <w:pPr>
              <w:pStyle w:val="ListParagraph"/>
              <w:numPr>
                <w:ilvl w:val="0"/>
                <w:numId w:val="0"/>
              </w:numPr>
              <w:tabs>
                <w:tab w:val="left" w:pos="720"/>
              </w:tabs>
              <w:autoSpaceDE w:val="0"/>
              <w:autoSpaceDN w:val="0"/>
              <w:adjustRightInd w:val="0"/>
              <w:spacing w:before="0" w:beforeAutospacing="0" w:after="0" w:afterAutospacing="0" w:line="276" w:lineRule="auto"/>
              <w:jc w:val="center"/>
              <w:rPr>
                <w:rFonts w:asciiTheme="minorHAnsi" w:hAnsiTheme="minorHAnsi" w:cs="Times New Roman"/>
                <w:b/>
                <w:sz w:val="18"/>
                <w:szCs w:val="18"/>
              </w:rPr>
            </w:pPr>
          </w:p>
        </w:tc>
      </w:tr>
    </w:tbl>
    <w:p w14:paraId="4EB69947" w14:textId="632ACE47" w:rsidR="0054602B" w:rsidRPr="00A73391" w:rsidRDefault="0054602B" w:rsidP="0054602B">
      <w:pPr>
        <w:pStyle w:val="BodyText4"/>
        <w:numPr>
          <w:ilvl w:val="0"/>
          <w:numId w:val="2"/>
        </w:numPr>
        <w:spacing w:after="200" w:line="276" w:lineRule="auto"/>
        <w:ind w:left="0" w:hanging="567"/>
        <w:rPr>
          <w:rFonts w:ascii="Calibri" w:hAnsi="Calibri"/>
          <w:b/>
          <w:bCs/>
        </w:rPr>
      </w:pPr>
      <w:r w:rsidRPr="00A73391">
        <w:rPr>
          <w:rFonts w:ascii="Calibri" w:hAnsi="Calibri"/>
          <w:b/>
          <w:bCs/>
        </w:rPr>
        <w:t xml:space="preserve">All </w:t>
      </w:r>
      <w:r w:rsidRPr="008F1E62">
        <w:rPr>
          <w:rFonts w:ascii="Calibri" w:hAnsi="Calibri"/>
          <w:b/>
          <w:bCs/>
        </w:rPr>
        <w:t>current</w:t>
      </w:r>
      <w:r w:rsidRPr="00A73391">
        <w:rPr>
          <w:rFonts w:ascii="Calibri" w:hAnsi="Calibri"/>
          <w:b/>
          <w:bCs/>
        </w:rPr>
        <w:t xml:space="preserve"> international standards on auditing (ISAs) have been adopted by the AASC as PSAs. </w:t>
      </w:r>
      <w:r w:rsidRPr="00A73391">
        <w:rPr>
          <w:rFonts w:ascii="Calibri" w:hAnsi="Calibri"/>
          <w:bCs/>
        </w:rPr>
        <w:t xml:space="preserve">The AASC submits to the PRC BOA all its adopted standards for approval and publication.  </w:t>
      </w:r>
      <w:r w:rsidRPr="0057613B">
        <w:rPr>
          <w:rFonts w:ascii="Calibri" w:hAnsi="Calibri"/>
          <w:bCs/>
        </w:rPr>
        <w:t xml:space="preserve">The standards are mandated upon corporations through a memorandum circular issued by the SEC.  The </w:t>
      </w:r>
      <w:r w:rsidRPr="00B02006">
        <w:rPr>
          <w:rFonts w:ascii="Calibri" w:hAnsi="Calibri"/>
          <w:bCs/>
        </w:rPr>
        <w:t>2016 ISAs are currently in use.  Until second semester of this year</w:t>
      </w:r>
      <w:r w:rsidRPr="00A73391">
        <w:rPr>
          <w:rFonts w:ascii="Calibri" w:hAnsi="Calibri"/>
          <w:bCs/>
        </w:rPr>
        <w:t xml:space="preserve">, ISAs were being modified to consider local practices and regulatory requirements. </w:t>
      </w:r>
      <w:r w:rsidR="00AF4232" w:rsidRPr="00A73391">
        <w:rPr>
          <w:rFonts w:ascii="Calibri" w:hAnsi="Calibri"/>
          <w:bCs/>
        </w:rPr>
        <w:t>B</w:t>
      </w:r>
      <w:r w:rsidR="00AF4232">
        <w:rPr>
          <w:rFonts w:ascii="Calibri" w:hAnsi="Calibri"/>
          <w:bCs/>
        </w:rPr>
        <w:t xml:space="preserve">ox </w:t>
      </w:r>
      <w:r w:rsidR="00A51D27">
        <w:rPr>
          <w:rFonts w:ascii="Calibri" w:hAnsi="Calibri"/>
          <w:bCs/>
        </w:rPr>
        <w:t>7</w:t>
      </w:r>
      <w:r w:rsidR="00A51D27" w:rsidRPr="00A73391">
        <w:rPr>
          <w:rFonts w:ascii="Calibri" w:hAnsi="Calibri"/>
          <w:bCs/>
        </w:rPr>
        <w:t xml:space="preserve"> </w:t>
      </w:r>
      <w:r w:rsidR="00AF4232">
        <w:rPr>
          <w:rFonts w:ascii="Calibri" w:hAnsi="Calibri"/>
          <w:bCs/>
        </w:rPr>
        <w:t>shows</w:t>
      </w:r>
      <w:r w:rsidR="00AF4232" w:rsidRPr="00A73391">
        <w:rPr>
          <w:rFonts w:ascii="Calibri" w:hAnsi="Calibri"/>
          <w:bCs/>
        </w:rPr>
        <w:t xml:space="preserve"> </w:t>
      </w:r>
      <w:r w:rsidRPr="00A73391">
        <w:rPr>
          <w:rFonts w:ascii="Calibri" w:hAnsi="Calibri"/>
          <w:bCs/>
        </w:rPr>
        <w:t>the status of the new ISA issuances (referred to as PSAs in the Philippines)</w:t>
      </w:r>
      <w:r w:rsidRPr="00A73391">
        <w:rPr>
          <w:rFonts w:ascii="Calibri" w:hAnsi="Calibri"/>
          <w:bCs/>
          <w:vertAlign w:val="superscript"/>
        </w:rPr>
        <w:footnoteReference w:id="88"/>
      </w:r>
      <w:r w:rsidRPr="00A73391">
        <w:rPr>
          <w:rFonts w:ascii="Calibri" w:hAnsi="Calibri"/>
          <w:bCs/>
        </w:rPr>
        <w:t>.</w:t>
      </w:r>
    </w:p>
    <w:p w14:paraId="475F13B3" w14:textId="77352C75" w:rsidR="0060356C" w:rsidRPr="000F27C2" w:rsidRDefault="0054602B" w:rsidP="0054602B">
      <w:pPr>
        <w:pStyle w:val="BodyText4"/>
        <w:numPr>
          <w:ilvl w:val="0"/>
          <w:numId w:val="2"/>
        </w:numPr>
        <w:spacing w:after="200" w:line="276" w:lineRule="auto"/>
        <w:ind w:left="0" w:hanging="567"/>
        <w:rPr>
          <w:rFonts w:ascii="Calibri" w:hAnsi="Calibri" w:cs="Calibri"/>
          <w:b/>
          <w:bCs/>
        </w:rPr>
      </w:pPr>
      <w:r w:rsidRPr="008F1E62">
        <w:rPr>
          <w:rFonts w:ascii="Calibri" w:hAnsi="Calibri"/>
          <w:b/>
          <w:bCs/>
        </w:rPr>
        <w:t>Starting with the latest ISAs 800, 805</w:t>
      </w:r>
      <w:r>
        <w:rPr>
          <w:rFonts w:ascii="Calibri" w:hAnsi="Calibri"/>
          <w:b/>
          <w:bCs/>
        </w:rPr>
        <w:t>,</w:t>
      </w:r>
      <w:r w:rsidRPr="008F1E62">
        <w:rPr>
          <w:rFonts w:ascii="Calibri" w:hAnsi="Calibri"/>
          <w:b/>
          <w:bCs/>
        </w:rPr>
        <w:t xml:space="preserve"> &amp; 810, the AASC no longer modifies the standards for adoption as Philippine Standards on Auditing (PSAs).</w:t>
      </w:r>
      <w:r w:rsidRPr="008F1E62">
        <w:rPr>
          <w:rFonts w:ascii="Calibri" w:hAnsi="Calibri"/>
        </w:rPr>
        <w:t xml:space="preserve"> Instead of modification of the title and contents of ISA as issued by </w:t>
      </w:r>
      <w:r>
        <w:rPr>
          <w:rFonts w:ascii="Calibri" w:hAnsi="Calibri"/>
        </w:rPr>
        <w:t xml:space="preserve">the </w:t>
      </w:r>
      <w:r w:rsidRPr="00F51A40">
        <w:rPr>
          <w:rFonts w:ascii="Calibri" w:hAnsi="Calibri"/>
        </w:rPr>
        <w:t>International Auditing and Assurance Standards Board</w:t>
      </w:r>
      <w:r w:rsidRPr="008F1E62">
        <w:rPr>
          <w:rFonts w:ascii="Calibri" w:hAnsi="Calibri"/>
        </w:rPr>
        <w:t>, the AASC prepares and attaches to the ISA a Preface containing a statement on the AASC adoption and the provisions on the implementation of the standard taking into consideration any applicable local practices and regulations</w:t>
      </w:r>
      <w:r>
        <w:rPr>
          <w:rFonts w:ascii="Calibri" w:hAnsi="Calibri"/>
        </w:rPr>
        <w:t>,</w:t>
      </w:r>
      <w:r w:rsidRPr="008F1E62">
        <w:rPr>
          <w:rFonts w:ascii="Calibri" w:hAnsi="Calibri"/>
        </w:rPr>
        <w:t xml:space="preserve"> which are rare.</w:t>
      </w:r>
    </w:p>
    <w:p w14:paraId="4DF785C1" w14:textId="77777777" w:rsidR="000F27C2" w:rsidRPr="0054602B" w:rsidRDefault="000F27C2" w:rsidP="000F27C2">
      <w:pPr>
        <w:pStyle w:val="BodyText4"/>
        <w:spacing w:line="276" w:lineRule="auto"/>
        <w:rPr>
          <w:rFonts w:ascii="Calibri" w:hAnsi="Calibri" w:cs="Calibri"/>
          <w:b/>
          <w:bCs/>
        </w:rPr>
      </w:pPr>
    </w:p>
    <w:tbl>
      <w:tblPr>
        <w:tblStyle w:val="TabelEcorys3"/>
        <w:tblW w:w="0" w:type="auto"/>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8966"/>
      </w:tblGrid>
      <w:tr w:rsidR="000767A5" w:rsidRPr="008F1E62" w14:paraId="3489475A" w14:textId="77777777" w:rsidTr="0002662F">
        <w:trPr>
          <w:trHeight w:val="83"/>
          <w:tblHeader/>
        </w:trPr>
        <w:tc>
          <w:tcPr>
            <w:tcW w:w="8966" w:type="dxa"/>
            <w:shd w:val="clear" w:color="auto" w:fill="00AB51"/>
            <w:tcMar>
              <w:top w:w="144" w:type="dxa"/>
              <w:left w:w="144" w:type="dxa"/>
              <w:bottom w:w="144" w:type="dxa"/>
              <w:right w:w="144" w:type="dxa"/>
            </w:tcMar>
          </w:tcPr>
          <w:p w14:paraId="036AD565" w14:textId="183DEBF9" w:rsidR="000767A5" w:rsidRPr="0060356C" w:rsidRDefault="000767A5" w:rsidP="0002662F">
            <w:pPr>
              <w:pStyle w:val="Caption"/>
              <w:keepNext w:val="0"/>
              <w:spacing w:before="0" w:after="0"/>
              <w:jc w:val="center"/>
              <w:rPr>
                <w:color w:val="FFFFFF" w:themeColor="background1"/>
                <w:sz w:val="20"/>
                <w:szCs w:val="24"/>
                <w:lang w:val="en-US"/>
              </w:rPr>
            </w:pPr>
            <w:r w:rsidRPr="0060356C">
              <w:rPr>
                <w:color w:val="FFFFFF" w:themeColor="background1"/>
                <w:sz w:val="20"/>
                <w:szCs w:val="24"/>
                <w:lang w:val="en-US"/>
              </w:rPr>
              <w:t xml:space="preserve">Box </w:t>
            </w:r>
            <w:r w:rsidR="00A51D27" w:rsidRPr="0060356C">
              <w:rPr>
                <w:color w:val="FFFFFF" w:themeColor="background1"/>
                <w:sz w:val="20"/>
                <w:szCs w:val="24"/>
                <w:lang w:val="en-US"/>
              </w:rPr>
              <w:fldChar w:fldCharType="begin"/>
            </w:r>
            <w:r w:rsidR="00A51D27" w:rsidRPr="0060356C">
              <w:rPr>
                <w:color w:val="FFFFFF" w:themeColor="background1"/>
                <w:sz w:val="20"/>
                <w:szCs w:val="24"/>
                <w:lang w:val="en-US"/>
              </w:rPr>
              <w:instrText xml:space="preserve"> SEQ Box \* ARABIC </w:instrText>
            </w:r>
            <w:r w:rsidR="00A51D27" w:rsidRPr="0060356C">
              <w:rPr>
                <w:color w:val="FFFFFF" w:themeColor="background1"/>
                <w:sz w:val="20"/>
                <w:szCs w:val="24"/>
                <w:lang w:val="en-US"/>
              </w:rPr>
              <w:fldChar w:fldCharType="separate"/>
            </w:r>
            <w:r w:rsidR="004310EC">
              <w:rPr>
                <w:noProof/>
                <w:color w:val="FFFFFF" w:themeColor="background1"/>
                <w:sz w:val="20"/>
                <w:szCs w:val="24"/>
                <w:lang w:val="en-US"/>
              </w:rPr>
              <w:t>2</w:t>
            </w:r>
            <w:r w:rsidR="00A51D27" w:rsidRPr="0060356C">
              <w:rPr>
                <w:color w:val="FFFFFF" w:themeColor="background1"/>
                <w:sz w:val="20"/>
                <w:szCs w:val="24"/>
                <w:lang w:val="en-US"/>
              </w:rPr>
              <w:fldChar w:fldCharType="end"/>
            </w:r>
            <w:r w:rsidRPr="0060356C">
              <w:rPr>
                <w:color w:val="FFFFFF" w:themeColor="background1"/>
                <w:sz w:val="20"/>
                <w:szCs w:val="24"/>
                <w:lang w:val="en-US"/>
              </w:rPr>
              <w:t>. Status of new IS</w:t>
            </w:r>
            <w:r w:rsidRPr="0060356C">
              <w:rPr>
                <w:rFonts w:cstheme="minorHAnsi"/>
                <w:color w:val="FFFFFF" w:themeColor="background1"/>
                <w:sz w:val="20"/>
                <w:szCs w:val="24"/>
                <w:lang w:val="en-US"/>
              </w:rPr>
              <w:t xml:space="preserve">A Issuances adopted as PSA </w:t>
            </w:r>
            <w:r w:rsidR="00B2439A">
              <w:rPr>
                <w:rFonts w:cstheme="minorHAnsi"/>
                <w:color w:val="FFFFFF" w:themeColor="background1"/>
                <w:sz w:val="20"/>
                <w:szCs w:val="24"/>
                <w:lang w:val="en-US"/>
              </w:rPr>
              <w:t>i</w:t>
            </w:r>
            <w:r w:rsidRPr="0060356C">
              <w:rPr>
                <w:rFonts w:cstheme="minorHAnsi"/>
                <w:color w:val="FFFFFF" w:themeColor="background1"/>
                <w:sz w:val="20"/>
                <w:szCs w:val="24"/>
                <w:lang w:val="en-US"/>
              </w:rPr>
              <w:t>n the Philippines</w:t>
            </w:r>
          </w:p>
        </w:tc>
      </w:tr>
      <w:tr w:rsidR="00F76E53" w:rsidRPr="008F1E62" w14:paraId="26E3147A" w14:textId="77777777" w:rsidTr="0002662F">
        <w:trPr>
          <w:trHeight w:val="83"/>
        </w:trPr>
        <w:tc>
          <w:tcPr>
            <w:tcW w:w="8966" w:type="dxa"/>
            <w:shd w:val="clear" w:color="auto" w:fill="auto"/>
            <w:tcMar>
              <w:top w:w="144" w:type="dxa"/>
              <w:left w:w="144" w:type="dxa"/>
              <w:bottom w:w="144" w:type="dxa"/>
              <w:right w:w="144" w:type="dxa"/>
            </w:tcMar>
          </w:tcPr>
          <w:tbl>
            <w:tblPr>
              <w:tblStyle w:val="TableGrid"/>
              <w:tblW w:w="0" w:type="auto"/>
              <w:jc w:val="center"/>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8678"/>
            </w:tblGrid>
            <w:tr w:rsidR="00F76E53" w:rsidRPr="0060356C" w14:paraId="012949D2" w14:textId="77777777" w:rsidTr="0060356C">
              <w:trPr>
                <w:trHeight w:val="255"/>
                <w:tblCellSpacing w:w="57" w:type="dxa"/>
                <w:jc w:val="center"/>
              </w:trPr>
              <w:tc>
                <w:tcPr>
                  <w:tcW w:w="8668" w:type="dxa"/>
                  <w:shd w:val="clear" w:color="auto" w:fill="8C8D90"/>
                  <w:noWrap/>
                  <w:hideMark/>
                </w:tcPr>
                <w:p w14:paraId="7B1574A8" w14:textId="77777777" w:rsidR="00F76E53" w:rsidRPr="0060356C" w:rsidRDefault="00F76E53" w:rsidP="0002662F">
                  <w:pPr>
                    <w:spacing w:after="0"/>
                    <w:jc w:val="left"/>
                    <w:rPr>
                      <w:rFonts w:eastAsia="Times New Roman" w:cstheme="minorHAnsi"/>
                      <w:b/>
                      <w:color w:val="000000"/>
                      <w:sz w:val="20"/>
                    </w:rPr>
                  </w:pPr>
                  <w:r w:rsidRPr="0060356C">
                    <w:rPr>
                      <w:rFonts w:eastAsia="Times New Roman" w:cstheme="minorHAnsi"/>
                      <w:b/>
                      <w:color w:val="FFFFFF" w:themeColor="background1"/>
                      <w:sz w:val="20"/>
                    </w:rPr>
                    <w:t>Approved by AASC, BOA, PRC</w:t>
                  </w:r>
                  <w:r w:rsidR="00DC099D" w:rsidRPr="0060356C">
                    <w:rPr>
                      <w:rFonts w:eastAsia="Times New Roman" w:cstheme="minorHAnsi"/>
                      <w:b/>
                      <w:color w:val="FFFFFF" w:themeColor="background1"/>
                      <w:sz w:val="20"/>
                    </w:rPr>
                    <w:t>, SEC</w:t>
                  </w:r>
                  <w:r w:rsidRPr="0060356C">
                    <w:rPr>
                      <w:rFonts w:eastAsia="Times New Roman" w:cstheme="minorHAnsi"/>
                      <w:b/>
                      <w:color w:val="FFFFFF" w:themeColor="background1"/>
                      <w:sz w:val="20"/>
                    </w:rPr>
                    <w:t xml:space="preserve"> and published in the Official Gazette</w:t>
                  </w:r>
                </w:p>
              </w:tc>
            </w:tr>
            <w:tr w:rsidR="00F76E53" w:rsidRPr="0060356C" w14:paraId="62C7ADCF" w14:textId="77777777" w:rsidTr="0073547D">
              <w:trPr>
                <w:trHeight w:val="424"/>
                <w:tblCellSpacing w:w="57" w:type="dxa"/>
                <w:jc w:val="center"/>
              </w:trPr>
              <w:tc>
                <w:tcPr>
                  <w:tcW w:w="8668" w:type="dxa"/>
                  <w:shd w:val="clear" w:color="auto" w:fill="C6E8D7"/>
                  <w:noWrap/>
                </w:tcPr>
                <w:p w14:paraId="2801A946" w14:textId="75F3436F" w:rsidR="00F76E53" w:rsidRPr="0060356C" w:rsidRDefault="006A35E2" w:rsidP="0002662F">
                  <w:pPr>
                    <w:spacing w:after="0"/>
                    <w:jc w:val="left"/>
                    <w:rPr>
                      <w:rFonts w:cstheme="minorHAnsi"/>
                      <w:color w:val="000000"/>
                      <w:sz w:val="20"/>
                    </w:rPr>
                  </w:pPr>
                  <w:r w:rsidRPr="0060356C">
                    <w:rPr>
                      <w:rFonts w:cstheme="minorHAnsi"/>
                      <w:color w:val="000000"/>
                      <w:sz w:val="20"/>
                    </w:rPr>
                    <w:t>1. PSA 610 (Revised 2013) Using the Work of Internal Auditors and Related Conforming Amendments;</w:t>
                  </w:r>
                  <w:r w:rsidR="0051510C" w:rsidRPr="0060356C">
                    <w:rPr>
                      <w:color w:val="000000"/>
                      <w:sz w:val="20"/>
                      <w:vertAlign w:val="superscript"/>
                    </w:rPr>
                    <w:footnoteReference w:id="89"/>
                  </w:r>
                </w:p>
              </w:tc>
            </w:tr>
            <w:tr w:rsidR="00F76E53" w:rsidRPr="0060356C" w14:paraId="09C4B757" w14:textId="77777777" w:rsidTr="0073547D">
              <w:trPr>
                <w:trHeight w:val="255"/>
                <w:tblCellSpacing w:w="57" w:type="dxa"/>
                <w:jc w:val="center"/>
              </w:trPr>
              <w:tc>
                <w:tcPr>
                  <w:tcW w:w="8668" w:type="dxa"/>
                  <w:shd w:val="clear" w:color="auto" w:fill="C6E8D7"/>
                  <w:noWrap/>
                </w:tcPr>
                <w:p w14:paraId="2163B934"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2. PSAE 3410 Assurance Engagements on Greenhouse Gas Statements;</w:t>
                  </w:r>
                  <w:r w:rsidR="0051510C" w:rsidRPr="0060356C">
                    <w:rPr>
                      <w:color w:val="000000"/>
                      <w:sz w:val="20"/>
                      <w:vertAlign w:val="superscript"/>
                    </w:rPr>
                    <w:footnoteReference w:id="90"/>
                  </w:r>
                </w:p>
              </w:tc>
            </w:tr>
            <w:tr w:rsidR="00F76E53" w:rsidRPr="0060356C" w14:paraId="3767B3E2" w14:textId="77777777" w:rsidTr="0073547D">
              <w:trPr>
                <w:trHeight w:val="255"/>
                <w:tblCellSpacing w:w="57" w:type="dxa"/>
                <w:jc w:val="center"/>
              </w:trPr>
              <w:tc>
                <w:tcPr>
                  <w:tcW w:w="8668" w:type="dxa"/>
                  <w:shd w:val="clear" w:color="auto" w:fill="C6E8D7"/>
                  <w:noWrap/>
                </w:tcPr>
                <w:p w14:paraId="5ABA47F7" w14:textId="77777777" w:rsidR="00F76E53" w:rsidRPr="0060356C" w:rsidRDefault="00F76E53" w:rsidP="0002662F">
                  <w:pPr>
                    <w:spacing w:after="0"/>
                    <w:jc w:val="left"/>
                    <w:rPr>
                      <w:rFonts w:eastAsia="Times New Roman" w:cstheme="minorHAnsi"/>
                      <w:color w:val="FFFFFF" w:themeColor="background1"/>
                      <w:sz w:val="20"/>
                    </w:rPr>
                  </w:pPr>
                  <w:r w:rsidRPr="0060356C">
                    <w:rPr>
                      <w:rFonts w:cstheme="minorHAnsi"/>
                      <w:color w:val="000000"/>
                      <w:sz w:val="20"/>
                    </w:rPr>
                    <w:t xml:space="preserve">3. </w:t>
                  </w:r>
                  <w:r w:rsidRPr="0060356C">
                    <w:rPr>
                      <w:rFonts w:cstheme="minorHAnsi"/>
                      <w:bCs/>
                      <w:sz w:val="20"/>
                    </w:rPr>
                    <w:t>PSRS 4410 (Revised) Compilation Engagements;</w:t>
                  </w:r>
                  <w:r w:rsidR="0051510C" w:rsidRPr="0060356C">
                    <w:rPr>
                      <w:rStyle w:val="FootnoteReference"/>
                      <w:rFonts w:cstheme="minorHAnsi"/>
                      <w:bCs/>
                      <w:sz w:val="20"/>
                    </w:rPr>
                    <w:footnoteReference w:id="91"/>
                  </w:r>
                  <w:r w:rsidRPr="0060356C">
                    <w:rPr>
                      <w:rFonts w:cstheme="minorHAnsi"/>
                      <w:bCs/>
                      <w:sz w:val="20"/>
                    </w:rPr>
                    <w:t xml:space="preserve"> and</w:t>
                  </w:r>
                </w:p>
              </w:tc>
            </w:tr>
            <w:tr w:rsidR="00F76E53" w:rsidRPr="0060356C" w14:paraId="08222700" w14:textId="77777777" w:rsidTr="0073547D">
              <w:trPr>
                <w:trHeight w:val="255"/>
                <w:tblCellSpacing w:w="57" w:type="dxa"/>
                <w:jc w:val="center"/>
              </w:trPr>
              <w:tc>
                <w:tcPr>
                  <w:tcW w:w="8668" w:type="dxa"/>
                  <w:shd w:val="clear" w:color="auto" w:fill="C6E8D7"/>
                  <w:noWrap/>
                </w:tcPr>
                <w:p w14:paraId="206CC72F"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4. PSRE 2400 (Revised) Engagements to Review Historical Financial Statements.</w:t>
                  </w:r>
                  <w:r w:rsidR="0051510C" w:rsidRPr="0060356C">
                    <w:rPr>
                      <w:color w:val="000000"/>
                      <w:sz w:val="20"/>
                      <w:vertAlign w:val="superscript"/>
                    </w:rPr>
                    <w:footnoteReference w:id="92"/>
                  </w:r>
                </w:p>
              </w:tc>
            </w:tr>
            <w:tr w:rsidR="00F76E53" w:rsidRPr="0060356C" w14:paraId="04E6B49E" w14:textId="77777777" w:rsidTr="0060356C">
              <w:trPr>
                <w:trHeight w:val="255"/>
                <w:tblCellSpacing w:w="57" w:type="dxa"/>
                <w:jc w:val="center"/>
              </w:trPr>
              <w:tc>
                <w:tcPr>
                  <w:tcW w:w="8668" w:type="dxa"/>
                  <w:shd w:val="clear" w:color="auto" w:fill="8C8D90"/>
                  <w:noWrap/>
                  <w:hideMark/>
                </w:tcPr>
                <w:p w14:paraId="213EE512" w14:textId="77777777" w:rsidR="00F76E53" w:rsidRPr="0060356C" w:rsidRDefault="00F76E53" w:rsidP="0002662F">
                  <w:pPr>
                    <w:spacing w:after="0"/>
                    <w:jc w:val="left"/>
                    <w:rPr>
                      <w:rFonts w:eastAsia="Times New Roman" w:cstheme="minorHAnsi"/>
                      <w:b/>
                      <w:color w:val="000000"/>
                      <w:sz w:val="20"/>
                    </w:rPr>
                  </w:pPr>
                  <w:r w:rsidRPr="0060356C">
                    <w:rPr>
                      <w:rFonts w:eastAsia="Times New Roman" w:cstheme="minorHAnsi"/>
                      <w:b/>
                      <w:color w:val="FFFFFF" w:themeColor="background1"/>
                      <w:sz w:val="20"/>
                    </w:rPr>
                    <w:t>Approved by AASC, BOA, PRC</w:t>
                  </w:r>
                  <w:r w:rsidR="00DC099D" w:rsidRPr="0060356C">
                    <w:rPr>
                      <w:rFonts w:eastAsia="Times New Roman" w:cstheme="minorHAnsi"/>
                      <w:b/>
                      <w:color w:val="FFFFFF" w:themeColor="background1"/>
                      <w:sz w:val="20"/>
                    </w:rPr>
                    <w:t>, SEC</w:t>
                  </w:r>
                  <w:r w:rsidRPr="0060356C">
                    <w:rPr>
                      <w:rFonts w:eastAsia="Times New Roman" w:cstheme="minorHAnsi"/>
                      <w:b/>
                      <w:color w:val="FFFFFF" w:themeColor="background1"/>
                      <w:sz w:val="20"/>
                    </w:rPr>
                    <w:t xml:space="preserve"> and pending publication in the Official Gazette</w:t>
                  </w:r>
                </w:p>
              </w:tc>
            </w:tr>
            <w:tr w:rsidR="00F76E53" w:rsidRPr="0060356C" w14:paraId="530075D3" w14:textId="77777777" w:rsidTr="0073547D">
              <w:trPr>
                <w:trHeight w:val="334"/>
                <w:tblCellSpacing w:w="57" w:type="dxa"/>
                <w:jc w:val="center"/>
              </w:trPr>
              <w:tc>
                <w:tcPr>
                  <w:tcW w:w="8668" w:type="dxa"/>
                  <w:shd w:val="clear" w:color="auto" w:fill="C6E8D7"/>
                  <w:noWrap/>
                </w:tcPr>
                <w:p w14:paraId="21ABB30B"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1. PSA 260 (Revised), Communication with Those Charged with Governance;</w:t>
                  </w:r>
                  <w:r w:rsidR="0051510C" w:rsidRPr="0060356C">
                    <w:rPr>
                      <w:color w:val="000000"/>
                      <w:sz w:val="20"/>
                      <w:vertAlign w:val="superscript"/>
                    </w:rPr>
                    <w:footnoteReference w:id="93"/>
                  </w:r>
                </w:p>
              </w:tc>
            </w:tr>
            <w:tr w:rsidR="00F76E53" w:rsidRPr="0060356C" w14:paraId="640483B7" w14:textId="77777777" w:rsidTr="0073547D">
              <w:trPr>
                <w:trHeight w:val="255"/>
                <w:tblCellSpacing w:w="57" w:type="dxa"/>
                <w:jc w:val="center"/>
              </w:trPr>
              <w:tc>
                <w:tcPr>
                  <w:tcW w:w="8668" w:type="dxa"/>
                  <w:shd w:val="clear" w:color="auto" w:fill="C6E8D7"/>
                  <w:noWrap/>
                </w:tcPr>
                <w:p w14:paraId="53B50EC5"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2. PSA 570 (Revised), Going Concern;</w:t>
                  </w:r>
                  <w:r w:rsidR="0051510C" w:rsidRPr="0060356C">
                    <w:rPr>
                      <w:color w:val="000000"/>
                      <w:sz w:val="20"/>
                      <w:vertAlign w:val="superscript"/>
                    </w:rPr>
                    <w:footnoteReference w:id="94"/>
                  </w:r>
                </w:p>
              </w:tc>
            </w:tr>
            <w:tr w:rsidR="00F76E53" w:rsidRPr="0060356C" w14:paraId="0F2384A6" w14:textId="77777777" w:rsidTr="0073547D">
              <w:trPr>
                <w:trHeight w:val="255"/>
                <w:tblCellSpacing w:w="57" w:type="dxa"/>
                <w:jc w:val="center"/>
              </w:trPr>
              <w:tc>
                <w:tcPr>
                  <w:tcW w:w="8668" w:type="dxa"/>
                  <w:shd w:val="clear" w:color="auto" w:fill="C6E8D7"/>
                  <w:noWrap/>
                </w:tcPr>
                <w:p w14:paraId="1C3DEFC1"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3. PSA 700 (Revised), Forming an Opinion and Reporting on Financial Statements;</w:t>
                  </w:r>
                  <w:r w:rsidR="0051510C" w:rsidRPr="0060356C">
                    <w:rPr>
                      <w:color w:val="000000"/>
                      <w:sz w:val="20"/>
                      <w:vertAlign w:val="superscript"/>
                    </w:rPr>
                    <w:footnoteReference w:id="95"/>
                  </w:r>
                </w:p>
              </w:tc>
            </w:tr>
            <w:tr w:rsidR="00F76E53" w:rsidRPr="0060356C" w14:paraId="2635B016" w14:textId="77777777" w:rsidTr="0073547D">
              <w:trPr>
                <w:trHeight w:val="255"/>
                <w:tblCellSpacing w:w="57" w:type="dxa"/>
                <w:jc w:val="center"/>
              </w:trPr>
              <w:tc>
                <w:tcPr>
                  <w:tcW w:w="8668" w:type="dxa"/>
                  <w:shd w:val="clear" w:color="auto" w:fill="C6E8D7"/>
                  <w:noWrap/>
                </w:tcPr>
                <w:p w14:paraId="60A49D5C"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 xml:space="preserve">4. </w:t>
                  </w:r>
                  <w:r w:rsidRPr="0060356C">
                    <w:rPr>
                      <w:rFonts w:cstheme="minorHAnsi"/>
                      <w:bCs/>
                      <w:sz w:val="20"/>
                    </w:rPr>
                    <w:t>PSA 701 (Revised), Communicating Key Audit Matters in the Independent Auditor's Report;</w:t>
                  </w:r>
                  <w:r w:rsidR="0051510C" w:rsidRPr="0060356C">
                    <w:rPr>
                      <w:rStyle w:val="FootnoteReference"/>
                      <w:rFonts w:cstheme="minorHAnsi"/>
                      <w:bCs/>
                      <w:sz w:val="20"/>
                    </w:rPr>
                    <w:footnoteReference w:id="96"/>
                  </w:r>
                </w:p>
              </w:tc>
            </w:tr>
            <w:tr w:rsidR="00F76E53" w:rsidRPr="0060356C" w14:paraId="432A5CE7" w14:textId="77777777" w:rsidTr="0073547D">
              <w:trPr>
                <w:trHeight w:val="255"/>
                <w:tblCellSpacing w:w="57" w:type="dxa"/>
                <w:jc w:val="center"/>
              </w:trPr>
              <w:tc>
                <w:tcPr>
                  <w:tcW w:w="8668" w:type="dxa"/>
                  <w:shd w:val="clear" w:color="auto" w:fill="C6E8D7"/>
                  <w:noWrap/>
                </w:tcPr>
                <w:p w14:paraId="74B0F16A"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 xml:space="preserve">5. </w:t>
                  </w:r>
                  <w:r w:rsidRPr="0060356C">
                    <w:rPr>
                      <w:rFonts w:cstheme="minorHAnsi"/>
                      <w:bCs/>
                      <w:sz w:val="20"/>
                    </w:rPr>
                    <w:t>PSA 705 (Revised), Modifications to the Opinion in the Independent Auditor's Report;</w:t>
                  </w:r>
                  <w:r w:rsidR="0051510C" w:rsidRPr="0060356C">
                    <w:rPr>
                      <w:rStyle w:val="FootnoteReference"/>
                      <w:rFonts w:cstheme="minorHAnsi"/>
                      <w:bCs/>
                      <w:sz w:val="20"/>
                    </w:rPr>
                    <w:footnoteReference w:id="97"/>
                  </w:r>
                </w:p>
              </w:tc>
            </w:tr>
            <w:tr w:rsidR="00F76E53" w:rsidRPr="0060356C" w14:paraId="2E5FCE38" w14:textId="77777777" w:rsidTr="0073547D">
              <w:trPr>
                <w:trHeight w:val="255"/>
                <w:tblCellSpacing w:w="57" w:type="dxa"/>
                <w:jc w:val="center"/>
              </w:trPr>
              <w:tc>
                <w:tcPr>
                  <w:tcW w:w="8668" w:type="dxa"/>
                  <w:shd w:val="clear" w:color="auto" w:fill="C6E8D7"/>
                  <w:noWrap/>
                </w:tcPr>
                <w:p w14:paraId="4B3AEB40" w14:textId="77777777" w:rsidR="00F76E53" w:rsidRPr="0060356C" w:rsidRDefault="00F76E53" w:rsidP="0002662F">
                  <w:pPr>
                    <w:spacing w:after="0"/>
                    <w:jc w:val="left"/>
                    <w:rPr>
                      <w:rFonts w:cstheme="minorHAnsi"/>
                      <w:color w:val="000000"/>
                      <w:sz w:val="20"/>
                    </w:rPr>
                  </w:pPr>
                  <w:r w:rsidRPr="0060356C">
                    <w:rPr>
                      <w:rFonts w:cstheme="minorHAnsi"/>
                      <w:color w:val="000000"/>
                      <w:sz w:val="20"/>
                    </w:rPr>
                    <w:t>6. PSA</w:t>
                  </w:r>
                  <w:r w:rsidRPr="0060356C">
                    <w:rPr>
                      <w:rFonts w:cstheme="minorHAnsi"/>
                      <w:bCs/>
                      <w:sz w:val="20"/>
                    </w:rPr>
                    <w:t xml:space="preserve"> 706 (Revised), Emphasis of Matter Paragraphs and Other Matter Paragraphs in the Independent Auditor's Report;</w:t>
                  </w:r>
                  <w:r w:rsidR="0051510C" w:rsidRPr="0060356C">
                    <w:rPr>
                      <w:rStyle w:val="FootnoteReference"/>
                      <w:rFonts w:cstheme="minorHAnsi"/>
                      <w:bCs/>
                      <w:sz w:val="20"/>
                    </w:rPr>
                    <w:footnoteReference w:id="98"/>
                  </w:r>
                </w:p>
              </w:tc>
            </w:tr>
            <w:tr w:rsidR="00F76E53" w:rsidRPr="0060356C" w14:paraId="6AF892AA" w14:textId="77777777" w:rsidTr="0073547D">
              <w:trPr>
                <w:trHeight w:val="255"/>
                <w:tblCellSpacing w:w="57" w:type="dxa"/>
                <w:jc w:val="center"/>
              </w:trPr>
              <w:tc>
                <w:tcPr>
                  <w:tcW w:w="8668" w:type="dxa"/>
                  <w:shd w:val="clear" w:color="auto" w:fill="C6E8D7"/>
                  <w:noWrap/>
                </w:tcPr>
                <w:p w14:paraId="2C76F743" w14:textId="77777777" w:rsidR="00F76E53" w:rsidRPr="0060356C" w:rsidRDefault="00F76E53" w:rsidP="0002662F">
                  <w:pPr>
                    <w:spacing w:after="0"/>
                    <w:jc w:val="left"/>
                    <w:rPr>
                      <w:rFonts w:eastAsia="Times New Roman" w:cstheme="minorHAnsi"/>
                      <w:color w:val="FFFFFF" w:themeColor="background1"/>
                      <w:sz w:val="20"/>
                    </w:rPr>
                  </w:pPr>
                  <w:r w:rsidRPr="0060356C">
                    <w:rPr>
                      <w:rFonts w:cstheme="minorHAnsi"/>
                      <w:color w:val="000000"/>
                      <w:sz w:val="20"/>
                    </w:rPr>
                    <w:t xml:space="preserve">7. </w:t>
                  </w:r>
                  <w:r w:rsidRPr="0060356C">
                    <w:rPr>
                      <w:rFonts w:cstheme="minorHAnsi"/>
                      <w:bCs/>
                      <w:sz w:val="20"/>
                    </w:rPr>
                    <w:t>PSA 720 (Revised), The Auditor's Responsibilities Relating to Other Information.</w:t>
                  </w:r>
                  <w:r w:rsidR="0051510C" w:rsidRPr="0060356C">
                    <w:rPr>
                      <w:rStyle w:val="FootnoteReference"/>
                      <w:rFonts w:cstheme="minorHAnsi"/>
                      <w:bCs/>
                      <w:sz w:val="20"/>
                    </w:rPr>
                    <w:footnoteReference w:id="99"/>
                  </w:r>
                </w:p>
              </w:tc>
            </w:tr>
            <w:tr w:rsidR="00F76E53" w:rsidRPr="0060356C" w14:paraId="19F16A54" w14:textId="77777777" w:rsidTr="0060356C">
              <w:trPr>
                <w:trHeight w:val="255"/>
                <w:tblCellSpacing w:w="57" w:type="dxa"/>
                <w:jc w:val="center"/>
              </w:trPr>
              <w:tc>
                <w:tcPr>
                  <w:tcW w:w="8668" w:type="dxa"/>
                  <w:shd w:val="clear" w:color="auto" w:fill="8C8D90"/>
                  <w:noWrap/>
                  <w:hideMark/>
                </w:tcPr>
                <w:p w14:paraId="5D1F6EFB" w14:textId="77777777" w:rsidR="00F76E53" w:rsidRPr="0060356C" w:rsidRDefault="00F76E53" w:rsidP="0002662F">
                  <w:pPr>
                    <w:spacing w:after="0"/>
                    <w:jc w:val="left"/>
                    <w:rPr>
                      <w:rFonts w:eastAsia="Times New Roman" w:cstheme="minorHAnsi"/>
                      <w:b/>
                      <w:color w:val="000000"/>
                      <w:sz w:val="20"/>
                    </w:rPr>
                  </w:pPr>
                  <w:r w:rsidRPr="0060356C">
                    <w:rPr>
                      <w:rFonts w:eastAsia="Times New Roman" w:cstheme="minorHAnsi"/>
                      <w:b/>
                      <w:color w:val="FFFFFF" w:themeColor="background1"/>
                      <w:sz w:val="20"/>
                    </w:rPr>
                    <w:t xml:space="preserve">Approved by AASC and for submission to BOA and PRC </w:t>
                  </w:r>
                </w:p>
              </w:tc>
            </w:tr>
            <w:tr w:rsidR="00F76E53" w:rsidRPr="0060356C" w14:paraId="6573B085" w14:textId="77777777" w:rsidTr="0073547D">
              <w:trPr>
                <w:trHeight w:val="255"/>
                <w:tblCellSpacing w:w="57" w:type="dxa"/>
                <w:jc w:val="center"/>
              </w:trPr>
              <w:tc>
                <w:tcPr>
                  <w:tcW w:w="8668" w:type="dxa"/>
                  <w:shd w:val="clear" w:color="auto" w:fill="C6E8D7"/>
                  <w:noWrap/>
                </w:tcPr>
                <w:p w14:paraId="5D88D581" w14:textId="77777777" w:rsidR="00F76E53" w:rsidRPr="0060356C" w:rsidRDefault="00F76E53" w:rsidP="0002662F">
                  <w:pPr>
                    <w:spacing w:after="0"/>
                    <w:jc w:val="left"/>
                    <w:rPr>
                      <w:rFonts w:eastAsia="Times New Roman" w:cstheme="minorHAnsi"/>
                      <w:color w:val="000000"/>
                      <w:sz w:val="20"/>
                    </w:rPr>
                  </w:pPr>
                  <w:r w:rsidRPr="0060356C">
                    <w:rPr>
                      <w:rFonts w:eastAsia="Times New Roman" w:cstheme="minorHAnsi"/>
                      <w:color w:val="000000"/>
                      <w:sz w:val="20"/>
                    </w:rPr>
                    <w:t xml:space="preserve">1. </w:t>
                  </w:r>
                  <w:r w:rsidRPr="0060356C">
                    <w:rPr>
                      <w:rFonts w:cstheme="minorHAnsi"/>
                      <w:color w:val="000000"/>
                      <w:sz w:val="20"/>
                    </w:rPr>
                    <w:t>PSA</w:t>
                  </w:r>
                  <w:r w:rsidRPr="0060356C">
                    <w:rPr>
                      <w:rFonts w:eastAsia="Times New Roman" w:cstheme="minorHAnsi"/>
                      <w:color w:val="000000"/>
                      <w:sz w:val="20"/>
                    </w:rPr>
                    <w:t xml:space="preserve"> 800 (Revised), Special Considerations - Audits of Financial Statements Prepared in Accordance with Special Purpose Frameworks;</w:t>
                  </w:r>
                </w:p>
              </w:tc>
            </w:tr>
            <w:tr w:rsidR="00F76E53" w:rsidRPr="0060356C" w14:paraId="366D7150" w14:textId="77777777" w:rsidTr="0073547D">
              <w:trPr>
                <w:trHeight w:val="255"/>
                <w:tblCellSpacing w:w="57" w:type="dxa"/>
                <w:jc w:val="center"/>
              </w:trPr>
              <w:tc>
                <w:tcPr>
                  <w:tcW w:w="8668" w:type="dxa"/>
                  <w:shd w:val="clear" w:color="auto" w:fill="C6E8D7"/>
                  <w:noWrap/>
                </w:tcPr>
                <w:p w14:paraId="2247C56B" w14:textId="77777777" w:rsidR="00F76E53" w:rsidRPr="0060356C" w:rsidRDefault="00F76E53" w:rsidP="0002662F">
                  <w:pPr>
                    <w:spacing w:after="0"/>
                    <w:jc w:val="left"/>
                    <w:rPr>
                      <w:rFonts w:eastAsia="Times New Roman" w:cstheme="minorHAnsi"/>
                      <w:color w:val="000000"/>
                      <w:sz w:val="20"/>
                    </w:rPr>
                  </w:pPr>
                  <w:r w:rsidRPr="0060356C">
                    <w:rPr>
                      <w:rFonts w:eastAsia="Times New Roman" w:cstheme="minorHAnsi"/>
                      <w:color w:val="000000"/>
                      <w:sz w:val="20"/>
                    </w:rPr>
                    <w:t xml:space="preserve">2. PSA 805 (Revised), Special Considerations - Audits of Single Financial Statements and </w:t>
                  </w:r>
                  <w:r w:rsidRPr="0060356C">
                    <w:rPr>
                      <w:rFonts w:cstheme="minorHAnsi"/>
                      <w:color w:val="000000"/>
                      <w:sz w:val="20"/>
                    </w:rPr>
                    <w:t>Specific</w:t>
                  </w:r>
                  <w:r w:rsidRPr="0060356C">
                    <w:rPr>
                      <w:rFonts w:eastAsia="Times New Roman" w:cstheme="minorHAnsi"/>
                      <w:color w:val="000000"/>
                      <w:sz w:val="20"/>
                    </w:rPr>
                    <w:t xml:space="preserve"> Elements, Accounts or Items of a Financial Statement;</w:t>
                  </w:r>
                </w:p>
              </w:tc>
            </w:tr>
            <w:tr w:rsidR="00F76E53" w:rsidRPr="0060356C" w14:paraId="7A2E8845" w14:textId="77777777" w:rsidTr="0073547D">
              <w:trPr>
                <w:trHeight w:val="255"/>
                <w:tblCellSpacing w:w="57" w:type="dxa"/>
                <w:jc w:val="center"/>
              </w:trPr>
              <w:tc>
                <w:tcPr>
                  <w:tcW w:w="8668" w:type="dxa"/>
                  <w:shd w:val="clear" w:color="auto" w:fill="C6E8D7"/>
                  <w:noWrap/>
                </w:tcPr>
                <w:p w14:paraId="1FA0E2EE" w14:textId="77777777" w:rsidR="00F76E53" w:rsidRPr="0060356C" w:rsidRDefault="00F76E53" w:rsidP="0002662F">
                  <w:pPr>
                    <w:spacing w:after="0"/>
                    <w:jc w:val="left"/>
                    <w:rPr>
                      <w:rFonts w:eastAsia="Times New Roman" w:cstheme="minorHAnsi"/>
                      <w:color w:val="000000"/>
                      <w:sz w:val="20"/>
                    </w:rPr>
                  </w:pPr>
                  <w:r w:rsidRPr="0060356C">
                    <w:rPr>
                      <w:rFonts w:eastAsia="Times New Roman" w:cstheme="minorHAnsi"/>
                      <w:color w:val="000000"/>
                      <w:sz w:val="20"/>
                    </w:rPr>
                    <w:t>3. PSA 810 (Revised), Engagements to Report on Summary Financial Statements.</w:t>
                  </w:r>
                </w:p>
              </w:tc>
            </w:tr>
          </w:tbl>
          <w:p w14:paraId="662EA7AA" w14:textId="77777777" w:rsidR="00F76E53" w:rsidRPr="00F37F55" w:rsidRDefault="00F76E53" w:rsidP="0002662F">
            <w:pPr>
              <w:pStyle w:val="ListParagraph"/>
              <w:numPr>
                <w:ilvl w:val="0"/>
                <w:numId w:val="0"/>
              </w:numPr>
              <w:tabs>
                <w:tab w:val="left" w:pos="720"/>
              </w:tabs>
              <w:autoSpaceDE w:val="0"/>
              <w:autoSpaceDN w:val="0"/>
              <w:adjustRightInd w:val="0"/>
              <w:spacing w:before="0" w:beforeAutospacing="0" w:after="0" w:afterAutospacing="0" w:line="240" w:lineRule="auto"/>
              <w:jc w:val="center"/>
              <w:rPr>
                <w:rFonts w:asciiTheme="minorHAnsi" w:hAnsiTheme="minorHAnsi" w:cstheme="minorHAnsi"/>
                <w:b/>
                <w:sz w:val="2"/>
                <w:szCs w:val="2"/>
              </w:rPr>
            </w:pPr>
          </w:p>
        </w:tc>
      </w:tr>
    </w:tbl>
    <w:p w14:paraId="15FEE58E" w14:textId="77777777" w:rsidR="000F27C2" w:rsidRPr="000F27C2" w:rsidRDefault="000F27C2" w:rsidP="000F27C2">
      <w:pPr>
        <w:pStyle w:val="BodyText4"/>
        <w:spacing w:line="276" w:lineRule="auto"/>
        <w:rPr>
          <w:rFonts w:ascii="Calibri" w:hAnsi="Calibri" w:cs="Calibri"/>
          <w:b/>
          <w:bCs/>
        </w:rPr>
      </w:pPr>
    </w:p>
    <w:p w14:paraId="3B2E403A" w14:textId="3677337C" w:rsidR="00F76E53" w:rsidRPr="008F1E62" w:rsidRDefault="00F76E53" w:rsidP="00FB3DC8">
      <w:pPr>
        <w:pStyle w:val="BodyText4"/>
        <w:numPr>
          <w:ilvl w:val="0"/>
          <w:numId w:val="2"/>
        </w:numPr>
        <w:spacing w:after="200" w:line="276" w:lineRule="auto"/>
        <w:ind w:left="0" w:hanging="567"/>
        <w:rPr>
          <w:rFonts w:ascii="Calibri" w:hAnsi="Calibri" w:cs="Calibri"/>
          <w:b/>
          <w:bCs/>
        </w:rPr>
      </w:pPr>
      <w:r w:rsidRPr="008F1E62">
        <w:rPr>
          <w:rFonts w:ascii="Calibri" w:hAnsi="Calibri"/>
          <w:b/>
          <w:bCs/>
        </w:rPr>
        <w:t xml:space="preserve">The </w:t>
      </w:r>
      <w:r w:rsidRPr="008F1E62">
        <w:rPr>
          <w:rFonts w:ascii="Calibri" w:hAnsi="Calibri" w:cs="Calibri"/>
          <w:b/>
          <w:bCs/>
        </w:rPr>
        <w:t>AASC</w:t>
      </w:r>
      <w:r w:rsidRPr="008F1E62">
        <w:rPr>
          <w:rFonts w:ascii="Calibri" w:hAnsi="Calibri"/>
          <w:b/>
          <w:bCs/>
        </w:rPr>
        <w:t xml:space="preserve"> posts </w:t>
      </w:r>
      <w:r w:rsidR="003105AF">
        <w:rPr>
          <w:rFonts w:ascii="Calibri" w:hAnsi="Calibri"/>
          <w:b/>
          <w:bCs/>
        </w:rPr>
        <w:t>o</w:t>
      </w:r>
      <w:r w:rsidRPr="008F1E62">
        <w:rPr>
          <w:rFonts w:ascii="Calibri" w:hAnsi="Calibri"/>
          <w:b/>
          <w:bCs/>
        </w:rPr>
        <w:t xml:space="preserve">n its webpage copies of new and revised standards. Some member-organizations also provide links to the AASC site </w:t>
      </w:r>
      <w:r w:rsidR="003105AF">
        <w:rPr>
          <w:rFonts w:ascii="Calibri" w:hAnsi="Calibri"/>
          <w:b/>
          <w:bCs/>
        </w:rPr>
        <w:t>o</w:t>
      </w:r>
      <w:r w:rsidRPr="008F1E62">
        <w:rPr>
          <w:rFonts w:ascii="Calibri" w:hAnsi="Calibri"/>
          <w:b/>
          <w:bCs/>
        </w:rPr>
        <w:t>n their respective webpages.</w:t>
      </w:r>
      <w:r w:rsidRPr="008F1E62">
        <w:rPr>
          <w:rFonts w:ascii="Calibri" w:hAnsi="Calibri"/>
        </w:rPr>
        <w:t xml:space="preserve"> </w:t>
      </w:r>
      <w:proofErr w:type="gramStart"/>
      <w:r w:rsidRPr="008F1E62">
        <w:rPr>
          <w:rFonts w:ascii="Calibri" w:hAnsi="Calibri"/>
        </w:rPr>
        <w:t>All of these</w:t>
      </w:r>
      <w:proofErr w:type="gramEnd"/>
      <w:r w:rsidRPr="008F1E62">
        <w:rPr>
          <w:rFonts w:ascii="Calibri" w:hAnsi="Calibri"/>
        </w:rPr>
        <w:t xml:space="preserve"> are accessible by stakeholders. The BOA publishes adopted new and revised standards in the Official Gazette.</w:t>
      </w:r>
    </w:p>
    <w:p w14:paraId="7862BF38" w14:textId="77777777" w:rsidR="00F76E53" w:rsidRPr="008F1E62" w:rsidRDefault="00F76E53" w:rsidP="0077686B">
      <w:pPr>
        <w:pStyle w:val="Heading3"/>
        <w:rPr>
          <w:rFonts w:cs="TT149t00"/>
        </w:rPr>
      </w:pPr>
      <w:r w:rsidRPr="008F1E62">
        <w:t>Audit Regulation</w:t>
      </w:r>
    </w:p>
    <w:p w14:paraId="7F4EB27D"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T149t00"/>
        </w:rPr>
      </w:pPr>
      <w:r w:rsidRPr="008F1E62">
        <w:rPr>
          <w:rFonts w:ascii="Calibri" w:hAnsi="Calibri" w:cs="Calibri"/>
          <w:b/>
          <w:bCs/>
        </w:rPr>
        <w:t>International</w:t>
      </w:r>
      <w:r w:rsidRPr="008F1E62">
        <w:rPr>
          <w:rFonts w:asciiTheme="minorHAnsi" w:hAnsiTheme="minorHAnsi" w:cs="TT149t00"/>
          <w:b/>
        </w:rPr>
        <w:t xml:space="preserve"> good practices favor creation of an independent audit oversight system, including effective quality assurance for auditors.</w:t>
      </w:r>
      <w:r w:rsidRPr="008F1E62">
        <w:rPr>
          <w:rFonts w:asciiTheme="minorHAnsi" w:hAnsiTheme="minorHAnsi" w:cs="TT149t00"/>
        </w:rPr>
        <w:t xml:space="preserve">  Typical functions include regularly inspecting the quality control systems that firms have adopted to see if they are effectively designed and implemented; regularly inspecting some of the individual audits performed by firms to assess their adequacy; developing measures to induce firms to address any deficiencies found in their quality control system; and conducting investigations and imposing discipline to address the most serious deficiencies, deter other firms from allowing similar deficiencies to occur, and removing from the market those audit firms that cannot or will not conform to professional standards.</w:t>
      </w:r>
    </w:p>
    <w:p w14:paraId="09225C06"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T149t00"/>
        </w:rPr>
      </w:pPr>
      <w:r w:rsidRPr="008F1E62">
        <w:rPr>
          <w:rFonts w:asciiTheme="minorHAnsi" w:hAnsiTheme="minorHAnsi" w:cs="TT149t00"/>
          <w:b/>
        </w:rPr>
        <w:t xml:space="preserve">Independent auditing of corporations is one of the most complex industries to regulate </w:t>
      </w:r>
      <w:r w:rsidRPr="008F1E62">
        <w:rPr>
          <w:rFonts w:ascii="Calibri" w:hAnsi="Calibri" w:cs="Calibri"/>
          <w:b/>
          <w:bCs/>
        </w:rPr>
        <w:t>properly</w:t>
      </w:r>
      <w:r w:rsidRPr="008F1E62">
        <w:rPr>
          <w:rFonts w:asciiTheme="minorHAnsi" w:hAnsiTheme="minorHAnsi" w:cs="TT149t00"/>
          <w:b/>
        </w:rPr>
        <w:t>.</w:t>
      </w:r>
      <w:r w:rsidRPr="008F1E62">
        <w:rPr>
          <w:rFonts w:asciiTheme="minorHAnsi" w:hAnsiTheme="minorHAnsi" w:cs="TT149t00"/>
        </w:rPr>
        <w:t xml:space="preserve">  Auditing complex companies does not involve just following some standard set of procedures and ticking boxes on a checklist.  To be effective, an auditor must use knowledge and experience to understand the company’s business and the way it estimates, records, accumulates, and reports information about its transactions, obligations, and assets; identify the specific risks that might cause some of these items to be reported inaccurately for that company, based on how it operates; design and perform tests for the particular company to obtain reasonable assurance that the financial reporting is reliable; do all of this efficiently, within a reasonable time</w:t>
      </w:r>
      <w:r w:rsidR="00161637">
        <w:rPr>
          <w:rFonts w:asciiTheme="minorHAnsi" w:hAnsiTheme="minorHAnsi" w:cs="TT149t00"/>
        </w:rPr>
        <w:t>,</w:t>
      </w:r>
      <w:r w:rsidRPr="008F1E62">
        <w:rPr>
          <w:rFonts w:asciiTheme="minorHAnsi" w:hAnsiTheme="minorHAnsi" w:cs="TT149t00"/>
        </w:rPr>
        <w:t xml:space="preserve"> and at a reasonable cost.  Thus, audit regulators must understand that they are not regulating a routinized activity, in which they could expect to see the same steps and procedures performed every time.  This is an enormous challenge for effective regulation.    </w:t>
      </w:r>
    </w:p>
    <w:p w14:paraId="06311A57" w14:textId="21373141" w:rsidR="00F76E53" w:rsidRPr="008F1E62" w:rsidRDefault="00F76E53" w:rsidP="00FB3DC8">
      <w:pPr>
        <w:pStyle w:val="BodyText4"/>
        <w:numPr>
          <w:ilvl w:val="0"/>
          <w:numId w:val="2"/>
        </w:numPr>
        <w:spacing w:after="200" w:line="276" w:lineRule="auto"/>
        <w:ind w:left="0" w:hanging="567"/>
        <w:rPr>
          <w:rFonts w:asciiTheme="minorHAnsi" w:hAnsiTheme="minorHAnsi" w:cs="TT149t00"/>
        </w:rPr>
      </w:pPr>
      <w:r w:rsidRPr="008F1E62">
        <w:rPr>
          <w:rFonts w:asciiTheme="minorHAnsi" w:hAnsiTheme="minorHAnsi" w:cs="TT149t00"/>
          <w:b/>
        </w:rPr>
        <w:t xml:space="preserve">An </w:t>
      </w:r>
      <w:r w:rsidRPr="008F1E62">
        <w:rPr>
          <w:rFonts w:ascii="Calibri" w:hAnsi="Calibri" w:cs="Calibri"/>
          <w:b/>
          <w:bCs/>
        </w:rPr>
        <w:t>effective</w:t>
      </w:r>
      <w:r w:rsidRPr="008F1E62">
        <w:rPr>
          <w:rFonts w:asciiTheme="minorHAnsi" w:hAnsiTheme="minorHAnsi" w:cs="TT149t00"/>
          <w:b/>
        </w:rPr>
        <w:t xml:space="preserve"> audit oversight system must be able to pay competitively with the leading firms in the industry it regulates.</w:t>
      </w:r>
      <w:r w:rsidRPr="008F1E62">
        <w:rPr>
          <w:rFonts w:asciiTheme="minorHAnsi" w:hAnsiTheme="minorHAnsi" w:cs="TT149t00"/>
        </w:rPr>
        <w:t xml:space="preserve">   To determine whether the auditor acted with professional competence and reasonable diligence, the regulator must become familiar with the large set of facts about the audited company that the auditor considered (or should have considered); identify and understand the procedures the auditor performed to test the company’s financial reporting, as well as the audit firm’s quality assurance programs that impacted the audit; and assess whether those procedures and programs appear reasonable in light of the risks of unreliable reporting that the auditor faced.  Only someone highly trained and experienced in auditing can adequately perform this regulatory function.  For review of some audits (e.g., financial services) industry-specialized experience may also be needed.  Thus, the audit oversight authority must have the funding and flexibility to hire staff with the sophistication and experience to perform these kinds of functions, and remuneration well above typical civil-service pay scales is ordinarily needed.  </w:t>
      </w:r>
    </w:p>
    <w:p w14:paraId="24CC2C03" w14:textId="77777777" w:rsidR="00F76E53" w:rsidRPr="008F1E62" w:rsidRDefault="00F76E53" w:rsidP="00FB3DC8">
      <w:pPr>
        <w:pStyle w:val="BodyText4"/>
        <w:numPr>
          <w:ilvl w:val="0"/>
          <w:numId w:val="2"/>
        </w:numPr>
        <w:spacing w:after="200" w:line="276" w:lineRule="auto"/>
        <w:ind w:left="0" w:hanging="567"/>
        <w:rPr>
          <w:rFonts w:asciiTheme="minorHAnsi" w:hAnsiTheme="minorHAnsi" w:cs="TT149t00"/>
        </w:rPr>
      </w:pPr>
      <w:r w:rsidRPr="008F1E62">
        <w:rPr>
          <w:rFonts w:asciiTheme="minorHAnsi" w:hAnsiTheme="minorHAnsi" w:cs="TT149t00"/>
          <w:b/>
        </w:rPr>
        <w:t>Creating an audit oversight system with inadequate funding or flexibility to pay salaries will likely be counterproductive.</w:t>
      </w:r>
      <w:r w:rsidRPr="008F1E62">
        <w:rPr>
          <w:rFonts w:asciiTheme="minorHAnsi" w:hAnsiTheme="minorHAnsi" w:cs="TT149t00"/>
        </w:rPr>
        <w:t xml:space="preserve">  Auditors must perform their complex function in a limited time and with limited resources. If regulators force auditors to spend time and resources on activities that do not involve identifying and addressing the real risks of inaccurate financial reporting for the companies they audit, they will have less time and fewer resources to fulfill their real and important function. A regulator that does not adequately understand modern auditing might force auditors to spend too much time on unproductive and misdirected “compliance” activities, which could </w:t>
      </w:r>
      <w:proofErr w:type="gramStart"/>
      <w:r w:rsidRPr="008F1E62">
        <w:rPr>
          <w:rFonts w:asciiTheme="minorHAnsi" w:hAnsiTheme="minorHAnsi" w:cs="TT149t00"/>
        </w:rPr>
        <w:t>actually render</w:t>
      </w:r>
      <w:proofErr w:type="gramEnd"/>
      <w:r w:rsidRPr="008F1E62">
        <w:rPr>
          <w:rFonts w:asciiTheme="minorHAnsi" w:hAnsiTheme="minorHAnsi" w:cs="TT149t00"/>
        </w:rPr>
        <w:t xml:space="preserve"> the profession less capable of adequately performing than it would be without an oversight system.</w:t>
      </w:r>
    </w:p>
    <w:p w14:paraId="47C12F9A" w14:textId="746F7F20" w:rsidR="00F76E53" w:rsidRPr="008F1E62" w:rsidRDefault="00F76E53" w:rsidP="00424C0E">
      <w:pPr>
        <w:pStyle w:val="BodyText4"/>
        <w:numPr>
          <w:ilvl w:val="0"/>
          <w:numId w:val="2"/>
        </w:numPr>
        <w:spacing w:after="160" w:line="276" w:lineRule="auto"/>
        <w:ind w:left="0" w:hanging="562"/>
        <w:rPr>
          <w:rFonts w:asciiTheme="minorHAnsi" w:hAnsiTheme="minorHAnsi" w:cs="TT149t00"/>
        </w:rPr>
      </w:pPr>
      <w:r w:rsidRPr="008F1E62">
        <w:rPr>
          <w:rFonts w:asciiTheme="minorHAnsi" w:hAnsiTheme="minorHAnsi" w:cs="TT149t00"/>
          <w:b/>
        </w:rPr>
        <w:t xml:space="preserve">An </w:t>
      </w:r>
      <w:r w:rsidRPr="008F1E62">
        <w:rPr>
          <w:rFonts w:ascii="Calibri" w:hAnsi="Calibri" w:cs="Calibri"/>
          <w:b/>
          <w:bCs/>
        </w:rPr>
        <w:t>adequate</w:t>
      </w:r>
      <w:r w:rsidRPr="008F1E62">
        <w:rPr>
          <w:rFonts w:asciiTheme="minorHAnsi" w:hAnsiTheme="minorHAnsi" w:cs="TT149t00"/>
          <w:b/>
        </w:rPr>
        <w:t xml:space="preserve"> </w:t>
      </w:r>
      <w:r w:rsidR="00901062">
        <w:rPr>
          <w:rFonts w:asciiTheme="minorHAnsi" w:hAnsiTheme="minorHAnsi" w:cs="TT149t00"/>
          <w:b/>
        </w:rPr>
        <w:t xml:space="preserve">and comprehensive </w:t>
      </w:r>
      <w:r w:rsidRPr="008F1E62">
        <w:rPr>
          <w:rFonts w:asciiTheme="minorHAnsi" w:hAnsiTheme="minorHAnsi" w:cs="TT149t00"/>
          <w:b/>
        </w:rPr>
        <w:t xml:space="preserve">oversight system has been under consideration in the Philippines for </w:t>
      </w:r>
      <w:proofErr w:type="gramStart"/>
      <w:r w:rsidRPr="008F1E62">
        <w:rPr>
          <w:rFonts w:asciiTheme="minorHAnsi" w:hAnsiTheme="minorHAnsi" w:cs="TT149t00"/>
          <w:b/>
        </w:rPr>
        <w:t>a number of</w:t>
      </w:r>
      <w:proofErr w:type="gramEnd"/>
      <w:r w:rsidRPr="008F1E62">
        <w:rPr>
          <w:rFonts w:asciiTheme="minorHAnsi" w:hAnsiTheme="minorHAnsi" w:cs="TT149t00"/>
          <w:b/>
        </w:rPr>
        <w:t xml:space="preserve"> years.</w:t>
      </w:r>
      <w:r w:rsidRPr="008F1E62">
        <w:rPr>
          <w:rFonts w:asciiTheme="minorHAnsi" w:hAnsiTheme="minorHAnsi" w:cs="TT149t00"/>
        </w:rPr>
        <w:t xml:space="preserve">  However, additional work needs to be done to assure an independent, effective, coordinated system and enabling legal framework.   The Philippines </w:t>
      </w:r>
      <w:proofErr w:type="gramStart"/>
      <w:r w:rsidRPr="008F1E62">
        <w:rPr>
          <w:rFonts w:asciiTheme="minorHAnsi" w:hAnsiTheme="minorHAnsi" w:cs="TT149t00"/>
        </w:rPr>
        <w:t>lags behind</w:t>
      </w:r>
      <w:proofErr w:type="gramEnd"/>
      <w:r w:rsidRPr="008F1E62">
        <w:rPr>
          <w:rFonts w:asciiTheme="minorHAnsi" w:hAnsiTheme="minorHAnsi" w:cs="TT149t00"/>
        </w:rPr>
        <w:t xml:space="preserve"> its peers within ASEAN in this regard. </w:t>
      </w:r>
      <w:r w:rsidRPr="008F1E62">
        <w:rPr>
          <w:rFonts w:asciiTheme="minorHAnsi" w:hAnsiTheme="minorHAnsi" w:cs="TT149t00"/>
          <w:b/>
        </w:rPr>
        <w:t xml:space="preserve"> </w:t>
      </w:r>
      <w:r w:rsidRPr="00484744">
        <w:rPr>
          <w:rFonts w:asciiTheme="minorHAnsi" w:hAnsiTheme="minorHAnsi" w:cs="TT149t00"/>
        </w:rPr>
        <w:t xml:space="preserve">Annex </w:t>
      </w:r>
      <w:r w:rsidR="00B2439A">
        <w:rPr>
          <w:rFonts w:asciiTheme="minorHAnsi" w:hAnsiTheme="minorHAnsi" w:cs="TT149t00"/>
        </w:rPr>
        <w:t>2</w:t>
      </w:r>
      <w:r w:rsidR="00B2439A" w:rsidRPr="00A73391">
        <w:rPr>
          <w:rFonts w:asciiTheme="minorHAnsi" w:hAnsiTheme="minorHAnsi" w:cs="TT149t00"/>
          <w:color w:val="4472C4" w:themeColor="accent1"/>
        </w:rPr>
        <w:t xml:space="preserve"> </w:t>
      </w:r>
      <w:r w:rsidRPr="00A73391">
        <w:rPr>
          <w:rFonts w:asciiTheme="minorHAnsi" w:hAnsiTheme="minorHAnsi" w:cs="TT149t00"/>
        </w:rPr>
        <w:t>depicts</w:t>
      </w:r>
      <w:r w:rsidRPr="008F1E62">
        <w:rPr>
          <w:rFonts w:asciiTheme="minorHAnsi" w:hAnsiTheme="minorHAnsi" w:cs="TT149t00"/>
        </w:rPr>
        <w:t xml:space="preserve"> the oversight frameworks for countries within ASEAN with an independent oversight body.</w:t>
      </w:r>
    </w:p>
    <w:p w14:paraId="594C0FD8" w14:textId="77777777" w:rsidR="00F76E53" w:rsidRPr="008F1E62" w:rsidRDefault="00F76E53" w:rsidP="00424C0E">
      <w:pPr>
        <w:pStyle w:val="BodyText4"/>
        <w:numPr>
          <w:ilvl w:val="0"/>
          <w:numId w:val="2"/>
        </w:numPr>
        <w:spacing w:after="160" w:line="276" w:lineRule="auto"/>
        <w:ind w:left="0" w:hanging="562"/>
        <w:rPr>
          <w:rFonts w:asciiTheme="minorHAnsi" w:hAnsiTheme="minorHAnsi" w:cs="TT149t00"/>
        </w:rPr>
      </w:pPr>
      <w:r w:rsidRPr="008F1E62">
        <w:rPr>
          <w:rFonts w:asciiTheme="minorHAnsi" w:hAnsiTheme="minorHAnsi" w:cs="TT149t00"/>
          <w:b/>
          <w:bCs/>
        </w:rPr>
        <w:t xml:space="preserve">Under the present structure, the BOA is mandated with the power to supervise the </w:t>
      </w:r>
      <w:r w:rsidRPr="008F1E62">
        <w:rPr>
          <w:rFonts w:ascii="Calibri" w:hAnsi="Calibri" w:cs="Calibri"/>
          <w:b/>
          <w:bCs/>
        </w:rPr>
        <w:t>registration</w:t>
      </w:r>
      <w:r w:rsidRPr="008F1E62">
        <w:rPr>
          <w:rFonts w:asciiTheme="minorHAnsi" w:hAnsiTheme="minorHAnsi" w:cs="TT149t00"/>
          <w:b/>
          <w:bCs/>
        </w:rPr>
        <w:t>, licensure</w:t>
      </w:r>
      <w:r w:rsidR="00B650D9">
        <w:rPr>
          <w:rFonts w:asciiTheme="minorHAnsi" w:hAnsiTheme="minorHAnsi" w:cs="TT149t00"/>
          <w:b/>
          <w:bCs/>
        </w:rPr>
        <w:t>,</w:t>
      </w:r>
      <w:r w:rsidRPr="008F1E62">
        <w:rPr>
          <w:rFonts w:asciiTheme="minorHAnsi" w:hAnsiTheme="minorHAnsi" w:cs="TT149t00"/>
          <w:b/>
          <w:bCs/>
        </w:rPr>
        <w:t xml:space="preserve"> and practice of accountancy in the </w:t>
      </w:r>
      <w:r w:rsidRPr="008F1E62">
        <w:rPr>
          <w:rFonts w:ascii="Calibri" w:hAnsi="Calibri"/>
          <w:b/>
          <w:bCs/>
        </w:rPr>
        <w:t>Philippines</w:t>
      </w:r>
      <w:r w:rsidRPr="008F1E62">
        <w:rPr>
          <w:rFonts w:asciiTheme="minorHAnsi" w:hAnsiTheme="minorHAnsi" w:cs="TT149t00"/>
          <w:b/>
          <w:bCs/>
        </w:rPr>
        <w:t xml:space="preserve"> under the Accountancy Law (RA9298).</w:t>
      </w:r>
      <w:r w:rsidRPr="008F1E62">
        <w:rPr>
          <w:rFonts w:asciiTheme="minorHAnsi" w:hAnsiTheme="minorHAnsi" w:cs="TT149t00"/>
        </w:rPr>
        <w:t xml:space="preserve"> As such, the BOA has the authority to issue, suspend, revoke, and reinstate the Certificate of Registration for practice of the profession</w:t>
      </w:r>
      <w:r w:rsidR="00B650D9">
        <w:rPr>
          <w:rFonts w:asciiTheme="minorHAnsi" w:hAnsiTheme="minorHAnsi" w:cs="TT149t00"/>
        </w:rPr>
        <w:t>;</w:t>
      </w:r>
      <w:r w:rsidRPr="008F1E62">
        <w:rPr>
          <w:rFonts w:asciiTheme="minorHAnsi" w:hAnsiTheme="minorHAnsi" w:cs="TT149t00"/>
        </w:rPr>
        <w:t xml:space="preserve"> prescribe and adopt a Code of Ethics</w:t>
      </w:r>
      <w:r w:rsidR="00B650D9">
        <w:rPr>
          <w:rFonts w:asciiTheme="minorHAnsi" w:hAnsiTheme="minorHAnsi" w:cs="TT149t00"/>
        </w:rPr>
        <w:t>;</w:t>
      </w:r>
      <w:r w:rsidRPr="008F1E62">
        <w:rPr>
          <w:rFonts w:asciiTheme="minorHAnsi" w:hAnsiTheme="minorHAnsi" w:cs="TT149t00"/>
        </w:rPr>
        <w:t xml:space="preserve"> promulgate accounting and auditing standards in coordination with the FRSC and AASC</w:t>
      </w:r>
      <w:r w:rsidR="00B650D9">
        <w:rPr>
          <w:rFonts w:asciiTheme="minorHAnsi" w:hAnsiTheme="minorHAnsi" w:cs="TT149t00"/>
        </w:rPr>
        <w:t>;</w:t>
      </w:r>
      <w:r w:rsidRPr="008F1E62">
        <w:rPr>
          <w:rFonts w:asciiTheme="minorHAnsi" w:hAnsiTheme="minorHAnsi" w:cs="TT149t00"/>
        </w:rPr>
        <w:t xml:space="preserve"> investigate violations of rules and regulations and take remedial actions</w:t>
      </w:r>
      <w:r w:rsidR="00B650D9">
        <w:rPr>
          <w:rFonts w:asciiTheme="minorHAnsi" w:hAnsiTheme="minorHAnsi" w:cs="TT149t00"/>
        </w:rPr>
        <w:t>;</w:t>
      </w:r>
      <w:r w:rsidRPr="008F1E62">
        <w:rPr>
          <w:rFonts w:asciiTheme="minorHAnsi" w:hAnsiTheme="minorHAnsi" w:cs="TT149t00"/>
        </w:rPr>
        <w:t xml:space="preserve"> prepare and administer the CPA licensure examination</w:t>
      </w:r>
      <w:r w:rsidR="00B650D9">
        <w:rPr>
          <w:rFonts w:asciiTheme="minorHAnsi" w:hAnsiTheme="minorHAnsi" w:cs="TT149t00"/>
        </w:rPr>
        <w:t xml:space="preserve">; </w:t>
      </w:r>
      <w:r w:rsidRPr="008F1E62">
        <w:rPr>
          <w:rFonts w:asciiTheme="minorHAnsi" w:hAnsiTheme="minorHAnsi" w:cs="TT149t00"/>
        </w:rPr>
        <w:t xml:space="preserve">and coordinate with the CHED on university level accounting education. </w:t>
      </w:r>
    </w:p>
    <w:p w14:paraId="5608B6B2" w14:textId="77777777" w:rsidR="00F76E53" w:rsidRPr="008F1E62" w:rsidRDefault="00F76E53" w:rsidP="00424C0E">
      <w:pPr>
        <w:pStyle w:val="BodyText4"/>
        <w:numPr>
          <w:ilvl w:val="0"/>
          <w:numId w:val="2"/>
        </w:numPr>
        <w:spacing w:after="160" w:line="276" w:lineRule="auto"/>
        <w:ind w:left="0" w:hanging="562"/>
        <w:rPr>
          <w:rFonts w:asciiTheme="minorHAnsi" w:hAnsiTheme="minorHAnsi" w:cs="TT149t00"/>
        </w:rPr>
      </w:pPr>
      <w:r w:rsidRPr="008F1E62">
        <w:rPr>
          <w:rFonts w:asciiTheme="minorHAnsi" w:hAnsiTheme="minorHAnsi" w:cs="TT149t00"/>
          <w:b/>
        </w:rPr>
        <w:t xml:space="preserve">The law </w:t>
      </w:r>
      <w:r w:rsidRPr="008F1E62">
        <w:rPr>
          <w:rFonts w:ascii="Calibri" w:hAnsi="Calibri" w:cs="Calibri"/>
          <w:b/>
          <w:bCs/>
        </w:rPr>
        <w:t>also</w:t>
      </w:r>
      <w:r w:rsidRPr="008F1E62">
        <w:rPr>
          <w:rFonts w:asciiTheme="minorHAnsi" w:hAnsiTheme="minorHAnsi" w:cs="TT149t00"/>
          <w:b/>
        </w:rPr>
        <w:t xml:space="preserve"> gives BOA the </w:t>
      </w:r>
      <w:r w:rsidRPr="008F1E62">
        <w:rPr>
          <w:rFonts w:ascii="Calibri" w:hAnsi="Calibri"/>
          <w:b/>
          <w:bCs/>
        </w:rPr>
        <w:t>power</w:t>
      </w:r>
      <w:r w:rsidRPr="008F1E62">
        <w:rPr>
          <w:rFonts w:asciiTheme="minorHAnsi" w:hAnsiTheme="minorHAnsi" w:cs="TT149t00"/>
          <w:b/>
        </w:rPr>
        <w:t xml:space="preserve"> to conduct oversight of the quality of audits of financial statements through a review of the quality control measures instituted by auditors </w:t>
      </w:r>
      <w:proofErr w:type="gramStart"/>
      <w:r w:rsidRPr="008F1E62">
        <w:rPr>
          <w:rFonts w:asciiTheme="minorHAnsi" w:hAnsiTheme="minorHAnsi" w:cs="TT149t00"/>
          <w:b/>
        </w:rPr>
        <w:t>in order to</w:t>
      </w:r>
      <w:proofErr w:type="gramEnd"/>
      <w:r w:rsidRPr="008F1E62">
        <w:rPr>
          <w:rFonts w:asciiTheme="minorHAnsi" w:hAnsiTheme="minorHAnsi" w:cs="TT149t00"/>
          <w:b/>
        </w:rPr>
        <w:t xml:space="preserve"> ensure compliance with the accounting and auditing standards and practices.</w:t>
      </w:r>
      <w:r w:rsidRPr="008F1E62">
        <w:rPr>
          <w:rFonts w:asciiTheme="minorHAnsi" w:hAnsiTheme="minorHAnsi" w:cs="TT149t00"/>
        </w:rPr>
        <w:t xml:space="preserve"> However, BOA has no staffing and no funding to achieve this objective. Additionally, the BOA’s power to suspend or revoke CPA licenses may create or imply a conflict of interest. Stakeholders within government are reconsidering the legal framework for audit quality assurance to better align with international good practice and principles.</w:t>
      </w:r>
    </w:p>
    <w:p w14:paraId="2755B3B7" w14:textId="77777777" w:rsidR="00F76E53" w:rsidRPr="008F1E62" w:rsidRDefault="00F76E53" w:rsidP="00424C0E">
      <w:pPr>
        <w:pStyle w:val="BodyText4"/>
        <w:numPr>
          <w:ilvl w:val="0"/>
          <w:numId w:val="2"/>
        </w:numPr>
        <w:spacing w:after="80" w:line="276" w:lineRule="auto"/>
        <w:ind w:left="0" w:hanging="562"/>
        <w:rPr>
          <w:rFonts w:asciiTheme="minorHAnsi" w:hAnsiTheme="minorHAnsi" w:cs="TT149t00"/>
        </w:rPr>
      </w:pPr>
      <w:r w:rsidRPr="00484744">
        <w:rPr>
          <w:rFonts w:asciiTheme="minorHAnsi" w:hAnsiTheme="minorHAnsi" w:cs="TT149t00"/>
          <w:b/>
        </w:rPr>
        <w:t>The four sectors in the practice of accountancy shall as much as possible be equally represented in the Board.</w:t>
      </w:r>
      <w:r w:rsidRPr="008F1E62">
        <w:rPr>
          <w:rFonts w:asciiTheme="minorHAnsi" w:hAnsiTheme="minorHAnsi" w:cs="TT149t00"/>
        </w:rPr>
        <w:t xml:space="preserve">  At the time of appointment, a Board member shall</w:t>
      </w:r>
      <w:r w:rsidR="00C364B7">
        <w:rPr>
          <w:rFonts w:asciiTheme="minorHAnsi" w:hAnsiTheme="minorHAnsi" w:cs="TT149t00"/>
        </w:rPr>
        <w:t>:</w:t>
      </w:r>
      <w:r w:rsidRPr="008F1E62">
        <w:rPr>
          <w:rFonts w:asciiTheme="minorHAnsi" w:hAnsiTheme="minorHAnsi" w:cs="TT149t00"/>
        </w:rPr>
        <w:t xml:space="preserve"> </w:t>
      </w:r>
    </w:p>
    <w:p w14:paraId="1DDC4049" w14:textId="77777777" w:rsidR="00F76E53" w:rsidRPr="008F1E62" w:rsidRDefault="00F76E53" w:rsidP="00424C0E">
      <w:pPr>
        <w:pStyle w:val="ListParagraph"/>
        <w:numPr>
          <w:ilvl w:val="7"/>
          <w:numId w:val="5"/>
        </w:numPr>
        <w:spacing w:before="0" w:beforeAutospacing="0" w:after="80" w:afterAutospacing="0" w:line="276" w:lineRule="auto"/>
        <w:ind w:left="360"/>
        <w:rPr>
          <w:rFonts w:asciiTheme="minorHAnsi" w:hAnsiTheme="minorHAnsi" w:cs="TT149t00"/>
        </w:rPr>
      </w:pPr>
      <w:r w:rsidRPr="008F1E62">
        <w:rPr>
          <w:rFonts w:asciiTheme="minorHAnsi" w:hAnsiTheme="minorHAnsi" w:cs="TT149t00"/>
        </w:rPr>
        <w:t xml:space="preserve">Be a natural-born citizen and a resident of the Philippines; </w:t>
      </w:r>
    </w:p>
    <w:p w14:paraId="259AEAF7" w14:textId="77777777" w:rsidR="00F76E53" w:rsidRPr="008F1E62" w:rsidRDefault="00F76E53" w:rsidP="00424C0E">
      <w:pPr>
        <w:pStyle w:val="ListParagraph"/>
        <w:numPr>
          <w:ilvl w:val="7"/>
          <w:numId w:val="5"/>
        </w:numPr>
        <w:spacing w:before="0" w:beforeAutospacing="0" w:after="80" w:afterAutospacing="0" w:line="276" w:lineRule="auto"/>
        <w:ind w:left="360"/>
        <w:rPr>
          <w:rFonts w:asciiTheme="minorHAnsi" w:hAnsiTheme="minorHAnsi" w:cs="TT149t00"/>
        </w:rPr>
      </w:pPr>
      <w:r w:rsidRPr="008F1E62">
        <w:rPr>
          <w:rFonts w:asciiTheme="minorHAnsi" w:hAnsiTheme="minorHAnsi" w:cs="TT149t00"/>
        </w:rPr>
        <w:t xml:space="preserve">Be a duly registered </w:t>
      </w:r>
      <w:r w:rsidR="00581EE7">
        <w:rPr>
          <w:rFonts w:asciiTheme="minorHAnsi" w:hAnsiTheme="minorHAnsi" w:cs="TT149t00"/>
        </w:rPr>
        <w:t>CPA</w:t>
      </w:r>
      <w:r w:rsidRPr="008F1E62">
        <w:rPr>
          <w:rFonts w:asciiTheme="minorHAnsi" w:hAnsiTheme="minorHAnsi" w:cs="TT149t00"/>
        </w:rPr>
        <w:t xml:space="preserve"> with at least ten years of work experience in any scope of practice of accountancy; </w:t>
      </w:r>
    </w:p>
    <w:p w14:paraId="4334D348" w14:textId="77777777" w:rsidR="00F76E53" w:rsidRPr="008F1E62" w:rsidRDefault="00F76E53" w:rsidP="00424C0E">
      <w:pPr>
        <w:pStyle w:val="ListParagraph"/>
        <w:numPr>
          <w:ilvl w:val="7"/>
          <w:numId w:val="5"/>
        </w:numPr>
        <w:spacing w:before="0" w:beforeAutospacing="0" w:after="80" w:afterAutospacing="0" w:line="276" w:lineRule="auto"/>
        <w:ind w:left="360"/>
        <w:rPr>
          <w:rFonts w:asciiTheme="minorHAnsi" w:hAnsiTheme="minorHAnsi" w:cs="TT149t00"/>
        </w:rPr>
      </w:pPr>
      <w:r w:rsidRPr="008F1E62">
        <w:rPr>
          <w:rFonts w:asciiTheme="minorHAnsi" w:hAnsiTheme="minorHAnsi" w:cs="TT149t00"/>
        </w:rPr>
        <w:t xml:space="preserve">Be of good moral character and must not have been convicted of crimes involving moral turpitude; </w:t>
      </w:r>
    </w:p>
    <w:p w14:paraId="5C9A4AEB" w14:textId="77777777" w:rsidR="00F76E53" w:rsidRPr="008F1E62" w:rsidRDefault="00F76E53" w:rsidP="00424C0E">
      <w:pPr>
        <w:pStyle w:val="ListParagraph"/>
        <w:numPr>
          <w:ilvl w:val="7"/>
          <w:numId w:val="5"/>
        </w:numPr>
        <w:spacing w:before="0" w:beforeAutospacing="0" w:after="80" w:afterAutospacing="0" w:line="276" w:lineRule="auto"/>
        <w:ind w:left="360"/>
        <w:rPr>
          <w:rFonts w:asciiTheme="minorHAnsi" w:hAnsiTheme="minorHAnsi" w:cs="TT149t00"/>
        </w:rPr>
      </w:pPr>
      <w:r w:rsidRPr="008F1E62">
        <w:rPr>
          <w:rFonts w:asciiTheme="minorHAnsi" w:hAnsiTheme="minorHAnsi" w:cs="TT149t00"/>
        </w:rPr>
        <w:t>Not have any pecuniary interest, directly or indirectly, in any school, college, university or institution conferring an academic degree necessary for admission to the practice of accountancy or where review classes in preparation for the licensure examination are being offered or conducted, nor shall he/she be a member of the faculty or administration thereof at a time of his/her appointment to the Board; and</w:t>
      </w:r>
    </w:p>
    <w:p w14:paraId="26390A71" w14:textId="77777777" w:rsidR="00F76E53" w:rsidRPr="008F1E62" w:rsidRDefault="00F76E53" w:rsidP="00F76E53">
      <w:pPr>
        <w:pStyle w:val="ListParagraph"/>
        <w:numPr>
          <w:ilvl w:val="7"/>
          <w:numId w:val="5"/>
        </w:numPr>
        <w:spacing w:before="0" w:beforeAutospacing="0" w:after="200" w:afterAutospacing="0" w:line="276" w:lineRule="auto"/>
        <w:ind w:left="360"/>
        <w:rPr>
          <w:rFonts w:asciiTheme="minorHAnsi" w:hAnsiTheme="minorHAnsi" w:cs="TT149t00"/>
        </w:rPr>
      </w:pPr>
      <w:r w:rsidRPr="008F1E62">
        <w:rPr>
          <w:rFonts w:asciiTheme="minorHAnsi" w:hAnsiTheme="minorHAnsi" w:cs="TT149t00"/>
        </w:rPr>
        <w:t xml:space="preserve">Must not be an officer or director of the </w:t>
      </w:r>
      <w:r w:rsidR="003055FA" w:rsidRPr="008F1E62">
        <w:rPr>
          <w:rFonts w:asciiTheme="minorHAnsi" w:hAnsiTheme="minorHAnsi" w:cs="TT149t00"/>
        </w:rPr>
        <w:t xml:space="preserve">professional accountancy organization </w:t>
      </w:r>
      <w:r w:rsidRPr="008F1E62">
        <w:rPr>
          <w:rFonts w:asciiTheme="minorHAnsi" w:hAnsiTheme="minorHAnsi" w:cs="TT149t00"/>
        </w:rPr>
        <w:t>of PICPA.</w:t>
      </w:r>
    </w:p>
    <w:p w14:paraId="75524832" w14:textId="0B97FA39" w:rsidR="00F76E53" w:rsidRPr="008F1E62" w:rsidRDefault="00F76E53" w:rsidP="00FB3DC8">
      <w:pPr>
        <w:pStyle w:val="BodyText4"/>
        <w:numPr>
          <w:ilvl w:val="0"/>
          <w:numId w:val="2"/>
        </w:numPr>
        <w:spacing w:after="200" w:line="276" w:lineRule="auto"/>
        <w:ind w:left="0" w:hanging="567"/>
        <w:rPr>
          <w:rFonts w:asciiTheme="minorHAnsi" w:hAnsiTheme="minorHAnsi" w:cs="TT149t00"/>
        </w:rPr>
      </w:pPr>
      <w:r w:rsidRPr="008F1E62">
        <w:rPr>
          <w:rFonts w:asciiTheme="minorHAnsi" w:hAnsiTheme="minorHAnsi" w:cs="TT149t00"/>
          <w:b/>
          <w:bCs/>
        </w:rPr>
        <w:t>There is no restriction against Board members be</w:t>
      </w:r>
      <w:r w:rsidR="00DA6EAE">
        <w:rPr>
          <w:rFonts w:asciiTheme="minorHAnsi" w:hAnsiTheme="minorHAnsi" w:cs="TT149t00"/>
          <w:b/>
          <w:bCs/>
        </w:rPr>
        <w:t>ing</w:t>
      </w:r>
      <w:r w:rsidRPr="008F1E62">
        <w:rPr>
          <w:rFonts w:asciiTheme="minorHAnsi" w:hAnsiTheme="minorHAnsi" w:cs="TT149t00"/>
          <w:b/>
          <w:bCs/>
        </w:rPr>
        <w:t xml:space="preserve"> actively engaged in</w:t>
      </w:r>
      <w:r w:rsidR="00DA6EAE">
        <w:rPr>
          <w:rFonts w:asciiTheme="minorHAnsi" w:hAnsiTheme="minorHAnsi" w:cs="TT149t00"/>
          <w:b/>
          <w:bCs/>
        </w:rPr>
        <w:t>,</w:t>
      </w:r>
      <w:r w:rsidRPr="008F1E62">
        <w:rPr>
          <w:rFonts w:asciiTheme="minorHAnsi" w:hAnsiTheme="minorHAnsi" w:cs="TT149t00"/>
          <w:b/>
          <w:bCs/>
        </w:rPr>
        <w:t xml:space="preserve"> or hold</w:t>
      </w:r>
      <w:r w:rsidR="00DA6EAE">
        <w:rPr>
          <w:rFonts w:asciiTheme="minorHAnsi" w:hAnsiTheme="minorHAnsi" w:cs="TT149t00"/>
          <w:b/>
          <w:bCs/>
        </w:rPr>
        <w:t>ing</w:t>
      </w:r>
      <w:r w:rsidRPr="008F1E62">
        <w:rPr>
          <w:rFonts w:asciiTheme="minorHAnsi" w:hAnsiTheme="minorHAnsi" w:cs="TT149t00"/>
          <w:b/>
          <w:bCs/>
        </w:rPr>
        <w:t xml:space="preserve"> an interest </w:t>
      </w:r>
      <w:r w:rsidR="00E60879" w:rsidRPr="008F1E62">
        <w:rPr>
          <w:rFonts w:asciiTheme="minorHAnsi" w:hAnsiTheme="minorHAnsi" w:cs="TT149t00"/>
          <w:b/>
          <w:bCs/>
        </w:rPr>
        <w:t xml:space="preserve">in </w:t>
      </w:r>
      <w:r w:rsidRPr="008F1E62">
        <w:rPr>
          <w:rFonts w:asciiTheme="minorHAnsi" w:hAnsiTheme="minorHAnsi" w:cs="TT149t00"/>
          <w:b/>
          <w:bCs/>
        </w:rPr>
        <w:t xml:space="preserve">a firm that is </w:t>
      </w:r>
      <w:r w:rsidRPr="008F1E62">
        <w:rPr>
          <w:rFonts w:ascii="Calibri" w:hAnsi="Calibri"/>
          <w:b/>
          <w:bCs/>
        </w:rPr>
        <w:t>actively</w:t>
      </w:r>
      <w:r w:rsidRPr="008F1E62">
        <w:rPr>
          <w:rFonts w:asciiTheme="minorHAnsi" w:hAnsiTheme="minorHAnsi" w:cs="TT149t00"/>
          <w:b/>
          <w:bCs/>
        </w:rPr>
        <w:t xml:space="preserve"> engaged in</w:t>
      </w:r>
      <w:r w:rsidR="00DA6EAE">
        <w:rPr>
          <w:rFonts w:asciiTheme="minorHAnsi" w:hAnsiTheme="minorHAnsi" w:cs="TT149t00"/>
          <w:b/>
          <w:bCs/>
        </w:rPr>
        <w:t>,</w:t>
      </w:r>
      <w:r w:rsidRPr="008F1E62">
        <w:rPr>
          <w:rFonts w:asciiTheme="minorHAnsi" w:hAnsiTheme="minorHAnsi" w:cs="TT149t00"/>
          <w:b/>
          <w:bCs/>
        </w:rPr>
        <w:t xml:space="preserve"> the practice of public accountancy</w:t>
      </w:r>
      <w:r w:rsidR="00901062">
        <w:rPr>
          <w:rFonts w:asciiTheme="minorHAnsi" w:hAnsiTheme="minorHAnsi" w:cs="TT149t00"/>
          <w:b/>
          <w:bCs/>
        </w:rPr>
        <w:t>.</w:t>
      </w:r>
      <w:r w:rsidRPr="008F1E62">
        <w:rPr>
          <w:rFonts w:asciiTheme="minorHAnsi" w:hAnsiTheme="minorHAnsi" w:cs="TT149t00"/>
          <w:b/>
          <w:bCs/>
        </w:rPr>
        <w:t xml:space="preserve"> </w:t>
      </w:r>
      <w:r w:rsidR="00901062">
        <w:rPr>
          <w:rFonts w:asciiTheme="minorHAnsi" w:hAnsiTheme="minorHAnsi" w:cs="TT149t00"/>
          <w:b/>
          <w:bCs/>
        </w:rPr>
        <w:t>H</w:t>
      </w:r>
      <w:r w:rsidRPr="008F1E62">
        <w:rPr>
          <w:rFonts w:asciiTheme="minorHAnsi" w:hAnsiTheme="minorHAnsi" w:cs="TT149t00"/>
          <w:b/>
          <w:bCs/>
        </w:rPr>
        <w:t>ence</w:t>
      </w:r>
      <w:r w:rsidR="00901062">
        <w:rPr>
          <w:rFonts w:asciiTheme="minorHAnsi" w:hAnsiTheme="minorHAnsi" w:cs="TT149t00"/>
          <w:b/>
          <w:bCs/>
        </w:rPr>
        <w:t>,</w:t>
      </w:r>
      <w:r w:rsidRPr="008F1E62">
        <w:rPr>
          <w:rFonts w:asciiTheme="minorHAnsi" w:hAnsiTheme="minorHAnsi" w:cs="TT149t00"/>
          <w:b/>
          <w:bCs/>
        </w:rPr>
        <w:t xml:space="preserve"> the BOA is not required to maintain independence from the profession.</w:t>
      </w:r>
      <w:r w:rsidRPr="008F1E62">
        <w:rPr>
          <w:rFonts w:asciiTheme="minorHAnsi" w:hAnsiTheme="minorHAnsi" w:cs="TT149t00"/>
        </w:rPr>
        <w:t xml:space="preserve"> The Chairman and Members of the Board shall hold office for a term of three years which may be subject to renewal only once.  The BOA is funded through the PRC which receives a budget allocation through the General Appropriations Act.</w:t>
      </w:r>
      <w:r w:rsidRPr="008F1E62">
        <w:rPr>
          <w:rStyle w:val="FootnoteReference"/>
          <w:rFonts w:asciiTheme="minorHAnsi" w:hAnsiTheme="minorHAnsi" w:cs="TT149t00"/>
        </w:rPr>
        <w:footnoteReference w:id="100"/>
      </w:r>
      <w:r w:rsidRPr="008F1E62">
        <w:rPr>
          <w:rFonts w:asciiTheme="minorHAnsi" w:hAnsiTheme="minorHAnsi" w:cs="TT149t00"/>
        </w:rPr>
        <w:t xml:space="preserve">  However, the funding awarded to the BOA has historically not been sufficient to cover operating costs incurred in carrying out the full range</w:t>
      </w:r>
      <w:r w:rsidR="00240A07">
        <w:rPr>
          <w:rFonts w:asciiTheme="minorHAnsi" w:hAnsiTheme="minorHAnsi" w:cs="TT149t00"/>
        </w:rPr>
        <w:t xml:space="preserve"> of</w:t>
      </w:r>
      <w:r w:rsidRPr="008F1E62">
        <w:rPr>
          <w:rFonts w:asciiTheme="minorHAnsi" w:hAnsiTheme="minorHAnsi" w:cs="TT149t00"/>
        </w:rPr>
        <w:t xml:space="preserve"> its duties and responsibilities.  As a result, many functions have historically been provided on a pro bono basis, sometimes carried out by staff members of accounting firms in which Board members hold an interest.</w:t>
      </w:r>
    </w:p>
    <w:p w14:paraId="70A89A60" w14:textId="77777777" w:rsidR="00F76E53" w:rsidRPr="008F1E62" w:rsidRDefault="00F76E53" w:rsidP="00424C0E">
      <w:pPr>
        <w:pStyle w:val="BodyText4"/>
        <w:numPr>
          <w:ilvl w:val="0"/>
          <w:numId w:val="2"/>
        </w:numPr>
        <w:spacing w:after="80" w:line="276" w:lineRule="auto"/>
        <w:ind w:left="0" w:hanging="562"/>
        <w:rPr>
          <w:rFonts w:asciiTheme="minorHAnsi" w:hAnsiTheme="minorHAnsi" w:cs="Calibri"/>
        </w:rPr>
      </w:pPr>
      <w:r w:rsidRPr="008F1E62">
        <w:rPr>
          <w:rFonts w:asciiTheme="minorHAnsi" w:hAnsiTheme="minorHAnsi" w:cs="Calibri"/>
          <w:b/>
          <w:bCs/>
        </w:rPr>
        <w:t xml:space="preserve">The </w:t>
      </w:r>
      <w:r w:rsidRPr="008F1E62">
        <w:rPr>
          <w:rFonts w:ascii="Calibri" w:hAnsi="Calibri"/>
          <w:b/>
          <w:bCs/>
        </w:rPr>
        <w:t>Philippines</w:t>
      </w:r>
      <w:r w:rsidRPr="008F1E62">
        <w:rPr>
          <w:rFonts w:asciiTheme="minorHAnsi" w:hAnsiTheme="minorHAnsi" w:cs="Calibri"/>
          <w:b/>
          <w:bCs/>
        </w:rPr>
        <w:t xml:space="preserve"> has been striving to implement reforms aimed at improving audit quality, however a comprehensive system of audit quality assurance is not yet in place.  </w:t>
      </w:r>
      <w:r w:rsidRPr="008F1E62">
        <w:rPr>
          <w:rFonts w:asciiTheme="minorHAnsi" w:hAnsiTheme="minorHAnsi" w:cs="Calibri"/>
          <w:bCs/>
        </w:rPr>
        <w:t>Several initiatives are in place and underway which aim to provide some assurance over audit quality.</w:t>
      </w:r>
      <w:r w:rsidRPr="008F1E62">
        <w:rPr>
          <w:rFonts w:asciiTheme="minorHAnsi" w:hAnsiTheme="minorHAnsi" w:cs="Calibri"/>
        </w:rPr>
        <w:t xml:space="preserve"> Although some level of cooperation among regulators exists, these initiatives remain fragmented and would benefit from a</w:t>
      </w:r>
      <w:r w:rsidR="00C6750E">
        <w:rPr>
          <w:rFonts w:asciiTheme="minorHAnsi" w:hAnsiTheme="minorHAnsi" w:cs="Calibri"/>
        </w:rPr>
        <w:t xml:space="preserve"> central </w:t>
      </w:r>
      <w:r w:rsidRPr="008F1E62">
        <w:rPr>
          <w:rFonts w:asciiTheme="minorHAnsi" w:hAnsiTheme="minorHAnsi" w:cs="Calibri"/>
        </w:rPr>
        <w:t>coordinating council, such as the Council for Accreditation and Quality Control of Practicing CPAs, to ensure a holistic approach over audit quality assurance which addresses the needs of all stakeholders and avoids gaps and overlaps in coverage.  Initiatives include:</w:t>
      </w:r>
    </w:p>
    <w:p w14:paraId="0F374A97" w14:textId="77777777" w:rsidR="00F76E53" w:rsidRPr="008F1E62" w:rsidRDefault="00F76E53" w:rsidP="00FF7A94">
      <w:pPr>
        <w:pStyle w:val="ListParagraph"/>
        <w:numPr>
          <w:ilvl w:val="0"/>
          <w:numId w:val="21"/>
        </w:numPr>
        <w:spacing w:before="0" w:beforeAutospacing="0" w:after="80" w:afterAutospacing="0" w:line="271" w:lineRule="auto"/>
        <w:ind w:left="360"/>
        <w:rPr>
          <w:rFonts w:asciiTheme="minorHAnsi" w:hAnsiTheme="minorHAnsi" w:cs="Calibri"/>
        </w:rPr>
      </w:pPr>
      <w:r w:rsidRPr="008F1E62">
        <w:rPr>
          <w:rFonts w:asciiTheme="minorHAnsi" w:hAnsiTheme="minorHAnsi" w:cs="Calibri"/>
        </w:rPr>
        <w:t>The Council for Accreditation and Quality Control of Practicing CPAs (“Council”) was created under a Memorandum of Agreement executed on August 12, 2009 by BOA, the SEC, BSP</w:t>
      </w:r>
      <w:r w:rsidR="00A575AA">
        <w:rPr>
          <w:rFonts w:asciiTheme="minorHAnsi" w:hAnsiTheme="minorHAnsi" w:cs="Calibri"/>
        </w:rPr>
        <w:t>,</w:t>
      </w:r>
      <w:r w:rsidRPr="008F1E62">
        <w:rPr>
          <w:rFonts w:asciiTheme="minorHAnsi" w:hAnsiTheme="minorHAnsi" w:cs="Calibri"/>
        </w:rPr>
        <w:t xml:space="preserve"> and the IC, to act as a technical working group of the Financial Sector Forum and its member-agencies. </w:t>
      </w:r>
      <w:r w:rsidR="000A2C87" w:rsidRPr="000A2C87">
        <w:rPr>
          <w:rFonts w:asciiTheme="minorHAnsi" w:hAnsiTheme="minorHAnsi" w:cs="Calibri"/>
        </w:rPr>
        <w:t xml:space="preserve">The terms of reference of the Council was signed in September 2015, </w:t>
      </w:r>
      <w:r w:rsidR="000A2C87">
        <w:rPr>
          <w:rFonts w:asciiTheme="minorHAnsi" w:hAnsiTheme="minorHAnsi" w:cs="Calibri"/>
        </w:rPr>
        <w:t xml:space="preserve">and </w:t>
      </w:r>
      <w:r w:rsidR="000A2C87" w:rsidRPr="000A2C87">
        <w:rPr>
          <w:rFonts w:asciiTheme="minorHAnsi" w:hAnsiTheme="minorHAnsi" w:cs="Calibri"/>
        </w:rPr>
        <w:t>includes the following: (i) to discuss policy issues on quality control standards of accredit external auditors; and (ii) to recommend possible improvements and simplification to the accreditation or selection procedures and requirements.</w:t>
      </w:r>
      <w:r w:rsidR="000A2C87">
        <w:rPr>
          <w:rFonts w:asciiTheme="minorHAnsi" w:hAnsiTheme="minorHAnsi" w:cs="Calibri"/>
        </w:rPr>
        <w:t xml:space="preserve">  </w:t>
      </w:r>
      <w:r w:rsidRPr="008F1E62">
        <w:rPr>
          <w:rFonts w:asciiTheme="minorHAnsi" w:hAnsiTheme="minorHAnsi" w:cs="Calibri"/>
        </w:rPr>
        <w:t xml:space="preserve">The primary objective of the Council is to promote the reliability and integrity of financial statements of entities under regulation and supervision of </w:t>
      </w:r>
      <w:r w:rsidR="009D66BE" w:rsidRPr="009D66BE">
        <w:rPr>
          <w:rFonts w:asciiTheme="minorHAnsi" w:hAnsiTheme="minorHAnsi" w:cs="Calibri"/>
        </w:rPr>
        <w:t xml:space="preserve">Financial Sector Forum </w:t>
      </w:r>
      <w:r w:rsidRPr="008F1E62">
        <w:rPr>
          <w:rFonts w:asciiTheme="minorHAnsi" w:hAnsiTheme="minorHAnsi" w:cs="Calibri"/>
        </w:rPr>
        <w:t xml:space="preserve">member-agencies by providing advisory assistance in the areas of accreditation/selection of external auditors and adherence to quality control standards in the conduct of audit;  </w:t>
      </w:r>
    </w:p>
    <w:p w14:paraId="5735441E" w14:textId="77777777" w:rsidR="00911618" w:rsidRPr="008F1E62" w:rsidRDefault="00911618" w:rsidP="00FF7A94">
      <w:pPr>
        <w:pStyle w:val="ListParagraph"/>
        <w:numPr>
          <w:ilvl w:val="0"/>
          <w:numId w:val="21"/>
        </w:numPr>
        <w:spacing w:before="0" w:beforeAutospacing="0" w:after="80" w:afterAutospacing="0" w:line="271" w:lineRule="auto"/>
        <w:ind w:left="360"/>
        <w:rPr>
          <w:rFonts w:asciiTheme="minorHAnsi" w:hAnsiTheme="minorHAnsi" w:cs="Calibri"/>
        </w:rPr>
      </w:pPr>
      <w:r w:rsidRPr="008F1E62">
        <w:rPr>
          <w:rFonts w:asciiTheme="minorHAnsi" w:hAnsiTheme="minorHAnsi" w:cs="Calibri"/>
        </w:rPr>
        <w:t xml:space="preserve">The Council completed the study “Improving Adherence to Quality Control Standards in External Auditing”, which led to the adoption of the provisions and principles set forth therein by the Council members. </w:t>
      </w:r>
      <w:r w:rsidRPr="008F1E62">
        <w:rPr>
          <w:rStyle w:val="FootnoteReference"/>
          <w:rFonts w:asciiTheme="minorHAnsi" w:hAnsiTheme="minorHAnsi" w:cs="Calibri"/>
        </w:rPr>
        <w:footnoteReference w:id="101"/>
      </w:r>
    </w:p>
    <w:p w14:paraId="318314C2" w14:textId="77777777" w:rsidR="00911618" w:rsidRPr="008F1E62" w:rsidRDefault="00911618" w:rsidP="00FF7A94">
      <w:pPr>
        <w:pStyle w:val="ListParagraph"/>
        <w:numPr>
          <w:ilvl w:val="0"/>
          <w:numId w:val="21"/>
        </w:numPr>
        <w:spacing w:before="0" w:beforeAutospacing="0" w:after="80" w:afterAutospacing="0" w:line="271" w:lineRule="auto"/>
        <w:ind w:left="360"/>
        <w:rPr>
          <w:rFonts w:asciiTheme="minorHAnsi" w:hAnsiTheme="minorHAnsi" w:cstheme="minorHAnsi"/>
        </w:rPr>
      </w:pPr>
      <w:r w:rsidRPr="008F1E62">
        <w:rPr>
          <w:rFonts w:asciiTheme="minorHAnsi" w:hAnsiTheme="minorHAnsi" w:cstheme="minorHAnsi"/>
        </w:rPr>
        <w:t xml:space="preserve">The Council founded the “Regulator’s Forum” in 2015, in collaboration with the Philippine Institute of Certified Public Accountants and Association of Certified Public Accountants in Public Practice.  This annual forum aims to apprise practitioners on the complementary role of the external auditors and regulators, and common findings noted by regulators in the evaluation of their audit work. </w:t>
      </w:r>
    </w:p>
    <w:p w14:paraId="0CC0127F" w14:textId="77777777" w:rsidR="000A2C87" w:rsidRDefault="00F76E53" w:rsidP="00FF7A94">
      <w:pPr>
        <w:pStyle w:val="ListParagraph"/>
        <w:numPr>
          <w:ilvl w:val="0"/>
          <w:numId w:val="21"/>
        </w:numPr>
        <w:spacing w:before="0" w:beforeAutospacing="0" w:after="80" w:afterAutospacing="0" w:line="271" w:lineRule="auto"/>
        <w:ind w:left="360"/>
        <w:rPr>
          <w:rFonts w:asciiTheme="minorHAnsi" w:hAnsiTheme="minorHAnsi" w:cs="Calibri"/>
        </w:rPr>
      </w:pPr>
      <w:r w:rsidRPr="008F1E62">
        <w:rPr>
          <w:rFonts w:asciiTheme="minorHAnsi" w:hAnsiTheme="minorHAnsi" w:cs="Calibri"/>
        </w:rPr>
        <w:t xml:space="preserve">Accreditation of registered auditors by the various </w:t>
      </w:r>
      <w:r w:rsidR="00A707F4" w:rsidRPr="008F1E62">
        <w:rPr>
          <w:rFonts w:asciiTheme="minorHAnsi" w:hAnsiTheme="minorHAnsi" w:cs="Calibri"/>
        </w:rPr>
        <w:t xml:space="preserve">financial </w:t>
      </w:r>
      <w:r w:rsidRPr="008F1E62">
        <w:rPr>
          <w:rFonts w:asciiTheme="minorHAnsi" w:hAnsiTheme="minorHAnsi" w:cs="Calibri"/>
        </w:rPr>
        <w:t>regulators is required</w:t>
      </w:r>
      <w:r w:rsidR="009375D7" w:rsidRPr="008F1E62">
        <w:rPr>
          <w:rFonts w:asciiTheme="minorHAnsi" w:hAnsiTheme="minorHAnsi" w:cs="Calibri"/>
        </w:rPr>
        <w:t xml:space="preserve"> under parallel regulations</w:t>
      </w:r>
      <w:r w:rsidR="000A2C87">
        <w:rPr>
          <w:rFonts w:asciiTheme="minorHAnsi" w:hAnsiTheme="minorHAnsi" w:cs="Calibri"/>
        </w:rPr>
        <w:t xml:space="preserve"> which</w:t>
      </w:r>
      <w:r w:rsidR="000A2C87" w:rsidRPr="000A2C87">
        <w:rPr>
          <w:rFonts w:ascii="Calibri" w:eastAsiaTheme="minorHAnsi" w:hAnsi="Calibri" w:cs="Calibri"/>
          <w:color w:val="000000" w:themeColor="text1"/>
          <w:sz w:val="20"/>
          <w:szCs w:val="20"/>
        </w:rPr>
        <w:t xml:space="preserve"> </w:t>
      </w:r>
      <w:r w:rsidR="000A2C87" w:rsidRPr="000A2C87">
        <w:rPr>
          <w:rFonts w:asciiTheme="minorHAnsi" w:hAnsiTheme="minorHAnsi" w:cs="Calibri"/>
        </w:rPr>
        <w:t xml:space="preserve">requires applicants to possess adequate audit experience and to have attended training programs and taken up Continuing Professional Development (CPD) courses. </w:t>
      </w:r>
      <w:r w:rsidR="000A2C87">
        <w:rPr>
          <w:rFonts w:asciiTheme="minorHAnsi" w:hAnsiTheme="minorHAnsi" w:cs="Calibri"/>
        </w:rPr>
        <w:t xml:space="preserve"> </w:t>
      </w:r>
      <w:r w:rsidR="009375D7" w:rsidRPr="008F1E62">
        <w:rPr>
          <w:rStyle w:val="FootnoteReference"/>
          <w:rFonts w:asciiTheme="minorHAnsi" w:hAnsiTheme="minorHAnsi" w:cs="Calibri"/>
        </w:rPr>
        <w:footnoteReference w:id="102"/>
      </w:r>
      <w:r w:rsidR="00A707F4" w:rsidRPr="008F1E62">
        <w:rPr>
          <w:rFonts w:asciiTheme="minorHAnsi" w:hAnsiTheme="minorHAnsi" w:cs="Calibri"/>
        </w:rPr>
        <w:t xml:space="preserve"> </w:t>
      </w:r>
    </w:p>
    <w:p w14:paraId="3F925892" w14:textId="77777777" w:rsidR="00F76E53" w:rsidRPr="008F1E62" w:rsidRDefault="00A707F4" w:rsidP="00FF7A94">
      <w:pPr>
        <w:pStyle w:val="ListParagraph"/>
        <w:numPr>
          <w:ilvl w:val="0"/>
          <w:numId w:val="21"/>
        </w:numPr>
        <w:spacing w:before="0" w:beforeAutospacing="0" w:after="80" w:afterAutospacing="0" w:line="271" w:lineRule="auto"/>
        <w:ind w:left="360"/>
        <w:rPr>
          <w:rFonts w:asciiTheme="minorHAnsi" w:hAnsiTheme="minorHAnsi" w:cs="Calibri"/>
        </w:rPr>
      </w:pPr>
      <w:r w:rsidRPr="008F1E62">
        <w:rPr>
          <w:rFonts w:asciiTheme="minorHAnsi" w:hAnsiTheme="minorHAnsi" w:cs="Calibri"/>
        </w:rPr>
        <w:t>The annual review of audited financial statements completed by the financial regulators allow the regulators to infer, to some degree, a general sense of audit quality over the accredited auditors</w:t>
      </w:r>
      <w:r w:rsidR="00647166" w:rsidRPr="008F1E62">
        <w:rPr>
          <w:rFonts w:asciiTheme="minorHAnsi" w:hAnsiTheme="minorHAnsi" w:cs="Calibri"/>
        </w:rPr>
        <w:t xml:space="preserve"> on a continuing basis</w:t>
      </w:r>
      <w:r w:rsidR="00F76E53" w:rsidRPr="008F1E62">
        <w:rPr>
          <w:rFonts w:asciiTheme="minorHAnsi" w:hAnsiTheme="minorHAnsi" w:cs="Calibri"/>
        </w:rPr>
        <w:t>;</w:t>
      </w:r>
    </w:p>
    <w:p w14:paraId="6C5CA8FC" w14:textId="77777777" w:rsidR="00F76E53" w:rsidRPr="008F1E62" w:rsidRDefault="00F76E53" w:rsidP="00FF7A94">
      <w:pPr>
        <w:pStyle w:val="ListParagraph"/>
        <w:numPr>
          <w:ilvl w:val="0"/>
          <w:numId w:val="21"/>
        </w:numPr>
        <w:spacing w:before="0" w:beforeAutospacing="0" w:after="80" w:afterAutospacing="0" w:line="271" w:lineRule="auto"/>
        <w:rPr>
          <w:rFonts w:asciiTheme="minorHAnsi" w:hAnsiTheme="minorHAnsi" w:cs="Calibri"/>
        </w:rPr>
      </w:pPr>
      <w:r w:rsidRPr="008F1E62">
        <w:rPr>
          <w:rFonts w:asciiTheme="minorHAnsi" w:hAnsiTheme="minorHAnsi" w:cs="Calibri"/>
        </w:rPr>
        <w:t xml:space="preserve">A Quality Assurance Review </w:t>
      </w:r>
      <w:r w:rsidR="00EB4DF8">
        <w:rPr>
          <w:rFonts w:asciiTheme="minorHAnsi" w:hAnsiTheme="minorHAnsi" w:cs="Calibri"/>
        </w:rPr>
        <w:t xml:space="preserve">(QAR) </w:t>
      </w:r>
      <w:r w:rsidRPr="008F1E62">
        <w:rPr>
          <w:rFonts w:asciiTheme="minorHAnsi" w:hAnsiTheme="minorHAnsi" w:cs="Calibri"/>
        </w:rPr>
        <w:t xml:space="preserve">Department and </w:t>
      </w:r>
      <w:r w:rsidR="00EB4DF8">
        <w:rPr>
          <w:rFonts w:asciiTheme="minorHAnsi" w:hAnsiTheme="minorHAnsi" w:cs="Calibri"/>
        </w:rPr>
        <w:t>QAR</w:t>
      </w:r>
      <w:r w:rsidRPr="008F1E62">
        <w:rPr>
          <w:rFonts w:asciiTheme="minorHAnsi" w:hAnsiTheme="minorHAnsi" w:cs="Calibri"/>
        </w:rPr>
        <w:t xml:space="preserve"> Executive Committee were created by the BOA in 2009 and approved by the Professional Regulation Commission.  The </w:t>
      </w:r>
      <w:r w:rsidR="00997971">
        <w:rPr>
          <w:rFonts w:asciiTheme="minorHAnsi" w:hAnsiTheme="minorHAnsi" w:cs="Calibri"/>
        </w:rPr>
        <w:t>Executive Committee</w:t>
      </w:r>
      <w:r w:rsidR="00997971" w:rsidRPr="008F1E62">
        <w:rPr>
          <w:rFonts w:asciiTheme="minorHAnsi" w:hAnsiTheme="minorHAnsi" w:cs="Calibri"/>
        </w:rPr>
        <w:t xml:space="preserve"> </w:t>
      </w:r>
      <w:r w:rsidRPr="008F1E62">
        <w:rPr>
          <w:rFonts w:asciiTheme="minorHAnsi" w:hAnsiTheme="minorHAnsi" w:cs="Calibri"/>
        </w:rPr>
        <w:t xml:space="preserve">was granted full power and authority to set policies and supervise the operations of the </w:t>
      </w:r>
      <w:r w:rsidR="00997971">
        <w:rPr>
          <w:rFonts w:asciiTheme="minorHAnsi" w:hAnsiTheme="minorHAnsi" w:cs="Calibri"/>
        </w:rPr>
        <w:t>Review Department</w:t>
      </w:r>
      <w:r w:rsidRPr="008F1E62">
        <w:rPr>
          <w:rFonts w:asciiTheme="minorHAnsi" w:hAnsiTheme="minorHAnsi" w:cs="Calibri"/>
        </w:rPr>
        <w:t xml:space="preserve">, which would carry out the activities of the </w:t>
      </w:r>
      <w:r w:rsidR="00680D00">
        <w:rPr>
          <w:rFonts w:asciiTheme="minorHAnsi" w:hAnsiTheme="minorHAnsi" w:cs="Calibri"/>
        </w:rPr>
        <w:t>QAR</w:t>
      </w:r>
      <w:r w:rsidR="004537E6" w:rsidRPr="004537E6">
        <w:rPr>
          <w:rFonts w:asciiTheme="minorHAnsi" w:hAnsiTheme="minorHAnsi" w:cs="Calibri"/>
        </w:rPr>
        <w:t xml:space="preserve"> </w:t>
      </w:r>
      <w:r w:rsidR="004537E6">
        <w:rPr>
          <w:rFonts w:asciiTheme="minorHAnsi" w:hAnsiTheme="minorHAnsi" w:cs="Calibri"/>
        </w:rPr>
        <w:t>Program</w:t>
      </w:r>
      <w:r w:rsidRPr="008F1E62">
        <w:rPr>
          <w:rFonts w:asciiTheme="minorHAnsi" w:hAnsiTheme="minorHAnsi" w:cs="Calibri"/>
        </w:rPr>
        <w:t xml:space="preserve">.  However, the </w:t>
      </w:r>
      <w:r w:rsidR="004537E6">
        <w:rPr>
          <w:rFonts w:asciiTheme="minorHAnsi" w:hAnsiTheme="minorHAnsi" w:cs="Calibri"/>
        </w:rPr>
        <w:t>Program</w:t>
      </w:r>
      <w:r w:rsidR="004537E6" w:rsidRPr="008F1E62">
        <w:rPr>
          <w:rFonts w:asciiTheme="minorHAnsi" w:hAnsiTheme="minorHAnsi" w:cs="Calibri"/>
        </w:rPr>
        <w:t xml:space="preserve"> </w:t>
      </w:r>
      <w:r w:rsidRPr="008F1E62">
        <w:rPr>
          <w:rFonts w:asciiTheme="minorHAnsi" w:hAnsiTheme="minorHAnsi" w:cs="Calibri"/>
        </w:rPr>
        <w:t xml:space="preserve">has not been implemented and the </w:t>
      </w:r>
      <w:r w:rsidR="00E8086D" w:rsidRPr="00E8086D">
        <w:rPr>
          <w:rFonts w:asciiTheme="minorHAnsi" w:hAnsiTheme="minorHAnsi" w:cs="Calibri"/>
        </w:rPr>
        <w:t xml:space="preserve">Executive Committee </w:t>
      </w:r>
      <w:r w:rsidRPr="008F1E62">
        <w:rPr>
          <w:rFonts w:asciiTheme="minorHAnsi" w:hAnsiTheme="minorHAnsi" w:cs="Calibri"/>
        </w:rPr>
        <w:t>is not operational</w:t>
      </w:r>
      <w:r w:rsidRPr="008F1E62">
        <w:rPr>
          <w:rStyle w:val="FootnoteReference"/>
          <w:rFonts w:asciiTheme="minorHAnsi" w:hAnsiTheme="minorHAnsi" w:cs="Calibri"/>
        </w:rPr>
        <w:footnoteReference w:id="103"/>
      </w:r>
      <w:r w:rsidRPr="008F1E62">
        <w:rPr>
          <w:rFonts w:asciiTheme="minorHAnsi" w:hAnsiTheme="minorHAnsi" w:cs="Calibri"/>
        </w:rPr>
        <w:t>;</w:t>
      </w:r>
    </w:p>
    <w:p w14:paraId="39CBC47B" w14:textId="77777777" w:rsidR="00F76E53" w:rsidRPr="008F1E62" w:rsidRDefault="00F76E53" w:rsidP="00FF7A94">
      <w:pPr>
        <w:pStyle w:val="ListParagraph"/>
        <w:numPr>
          <w:ilvl w:val="0"/>
          <w:numId w:val="21"/>
        </w:numPr>
        <w:spacing w:before="0" w:beforeAutospacing="0" w:after="80" w:afterAutospacing="0" w:line="271" w:lineRule="auto"/>
        <w:ind w:left="360"/>
        <w:rPr>
          <w:rFonts w:asciiTheme="minorHAnsi" w:hAnsiTheme="minorHAnsi" w:cs="Calibri"/>
        </w:rPr>
      </w:pPr>
      <w:r w:rsidRPr="008F1E62">
        <w:rPr>
          <w:rFonts w:asciiTheme="minorHAnsi" w:hAnsiTheme="minorHAnsi" w:cs="Calibri"/>
        </w:rPr>
        <w:t>PICPA has created a Quality Control Board;</w:t>
      </w:r>
    </w:p>
    <w:p w14:paraId="593D831D" w14:textId="77777777" w:rsidR="00F76E53" w:rsidRPr="008F1E62" w:rsidRDefault="00F76E53" w:rsidP="00FF7A94">
      <w:pPr>
        <w:pStyle w:val="ListParagraph"/>
        <w:numPr>
          <w:ilvl w:val="0"/>
          <w:numId w:val="21"/>
        </w:numPr>
        <w:spacing w:before="0" w:beforeAutospacing="0" w:after="0" w:afterAutospacing="0" w:line="276" w:lineRule="auto"/>
        <w:ind w:left="360"/>
        <w:rPr>
          <w:rFonts w:asciiTheme="minorHAnsi" w:hAnsiTheme="minorHAnsi" w:cs="Calibri"/>
        </w:rPr>
      </w:pPr>
      <w:r w:rsidRPr="008F1E62">
        <w:rPr>
          <w:rFonts w:asciiTheme="minorHAnsi" w:hAnsiTheme="minorHAnsi" w:cs="Calibri"/>
        </w:rPr>
        <w:t xml:space="preserve">PICPA has rolled out a Voluntary </w:t>
      </w:r>
      <w:r w:rsidR="00680D00">
        <w:rPr>
          <w:rFonts w:asciiTheme="minorHAnsi" w:hAnsiTheme="minorHAnsi" w:cs="Calibri"/>
        </w:rPr>
        <w:t>QAR</w:t>
      </w:r>
      <w:r w:rsidRPr="008F1E62">
        <w:rPr>
          <w:rFonts w:asciiTheme="minorHAnsi" w:hAnsiTheme="minorHAnsi" w:cs="Calibri"/>
        </w:rPr>
        <w:t xml:space="preserve"> Program;</w:t>
      </w:r>
    </w:p>
    <w:p w14:paraId="27DBE6F9" w14:textId="77777777" w:rsidR="00F76E53" w:rsidRPr="008F1E62" w:rsidRDefault="00F76E53" w:rsidP="00FF7A94">
      <w:pPr>
        <w:pStyle w:val="ListParagraph"/>
        <w:numPr>
          <w:ilvl w:val="0"/>
          <w:numId w:val="21"/>
        </w:numPr>
        <w:spacing w:before="0" w:beforeAutospacing="0" w:after="80" w:afterAutospacing="0" w:line="276" w:lineRule="auto"/>
        <w:ind w:left="360"/>
        <w:rPr>
          <w:rFonts w:asciiTheme="minorHAnsi" w:hAnsiTheme="minorHAnsi" w:cs="Calibri"/>
        </w:rPr>
      </w:pPr>
      <w:r w:rsidRPr="008F1E62">
        <w:rPr>
          <w:rFonts w:asciiTheme="minorHAnsi" w:hAnsiTheme="minorHAnsi" w:cs="Calibri"/>
        </w:rPr>
        <w:t>An office verification by the BOA of CPAs in public practice including the accomplishment of a Quality Assurance Checklist</w:t>
      </w:r>
      <w:r w:rsidRPr="008F1E62">
        <w:rPr>
          <w:rStyle w:val="FootnoteReference"/>
          <w:rFonts w:asciiTheme="minorHAnsi" w:hAnsiTheme="minorHAnsi" w:cs="Calibri"/>
        </w:rPr>
        <w:footnoteReference w:id="104"/>
      </w:r>
      <w:r w:rsidRPr="008F1E62">
        <w:rPr>
          <w:rFonts w:asciiTheme="minorHAnsi" w:hAnsiTheme="minorHAnsi" w:cs="Calibri"/>
        </w:rPr>
        <w:t>;</w:t>
      </w:r>
    </w:p>
    <w:p w14:paraId="3A38A677" w14:textId="77777777" w:rsidR="00F76E53" w:rsidRPr="008F1E62" w:rsidRDefault="00F76E53" w:rsidP="00FF7A94">
      <w:pPr>
        <w:pStyle w:val="ListParagraph"/>
        <w:numPr>
          <w:ilvl w:val="0"/>
          <w:numId w:val="21"/>
        </w:numPr>
        <w:tabs>
          <w:tab w:val="left" w:pos="540"/>
          <w:tab w:val="left" w:pos="900"/>
        </w:tabs>
        <w:autoSpaceDE w:val="0"/>
        <w:autoSpaceDN w:val="0"/>
        <w:adjustRightInd w:val="0"/>
        <w:spacing w:before="0" w:beforeAutospacing="0" w:after="80" w:afterAutospacing="0" w:line="276" w:lineRule="auto"/>
        <w:ind w:left="360"/>
        <w:rPr>
          <w:rFonts w:asciiTheme="minorHAnsi" w:hAnsiTheme="minorHAnsi" w:cs="Calibri"/>
        </w:rPr>
      </w:pPr>
      <w:r w:rsidRPr="008F1E62">
        <w:rPr>
          <w:rFonts w:asciiTheme="minorHAnsi" w:eastAsia="SimSun" w:hAnsiTheme="minorHAnsi" w:cs="Times New Roman"/>
        </w:rPr>
        <w:t>The SEC is in the process of establishing the SOAR program covering listed enterprises,</w:t>
      </w:r>
      <w:r w:rsidRPr="008F1E62">
        <w:rPr>
          <w:rFonts w:asciiTheme="minorHAnsi" w:hAnsiTheme="minorHAnsi" w:cs="Calibri"/>
        </w:rPr>
        <w:t xml:space="preserve"> expected for rollout in 2017;</w:t>
      </w:r>
    </w:p>
    <w:p w14:paraId="2A56EC10" w14:textId="77777777" w:rsidR="00F76E53" w:rsidRPr="008F1E62" w:rsidRDefault="00F76E53" w:rsidP="00FF7A94">
      <w:pPr>
        <w:pStyle w:val="ListParagraph"/>
        <w:numPr>
          <w:ilvl w:val="0"/>
          <w:numId w:val="21"/>
        </w:numPr>
        <w:autoSpaceDE w:val="0"/>
        <w:autoSpaceDN w:val="0"/>
        <w:adjustRightInd w:val="0"/>
        <w:spacing w:before="0" w:beforeAutospacing="0" w:after="200" w:afterAutospacing="0" w:line="276" w:lineRule="auto"/>
        <w:ind w:left="360"/>
        <w:rPr>
          <w:rFonts w:asciiTheme="minorHAnsi" w:hAnsiTheme="minorHAnsi" w:cs="Calibri"/>
        </w:rPr>
      </w:pPr>
      <w:r w:rsidRPr="008F1E62">
        <w:rPr>
          <w:rFonts w:asciiTheme="minorHAnsi" w:hAnsiTheme="minorHAnsi" w:cs="Calibri"/>
        </w:rPr>
        <w:t xml:space="preserve">A Risk Based Red Flag System being developed by the BOA in which benchmarks will be analyzed to determine high risk engagements. </w:t>
      </w:r>
      <w:r w:rsidRPr="008F1E62">
        <w:rPr>
          <w:rStyle w:val="FootnoteReference"/>
          <w:rFonts w:asciiTheme="minorHAnsi" w:hAnsiTheme="minorHAnsi" w:cs="Calibri"/>
        </w:rPr>
        <w:footnoteReference w:id="105"/>
      </w:r>
    </w:p>
    <w:p w14:paraId="63AAEA91" w14:textId="77777777" w:rsidR="00F76E53" w:rsidRPr="008F1E62" w:rsidRDefault="00F76E53" w:rsidP="00424C0E">
      <w:pPr>
        <w:pStyle w:val="BodyText4"/>
        <w:numPr>
          <w:ilvl w:val="0"/>
          <w:numId w:val="2"/>
        </w:numPr>
        <w:spacing w:after="80" w:line="276" w:lineRule="auto"/>
        <w:ind w:left="0" w:hanging="562"/>
        <w:rPr>
          <w:rFonts w:asciiTheme="minorHAnsi" w:hAnsiTheme="minorHAnsi" w:cs="Calibri"/>
        </w:rPr>
      </w:pPr>
      <w:r w:rsidRPr="008F1E62">
        <w:rPr>
          <w:rFonts w:asciiTheme="minorHAnsi" w:hAnsiTheme="minorHAnsi" w:cs="Calibri"/>
          <w:b/>
        </w:rPr>
        <w:t xml:space="preserve">In addition to ensuring a holistic approach, the council coordinating </w:t>
      </w:r>
      <w:r w:rsidR="00B82DBC">
        <w:rPr>
          <w:rFonts w:asciiTheme="minorHAnsi" w:hAnsiTheme="minorHAnsi" w:cs="Calibri"/>
          <w:b/>
        </w:rPr>
        <w:t xml:space="preserve">QAR </w:t>
      </w:r>
      <w:r w:rsidRPr="008F1E62">
        <w:rPr>
          <w:rFonts w:asciiTheme="minorHAnsi" w:hAnsiTheme="minorHAnsi" w:cs="Calibri"/>
          <w:b/>
        </w:rPr>
        <w:t xml:space="preserve">activities should strive to ensure that </w:t>
      </w:r>
      <w:r w:rsidRPr="008F1E62">
        <w:rPr>
          <w:rFonts w:ascii="Calibri" w:hAnsi="Calibri"/>
          <w:b/>
          <w:bCs/>
        </w:rPr>
        <w:t>international</w:t>
      </w:r>
      <w:r w:rsidRPr="008F1E62">
        <w:rPr>
          <w:rFonts w:asciiTheme="minorHAnsi" w:hAnsiTheme="minorHAnsi" w:cs="Calibri"/>
          <w:b/>
        </w:rPr>
        <w:t xml:space="preserve"> good practice and principles are being followed.</w:t>
      </w:r>
      <w:r w:rsidRPr="008F1E62">
        <w:rPr>
          <w:rFonts w:asciiTheme="minorHAnsi" w:hAnsiTheme="minorHAnsi" w:cs="Calibri"/>
        </w:rPr>
        <w:t xml:space="preserve">  These are presented in Annex 3.  Key concepts include:</w:t>
      </w:r>
    </w:p>
    <w:p w14:paraId="2EF5A4D4" w14:textId="77777777" w:rsidR="00F76E53" w:rsidRPr="008F1E62" w:rsidRDefault="00F76E53" w:rsidP="00FF7A94">
      <w:pPr>
        <w:pStyle w:val="ListParagraph"/>
        <w:widowControl w:val="0"/>
        <w:numPr>
          <w:ilvl w:val="0"/>
          <w:numId w:val="21"/>
        </w:numPr>
        <w:spacing w:before="0" w:beforeAutospacing="0" w:after="80" w:afterAutospacing="0" w:line="276" w:lineRule="auto"/>
        <w:ind w:left="360"/>
        <w:rPr>
          <w:rFonts w:asciiTheme="minorHAnsi" w:hAnsiTheme="minorHAnsi" w:cs="Calibri"/>
        </w:rPr>
      </w:pPr>
      <w:r w:rsidRPr="008F1E62">
        <w:rPr>
          <w:rFonts w:asciiTheme="minorHAnsi" w:hAnsiTheme="minorHAnsi" w:cs="Calibri"/>
        </w:rPr>
        <w:t xml:space="preserve">Appropriate arrangements should be put in place for insulating the QAR body from interference by the practicing members of accountancy profession as well as other vested interest groups; </w:t>
      </w:r>
    </w:p>
    <w:p w14:paraId="20C11EED" w14:textId="77777777" w:rsidR="00F76E53" w:rsidRPr="008F1E62" w:rsidRDefault="00F76E53" w:rsidP="00FF7A94">
      <w:pPr>
        <w:pStyle w:val="ListParagraph"/>
        <w:widowControl w:val="0"/>
        <w:numPr>
          <w:ilvl w:val="0"/>
          <w:numId w:val="21"/>
        </w:numPr>
        <w:spacing w:before="0" w:beforeAutospacing="0" w:after="80" w:afterAutospacing="0" w:line="276" w:lineRule="auto"/>
        <w:ind w:left="360"/>
        <w:rPr>
          <w:rFonts w:asciiTheme="minorHAnsi" w:hAnsiTheme="minorHAnsi" w:cs="Calibri"/>
        </w:rPr>
      </w:pPr>
      <w:r w:rsidRPr="008F1E62">
        <w:rPr>
          <w:rFonts w:asciiTheme="minorHAnsi" w:hAnsiTheme="minorHAnsi" w:cs="Calibri"/>
        </w:rPr>
        <w:t xml:space="preserve">Arrangements must be made so that the specialists who will carry out monitoring and enforcement activities on behalf of the QAR body can be remunerated according to market rates that are commensurate with the skills required for quality control work. This is especially critical for inspectors of PIE auditors, who must themselves be highly experienced auditors with as much or more technical sophistication and experience as the PIE auditors they will inspect; </w:t>
      </w:r>
    </w:p>
    <w:p w14:paraId="2BCC2FA2" w14:textId="77777777" w:rsidR="00F76E53" w:rsidRPr="008F1E62" w:rsidRDefault="00F76E53" w:rsidP="00FF7A94">
      <w:pPr>
        <w:pStyle w:val="ListParagraph"/>
        <w:widowControl w:val="0"/>
        <w:numPr>
          <w:ilvl w:val="0"/>
          <w:numId w:val="21"/>
        </w:numPr>
        <w:spacing w:before="0" w:beforeAutospacing="0" w:after="80" w:afterAutospacing="0" w:line="276" w:lineRule="auto"/>
        <w:ind w:left="360"/>
        <w:rPr>
          <w:rFonts w:asciiTheme="minorHAnsi" w:hAnsiTheme="minorHAnsi" w:cs="Calibri"/>
        </w:rPr>
      </w:pPr>
      <w:r w:rsidRPr="008F1E62">
        <w:rPr>
          <w:rFonts w:asciiTheme="minorHAnsi" w:hAnsiTheme="minorHAnsi" w:cs="Calibri"/>
        </w:rPr>
        <w:t>With respect to MSME auditors, such a program should initially be developmental in nature and used as a tool to build capacity of SMPs;</w:t>
      </w:r>
    </w:p>
    <w:p w14:paraId="534C22E8" w14:textId="77777777" w:rsidR="00F76E53" w:rsidRPr="008F1E62" w:rsidRDefault="00F76E53" w:rsidP="00FF7A94">
      <w:pPr>
        <w:pStyle w:val="ListParagraph"/>
        <w:widowControl w:val="0"/>
        <w:numPr>
          <w:ilvl w:val="0"/>
          <w:numId w:val="21"/>
        </w:numPr>
        <w:spacing w:before="0" w:beforeAutospacing="0" w:after="80" w:afterAutospacing="0" w:line="276" w:lineRule="auto"/>
        <w:ind w:left="360"/>
        <w:rPr>
          <w:rFonts w:asciiTheme="minorHAnsi" w:hAnsiTheme="minorHAnsi" w:cs="Calibri"/>
        </w:rPr>
      </w:pPr>
      <w:r w:rsidRPr="008F1E62">
        <w:rPr>
          <w:rFonts w:asciiTheme="minorHAnsi" w:hAnsiTheme="minorHAnsi" w:cs="Calibri"/>
        </w:rPr>
        <w:t>The QAR body should have sufficient legal authority and specific legal powers to oversee the audit profession to help assure audit quality, particularly for the highest risk audits.  The framework should ensure that the oversight body is fully independent from the profession, transparent, and acts in the public interest.</w:t>
      </w:r>
    </w:p>
    <w:p w14:paraId="2AE3FBF1" w14:textId="77777777" w:rsidR="00F76E53" w:rsidRPr="008F1E62" w:rsidRDefault="00F76E53" w:rsidP="00FF7A94">
      <w:pPr>
        <w:pStyle w:val="ListParagraph"/>
        <w:widowControl w:val="0"/>
        <w:numPr>
          <w:ilvl w:val="0"/>
          <w:numId w:val="21"/>
        </w:numPr>
        <w:spacing w:before="0" w:beforeAutospacing="0" w:after="80" w:afterAutospacing="0" w:line="276" w:lineRule="auto"/>
        <w:ind w:left="360"/>
        <w:rPr>
          <w:rFonts w:asciiTheme="minorHAnsi" w:hAnsiTheme="minorHAnsi" w:cs="Calibri"/>
        </w:rPr>
      </w:pPr>
      <w:r w:rsidRPr="008F1E62">
        <w:rPr>
          <w:rFonts w:asciiTheme="minorHAnsi" w:hAnsiTheme="minorHAnsi" w:cs="Calibri"/>
        </w:rPr>
        <w:t>Funding for the QAR body(</w:t>
      </w:r>
      <w:proofErr w:type="spellStart"/>
      <w:r w:rsidRPr="008F1E62">
        <w:rPr>
          <w:rFonts w:asciiTheme="minorHAnsi" w:hAnsiTheme="minorHAnsi" w:cs="Calibri"/>
        </w:rPr>
        <w:t>ies</w:t>
      </w:r>
      <w:proofErr w:type="spellEnd"/>
      <w:r w:rsidRPr="008F1E62">
        <w:rPr>
          <w:rFonts w:asciiTheme="minorHAnsi" w:hAnsiTheme="minorHAnsi" w:cs="Calibri"/>
        </w:rPr>
        <w:t>) should be stable and sufficient;</w:t>
      </w:r>
    </w:p>
    <w:p w14:paraId="07452857" w14:textId="77777777" w:rsidR="00F76E53" w:rsidRPr="008F1E62" w:rsidRDefault="00F76E53" w:rsidP="00FF7A94">
      <w:pPr>
        <w:pStyle w:val="ListParagraph"/>
        <w:widowControl w:val="0"/>
        <w:numPr>
          <w:ilvl w:val="0"/>
          <w:numId w:val="21"/>
        </w:numPr>
        <w:autoSpaceDE w:val="0"/>
        <w:autoSpaceDN w:val="0"/>
        <w:adjustRightInd w:val="0"/>
        <w:spacing w:before="0" w:beforeAutospacing="0" w:after="200" w:afterAutospacing="0" w:line="276" w:lineRule="auto"/>
        <w:ind w:left="360"/>
        <w:rPr>
          <w:rFonts w:asciiTheme="minorHAnsi" w:hAnsiTheme="minorHAnsi" w:cs="Calibri"/>
        </w:rPr>
      </w:pPr>
      <w:r w:rsidRPr="008F1E62">
        <w:rPr>
          <w:rFonts w:asciiTheme="minorHAnsi" w:hAnsiTheme="minorHAnsi" w:cs="Calibri"/>
        </w:rPr>
        <w:t>A risk-based approach to audit inspections should be followed.</w:t>
      </w:r>
    </w:p>
    <w:p w14:paraId="032958A4" w14:textId="77777777" w:rsidR="00F76E53" w:rsidRPr="008F1E62" w:rsidRDefault="004453CC" w:rsidP="00FB3DC8">
      <w:pPr>
        <w:pStyle w:val="BodyText4"/>
        <w:widowControl w:val="0"/>
        <w:numPr>
          <w:ilvl w:val="0"/>
          <w:numId w:val="2"/>
        </w:numPr>
        <w:spacing w:after="160" w:line="276" w:lineRule="auto"/>
        <w:ind w:left="0" w:hanging="562"/>
        <w:rPr>
          <w:rFonts w:asciiTheme="minorHAnsi" w:hAnsiTheme="minorHAnsi" w:cs="Calibri"/>
        </w:rPr>
      </w:pPr>
      <w:r>
        <w:rPr>
          <w:rFonts w:asciiTheme="minorHAnsi" w:hAnsiTheme="minorHAnsi" w:cs="Calibri"/>
          <w:b/>
        </w:rPr>
        <w:t>In addition to the authority for audit oversight mandated to the BOA, t</w:t>
      </w:r>
      <w:r w:rsidR="00F76E53" w:rsidRPr="008F1E62">
        <w:rPr>
          <w:rFonts w:asciiTheme="minorHAnsi" w:hAnsiTheme="minorHAnsi" w:cs="Calibri"/>
          <w:b/>
        </w:rPr>
        <w:t>he SEC</w:t>
      </w:r>
      <w:r w:rsidR="00F76E53" w:rsidRPr="008F1E62">
        <w:rPr>
          <w:rFonts w:asciiTheme="minorHAnsi" w:hAnsiTheme="minorHAnsi" w:cs="TT149t00"/>
          <w:b/>
          <w:bCs/>
        </w:rPr>
        <w:t xml:space="preserve"> asserts the authority for </w:t>
      </w:r>
      <w:r w:rsidR="008322D8">
        <w:rPr>
          <w:rFonts w:asciiTheme="minorHAnsi" w:hAnsiTheme="minorHAnsi" w:cs="TT149t00"/>
          <w:b/>
          <w:bCs/>
        </w:rPr>
        <w:t xml:space="preserve">quality assurance </w:t>
      </w:r>
      <w:r w:rsidR="00F76E53" w:rsidRPr="008F1E62">
        <w:rPr>
          <w:rFonts w:asciiTheme="minorHAnsi" w:hAnsiTheme="minorHAnsi" w:cs="TT149t00"/>
          <w:b/>
          <w:bCs/>
        </w:rPr>
        <w:t>of SEC accredited auditors under Corporation Code of the Philippines, Section 141, Annual Report of Corporations</w:t>
      </w:r>
      <w:r w:rsidR="00F76E53" w:rsidRPr="008F1E62">
        <w:rPr>
          <w:rFonts w:asciiTheme="minorHAnsi" w:hAnsiTheme="minorHAnsi" w:cs="TT149t00"/>
        </w:rPr>
        <w:t>.</w:t>
      </w:r>
      <w:r w:rsidR="00F76E53" w:rsidRPr="008F1E62">
        <w:rPr>
          <w:rStyle w:val="FootnoteReference"/>
          <w:rFonts w:asciiTheme="minorHAnsi" w:hAnsiTheme="minorHAnsi" w:cs="TT149t00"/>
        </w:rPr>
        <w:footnoteReference w:id="106"/>
      </w:r>
      <w:r w:rsidR="00F76E53" w:rsidRPr="008F1E62">
        <w:rPr>
          <w:rFonts w:asciiTheme="minorHAnsi" w:hAnsiTheme="minorHAnsi" w:cs="TT149t00"/>
        </w:rPr>
        <w:t xml:space="preserve">   Section 141 specifically refers to certified financial statements of companies, but omits language specifically referring to auditor oversight by the SEC such as objectives, operations and standards to be followed, including regulating power and corrective measurements to be applied, which would be included in such a Section concerning a legal regulator.  Additionally, coordination of this authority with the authority granted to the BOA for oversight of the quality of audits by RA 9298 is not addressed.</w:t>
      </w:r>
    </w:p>
    <w:tbl>
      <w:tblPr>
        <w:tblStyle w:val="TableGrid"/>
        <w:tblpPr w:leftFromText="180" w:rightFromText="180" w:vertAnchor="text" w:horzAnchor="margin" w:tblpXSpec="right" w:tblpY="38"/>
        <w:tblOverlap w:val="never"/>
        <w:tblW w:w="0" w:type="auto"/>
        <w:tblCellSpacing w:w="57"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126"/>
        <w:gridCol w:w="1049"/>
        <w:gridCol w:w="1408"/>
        <w:gridCol w:w="875"/>
      </w:tblGrid>
      <w:tr w:rsidR="0002662F" w:rsidRPr="0075369F" w14:paraId="4449FC87" w14:textId="77777777" w:rsidTr="0002662F">
        <w:trPr>
          <w:trHeight w:val="255"/>
          <w:tblHeader/>
          <w:tblCellSpacing w:w="57" w:type="dxa"/>
        </w:trPr>
        <w:tc>
          <w:tcPr>
            <w:tcW w:w="4210" w:type="dxa"/>
            <w:gridSpan w:val="4"/>
            <w:shd w:val="clear" w:color="auto" w:fill="auto"/>
            <w:noWrap/>
          </w:tcPr>
          <w:p w14:paraId="411B02DF" w14:textId="2969CD4B" w:rsidR="0002662F" w:rsidRPr="0075369F" w:rsidRDefault="0002662F" w:rsidP="0002662F">
            <w:pPr>
              <w:spacing w:after="0"/>
              <w:jc w:val="center"/>
              <w:rPr>
                <w:rFonts w:ascii="Calibri" w:eastAsia="Times New Roman" w:hAnsi="Calibri" w:cs="Times New Roman"/>
                <w:b/>
                <w:color w:val="FFFFFF" w:themeColor="background1"/>
                <w:sz w:val="20"/>
                <w:szCs w:val="24"/>
              </w:rPr>
            </w:pPr>
            <w:r w:rsidRPr="0075369F">
              <w:rPr>
                <w:b/>
                <w:sz w:val="20"/>
                <w:szCs w:val="24"/>
              </w:rPr>
              <w:t xml:space="preserve">Table </w:t>
            </w:r>
            <w:r w:rsidRPr="0075369F">
              <w:rPr>
                <w:b/>
                <w:sz w:val="20"/>
                <w:szCs w:val="24"/>
              </w:rPr>
              <w:fldChar w:fldCharType="begin"/>
            </w:r>
            <w:r w:rsidRPr="0075369F">
              <w:rPr>
                <w:b/>
                <w:sz w:val="20"/>
                <w:szCs w:val="24"/>
              </w:rPr>
              <w:instrText xml:space="preserve"> SEQ Table \* ARABIC </w:instrText>
            </w:r>
            <w:r w:rsidRPr="0075369F">
              <w:rPr>
                <w:b/>
                <w:sz w:val="20"/>
                <w:szCs w:val="24"/>
              </w:rPr>
              <w:fldChar w:fldCharType="separate"/>
            </w:r>
            <w:r w:rsidR="004310EC">
              <w:rPr>
                <w:b/>
                <w:noProof/>
                <w:sz w:val="20"/>
                <w:szCs w:val="24"/>
              </w:rPr>
              <w:t>13</w:t>
            </w:r>
            <w:r w:rsidRPr="0075369F">
              <w:rPr>
                <w:b/>
                <w:sz w:val="20"/>
                <w:szCs w:val="24"/>
              </w:rPr>
              <w:fldChar w:fldCharType="end"/>
            </w:r>
            <w:r w:rsidRPr="0075369F">
              <w:rPr>
                <w:b/>
                <w:sz w:val="20"/>
                <w:szCs w:val="24"/>
              </w:rPr>
              <w:t>. Accredited Auditors by Agency</w:t>
            </w:r>
          </w:p>
        </w:tc>
      </w:tr>
      <w:tr w:rsidR="0002662F" w:rsidRPr="0075369F" w14:paraId="3ACEE2BA" w14:textId="77777777" w:rsidTr="0002662F">
        <w:trPr>
          <w:trHeight w:val="255"/>
          <w:tblHeader/>
          <w:tblCellSpacing w:w="57" w:type="dxa"/>
        </w:trPr>
        <w:tc>
          <w:tcPr>
            <w:tcW w:w="945" w:type="dxa"/>
            <w:shd w:val="clear" w:color="auto" w:fill="4472C4"/>
            <w:noWrap/>
            <w:vAlign w:val="center"/>
            <w:hideMark/>
          </w:tcPr>
          <w:p w14:paraId="6569A6E0" w14:textId="77777777" w:rsidR="0002662F" w:rsidRPr="0075369F" w:rsidRDefault="0002662F" w:rsidP="0002662F">
            <w:pPr>
              <w:spacing w:after="0"/>
              <w:jc w:val="center"/>
              <w:rPr>
                <w:rFonts w:ascii="Calibri" w:eastAsia="Times New Roman" w:hAnsi="Calibri" w:cs="Times New Roman"/>
                <w:b/>
                <w:color w:val="FFFFFF" w:themeColor="background1"/>
                <w:sz w:val="20"/>
                <w:szCs w:val="24"/>
              </w:rPr>
            </w:pPr>
            <w:r w:rsidRPr="0075369F">
              <w:rPr>
                <w:rFonts w:ascii="Calibri" w:eastAsia="Times New Roman" w:hAnsi="Calibri" w:cs="Times New Roman"/>
                <w:b/>
                <w:color w:val="FFFFFF" w:themeColor="background1"/>
                <w:sz w:val="20"/>
                <w:szCs w:val="24"/>
              </w:rPr>
              <w:t>Agency</w:t>
            </w:r>
          </w:p>
        </w:tc>
        <w:tc>
          <w:tcPr>
            <w:tcW w:w="935" w:type="dxa"/>
            <w:shd w:val="clear" w:color="auto" w:fill="4472C4"/>
            <w:noWrap/>
            <w:vAlign w:val="center"/>
            <w:hideMark/>
          </w:tcPr>
          <w:p w14:paraId="2133C56E" w14:textId="77777777" w:rsidR="0002662F" w:rsidRPr="0075369F" w:rsidRDefault="0002662F" w:rsidP="0002662F">
            <w:pPr>
              <w:spacing w:after="0"/>
              <w:jc w:val="center"/>
              <w:rPr>
                <w:rFonts w:ascii="Calibri" w:eastAsia="Times New Roman" w:hAnsi="Calibri" w:cs="Times New Roman"/>
                <w:b/>
                <w:color w:val="FFFFFF" w:themeColor="background1"/>
                <w:sz w:val="20"/>
                <w:szCs w:val="24"/>
              </w:rPr>
            </w:pPr>
            <w:r w:rsidRPr="0075369F">
              <w:rPr>
                <w:rFonts w:ascii="Calibri" w:eastAsia="Times New Roman" w:hAnsi="Calibri" w:cs="Times New Roman"/>
                <w:b/>
                <w:color w:val="FFFFFF" w:themeColor="background1"/>
                <w:sz w:val="20"/>
                <w:szCs w:val="24"/>
              </w:rPr>
              <w:t>Partners</w:t>
            </w:r>
          </w:p>
        </w:tc>
        <w:tc>
          <w:tcPr>
            <w:tcW w:w="1294" w:type="dxa"/>
            <w:shd w:val="clear" w:color="auto" w:fill="4472C4"/>
            <w:noWrap/>
            <w:vAlign w:val="center"/>
            <w:hideMark/>
          </w:tcPr>
          <w:p w14:paraId="5A29CF92" w14:textId="77777777" w:rsidR="0002662F" w:rsidRPr="0075369F" w:rsidRDefault="0002662F" w:rsidP="0002662F">
            <w:pPr>
              <w:spacing w:after="0"/>
              <w:jc w:val="center"/>
              <w:rPr>
                <w:rFonts w:ascii="Calibri" w:eastAsia="Times New Roman" w:hAnsi="Calibri" w:cs="Times New Roman"/>
                <w:b/>
                <w:color w:val="FFFFFF" w:themeColor="background1"/>
                <w:sz w:val="20"/>
                <w:szCs w:val="24"/>
              </w:rPr>
            </w:pPr>
            <w:r w:rsidRPr="0075369F">
              <w:rPr>
                <w:rFonts w:ascii="Calibri" w:eastAsia="Times New Roman" w:hAnsi="Calibri" w:cs="Times New Roman"/>
                <w:b/>
                <w:color w:val="FFFFFF" w:themeColor="background1"/>
                <w:sz w:val="20"/>
                <w:szCs w:val="24"/>
              </w:rPr>
              <w:t>Sole Practitioners</w:t>
            </w:r>
          </w:p>
        </w:tc>
        <w:tc>
          <w:tcPr>
            <w:tcW w:w="694" w:type="dxa"/>
            <w:shd w:val="clear" w:color="auto" w:fill="4472C4"/>
            <w:noWrap/>
            <w:vAlign w:val="center"/>
            <w:hideMark/>
          </w:tcPr>
          <w:p w14:paraId="110D003D" w14:textId="77777777" w:rsidR="0002662F" w:rsidRPr="0075369F" w:rsidRDefault="0002662F" w:rsidP="0002662F">
            <w:pPr>
              <w:spacing w:after="0"/>
              <w:jc w:val="center"/>
              <w:rPr>
                <w:rFonts w:ascii="Calibri" w:eastAsia="Times New Roman" w:hAnsi="Calibri" w:cs="Times New Roman"/>
                <w:b/>
                <w:color w:val="FFFFFF" w:themeColor="background1"/>
                <w:sz w:val="20"/>
                <w:szCs w:val="24"/>
              </w:rPr>
            </w:pPr>
            <w:r w:rsidRPr="0075369F">
              <w:rPr>
                <w:rFonts w:ascii="Calibri" w:eastAsia="Times New Roman" w:hAnsi="Calibri" w:cs="Times New Roman"/>
                <w:b/>
                <w:color w:val="FFFFFF" w:themeColor="background1"/>
                <w:sz w:val="20"/>
                <w:szCs w:val="24"/>
              </w:rPr>
              <w:t>Total</w:t>
            </w:r>
          </w:p>
        </w:tc>
      </w:tr>
      <w:tr w:rsidR="0002662F" w:rsidRPr="0075369F" w14:paraId="041DF910" w14:textId="77777777" w:rsidTr="0002662F">
        <w:trPr>
          <w:trHeight w:val="255"/>
          <w:tblCellSpacing w:w="57" w:type="dxa"/>
        </w:trPr>
        <w:tc>
          <w:tcPr>
            <w:tcW w:w="945" w:type="dxa"/>
            <w:shd w:val="clear" w:color="auto" w:fill="C6E8D7"/>
            <w:noWrap/>
            <w:hideMark/>
          </w:tcPr>
          <w:p w14:paraId="2DDCC6BF" w14:textId="77777777" w:rsidR="0002662F" w:rsidRPr="0075369F" w:rsidRDefault="0002662F" w:rsidP="0002662F">
            <w:pPr>
              <w:spacing w:after="0"/>
              <w:jc w:val="lef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SEC*</w:t>
            </w:r>
          </w:p>
        </w:tc>
        <w:tc>
          <w:tcPr>
            <w:tcW w:w="935" w:type="dxa"/>
            <w:shd w:val="clear" w:color="auto" w:fill="C6E8D7"/>
            <w:noWrap/>
            <w:hideMark/>
          </w:tcPr>
          <w:p w14:paraId="09C16AAD"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307</w:t>
            </w:r>
          </w:p>
        </w:tc>
        <w:tc>
          <w:tcPr>
            <w:tcW w:w="1294" w:type="dxa"/>
            <w:shd w:val="clear" w:color="auto" w:fill="C6E8D7"/>
            <w:noWrap/>
            <w:hideMark/>
          </w:tcPr>
          <w:p w14:paraId="5C2627CB"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142</w:t>
            </w:r>
          </w:p>
        </w:tc>
        <w:tc>
          <w:tcPr>
            <w:tcW w:w="694" w:type="dxa"/>
            <w:shd w:val="clear" w:color="auto" w:fill="C6E8D7"/>
            <w:noWrap/>
            <w:hideMark/>
          </w:tcPr>
          <w:p w14:paraId="3ED17262"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449</w:t>
            </w:r>
          </w:p>
        </w:tc>
      </w:tr>
      <w:tr w:rsidR="0002662F" w:rsidRPr="0075369F" w14:paraId="09A0EA9B" w14:textId="77777777" w:rsidTr="0002662F">
        <w:trPr>
          <w:trHeight w:val="255"/>
          <w:tblCellSpacing w:w="57" w:type="dxa"/>
        </w:trPr>
        <w:tc>
          <w:tcPr>
            <w:tcW w:w="945" w:type="dxa"/>
            <w:shd w:val="clear" w:color="auto" w:fill="C6E8D7"/>
            <w:noWrap/>
            <w:hideMark/>
          </w:tcPr>
          <w:p w14:paraId="0CE89E07" w14:textId="77777777" w:rsidR="0002662F" w:rsidRPr="0075369F" w:rsidRDefault="0002662F" w:rsidP="0002662F">
            <w:pPr>
              <w:spacing w:after="0"/>
              <w:jc w:val="lef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BSP**</w:t>
            </w:r>
          </w:p>
        </w:tc>
        <w:tc>
          <w:tcPr>
            <w:tcW w:w="935" w:type="dxa"/>
            <w:shd w:val="clear" w:color="auto" w:fill="C6E8D7"/>
            <w:noWrap/>
            <w:hideMark/>
          </w:tcPr>
          <w:p w14:paraId="53032365"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74</w:t>
            </w:r>
          </w:p>
        </w:tc>
        <w:tc>
          <w:tcPr>
            <w:tcW w:w="1294" w:type="dxa"/>
            <w:shd w:val="clear" w:color="auto" w:fill="C6E8D7"/>
            <w:noWrap/>
            <w:hideMark/>
          </w:tcPr>
          <w:p w14:paraId="3A71C404"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10</w:t>
            </w:r>
          </w:p>
        </w:tc>
        <w:tc>
          <w:tcPr>
            <w:tcW w:w="694" w:type="dxa"/>
            <w:shd w:val="clear" w:color="auto" w:fill="C6E8D7"/>
            <w:noWrap/>
            <w:hideMark/>
          </w:tcPr>
          <w:p w14:paraId="39799DA1"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84</w:t>
            </w:r>
          </w:p>
        </w:tc>
      </w:tr>
      <w:tr w:rsidR="0002662F" w:rsidRPr="0075369F" w14:paraId="3769E489" w14:textId="77777777" w:rsidTr="0002662F">
        <w:trPr>
          <w:trHeight w:val="255"/>
          <w:tblCellSpacing w:w="57" w:type="dxa"/>
        </w:trPr>
        <w:tc>
          <w:tcPr>
            <w:tcW w:w="945" w:type="dxa"/>
            <w:shd w:val="clear" w:color="auto" w:fill="C6E8D7"/>
            <w:noWrap/>
            <w:hideMark/>
          </w:tcPr>
          <w:p w14:paraId="7D54E9DD" w14:textId="77777777" w:rsidR="0002662F" w:rsidRPr="0075369F" w:rsidRDefault="0002662F" w:rsidP="0002662F">
            <w:pPr>
              <w:spacing w:after="0"/>
              <w:jc w:val="lef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IC*</w:t>
            </w:r>
          </w:p>
        </w:tc>
        <w:tc>
          <w:tcPr>
            <w:tcW w:w="935" w:type="dxa"/>
            <w:shd w:val="clear" w:color="auto" w:fill="C6E8D7"/>
            <w:noWrap/>
            <w:hideMark/>
          </w:tcPr>
          <w:p w14:paraId="3D9CADE9"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81</w:t>
            </w:r>
          </w:p>
        </w:tc>
        <w:tc>
          <w:tcPr>
            <w:tcW w:w="1294" w:type="dxa"/>
            <w:shd w:val="clear" w:color="auto" w:fill="C6E8D7"/>
            <w:noWrap/>
            <w:hideMark/>
          </w:tcPr>
          <w:p w14:paraId="3EC88967"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10</w:t>
            </w:r>
          </w:p>
        </w:tc>
        <w:tc>
          <w:tcPr>
            <w:tcW w:w="694" w:type="dxa"/>
            <w:shd w:val="clear" w:color="auto" w:fill="C6E8D7"/>
            <w:noWrap/>
            <w:hideMark/>
          </w:tcPr>
          <w:p w14:paraId="2E4C1261"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91</w:t>
            </w:r>
          </w:p>
        </w:tc>
      </w:tr>
      <w:tr w:rsidR="0002662F" w:rsidRPr="0075369F" w14:paraId="5CDBBF13" w14:textId="77777777" w:rsidTr="0002662F">
        <w:trPr>
          <w:trHeight w:val="42"/>
          <w:tblCellSpacing w:w="57" w:type="dxa"/>
        </w:trPr>
        <w:tc>
          <w:tcPr>
            <w:tcW w:w="945" w:type="dxa"/>
            <w:shd w:val="clear" w:color="auto" w:fill="C6E8D7"/>
            <w:noWrap/>
            <w:hideMark/>
          </w:tcPr>
          <w:p w14:paraId="747138AE" w14:textId="77777777" w:rsidR="0002662F" w:rsidRPr="0075369F" w:rsidRDefault="0002662F" w:rsidP="0002662F">
            <w:pPr>
              <w:spacing w:after="0"/>
              <w:jc w:val="lef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CDA***</w:t>
            </w:r>
          </w:p>
        </w:tc>
        <w:tc>
          <w:tcPr>
            <w:tcW w:w="935" w:type="dxa"/>
            <w:shd w:val="clear" w:color="auto" w:fill="C6E8D7"/>
            <w:noWrap/>
            <w:hideMark/>
          </w:tcPr>
          <w:p w14:paraId="36984E0B"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327</w:t>
            </w:r>
          </w:p>
        </w:tc>
        <w:tc>
          <w:tcPr>
            <w:tcW w:w="1294" w:type="dxa"/>
            <w:shd w:val="clear" w:color="auto" w:fill="C6E8D7"/>
            <w:noWrap/>
            <w:hideMark/>
          </w:tcPr>
          <w:p w14:paraId="0BF6C5F4"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793</w:t>
            </w:r>
          </w:p>
        </w:tc>
        <w:tc>
          <w:tcPr>
            <w:tcW w:w="694" w:type="dxa"/>
            <w:shd w:val="clear" w:color="auto" w:fill="C6E8D7"/>
            <w:noWrap/>
            <w:hideMark/>
          </w:tcPr>
          <w:p w14:paraId="1514DFD6" w14:textId="77777777" w:rsidR="0002662F" w:rsidRPr="0075369F" w:rsidRDefault="0002662F" w:rsidP="0002662F">
            <w:pPr>
              <w:spacing w:after="0"/>
              <w:jc w:val="right"/>
              <w:rPr>
                <w:rFonts w:ascii="Calibri" w:eastAsia="Times New Roman" w:hAnsi="Calibri" w:cs="Times New Roman"/>
                <w:color w:val="000000"/>
                <w:sz w:val="20"/>
                <w:szCs w:val="24"/>
              </w:rPr>
            </w:pPr>
            <w:r w:rsidRPr="0075369F">
              <w:rPr>
                <w:rFonts w:ascii="Calibri" w:eastAsia="Times New Roman" w:hAnsi="Calibri" w:cs="Times New Roman"/>
                <w:color w:val="000000"/>
                <w:sz w:val="20"/>
                <w:szCs w:val="24"/>
              </w:rPr>
              <w:t>1120</w:t>
            </w:r>
          </w:p>
        </w:tc>
      </w:tr>
      <w:tr w:rsidR="0002662F" w:rsidRPr="0075369F" w14:paraId="6EADAC07" w14:textId="77777777" w:rsidTr="0002662F">
        <w:trPr>
          <w:trHeight w:val="244"/>
          <w:tblCellSpacing w:w="57" w:type="dxa"/>
        </w:trPr>
        <w:tc>
          <w:tcPr>
            <w:tcW w:w="945" w:type="dxa"/>
            <w:shd w:val="clear" w:color="auto" w:fill="E7E6E6" w:themeFill="background2"/>
            <w:noWrap/>
          </w:tcPr>
          <w:p w14:paraId="753E2DCA" w14:textId="77777777" w:rsidR="0002662F" w:rsidRPr="0075369F" w:rsidRDefault="0002662F" w:rsidP="0002662F">
            <w:pPr>
              <w:spacing w:after="0"/>
              <w:jc w:val="righ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w:t>
            </w:r>
          </w:p>
        </w:tc>
        <w:tc>
          <w:tcPr>
            <w:tcW w:w="3151" w:type="dxa"/>
            <w:gridSpan w:val="3"/>
            <w:shd w:val="clear" w:color="auto" w:fill="E7E6E6" w:themeFill="background2"/>
            <w:noWrap/>
          </w:tcPr>
          <w:p w14:paraId="6D6FA22E" w14:textId="77777777" w:rsidR="0002662F" w:rsidRPr="0075369F" w:rsidRDefault="0002662F" w:rsidP="0002662F">
            <w:pPr>
              <w:spacing w:after="0"/>
              <w:jc w:val="lef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Data as of September 30, 2016</w:t>
            </w:r>
          </w:p>
        </w:tc>
      </w:tr>
      <w:tr w:rsidR="0002662F" w:rsidRPr="0075369F" w14:paraId="3EC11CD6" w14:textId="77777777" w:rsidTr="0002662F">
        <w:trPr>
          <w:trHeight w:val="42"/>
          <w:tblCellSpacing w:w="57" w:type="dxa"/>
        </w:trPr>
        <w:tc>
          <w:tcPr>
            <w:tcW w:w="945" w:type="dxa"/>
            <w:shd w:val="clear" w:color="auto" w:fill="E7E6E6" w:themeFill="background2"/>
            <w:noWrap/>
          </w:tcPr>
          <w:p w14:paraId="17AD8959" w14:textId="77777777" w:rsidR="0002662F" w:rsidRPr="0075369F" w:rsidRDefault="0002662F" w:rsidP="0002662F">
            <w:pPr>
              <w:spacing w:after="0"/>
              <w:jc w:val="righ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w:t>
            </w:r>
          </w:p>
        </w:tc>
        <w:tc>
          <w:tcPr>
            <w:tcW w:w="3151" w:type="dxa"/>
            <w:gridSpan w:val="3"/>
            <w:shd w:val="clear" w:color="auto" w:fill="E7E6E6" w:themeFill="background2"/>
            <w:noWrap/>
          </w:tcPr>
          <w:p w14:paraId="777AD819" w14:textId="77777777" w:rsidR="0002662F" w:rsidRPr="0075369F" w:rsidRDefault="0002662F" w:rsidP="0002662F">
            <w:pPr>
              <w:spacing w:after="0"/>
              <w:jc w:val="lef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Data as of December 31, 2016</w:t>
            </w:r>
          </w:p>
        </w:tc>
      </w:tr>
      <w:tr w:rsidR="0002662F" w:rsidRPr="0075369F" w14:paraId="50A1943B" w14:textId="77777777" w:rsidTr="0002662F">
        <w:trPr>
          <w:trHeight w:val="42"/>
          <w:tblCellSpacing w:w="57" w:type="dxa"/>
        </w:trPr>
        <w:tc>
          <w:tcPr>
            <w:tcW w:w="945" w:type="dxa"/>
            <w:shd w:val="clear" w:color="auto" w:fill="E7E6E6" w:themeFill="background2"/>
            <w:noWrap/>
          </w:tcPr>
          <w:p w14:paraId="117C0AFF" w14:textId="77777777" w:rsidR="0002662F" w:rsidRPr="0075369F" w:rsidRDefault="0002662F" w:rsidP="0002662F">
            <w:pPr>
              <w:spacing w:after="0"/>
              <w:jc w:val="righ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w:t>
            </w:r>
          </w:p>
        </w:tc>
        <w:tc>
          <w:tcPr>
            <w:tcW w:w="3151" w:type="dxa"/>
            <w:gridSpan w:val="3"/>
            <w:shd w:val="clear" w:color="auto" w:fill="E7E6E6" w:themeFill="background2"/>
            <w:noWrap/>
          </w:tcPr>
          <w:p w14:paraId="5EBE9687" w14:textId="77777777" w:rsidR="0002662F" w:rsidRPr="0075369F" w:rsidRDefault="0002662F" w:rsidP="0002662F">
            <w:pPr>
              <w:spacing w:after="0"/>
              <w:jc w:val="lef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Data as of July 31, 2016</w:t>
            </w:r>
          </w:p>
        </w:tc>
      </w:tr>
    </w:tbl>
    <w:p w14:paraId="319B47E9" w14:textId="6E42FC45" w:rsidR="00F76E53" w:rsidRPr="008F1E62" w:rsidRDefault="00F76E53" w:rsidP="00FB3DC8">
      <w:pPr>
        <w:pStyle w:val="BodyText4"/>
        <w:widowControl w:val="0"/>
        <w:numPr>
          <w:ilvl w:val="0"/>
          <w:numId w:val="2"/>
        </w:numPr>
        <w:spacing w:after="160" w:line="276" w:lineRule="auto"/>
        <w:ind w:left="0" w:hanging="562"/>
        <w:rPr>
          <w:rFonts w:ascii="Calibri" w:hAnsi="Calibri"/>
        </w:rPr>
      </w:pPr>
      <w:r w:rsidRPr="008F1E62">
        <w:rPr>
          <w:rFonts w:ascii="Calibri" w:hAnsi="Calibri" w:cstheme="minorBidi"/>
          <w:b/>
          <w:bCs/>
          <w:color w:val="000000"/>
          <w:shd w:val="clear" w:color="auto" w:fill="FFFFFF"/>
        </w:rPr>
        <w:t xml:space="preserve">Auditors are required to be accredited by the various regulators </w:t>
      </w:r>
      <w:proofErr w:type="gramStart"/>
      <w:r w:rsidRPr="008F1E62">
        <w:rPr>
          <w:rFonts w:ascii="Calibri" w:hAnsi="Calibri" w:cstheme="minorBidi"/>
          <w:b/>
          <w:bCs/>
          <w:color w:val="000000"/>
          <w:shd w:val="clear" w:color="auto" w:fill="FFFFFF"/>
        </w:rPr>
        <w:t>in order to</w:t>
      </w:r>
      <w:proofErr w:type="gramEnd"/>
      <w:r w:rsidRPr="008F1E62">
        <w:rPr>
          <w:rFonts w:ascii="Calibri" w:hAnsi="Calibri" w:cstheme="minorBidi"/>
          <w:b/>
          <w:bCs/>
          <w:color w:val="000000"/>
          <w:shd w:val="clear" w:color="auto" w:fill="FFFFFF"/>
        </w:rPr>
        <w:t xml:space="preserve"> perform audits of financial statements required by the respective regulatory bodies.  </w:t>
      </w:r>
      <w:r w:rsidRPr="008F1E62">
        <w:rPr>
          <w:rFonts w:ascii="Calibri" w:hAnsi="Calibri" w:cstheme="minorBidi"/>
          <w:shd w:val="clear" w:color="auto" w:fill="FFFFFF"/>
        </w:rPr>
        <w:t xml:space="preserve">Annex 4 </w:t>
      </w:r>
      <w:r w:rsidR="00B2439A" w:rsidRPr="008F1E62">
        <w:rPr>
          <w:rFonts w:ascii="Calibri" w:hAnsi="Calibri" w:cstheme="minorBidi"/>
          <w:color w:val="000000"/>
          <w:shd w:val="clear" w:color="auto" w:fill="FFFFFF"/>
        </w:rPr>
        <w:t>sum</w:t>
      </w:r>
      <w:r w:rsidR="00B2439A">
        <w:rPr>
          <w:rFonts w:ascii="Calibri" w:hAnsi="Calibri" w:cstheme="minorBidi"/>
          <w:color w:val="000000"/>
          <w:shd w:val="clear" w:color="auto" w:fill="FFFFFF"/>
        </w:rPr>
        <w:t xml:space="preserve">marizes </w:t>
      </w:r>
      <w:r w:rsidR="00B2439A" w:rsidRPr="008F1E62">
        <w:rPr>
          <w:rFonts w:ascii="Calibri" w:hAnsi="Calibri" w:cstheme="minorBidi"/>
          <w:color w:val="000000"/>
          <w:shd w:val="clear" w:color="auto" w:fill="FFFFFF"/>
        </w:rPr>
        <w:t>oversight</w:t>
      </w:r>
      <w:r w:rsidRPr="008F1E62">
        <w:rPr>
          <w:rFonts w:ascii="Calibri" w:hAnsi="Calibri" w:cstheme="minorBidi"/>
          <w:color w:val="000000"/>
          <w:shd w:val="clear" w:color="auto" w:fill="FFFFFF"/>
        </w:rPr>
        <w:t xml:space="preserve"> agencies requiring submission of audited financial statements. The general BOA accreditation is supplemented by the discrete accreditations required by the SEC, BSP, and IC, respectively (refer to Annex</w:t>
      </w:r>
      <w:r w:rsidR="00852E31" w:rsidRPr="008F1E62">
        <w:rPr>
          <w:rFonts w:ascii="Calibri" w:hAnsi="Calibri" w:cstheme="minorBidi"/>
          <w:color w:val="000000"/>
          <w:shd w:val="clear" w:color="auto" w:fill="FFFFFF"/>
        </w:rPr>
        <w:t>es 5 and</w:t>
      </w:r>
      <w:r w:rsidRPr="008F1E62">
        <w:rPr>
          <w:rFonts w:ascii="Calibri" w:hAnsi="Calibri" w:cstheme="minorBidi"/>
          <w:color w:val="000000"/>
          <w:shd w:val="clear" w:color="auto" w:fill="FFFFFF"/>
        </w:rPr>
        <w:t xml:space="preserve"> 6 for various accreditation requirements).  </w:t>
      </w:r>
      <w:r w:rsidR="00A707F4" w:rsidRPr="008F1E62">
        <w:rPr>
          <w:rFonts w:ascii="Calibri" w:hAnsi="Calibri" w:cs="Arial"/>
        </w:rPr>
        <w:t>Other agencies have also adopted their own rules on accreditation of external auditors or accountants such as that by the NEA for audit of electric cooperatives, and by the Energy Regulatory Commission for agreed-upon procedures on distribution utilities.</w:t>
      </w:r>
      <w:r w:rsidR="00852E31" w:rsidRPr="008F1E62">
        <w:rPr>
          <w:rFonts w:ascii="Calibri" w:hAnsi="Calibri" w:cs="Arial"/>
        </w:rPr>
        <w:t xml:space="preserve"> </w:t>
      </w:r>
      <w:r w:rsidRPr="008F1E62">
        <w:rPr>
          <w:rFonts w:ascii="Calibri" w:hAnsi="Calibri" w:cstheme="minorBidi"/>
          <w:color w:val="000000"/>
          <w:shd w:val="clear" w:color="auto" w:fill="FFFFFF"/>
        </w:rPr>
        <w:t xml:space="preserve">The supplemental process of accreditation for auditors may include evaluation of education, training, experience, and review of financial statements.  </w:t>
      </w:r>
      <w:r w:rsidRPr="008F1E62">
        <w:rPr>
          <w:rFonts w:ascii="Calibri" w:hAnsi="Calibri"/>
        </w:rPr>
        <w:t>The Council for Accreditation and Quality Control of Practicing CPAs provides a forum for the respective regulators to discuss policy issues on quality control standards applicable to auditors, consult on proposed resolutions concerning audit quality assurance, coordinate efforts, and otherwise share information.</w:t>
      </w:r>
    </w:p>
    <w:p w14:paraId="08DC010D" w14:textId="331DB9AE" w:rsidR="00101EBE" w:rsidRPr="0075369F" w:rsidRDefault="00F76E53" w:rsidP="00116368">
      <w:pPr>
        <w:pStyle w:val="BodyText4"/>
        <w:numPr>
          <w:ilvl w:val="0"/>
          <w:numId w:val="2"/>
        </w:numPr>
        <w:tabs>
          <w:tab w:val="clear" w:pos="360"/>
        </w:tabs>
        <w:spacing w:after="200" w:line="276" w:lineRule="auto"/>
        <w:ind w:left="0" w:hanging="567"/>
        <w:rPr>
          <w:rFonts w:ascii="Calibri" w:hAnsi="Calibri"/>
        </w:rPr>
      </w:pPr>
      <w:r w:rsidRPr="0075369F">
        <w:rPr>
          <w:rFonts w:ascii="Calibri" w:hAnsi="Calibri" w:cs="Arial"/>
          <w:b/>
          <w:bCs/>
        </w:rPr>
        <w:t>A Memorandum of Agreement was executed in 2009 binding the BOA, the SEC, the BSP, and the IC for simplified and synchronized accreditation requirements for external auditor</w:t>
      </w:r>
      <w:r w:rsidR="00160A98" w:rsidRPr="0075369F">
        <w:rPr>
          <w:rFonts w:ascii="Calibri" w:hAnsi="Calibri" w:cs="Arial"/>
          <w:b/>
          <w:bCs/>
        </w:rPr>
        <w:t>s</w:t>
      </w:r>
      <w:r w:rsidRPr="0075369F">
        <w:rPr>
          <w:rFonts w:ascii="Calibri" w:hAnsi="Calibri" w:cs="Arial"/>
          <w:b/>
          <w:bCs/>
        </w:rPr>
        <w:t xml:space="preserve"> and/or auditing firm</w:t>
      </w:r>
      <w:r w:rsidR="00160A98" w:rsidRPr="0075369F">
        <w:rPr>
          <w:rFonts w:ascii="Calibri" w:hAnsi="Calibri" w:cs="Arial"/>
          <w:b/>
          <w:bCs/>
        </w:rPr>
        <w:t>s</w:t>
      </w:r>
      <w:r w:rsidRPr="0075369F">
        <w:rPr>
          <w:rFonts w:ascii="Calibri" w:hAnsi="Calibri" w:cs="Arial"/>
          <w:b/>
          <w:bCs/>
        </w:rPr>
        <w:t>.</w:t>
      </w:r>
      <w:r w:rsidRPr="0075369F">
        <w:rPr>
          <w:rFonts w:ascii="Calibri" w:hAnsi="Calibri" w:cs="Arial"/>
        </w:rPr>
        <w:t xml:space="preserve"> However, SMPs continue to raise the need to rationalize various accreditation requirements by the different regulators. </w:t>
      </w:r>
      <w:r w:rsidR="00804822" w:rsidRPr="0075369F">
        <w:rPr>
          <w:rFonts w:ascii="Calibri" w:hAnsi="Calibri" w:cs="Arial"/>
        </w:rPr>
        <w:t>H</w:t>
      </w:r>
      <w:r w:rsidR="00804822" w:rsidRPr="0075369F">
        <w:rPr>
          <w:rFonts w:ascii="Calibri" w:hAnsi="Calibri"/>
        </w:rPr>
        <w:t>armonization s</w:t>
      </w:r>
      <w:r w:rsidR="00A707F4" w:rsidRPr="0075369F">
        <w:rPr>
          <w:rFonts w:ascii="Calibri" w:hAnsi="Calibri" w:cs="Arial"/>
        </w:rPr>
        <w:t xml:space="preserve">uggestions </w:t>
      </w:r>
      <w:r w:rsidR="00804822" w:rsidRPr="0075369F">
        <w:rPr>
          <w:rFonts w:ascii="Calibri" w:hAnsi="Calibri" w:cs="Arial"/>
        </w:rPr>
        <w:t>from</w:t>
      </w:r>
      <w:r w:rsidR="00A707F4" w:rsidRPr="0075369F">
        <w:rPr>
          <w:rFonts w:ascii="Calibri" w:hAnsi="Calibri" w:cs="Arial"/>
        </w:rPr>
        <w:t xml:space="preserve"> practitioners </w:t>
      </w:r>
      <w:r w:rsidR="00A707F4" w:rsidRPr="0075369F">
        <w:rPr>
          <w:rFonts w:asciiTheme="minorHAnsi" w:hAnsiTheme="minorHAnsi" w:cstheme="minorHAnsi"/>
          <w:szCs w:val="24"/>
        </w:rPr>
        <w:t>include synchronizing the validity period of accreditations, extending the validity period (for instance, from three years to five years), and adjusting the timing of renewal or compliance periods to avoid peak work periods for both the regulators and the auditors.</w:t>
      </w:r>
      <w:r w:rsidR="00852E31" w:rsidRPr="0075369F">
        <w:rPr>
          <w:rFonts w:asciiTheme="minorHAnsi" w:hAnsiTheme="minorHAnsi" w:cstheme="minorHAnsi"/>
          <w:szCs w:val="24"/>
        </w:rPr>
        <w:t xml:space="preserve"> </w:t>
      </w:r>
      <w:r w:rsidR="00A507CB" w:rsidRPr="0075369F">
        <w:rPr>
          <w:rFonts w:ascii="Calibri" w:hAnsi="Calibri" w:cs="Arial"/>
        </w:rPr>
        <w:t>H</w:t>
      </w:r>
      <w:r w:rsidR="00852E31" w:rsidRPr="0075369F">
        <w:rPr>
          <w:rFonts w:ascii="Calibri" w:hAnsi="Calibri" w:cs="Arial"/>
        </w:rPr>
        <w:t>igh costs of compliance</w:t>
      </w:r>
      <w:r w:rsidR="00A507CB" w:rsidRPr="0075369F">
        <w:rPr>
          <w:rFonts w:ascii="Calibri" w:hAnsi="Calibri" w:cs="Arial"/>
        </w:rPr>
        <w:t xml:space="preserve">, </w:t>
      </w:r>
      <w:r w:rsidR="008663AD" w:rsidRPr="0075369F">
        <w:rPr>
          <w:rFonts w:ascii="Calibri" w:hAnsi="Calibri" w:cs="Arial"/>
        </w:rPr>
        <w:t xml:space="preserve">the </w:t>
      </w:r>
      <w:r w:rsidR="00A507CB" w:rsidRPr="0075369F">
        <w:rPr>
          <w:rFonts w:ascii="Calibri" w:hAnsi="Calibri" w:cs="Arial"/>
        </w:rPr>
        <w:t>need for specialized knowledge,</w:t>
      </w:r>
      <w:r w:rsidR="00852E31" w:rsidRPr="0075369F">
        <w:rPr>
          <w:rFonts w:ascii="Calibri" w:hAnsi="Calibri" w:cs="Arial"/>
        </w:rPr>
        <w:t xml:space="preserve"> and low audit fees </w:t>
      </w:r>
      <w:r w:rsidR="00A507CB" w:rsidRPr="0075369F">
        <w:rPr>
          <w:rFonts w:ascii="Calibri" w:hAnsi="Calibri" w:cs="Arial"/>
        </w:rPr>
        <w:t xml:space="preserve">are </w:t>
      </w:r>
      <w:r w:rsidR="00852E31" w:rsidRPr="0075369F">
        <w:rPr>
          <w:rFonts w:ascii="Calibri" w:hAnsi="Calibri" w:cs="Arial"/>
        </w:rPr>
        <w:t xml:space="preserve">cited by SMPs </w:t>
      </w:r>
      <w:r w:rsidR="00A507CB" w:rsidRPr="0075369F">
        <w:rPr>
          <w:rFonts w:ascii="Calibri" w:hAnsi="Calibri" w:cs="Arial"/>
        </w:rPr>
        <w:t>as</w:t>
      </w:r>
      <w:r w:rsidR="00852E31" w:rsidRPr="0075369F">
        <w:rPr>
          <w:rFonts w:ascii="Calibri" w:hAnsi="Calibri" w:cs="Arial"/>
        </w:rPr>
        <w:t xml:space="preserve"> significant factors contributing to the low number of auditors pursuing additional accreditations.</w:t>
      </w:r>
    </w:p>
    <w:p w14:paraId="3553DDD1" w14:textId="770A7F44" w:rsidR="00881B70" w:rsidRPr="00881B70" w:rsidRDefault="00881B70" w:rsidP="00881B70">
      <w:pPr>
        <w:pStyle w:val="BodyText4"/>
        <w:widowControl w:val="0"/>
        <w:numPr>
          <w:ilvl w:val="0"/>
          <w:numId w:val="2"/>
        </w:numPr>
        <w:spacing w:after="160" w:line="276" w:lineRule="auto"/>
        <w:ind w:left="0" w:hanging="562"/>
        <w:rPr>
          <w:rFonts w:ascii="Calibri" w:hAnsi="Calibri"/>
        </w:rPr>
      </w:pPr>
      <w:r w:rsidRPr="008F1E62">
        <w:rPr>
          <w:rFonts w:ascii="Calibri" w:hAnsi="Calibri" w:cs="Arial"/>
          <w:b/>
          <w:bCs/>
        </w:rPr>
        <w:t>There is a notable lack of accredited external auditors at the regional level.</w:t>
      </w:r>
      <w:r w:rsidRPr="008F1E62">
        <w:rPr>
          <w:rFonts w:ascii="Calibri" w:hAnsi="Calibri" w:cs="Arial"/>
        </w:rPr>
        <w:t xml:space="preserve"> The number of local external auditors has remained </w:t>
      </w:r>
      <w:r>
        <w:rPr>
          <w:rFonts w:ascii="Calibri" w:hAnsi="Calibri" w:cs="Arial"/>
        </w:rPr>
        <w:t>low</w:t>
      </w:r>
      <w:r w:rsidRPr="008F1E62">
        <w:rPr>
          <w:rFonts w:ascii="Calibri" w:hAnsi="Calibri" w:cs="Arial"/>
        </w:rPr>
        <w:t xml:space="preserve"> compared to the number of auditable or regulated entities. Audit firms are concentrated </w:t>
      </w:r>
      <w:r>
        <w:rPr>
          <w:rFonts w:ascii="Calibri" w:hAnsi="Calibri" w:cs="Arial"/>
        </w:rPr>
        <w:t>in</w:t>
      </w:r>
      <w:r w:rsidRPr="008F1E62">
        <w:rPr>
          <w:rFonts w:ascii="Calibri" w:hAnsi="Calibri" w:cs="Arial"/>
        </w:rPr>
        <w:t xml:space="preserve"> the national capital region with </w:t>
      </w:r>
      <w:proofErr w:type="gramStart"/>
      <w:r w:rsidRPr="008F1E62">
        <w:rPr>
          <w:rFonts w:ascii="Calibri" w:hAnsi="Calibri" w:cs="Arial"/>
        </w:rPr>
        <w:t>a number of</w:t>
      </w:r>
      <w:proofErr w:type="gramEnd"/>
      <w:r w:rsidRPr="008F1E62">
        <w:rPr>
          <w:rFonts w:ascii="Calibri" w:hAnsi="Calibri" w:cs="Arial"/>
        </w:rPr>
        <w:t xml:space="preserve"> branches and offices opened </w:t>
      </w:r>
      <w:r>
        <w:rPr>
          <w:rFonts w:ascii="Calibri" w:hAnsi="Calibri" w:cs="Arial"/>
        </w:rPr>
        <w:t>in</w:t>
      </w:r>
      <w:r w:rsidRPr="008F1E62">
        <w:rPr>
          <w:rFonts w:ascii="Calibri" w:hAnsi="Calibri" w:cs="Arial"/>
        </w:rPr>
        <w:t xml:space="preserve"> the regions. The SEC has </w:t>
      </w:r>
      <w:r w:rsidR="00B2439A" w:rsidRPr="008F1E62">
        <w:rPr>
          <w:rFonts w:ascii="Calibri" w:hAnsi="Calibri" w:cs="Arial"/>
        </w:rPr>
        <w:t>32</w:t>
      </w:r>
      <w:r w:rsidR="00B2439A">
        <w:rPr>
          <w:rFonts w:ascii="Calibri" w:hAnsi="Calibri" w:cs="Arial"/>
        </w:rPr>
        <w:t>0</w:t>
      </w:r>
      <w:r w:rsidR="00B2439A" w:rsidRPr="008F1E62">
        <w:rPr>
          <w:rFonts w:ascii="Calibri" w:hAnsi="Calibri" w:cs="Arial"/>
          <w:b/>
          <w:bCs/>
        </w:rPr>
        <w:t xml:space="preserve"> </w:t>
      </w:r>
      <w:r w:rsidRPr="008F1E62">
        <w:rPr>
          <w:rFonts w:ascii="Calibri" w:hAnsi="Calibri" w:cs="Arial"/>
        </w:rPr>
        <w:t xml:space="preserve">out of its </w:t>
      </w:r>
      <w:r w:rsidR="00B2439A" w:rsidRPr="008F1E62">
        <w:rPr>
          <w:rFonts w:ascii="Calibri" w:hAnsi="Calibri" w:cs="Arial"/>
        </w:rPr>
        <w:t>44</w:t>
      </w:r>
      <w:r w:rsidR="00B2439A">
        <w:rPr>
          <w:rFonts w:ascii="Calibri" w:hAnsi="Calibri" w:cs="Arial"/>
        </w:rPr>
        <w:t>3</w:t>
      </w:r>
      <w:r w:rsidR="00B2439A" w:rsidRPr="008F1E62">
        <w:rPr>
          <w:rFonts w:ascii="Calibri" w:hAnsi="Calibri" w:cs="Arial"/>
        </w:rPr>
        <w:t xml:space="preserve"> </w:t>
      </w:r>
      <w:r w:rsidRPr="008F1E62">
        <w:rPr>
          <w:rFonts w:ascii="Calibri" w:hAnsi="Calibri" w:cs="Arial"/>
        </w:rPr>
        <w:t xml:space="preserve">accredited external auditors located in the </w:t>
      </w:r>
      <w:r>
        <w:rPr>
          <w:rFonts w:ascii="Calibri" w:hAnsi="Calibri" w:cs="Arial"/>
        </w:rPr>
        <w:t>national capital region</w:t>
      </w:r>
      <w:r w:rsidRPr="008F1E62">
        <w:rPr>
          <w:rFonts w:ascii="Calibri" w:hAnsi="Calibri" w:cs="Arial"/>
        </w:rPr>
        <w:t xml:space="preserve">, while the other </w:t>
      </w:r>
      <w:r w:rsidR="00B2439A" w:rsidRPr="008F1E62">
        <w:rPr>
          <w:rFonts w:ascii="Calibri" w:hAnsi="Calibri" w:cs="Arial"/>
        </w:rPr>
        <w:t>12</w:t>
      </w:r>
      <w:r w:rsidR="00B2439A">
        <w:rPr>
          <w:rFonts w:ascii="Calibri" w:hAnsi="Calibri" w:cs="Arial"/>
        </w:rPr>
        <w:t>3</w:t>
      </w:r>
      <w:r w:rsidR="00B2439A" w:rsidRPr="008F1E62">
        <w:rPr>
          <w:rFonts w:ascii="Calibri" w:hAnsi="Calibri" w:cs="Arial"/>
        </w:rPr>
        <w:t xml:space="preserve"> </w:t>
      </w:r>
      <w:r w:rsidRPr="008F1E62">
        <w:rPr>
          <w:rFonts w:ascii="Calibri" w:hAnsi="Calibri" w:cs="Arial"/>
        </w:rPr>
        <w:t xml:space="preserve">are scattered in 16 different regions where there are 321,324 SEC-registered companies. Some regions have just one accredited auditor or </w:t>
      </w:r>
      <w:proofErr w:type="gramStart"/>
      <w:r w:rsidRPr="008F1E62">
        <w:rPr>
          <w:rFonts w:ascii="Calibri" w:hAnsi="Calibri" w:cs="Arial"/>
        </w:rPr>
        <w:t>none at all</w:t>
      </w:r>
      <w:proofErr w:type="gramEnd"/>
      <w:r w:rsidRPr="008F1E62">
        <w:rPr>
          <w:rFonts w:ascii="Calibri" w:hAnsi="Calibri" w:cs="Arial"/>
        </w:rPr>
        <w:t>. The BSP does not have any selected external auditors in 10 of 17 regions and reported a 20% reduction in accredited auditors nationwide in 2016.</w:t>
      </w:r>
      <w:r w:rsidRPr="008F1E62">
        <w:rPr>
          <w:rStyle w:val="FootnoteReference"/>
          <w:rFonts w:ascii="Calibri" w:hAnsi="Calibri" w:cs="Arial"/>
        </w:rPr>
        <w:footnoteReference w:id="107"/>
      </w:r>
      <w:r w:rsidRPr="008F1E62">
        <w:rPr>
          <w:rFonts w:ascii="Calibri" w:hAnsi="Calibri" w:cs="Arial"/>
        </w:rPr>
        <w:t xml:space="preserve">  Refer to Annex 9 for a </w:t>
      </w:r>
      <w:proofErr w:type="spellStart"/>
      <w:r w:rsidRPr="008F1E62">
        <w:rPr>
          <w:rFonts w:ascii="Calibri" w:hAnsi="Calibri" w:cs="Arial"/>
        </w:rPr>
        <w:t>geomapping</w:t>
      </w:r>
      <w:proofErr w:type="spellEnd"/>
      <w:r w:rsidRPr="008F1E62">
        <w:rPr>
          <w:rFonts w:ascii="Calibri" w:hAnsi="Calibri" w:cs="Arial"/>
        </w:rPr>
        <w:t xml:space="preserve"> of accredited auditors throughout the Philippines.</w:t>
      </w:r>
      <w:r w:rsidRPr="008F1E62">
        <w:rPr>
          <w:rFonts w:ascii="Calibri" w:hAnsi="Calibri"/>
          <w:b/>
        </w:rPr>
        <w:t xml:space="preserve"> </w:t>
      </w:r>
    </w:p>
    <w:p w14:paraId="7061927C" w14:textId="2C50F00D" w:rsidR="00881B70" w:rsidRDefault="00881B70" w:rsidP="00881B70">
      <w:pPr>
        <w:widowControl w:val="0"/>
        <w:spacing w:after="160" w:line="259" w:lineRule="auto"/>
        <w:jc w:val="left"/>
        <w:rPr>
          <w:rFonts w:ascii="Calibri" w:eastAsia="Times New Roman" w:hAnsi="Calibri" w:cs="Times New Roman"/>
          <w:szCs w:val="20"/>
        </w:rPr>
      </w:pPr>
      <w:r>
        <w:rPr>
          <w:rFonts w:ascii="Calibri" w:hAnsi="Calibri"/>
        </w:rPr>
        <w:br w:type="page"/>
      </w:r>
    </w:p>
    <w:tbl>
      <w:tblPr>
        <w:tblStyle w:val="TableGrid"/>
        <w:tblpPr w:leftFromText="180" w:rightFromText="180" w:vertAnchor="text" w:horzAnchor="margin" w:tblpXSpec="right" w:tblpY="57"/>
        <w:tblOverlap w:val="never"/>
        <w:tblW w:w="0" w:type="auto"/>
        <w:jc w:val="right"/>
        <w:tblCellSpacing w:w="43"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1169"/>
        <w:gridCol w:w="733"/>
        <w:gridCol w:w="733"/>
        <w:gridCol w:w="733"/>
        <w:gridCol w:w="733"/>
        <w:gridCol w:w="935"/>
        <w:gridCol w:w="939"/>
      </w:tblGrid>
      <w:tr w:rsidR="0075369F" w:rsidRPr="0075369F" w14:paraId="7CD1B542" w14:textId="77777777" w:rsidTr="00881B70">
        <w:trPr>
          <w:trHeight w:val="255"/>
          <w:tblCellSpacing w:w="43" w:type="dxa"/>
          <w:jc w:val="right"/>
        </w:trPr>
        <w:tc>
          <w:tcPr>
            <w:tcW w:w="5783" w:type="dxa"/>
            <w:gridSpan w:val="7"/>
            <w:shd w:val="clear" w:color="auto" w:fill="auto"/>
            <w:noWrap/>
          </w:tcPr>
          <w:p w14:paraId="6687A4FF" w14:textId="4EE95D3A" w:rsidR="0075369F" w:rsidRPr="0075369F" w:rsidRDefault="0075369F" w:rsidP="00881B70">
            <w:pPr>
              <w:widowControl w:val="0"/>
              <w:spacing w:after="0"/>
              <w:jc w:val="center"/>
              <w:rPr>
                <w:rFonts w:ascii="Calibri" w:eastAsia="Times New Roman" w:hAnsi="Calibri" w:cs="Times New Roman"/>
                <w:b/>
                <w:color w:val="FFFFFF" w:themeColor="background1"/>
                <w:sz w:val="20"/>
                <w:szCs w:val="20"/>
              </w:rPr>
            </w:pPr>
            <w:r w:rsidRPr="0075369F">
              <w:rPr>
                <w:b/>
                <w:sz w:val="20"/>
                <w:szCs w:val="20"/>
              </w:rPr>
              <w:t xml:space="preserve">Table </w:t>
            </w:r>
            <w:r w:rsidRPr="0075369F">
              <w:rPr>
                <w:b/>
                <w:sz w:val="20"/>
                <w:szCs w:val="20"/>
              </w:rPr>
              <w:fldChar w:fldCharType="begin"/>
            </w:r>
            <w:r w:rsidRPr="0075369F">
              <w:rPr>
                <w:b/>
                <w:sz w:val="20"/>
                <w:szCs w:val="20"/>
              </w:rPr>
              <w:instrText xml:space="preserve"> SEQ Table \* ARABIC </w:instrText>
            </w:r>
            <w:r w:rsidRPr="0075369F">
              <w:rPr>
                <w:b/>
                <w:sz w:val="20"/>
                <w:szCs w:val="20"/>
              </w:rPr>
              <w:fldChar w:fldCharType="separate"/>
            </w:r>
            <w:r w:rsidR="004310EC">
              <w:rPr>
                <w:b/>
                <w:noProof/>
                <w:sz w:val="20"/>
                <w:szCs w:val="20"/>
              </w:rPr>
              <w:t>14</w:t>
            </w:r>
            <w:r w:rsidRPr="0075369F">
              <w:rPr>
                <w:b/>
                <w:sz w:val="20"/>
                <w:szCs w:val="20"/>
              </w:rPr>
              <w:fldChar w:fldCharType="end"/>
            </w:r>
            <w:r w:rsidRPr="0075369F">
              <w:rPr>
                <w:b/>
                <w:sz w:val="20"/>
                <w:szCs w:val="20"/>
              </w:rPr>
              <w:t>. Number of External Auditors/Auditing firms penalized/denied by SEC</w:t>
            </w:r>
            <w:r w:rsidRPr="0075369F">
              <w:rPr>
                <w:b/>
                <w:sz w:val="20"/>
                <w:szCs w:val="20"/>
                <w:vertAlign w:val="superscript"/>
              </w:rPr>
              <w:footnoteReference w:id="108"/>
            </w:r>
          </w:p>
        </w:tc>
      </w:tr>
      <w:tr w:rsidR="0075369F" w:rsidRPr="0075369F" w14:paraId="6DD3311F" w14:textId="77777777" w:rsidTr="00881B70">
        <w:trPr>
          <w:trHeight w:val="255"/>
          <w:tblCellSpacing w:w="43" w:type="dxa"/>
          <w:jc w:val="right"/>
        </w:trPr>
        <w:tc>
          <w:tcPr>
            <w:tcW w:w="1030" w:type="dxa"/>
            <w:shd w:val="clear" w:color="auto" w:fill="4472C4"/>
            <w:noWrap/>
            <w:hideMark/>
          </w:tcPr>
          <w:p w14:paraId="14239C7D" w14:textId="77777777" w:rsidR="0075369F" w:rsidRPr="0075369F" w:rsidRDefault="0075369F" w:rsidP="00881B70">
            <w:pPr>
              <w:widowControl w:val="0"/>
              <w:spacing w:after="0" w:line="240" w:lineRule="auto"/>
              <w:jc w:val="left"/>
              <w:rPr>
                <w:rFonts w:ascii="Calibri" w:eastAsia="Times New Roman" w:hAnsi="Calibri" w:cs="Times New Roman"/>
                <w:b/>
                <w:color w:val="FFFFFF" w:themeColor="background1"/>
                <w:sz w:val="20"/>
                <w:szCs w:val="20"/>
              </w:rPr>
            </w:pPr>
          </w:p>
        </w:tc>
        <w:tc>
          <w:tcPr>
            <w:tcW w:w="647" w:type="dxa"/>
            <w:shd w:val="clear" w:color="auto" w:fill="4472C4"/>
            <w:noWrap/>
            <w:hideMark/>
          </w:tcPr>
          <w:p w14:paraId="35373676" w14:textId="77777777" w:rsidR="0075369F" w:rsidRPr="0075369F" w:rsidRDefault="0075369F" w:rsidP="00881B70">
            <w:pPr>
              <w:widowControl w:val="0"/>
              <w:spacing w:after="0" w:line="240" w:lineRule="auto"/>
              <w:jc w:val="left"/>
              <w:rPr>
                <w:rFonts w:ascii="Calibri" w:eastAsia="Times New Roman" w:hAnsi="Calibri" w:cs="Times New Roman"/>
                <w:b/>
                <w:color w:val="FFFFFF" w:themeColor="background1"/>
                <w:sz w:val="20"/>
                <w:szCs w:val="20"/>
              </w:rPr>
            </w:pPr>
            <w:r w:rsidRPr="0075369F">
              <w:rPr>
                <w:rFonts w:ascii="Calibri" w:eastAsia="Times New Roman" w:hAnsi="Calibri" w:cs="Times New Roman"/>
                <w:b/>
                <w:color w:val="FFFFFF" w:themeColor="background1"/>
                <w:sz w:val="20"/>
                <w:szCs w:val="20"/>
              </w:rPr>
              <w:t>2013</w:t>
            </w:r>
          </w:p>
        </w:tc>
        <w:tc>
          <w:tcPr>
            <w:tcW w:w="647" w:type="dxa"/>
            <w:shd w:val="clear" w:color="auto" w:fill="4472C4"/>
            <w:noWrap/>
            <w:hideMark/>
          </w:tcPr>
          <w:p w14:paraId="2231188C" w14:textId="77777777" w:rsidR="0075369F" w:rsidRPr="0075369F" w:rsidRDefault="0075369F" w:rsidP="00881B70">
            <w:pPr>
              <w:widowControl w:val="0"/>
              <w:spacing w:after="0" w:line="240" w:lineRule="auto"/>
              <w:jc w:val="left"/>
              <w:rPr>
                <w:rFonts w:ascii="Calibri" w:eastAsia="Times New Roman" w:hAnsi="Calibri" w:cs="Times New Roman"/>
                <w:b/>
                <w:color w:val="FFFFFF" w:themeColor="background1"/>
                <w:sz w:val="20"/>
                <w:szCs w:val="20"/>
              </w:rPr>
            </w:pPr>
            <w:r w:rsidRPr="0075369F">
              <w:rPr>
                <w:rFonts w:ascii="Calibri" w:eastAsia="Times New Roman" w:hAnsi="Calibri" w:cs="Times New Roman"/>
                <w:b/>
                <w:color w:val="FFFFFF" w:themeColor="background1"/>
                <w:sz w:val="20"/>
                <w:szCs w:val="20"/>
              </w:rPr>
              <w:t>2014</w:t>
            </w:r>
          </w:p>
        </w:tc>
        <w:tc>
          <w:tcPr>
            <w:tcW w:w="647" w:type="dxa"/>
            <w:shd w:val="clear" w:color="auto" w:fill="4472C4"/>
            <w:noWrap/>
            <w:hideMark/>
          </w:tcPr>
          <w:p w14:paraId="508777DE" w14:textId="77777777" w:rsidR="0075369F" w:rsidRPr="0075369F" w:rsidRDefault="0075369F" w:rsidP="00881B70">
            <w:pPr>
              <w:widowControl w:val="0"/>
              <w:spacing w:after="0" w:line="240" w:lineRule="auto"/>
              <w:jc w:val="left"/>
              <w:rPr>
                <w:rFonts w:ascii="Calibri" w:eastAsia="Times New Roman" w:hAnsi="Calibri" w:cs="Times New Roman"/>
                <w:b/>
                <w:color w:val="FFFFFF" w:themeColor="background1"/>
                <w:sz w:val="20"/>
                <w:szCs w:val="20"/>
              </w:rPr>
            </w:pPr>
            <w:r w:rsidRPr="0075369F">
              <w:rPr>
                <w:rFonts w:ascii="Calibri" w:eastAsia="Times New Roman" w:hAnsi="Calibri" w:cs="Times New Roman"/>
                <w:b/>
                <w:color w:val="FFFFFF" w:themeColor="background1"/>
                <w:sz w:val="20"/>
                <w:szCs w:val="20"/>
              </w:rPr>
              <w:t>2015</w:t>
            </w:r>
          </w:p>
        </w:tc>
        <w:tc>
          <w:tcPr>
            <w:tcW w:w="647" w:type="dxa"/>
            <w:shd w:val="clear" w:color="auto" w:fill="4472C4"/>
            <w:noWrap/>
            <w:hideMark/>
          </w:tcPr>
          <w:p w14:paraId="780E64A6" w14:textId="77777777" w:rsidR="0075369F" w:rsidRPr="0075369F" w:rsidRDefault="0075369F" w:rsidP="00881B70">
            <w:pPr>
              <w:widowControl w:val="0"/>
              <w:spacing w:after="0" w:line="240" w:lineRule="auto"/>
              <w:jc w:val="left"/>
              <w:rPr>
                <w:rFonts w:ascii="Calibri" w:eastAsia="Times New Roman" w:hAnsi="Calibri" w:cs="Times New Roman"/>
                <w:b/>
                <w:color w:val="FFFFFF" w:themeColor="background1"/>
                <w:sz w:val="20"/>
                <w:szCs w:val="20"/>
              </w:rPr>
            </w:pPr>
            <w:r w:rsidRPr="0075369F">
              <w:rPr>
                <w:rFonts w:ascii="Calibri" w:eastAsia="Times New Roman" w:hAnsi="Calibri" w:cs="Times New Roman"/>
                <w:b/>
                <w:color w:val="FFFFFF" w:themeColor="background1"/>
                <w:sz w:val="20"/>
                <w:szCs w:val="20"/>
              </w:rPr>
              <w:t>2016</w:t>
            </w:r>
          </w:p>
        </w:tc>
        <w:tc>
          <w:tcPr>
            <w:tcW w:w="849" w:type="dxa"/>
            <w:shd w:val="clear" w:color="auto" w:fill="4472C4"/>
            <w:hideMark/>
          </w:tcPr>
          <w:p w14:paraId="5B382ED0" w14:textId="77777777" w:rsidR="0075369F" w:rsidRPr="0075369F" w:rsidRDefault="0075369F" w:rsidP="00881B70">
            <w:pPr>
              <w:widowControl w:val="0"/>
              <w:spacing w:after="0" w:line="240" w:lineRule="auto"/>
              <w:jc w:val="left"/>
              <w:rPr>
                <w:rFonts w:ascii="Calibri" w:eastAsia="Times New Roman" w:hAnsi="Calibri" w:cs="Times New Roman"/>
                <w:b/>
                <w:color w:val="FFFFFF" w:themeColor="background1"/>
                <w:sz w:val="20"/>
                <w:szCs w:val="20"/>
              </w:rPr>
            </w:pPr>
            <w:r w:rsidRPr="0075369F">
              <w:rPr>
                <w:rFonts w:ascii="Calibri" w:eastAsia="Times New Roman" w:hAnsi="Calibri" w:cs="Times New Roman"/>
                <w:b/>
                <w:color w:val="FFFFFF" w:themeColor="background1"/>
                <w:sz w:val="20"/>
                <w:szCs w:val="20"/>
              </w:rPr>
              <w:t>Feb-17</w:t>
            </w:r>
          </w:p>
        </w:tc>
        <w:tc>
          <w:tcPr>
            <w:tcW w:w="800" w:type="dxa"/>
            <w:shd w:val="clear" w:color="auto" w:fill="4472C4"/>
            <w:hideMark/>
          </w:tcPr>
          <w:p w14:paraId="1568BACE" w14:textId="77777777" w:rsidR="0075369F" w:rsidRPr="0075369F" w:rsidRDefault="0075369F" w:rsidP="00881B70">
            <w:pPr>
              <w:widowControl w:val="0"/>
              <w:spacing w:after="0" w:line="240" w:lineRule="auto"/>
              <w:jc w:val="left"/>
              <w:rPr>
                <w:rFonts w:ascii="Calibri" w:eastAsia="Times New Roman" w:hAnsi="Calibri" w:cs="Times New Roman"/>
                <w:b/>
                <w:color w:val="FFFFFF" w:themeColor="background1"/>
                <w:sz w:val="20"/>
                <w:szCs w:val="20"/>
              </w:rPr>
            </w:pPr>
            <w:r w:rsidRPr="0075369F">
              <w:rPr>
                <w:rFonts w:ascii="Calibri" w:eastAsia="Times New Roman" w:hAnsi="Calibri" w:cs="Times New Roman"/>
                <w:b/>
                <w:color w:val="FFFFFF" w:themeColor="background1"/>
                <w:sz w:val="20"/>
                <w:szCs w:val="20"/>
              </w:rPr>
              <w:t>TOTAL</w:t>
            </w:r>
          </w:p>
        </w:tc>
      </w:tr>
      <w:tr w:rsidR="0075369F" w:rsidRPr="0075369F" w14:paraId="376D3A31" w14:textId="77777777" w:rsidTr="00881B70">
        <w:trPr>
          <w:trHeight w:val="255"/>
          <w:tblCellSpacing w:w="43" w:type="dxa"/>
          <w:jc w:val="right"/>
        </w:trPr>
        <w:tc>
          <w:tcPr>
            <w:tcW w:w="1030" w:type="dxa"/>
            <w:shd w:val="clear" w:color="auto" w:fill="C6E8D7"/>
            <w:hideMark/>
          </w:tcPr>
          <w:p w14:paraId="5A106C9E" w14:textId="77777777" w:rsidR="0075369F" w:rsidRPr="0075369F" w:rsidRDefault="0075369F" w:rsidP="00881B70">
            <w:pPr>
              <w:widowControl w:val="0"/>
              <w:spacing w:after="0" w:line="240" w:lineRule="auto"/>
              <w:jc w:val="lef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Penalized</w:t>
            </w:r>
          </w:p>
        </w:tc>
        <w:tc>
          <w:tcPr>
            <w:tcW w:w="647" w:type="dxa"/>
            <w:shd w:val="clear" w:color="auto" w:fill="C6E8D7"/>
            <w:noWrap/>
            <w:hideMark/>
          </w:tcPr>
          <w:p w14:paraId="4323DB11"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118</w:t>
            </w:r>
          </w:p>
        </w:tc>
        <w:tc>
          <w:tcPr>
            <w:tcW w:w="647" w:type="dxa"/>
            <w:shd w:val="clear" w:color="auto" w:fill="C6E8D7"/>
            <w:noWrap/>
            <w:hideMark/>
          </w:tcPr>
          <w:p w14:paraId="5197E3B5"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102</w:t>
            </w:r>
          </w:p>
        </w:tc>
        <w:tc>
          <w:tcPr>
            <w:tcW w:w="647" w:type="dxa"/>
            <w:shd w:val="clear" w:color="auto" w:fill="C6E8D7"/>
            <w:noWrap/>
            <w:hideMark/>
          </w:tcPr>
          <w:p w14:paraId="4B076A00"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101</w:t>
            </w:r>
          </w:p>
        </w:tc>
        <w:tc>
          <w:tcPr>
            <w:tcW w:w="647" w:type="dxa"/>
            <w:shd w:val="clear" w:color="auto" w:fill="C6E8D7"/>
            <w:noWrap/>
            <w:hideMark/>
          </w:tcPr>
          <w:p w14:paraId="767A5445"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139</w:t>
            </w:r>
          </w:p>
        </w:tc>
        <w:tc>
          <w:tcPr>
            <w:tcW w:w="849" w:type="dxa"/>
            <w:shd w:val="clear" w:color="auto" w:fill="C6E8D7"/>
            <w:noWrap/>
            <w:hideMark/>
          </w:tcPr>
          <w:p w14:paraId="4DFFC5D7"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45</w:t>
            </w:r>
          </w:p>
        </w:tc>
        <w:tc>
          <w:tcPr>
            <w:tcW w:w="800" w:type="dxa"/>
            <w:shd w:val="clear" w:color="auto" w:fill="C6E8D7"/>
            <w:noWrap/>
            <w:hideMark/>
          </w:tcPr>
          <w:p w14:paraId="68559CCC"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505</w:t>
            </w:r>
          </w:p>
        </w:tc>
      </w:tr>
      <w:tr w:rsidR="0075369F" w:rsidRPr="0075369F" w14:paraId="24F99BAC" w14:textId="77777777" w:rsidTr="00881B70">
        <w:trPr>
          <w:trHeight w:val="255"/>
          <w:tblCellSpacing w:w="43" w:type="dxa"/>
          <w:jc w:val="right"/>
        </w:trPr>
        <w:tc>
          <w:tcPr>
            <w:tcW w:w="1030" w:type="dxa"/>
            <w:shd w:val="clear" w:color="auto" w:fill="C6E8D7"/>
            <w:hideMark/>
          </w:tcPr>
          <w:p w14:paraId="745E3BD8" w14:textId="77777777" w:rsidR="0075369F" w:rsidRPr="0075369F" w:rsidRDefault="0075369F" w:rsidP="00881B70">
            <w:pPr>
              <w:widowControl w:val="0"/>
              <w:spacing w:after="0" w:line="240" w:lineRule="auto"/>
              <w:jc w:val="left"/>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Denied</w:t>
            </w:r>
          </w:p>
        </w:tc>
        <w:tc>
          <w:tcPr>
            <w:tcW w:w="647" w:type="dxa"/>
            <w:shd w:val="clear" w:color="auto" w:fill="C6E8D7"/>
            <w:noWrap/>
            <w:hideMark/>
          </w:tcPr>
          <w:p w14:paraId="5E2AC9B3"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124</w:t>
            </w:r>
          </w:p>
        </w:tc>
        <w:tc>
          <w:tcPr>
            <w:tcW w:w="647" w:type="dxa"/>
            <w:shd w:val="clear" w:color="auto" w:fill="C6E8D7"/>
            <w:noWrap/>
            <w:hideMark/>
          </w:tcPr>
          <w:p w14:paraId="2A88B829"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107</w:t>
            </w:r>
          </w:p>
        </w:tc>
        <w:tc>
          <w:tcPr>
            <w:tcW w:w="647" w:type="dxa"/>
            <w:shd w:val="clear" w:color="auto" w:fill="C6E8D7"/>
            <w:noWrap/>
            <w:hideMark/>
          </w:tcPr>
          <w:p w14:paraId="5A0DD875"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75</w:t>
            </w:r>
          </w:p>
        </w:tc>
        <w:tc>
          <w:tcPr>
            <w:tcW w:w="647" w:type="dxa"/>
            <w:shd w:val="clear" w:color="auto" w:fill="C6E8D7"/>
            <w:noWrap/>
            <w:hideMark/>
          </w:tcPr>
          <w:p w14:paraId="6035D8FE"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60</w:t>
            </w:r>
          </w:p>
        </w:tc>
        <w:tc>
          <w:tcPr>
            <w:tcW w:w="849" w:type="dxa"/>
            <w:shd w:val="clear" w:color="auto" w:fill="C6E8D7"/>
            <w:noWrap/>
            <w:hideMark/>
          </w:tcPr>
          <w:p w14:paraId="0CD275F9"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10</w:t>
            </w:r>
          </w:p>
        </w:tc>
        <w:tc>
          <w:tcPr>
            <w:tcW w:w="800" w:type="dxa"/>
            <w:shd w:val="clear" w:color="auto" w:fill="C6E8D7"/>
            <w:noWrap/>
            <w:hideMark/>
          </w:tcPr>
          <w:p w14:paraId="010481F1" w14:textId="77777777" w:rsidR="0075369F" w:rsidRPr="0075369F" w:rsidRDefault="0075369F" w:rsidP="00881B70">
            <w:pPr>
              <w:widowControl w:val="0"/>
              <w:spacing w:after="0" w:line="240" w:lineRule="auto"/>
              <w:jc w:val="center"/>
              <w:rPr>
                <w:rFonts w:ascii="Calibri" w:eastAsia="Times New Roman" w:hAnsi="Calibri" w:cs="Times New Roman"/>
                <w:color w:val="000000"/>
                <w:sz w:val="20"/>
                <w:szCs w:val="20"/>
              </w:rPr>
            </w:pPr>
            <w:r w:rsidRPr="0075369F">
              <w:rPr>
                <w:rFonts w:ascii="Calibri" w:eastAsia="Times New Roman" w:hAnsi="Calibri" w:cs="Times New Roman"/>
                <w:color w:val="000000"/>
                <w:sz w:val="20"/>
                <w:szCs w:val="20"/>
              </w:rPr>
              <w:t>376</w:t>
            </w:r>
          </w:p>
        </w:tc>
      </w:tr>
      <w:tr w:rsidR="0075369F" w:rsidRPr="0075369F" w14:paraId="6DBC21D6" w14:textId="77777777" w:rsidTr="00881B70">
        <w:trPr>
          <w:trHeight w:val="255"/>
          <w:tblCellSpacing w:w="43" w:type="dxa"/>
          <w:jc w:val="right"/>
        </w:trPr>
        <w:tc>
          <w:tcPr>
            <w:tcW w:w="1030" w:type="dxa"/>
            <w:shd w:val="clear" w:color="auto" w:fill="C6E8D7"/>
            <w:hideMark/>
          </w:tcPr>
          <w:p w14:paraId="16D5D3E7" w14:textId="77777777" w:rsidR="0075369F" w:rsidRPr="0075369F" w:rsidRDefault="0075369F" w:rsidP="00881B70">
            <w:pPr>
              <w:widowControl w:val="0"/>
              <w:spacing w:after="0" w:line="240" w:lineRule="auto"/>
              <w:jc w:val="left"/>
              <w:rPr>
                <w:rFonts w:ascii="Calibri" w:eastAsia="Times New Roman" w:hAnsi="Calibri" w:cs="Times New Roman"/>
                <w:b/>
                <w:color w:val="000000"/>
                <w:sz w:val="20"/>
                <w:szCs w:val="20"/>
              </w:rPr>
            </w:pPr>
            <w:r w:rsidRPr="0075369F">
              <w:rPr>
                <w:rFonts w:ascii="Calibri" w:eastAsia="Times New Roman" w:hAnsi="Calibri" w:cs="Times New Roman"/>
                <w:b/>
                <w:color w:val="000000"/>
                <w:sz w:val="20"/>
                <w:szCs w:val="20"/>
              </w:rPr>
              <w:t>TOTAL</w:t>
            </w:r>
          </w:p>
        </w:tc>
        <w:tc>
          <w:tcPr>
            <w:tcW w:w="647" w:type="dxa"/>
            <w:shd w:val="clear" w:color="auto" w:fill="C6E8D7"/>
            <w:noWrap/>
            <w:hideMark/>
          </w:tcPr>
          <w:p w14:paraId="242F0FA9" w14:textId="77777777" w:rsidR="0075369F" w:rsidRPr="0075369F" w:rsidRDefault="0075369F" w:rsidP="00881B70">
            <w:pPr>
              <w:widowControl w:val="0"/>
              <w:spacing w:after="0" w:line="240" w:lineRule="auto"/>
              <w:jc w:val="center"/>
              <w:rPr>
                <w:rFonts w:ascii="Calibri" w:eastAsia="Times New Roman" w:hAnsi="Calibri" w:cs="Times New Roman"/>
                <w:b/>
                <w:color w:val="000000"/>
                <w:sz w:val="20"/>
                <w:szCs w:val="20"/>
              </w:rPr>
            </w:pPr>
            <w:r w:rsidRPr="0075369F">
              <w:rPr>
                <w:rFonts w:ascii="Calibri" w:eastAsia="Times New Roman" w:hAnsi="Calibri" w:cs="Times New Roman"/>
                <w:b/>
                <w:color w:val="000000"/>
                <w:sz w:val="20"/>
                <w:szCs w:val="20"/>
              </w:rPr>
              <w:t>242</w:t>
            </w:r>
          </w:p>
        </w:tc>
        <w:tc>
          <w:tcPr>
            <w:tcW w:w="647" w:type="dxa"/>
            <w:shd w:val="clear" w:color="auto" w:fill="C6E8D7"/>
            <w:noWrap/>
            <w:hideMark/>
          </w:tcPr>
          <w:p w14:paraId="3C789435" w14:textId="77777777" w:rsidR="0075369F" w:rsidRPr="0075369F" w:rsidRDefault="0075369F" w:rsidP="00881B70">
            <w:pPr>
              <w:widowControl w:val="0"/>
              <w:spacing w:after="0" w:line="240" w:lineRule="auto"/>
              <w:jc w:val="center"/>
              <w:rPr>
                <w:rFonts w:ascii="Calibri" w:eastAsia="Times New Roman" w:hAnsi="Calibri" w:cs="Times New Roman"/>
                <w:b/>
                <w:color w:val="000000"/>
                <w:sz w:val="20"/>
                <w:szCs w:val="20"/>
              </w:rPr>
            </w:pPr>
            <w:r w:rsidRPr="0075369F">
              <w:rPr>
                <w:rFonts w:ascii="Calibri" w:eastAsia="Times New Roman" w:hAnsi="Calibri" w:cs="Times New Roman"/>
                <w:b/>
                <w:color w:val="000000"/>
                <w:sz w:val="20"/>
                <w:szCs w:val="20"/>
              </w:rPr>
              <w:t>209</w:t>
            </w:r>
          </w:p>
        </w:tc>
        <w:tc>
          <w:tcPr>
            <w:tcW w:w="647" w:type="dxa"/>
            <w:shd w:val="clear" w:color="auto" w:fill="C6E8D7"/>
            <w:noWrap/>
            <w:hideMark/>
          </w:tcPr>
          <w:p w14:paraId="78DA9439" w14:textId="77777777" w:rsidR="0075369F" w:rsidRPr="0075369F" w:rsidRDefault="0075369F" w:rsidP="00881B70">
            <w:pPr>
              <w:widowControl w:val="0"/>
              <w:spacing w:after="0" w:line="240" w:lineRule="auto"/>
              <w:jc w:val="center"/>
              <w:rPr>
                <w:rFonts w:ascii="Calibri" w:eastAsia="Times New Roman" w:hAnsi="Calibri" w:cs="Times New Roman"/>
                <w:b/>
                <w:color w:val="000000"/>
                <w:sz w:val="20"/>
                <w:szCs w:val="20"/>
              </w:rPr>
            </w:pPr>
            <w:r w:rsidRPr="0075369F">
              <w:rPr>
                <w:rFonts w:ascii="Calibri" w:eastAsia="Times New Roman" w:hAnsi="Calibri" w:cs="Times New Roman"/>
                <w:b/>
                <w:color w:val="000000"/>
                <w:sz w:val="20"/>
                <w:szCs w:val="20"/>
              </w:rPr>
              <w:t>176</w:t>
            </w:r>
          </w:p>
        </w:tc>
        <w:tc>
          <w:tcPr>
            <w:tcW w:w="647" w:type="dxa"/>
            <w:shd w:val="clear" w:color="auto" w:fill="C6E8D7"/>
            <w:noWrap/>
            <w:hideMark/>
          </w:tcPr>
          <w:p w14:paraId="7475447E" w14:textId="77777777" w:rsidR="0075369F" w:rsidRPr="0075369F" w:rsidRDefault="0075369F" w:rsidP="00881B70">
            <w:pPr>
              <w:widowControl w:val="0"/>
              <w:spacing w:after="0" w:line="240" w:lineRule="auto"/>
              <w:jc w:val="center"/>
              <w:rPr>
                <w:rFonts w:ascii="Calibri" w:eastAsia="Times New Roman" w:hAnsi="Calibri" w:cs="Times New Roman"/>
                <w:b/>
                <w:color w:val="000000"/>
                <w:sz w:val="20"/>
                <w:szCs w:val="20"/>
              </w:rPr>
            </w:pPr>
            <w:r w:rsidRPr="0075369F">
              <w:rPr>
                <w:rFonts w:ascii="Calibri" w:eastAsia="Times New Roman" w:hAnsi="Calibri" w:cs="Times New Roman"/>
                <w:b/>
                <w:color w:val="000000"/>
                <w:sz w:val="20"/>
                <w:szCs w:val="20"/>
              </w:rPr>
              <w:t>199</w:t>
            </w:r>
          </w:p>
        </w:tc>
        <w:tc>
          <w:tcPr>
            <w:tcW w:w="849" w:type="dxa"/>
            <w:shd w:val="clear" w:color="auto" w:fill="C6E8D7"/>
            <w:noWrap/>
            <w:hideMark/>
          </w:tcPr>
          <w:p w14:paraId="51D1844B" w14:textId="77777777" w:rsidR="0075369F" w:rsidRPr="0075369F" w:rsidRDefault="0075369F" w:rsidP="00881B70">
            <w:pPr>
              <w:widowControl w:val="0"/>
              <w:spacing w:after="0" w:line="240" w:lineRule="auto"/>
              <w:jc w:val="center"/>
              <w:rPr>
                <w:rFonts w:ascii="Calibri" w:eastAsia="Times New Roman" w:hAnsi="Calibri" w:cs="Times New Roman"/>
                <w:b/>
                <w:color w:val="000000"/>
                <w:sz w:val="20"/>
                <w:szCs w:val="20"/>
              </w:rPr>
            </w:pPr>
            <w:r w:rsidRPr="0075369F">
              <w:rPr>
                <w:rFonts w:ascii="Calibri" w:eastAsia="Times New Roman" w:hAnsi="Calibri" w:cs="Times New Roman"/>
                <w:b/>
                <w:color w:val="000000"/>
                <w:sz w:val="20"/>
                <w:szCs w:val="20"/>
              </w:rPr>
              <w:t>55</w:t>
            </w:r>
          </w:p>
        </w:tc>
        <w:tc>
          <w:tcPr>
            <w:tcW w:w="800" w:type="dxa"/>
            <w:shd w:val="clear" w:color="auto" w:fill="C6E8D7"/>
            <w:noWrap/>
            <w:hideMark/>
          </w:tcPr>
          <w:p w14:paraId="6DCD0816" w14:textId="77777777" w:rsidR="0075369F" w:rsidRPr="0075369F" w:rsidRDefault="0075369F" w:rsidP="00881B70">
            <w:pPr>
              <w:widowControl w:val="0"/>
              <w:spacing w:after="0" w:line="240" w:lineRule="auto"/>
              <w:jc w:val="center"/>
              <w:rPr>
                <w:rFonts w:ascii="Calibri" w:eastAsia="Times New Roman" w:hAnsi="Calibri" w:cs="Times New Roman"/>
                <w:b/>
                <w:color w:val="000000"/>
                <w:sz w:val="20"/>
                <w:szCs w:val="20"/>
              </w:rPr>
            </w:pPr>
            <w:r w:rsidRPr="0075369F">
              <w:rPr>
                <w:rFonts w:ascii="Calibri" w:eastAsia="Times New Roman" w:hAnsi="Calibri" w:cs="Times New Roman"/>
                <w:b/>
                <w:color w:val="000000"/>
                <w:sz w:val="20"/>
                <w:szCs w:val="20"/>
              </w:rPr>
              <w:t>881</w:t>
            </w:r>
          </w:p>
        </w:tc>
      </w:tr>
    </w:tbl>
    <w:p w14:paraId="30A56B2A" w14:textId="77777777" w:rsidR="00E60879" w:rsidRPr="008F1E62" w:rsidRDefault="00E60879" w:rsidP="00881B70">
      <w:pPr>
        <w:pStyle w:val="BodyText4"/>
        <w:widowControl w:val="0"/>
        <w:numPr>
          <w:ilvl w:val="0"/>
          <w:numId w:val="2"/>
        </w:numPr>
        <w:spacing w:after="200" w:line="276" w:lineRule="auto"/>
        <w:ind w:left="0" w:hanging="567"/>
        <w:rPr>
          <w:rFonts w:ascii="Calibri" w:hAnsi="Calibri"/>
        </w:rPr>
      </w:pPr>
      <w:r w:rsidRPr="008F1E62">
        <w:rPr>
          <w:rFonts w:ascii="Calibri" w:hAnsi="Calibri"/>
          <w:b/>
        </w:rPr>
        <w:t xml:space="preserve">In its </w:t>
      </w:r>
      <w:r w:rsidRPr="008F1E62">
        <w:rPr>
          <w:rFonts w:ascii="Calibri" w:hAnsi="Calibri"/>
          <w:b/>
          <w:bCs/>
        </w:rPr>
        <w:t>annual</w:t>
      </w:r>
      <w:r w:rsidRPr="008F1E62">
        <w:rPr>
          <w:rFonts w:ascii="Calibri" w:hAnsi="Calibri"/>
          <w:b/>
        </w:rPr>
        <w:t xml:space="preserve"> report, the SEC publishes data on accredited independent auditors by category and by region</w:t>
      </w:r>
      <w:r w:rsidR="008F2548">
        <w:rPr>
          <w:rFonts w:ascii="Calibri" w:hAnsi="Calibri"/>
          <w:b/>
        </w:rPr>
        <w:t>.</w:t>
      </w:r>
      <w:r w:rsidR="009C4114">
        <w:rPr>
          <w:rFonts w:ascii="Calibri" w:hAnsi="Calibri"/>
          <w:b/>
        </w:rPr>
        <w:t xml:space="preserve"> </w:t>
      </w:r>
      <w:r w:rsidR="009C4114" w:rsidRPr="00484744">
        <w:rPr>
          <w:rFonts w:ascii="Calibri" w:hAnsi="Calibri"/>
        </w:rPr>
        <w:t>T</w:t>
      </w:r>
      <w:r w:rsidR="002A7CF9">
        <w:rPr>
          <w:rFonts w:ascii="Calibri" w:hAnsi="Calibri"/>
        </w:rPr>
        <w:t>he report also includes</w:t>
      </w:r>
      <w:r w:rsidRPr="00484744">
        <w:rPr>
          <w:rFonts w:ascii="Calibri" w:hAnsi="Calibri"/>
        </w:rPr>
        <w:t xml:space="preserve"> the number that have been denied applications, those who have abandoned, the number of companies that have been referred to other departments </w:t>
      </w:r>
      <w:proofErr w:type="gramStart"/>
      <w:r w:rsidRPr="00484744">
        <w:rPr>
          <w:rFonts w:ascii="Calibri" w:hAnsi="Calibri"/>
        </w:rPr>
        <w:t>as a result of</w:t>
      </w:r>
      <w:proofErr w:type="gramEnd"/>
      <w:r w:rsidRPr="00484744">
        <w:rPr>
          <w:rFonts w:ascii="Calibri" w:hAnsi="Calibri"/>
        </w:rPr>
        <w:t xml:space="preserve"> accreditation reviews, the number of auditors penalized, the number required to amend the company's financial statements, and the number of financial statements reviewed.</w:t>
      </w:r>
      <w:r w:rsidRPr="00B02006">
        <w:rPr>
          <w:rFonts w:ascii="Calibri" w:hAnsi="Calibri"/>
        </w:rPr>
        <w:t xml:space="preserve"> R</w:t>
      </w:r>
      <w:r w:rsidRPr="008F1E62">
        <w:rPr>
          <w:rFonts w:ascii="Calibri" w:hAnsi="Calibri"/>
        </w:rPr>
        <w:t>eferrals to BOA by the financial regulators are primarily evaluated at BOA</w:t>
      </w:r>
      <w:r w:rsidR="004453CC">
        <w:rPr>
          <w:rFonts w:ascii="Calibri" w:hAnsi="Calibri"/>
        </w:rPr>
        <w:t xml:space="preserve"> and,</w:t>
      </w:r>
      <w:r w:rsidRPr="008F1E62">
        <w:rPr>
          <w:rFonts w:ascii="Calibri" w:hAnsi="Calibri"/>
        </w:rPr>
        <w:t xml:space="preserve"> if assessed to be serious</w:t>
      </w:r>
      <w:r w:rsidR="004453CC">
        <w:rPr>
          <w:rFonts w:ascii="Calibri" w:hAnsi="Calibri"/>
        </w:rPr>
        <w:t>,</w:t>
      </w:r>
      <w:r w:rsidRPr="008F1E62">
        <w:rPr>
          <w:rFonts w:ascii="Calibri" w:hAnsi="Calibri"/>
        </w:rPr>
        <w:t xml:space="preserve"> these cases are forwarded to </w:t>
      </w:r>
      <w:r w:rsidR="006B4B39">
        <w:rPr>
          <w:rFonts w:ascii="Calibri" w:hAnsi="Calibri"/>
        </w:rPr>
        <w:t xml:space="preserve">the </w:t>
      </w:r>
      <w:r w:rsidR="006B4B39" w:rsidRPr="00484744">
        <w:rPr>
          <w:rFonts w:ascii="Calibri" w:hAnsi="Calibri"/>
          <w:bCs/>
        </w:rPr>
        <w:t>Legal and Investigation Division (</w:t>
      </w:r>
      <w:r w:rsidRPr="008F1E62">
        <w:rPr>
          <w:rFonts w:ascii="Calibri" w:hAnsi="Calibri"/>
        </w:rPr>
        <w:t>LID</w:t>
      </w:r>
      <w:r w:rsidR="006B4B39">
        <w:rPr>
          <w:rFonts w:ascii="Calibri" w:hAnsi="Calibri"/>
        </w:rPr>
        <w:t>) of</w:t>
      </w:r>
      <w:r w:rsidRPr="008F1E62">
        <w:rPr>
          <w:rFonts w:ascii="Calibri" w:hAnsi="Calibri"/>
        </w:rPr>
        <w:t xml:space="preserve"> </w:t>
      </w:r>
      <w:r w:rsidR="00FF69EC">
        <w:rPr>
          <w:rFonts w:ascii="Calibri" w:hAnsi="Calibri"/>
        </w:rPr>
        <w:t xml:space="preserve">the </w:t>
      </w:r>
      <w:r w:rsidRPr="008F1E62">
        <w:rPr>
          <w:rFonts w:ascii="Calibri" w:hAnsi="Calibri"/>
        </w:rPr>
        <w:t>PRC for investigation.</w:t>
      </w:r>
    </w:p>
    <w:tbl>
      <w:tblPr>
        <w:tblStyle w:val="TableGrid"/>
        <w:tblpPr w:leftFromText="180" w:rightFromText="180" w:vertAnchor="text" w:horzAnchor="margin" w:tblpXSpec="right" w:tblpY="58"/>
        <w:tblOverlap w:val="never"/>
        <w:tblW w:w="0" w:type="auto"/>
        <w:tblCellSpacing w:w="43"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173"/>
        <w:gridCol w:w="959"/>
      </w:tblGrid>
      <w:tr w:rsidR="00881B70" w:rsidRPr="00394B32" w14:paraId="43B56761" w14:textId="77777777" w:rsidTr="00881B70">
        <w:trPr>
          <w:trHeight w:val="255"/>
          <w:tblHeader/>
          <w:tblCellSpacing w:w="43" w:type="dxa"/>
        </w:trPr>
        <w:tc>
          <w:tcPr>
            <w:tcW w:w="3940" w:type="dxa"/>
            <w:gridSpan w:val="2"/>
            <w:shd w:val="clear" w:color="auto" w:fill="auto"/>
            <w:noWrap/>
          </w:tcPr>
          <w:p w14:paraId="6F26EF40" w14:textId="411379D3" w:rsidR="00881B70" w:rsidRPr="0075369F" w:rsidRDefault="00881B70" w:rsidP="00881B70">
            <w:pPr>
              <w:widowControl w:val="0"/>
              <w:spacing w:after="0" w:line="240" w:lineRule="auto"/>
              <w:jc w:val="center"/>
              <w:rPr>
                <w:rFonts w:ascii="Calibri" w:eastAsia="Times New Roman" w:hAnsi="Calibri" w:cs="Times New Roman"/>
                <w:b/>
                <w:color w:val="FFFFFF" w:themeColor="background1"/>
                <w:szCs w:val="24"/>
              </w:rPr>
            </w:pPr>
            <w:r w:rsidRPr="0075369F">
              <w:rPr>
                <w:b/>
                <w:sz w:val="20"/>
                <w:szCs w:val="24"/>
              </w:rPr>
              <w:t xml:space="preserve">Table </w:t>
            </w:r>
            <w:r w:rsidRPr="0075369F">
              <w:rPr>
                <w:b/>
                <w:sz w:val="20"/>
                <w:szCs w:val="24"/>
              </w:rPr>
              <w:fldChar w:fldCharType="begin"/>
            </w:r>
            <w:r w:rsidRPr="0075369F">
              <w:rPr>
                <w:b/>
                <w:sz w:val="20"/>
                <w:szCs w:val="24"/>
              </w:rPr>
              <w:instrText xml:space="preserve"> SEQ Table \* ARABIC </w:instrText>
            </w:r>
            <w:r w:rsidRPr="0075369F">
              <w:rPr>
                <w:b/>
                <w:sz w:val="20"/>
                <w:szCs w:val="24"/>
              </w:rPr>
              <w:fldChar w:fldCharType="separate"/>
            </w:r>
            <w:r w:rsidR="004310EC">
              <w:rPr>
                <w:b/>
                <w:noProof/>
                <w:sz w:val="20"/>
                <w:szCs w:val="24"/>
              </w:rPr>
              <w:t>15</w:t>
            </w:r>
            <w:r w:rsidRPr="0075369F">
              <w:rPr>
                <w:b/>
                <w:sz w:val="20"/>
                <w:szCs w:val="24"/>
              </w:rPr>
              <w:fldChar w:fldCharType="end"/>
            </w:r>
            <w:r w:rsidRPr="0075369F">
              <w:rPr>
                <w:b/>
                <w:sz w:val="20"/>
                <w:szCs w:val="24"/>
              </w:rPr>
              <w:t>. Summary of LID, PRC decided cases relating to CPAs</w:t>
            </w:r>
            <w:r w:rsidRPr="0075369F">
              <w:rPr>
                <w:rStyle w:val="FootnoteReference"/>
                <w:b/>
                <w:sz w:val="20"/>
                <w:szCs w:val="24"/>
              </w:rPr>
              <w:footnoteReference w:id="109"/>
            </w:r>
          </w:p>
        </w:tc>
      </w:tr>
      <w:tr w:rsidR="00881B70" w:rsidRPr="00394B32" w14:paraId="66D2EB55" w14:textId="77777777" w:rsidTr="00881B70">
        <w:trPr>
          <w:trHeight w:val="255"/>
          <w:tblHeader/>
          <w:tblCellSpacing w:w="43" w:type="dxa"/>
        </w:trPr>
        <w:tc>
          <w:tcPr>
            <w:tcW w:w="3034" w:type="dxa"/>
            <w:shd w:val="clear" w:color="auto" w:fill="4472C4"/>
            <w:noWrap/>
            <w:hideMark/>
          </w:tcPr>
          <w:p w14:paraId="214BDB44" w14:textId="77777777" w:rsidR="00881B70" w:rsidRPr="00116368" w:rsidRDefault="00881B70" w:rsidP="00881B70">
            <w:pPr>
              <w:widowControl w:val="0"/>
              <w:spacing w:after="0" w:line="240" w:lineRule="auto"/>
              <w:jc w:val="center"/>
              <w:rPr>
                <w:rFonts w:ascii="Calibri" w:eastAsia="Times New Roman" w:hAnsi="Calibri" w:cs="Times New Roman"/>
                <w:b/>
                <w:color w:val="FFFFFF" w:themeColor="background1"/>
                <w:sz w:val="20"/>
                <w:szCs w:val="24"/>
              </w:rPr>
            </w:pPr>
          </w:p>
        </w:tc>
        <w:tc>
          <w:tcPr>
            <w:tcW w:w="820" w:type="dxa"/>
            <w:shd w:val="clear" w:color="auto" w:fill="4472C4"/>
            <w:hideMark/>
          </w:tcPr>
          <w:p w14:paraId="7627902C" w14:textId="77777777" w:rsidR="00881B70" w:rsidRPr="00116368" w:rsidRDefault="00881B70" w:rsidP="00881B70">
            <w:pPr>
              <w:widowControl w:val="0"/>
              <w:spacing w:after="0" w:line="240" w:lineRule="auto"/>
              <w:jc w:val="center"/>
              <w:rPr>
                <w:rFonts w:ascii="Calibri" w:eastAsia="Times New Roman" w:hAnsi="Calibri" w:cs="Times New Roman"/>
                <w:b/>
                <w:color w:val="FFFFFF" w:themeColor="background1"/>
                <w:sz w:val="20"/>
                <w:szCs w:val="24"/>
              </w:rPr>
            </w:pPr>
            <w:r w:rsidRPr="00116368">
              <w:rPr>
                <w:rFonts w:ascii="Calibri" w:eastAsia="Times New Roman" w:hAnsi="Calibri" w:cs="Times New Roman"/>
                <w:b/>
                <w:color w:val="FFFFFF" w:themeColor="background1"/>
                <w:sz w:val="20"/>
                <w:szCs w:val="24"/>
              </w:rPr>
              <w:t>TOTAL</w:t>
            </w:r>
          </w:p>
        </w:tc>
      </w:tr>
      <w:tr w:rsidR="00881B70" w:rsidRPr="00394B32" w14:paraId="360CD6F2" w14:textId="77777777" w:rsidTr="00881B70">
        <w:trPr>
          <w:trHeight w:val="240"/>
          <w:tblCellSpacing w:w="43" w:type="dxa"/>
        </w:trPr>
        <w:tc>
          <w:tcPr>
            <w:tcW w:w="3034" w:type="dxa"/>
            <w:shd w:val="clear" w:color="auto" w:fill="C6E8D7"/>
            <w:noWrap/>
            <w:hideMark/>
          </w:tcPr>
          <w:p w14:paraId="449B05C1"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Dismissed</w:t>
            </w:r>
          </w:p>
        </w:tc>
        <w:tc>
          <w:tcPr>
            <w:tcW w:w="820" w:type="dxa"/>
            <w:shd w:val="clear" w:color="auto" w:fill="C6E8D7"/>
            <w:noWrap/>
            <w:hideMark/>
          </w:tcPr>
          <w:p w14:paraId="0A3889D8"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227</w:t>
            </w:r>
          </w:p>
        </w:tc>
      </w:tr>
      <w:tr w:rsidR="00881B70" w:rsidRPr="00394B32" w14:paraId="6DD07E53" w14:textId="77777777" w:rsidTr="00881B70">
        <w:trPr>
          <w:trHeight w:val="240"/>
          <w:tblCellSpacing w:w="43" w:type="dxa"/>
        </w:trPr>
        <w:tc>
          <w:tcPr>
            <w:tcW w:w="3034" w:type="dxa"/>
            <w:shd w:val="clear" w:color="auto" w:fill="C6E8D7"/>
            <w:noWrap/>
            <w:hideMark/>
          </w:tcPr>
          <w:p w14:paraId="259ED396"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Revoked</w:t>
            </w:r>
          </w:p>
        </w:tc>
        <w:tc>
          <w:tcPr>
            <w:tcW w:w="820" w:type="dxa"/>
            <w:shd w:val="clear" w:color="auto" w:fill="C6E8D7"/>
            <w:noWrap/>
            <w:hideMark/>
          </w:tcPr>
          <w:p w14:paraId="5927FAE1"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62</w:t>
            </w:r>
          </w:p>
        </w:tc>
      </w:tr>
      <w:tr w:rsidR="00881B70" w:rsidRPr="00394B32" w14:paraId="657585D2" w14:textId="77777777" w:rsidTr="00881B70">
        <w:trPr>
          <w:trHeight w:val="240"/>
          <w:tblCellSpacing w:w="43" w:type="dxa"/>
        </w:trPr>
        <w:tc>
          <w:tcPr>
            <w:tcW w:w="3034" w:type="dxa"/>
            <w:shd w:val="clear" w:color="auto" w:fill="C6E8D7"/>
            <w:noWrap/>
            <w:hideMark/>
          </w:tcPr>
          <w:p w14:paraId="728B2844"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Suspended</w:t>
            </w:r>
          </w:p>
        </w:tc>
        <w:tc>
          <w:tcPr>
            <w:tcW w:w="820" w:type="dxa"/>
            <w:shd w:val="clear" w:color="auto" w:fill="C6E8D7"/>
            <w:noWrap/>
            <w:hideMark/>
          </w:tcPr>
          <w:p w14:paraId="5F94AB1E"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17</w:t>
            </w:r>
          </w:p>
        </w:tc>
      </w:tr>
      <w:tr w:rsidR="00881B70" w:rsidRPr="00394B32" w14:paraId="0FD6206A" w14:textId="77777777" w:rsidTr="00881B70">
        <w:trPr>
          <w:trHeight w:val="240"/>
          <w:tblCellSpacing w:w="43" w:type="dxa"/>
        </w:trPr>
        <w:tc>
          <w:tcPr>
            <w:tcW w:w="3034" w:type="dxa"/>
            <w:shd w:val="clear" w:color="auto" w:fill="C6E8D7"/>
            <w:noWrap/>
            <w:hideMark/>
          </w:tcPr>
          <w:p w14:paraId="689BC704"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Debarred</w:t>
            </w:r>
          </w:p>
        </w:tc>
        <w:tc>
          <w:tcPr>
            <w:tcW w:w="820" w:type="dxa"/>
            <w:shd w:val="clear" w:color="auto" w:fill="C6E8D7"/>
            <w:noWrap/>
            <w:hideMark/>
          </w:tcPr>
          <w:p w14:paraId="3B2EDCB7"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12</w:t>
            </w:r>
          </w:p>
        </w:tc>
      </w:tr>
      <w:tr w:rsidR="00881B70" w:rsidRPr="00394B32" w14:paraId="3A0366BE" w14:textId="77777777" w:rsidTr="00881B70">
        <w:trPr>
          <w:trHeight w:val="240"/>
          <w:tblCellSpacing w:w="43" w:type="dxa"/>
        </w:trPr>
        <w:tc>
          <w:tcPr>
            <w:tcW w:w="3034" w:type="dxa"/>
            <w:shd w:val="clear" w:color="auto" w:fill="C6E8D7"/>
            <w:noWrap/>
            <w:hideMark/>
          </w:tcPr>
          <w:p w14:paraId="24A6445F"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Reprimanded</w:t>
            </w:r>
          </w:p>
        </w:tc>
        <w:tc>
          <w:tcPr>
            <w:tcW w:w="820" w:type="dxa"/>
            <w:shd w:val="clear" w:color="auto" w:fill="C6E8D7"/>
            <w:noWrap/>
            <w:hideMark/>
          </w:tcPr>
          <w:p w14:paraId="1999BD64"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4</w:t>
            </w:r>
          </w:p>
        </w:tc>
      </w:tr>
      <w:tr w:rsidR="00881B70" w:rsidRPr="00394B32" w14:paraId="54DB2D56" w14:textId="77777777" w:rsidTr="00881B70">
        <w:trPr>
          <w:trHeight w:val="240"/>
          <w:tblCellSpacing w:w="43" w:type="dxa"/>
        </w:trPr>
        <w:tc>
          <w:tcPr>
            <w:tcW w:w="3034" w:type="dxa"/>
            <w:shd w:val="clear" w:color="auto" w:fill="C6E8D7"/>
            <w:noWrap/>
            <w:hideMark/>
          </w:tcPr>
          <w:p w14:paraId="2F895074"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Archived</w:t>
            </w:r>
          </w:p>
        </w:tc>
        <w:tc>
          <w:tcPr>
            <w:tcW w:w="820" w:type="dxa"/>
            <w:shd w:val="clear" w:color="auto" w:fill="C6E8D7"/>
            <w:noWrap/>
            <w:hideMark/>
          </w:tcPr>
          <w:p w14:paraId="41E04C48"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21</w:t>
            </w:r>
          </w:p>
        </w:tc>
      </w:tr>
      <w:tr w:rsidR="00881B70" w:rsidRPr="00394B32" w14:paraId="4667B117" w14:textId="77777777" w:rsidTr="00881B70">
        <w:trPr>
          <w:trHeight w:val="240"/>
          <w:tblCellSpacing w:w="43" w:type="dxa"/>
        </w:trPr>
        <w:tc>
          <w:tcPr>
            <w:tcW w:w="3034" w:type="dxa"/>
            <w:shd w:val="clear" w:color="auto" w:fill="C6E8D7"/>
            <w:noWrap/>
            <w:hideMark/>
          </w:tcPr>
          <w:p w14:paraId="77672B82"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Deferred registration</w:t>
            </w:r>
          </w:p>
        </w:tc>
        <w:tc>
          <w:tcPr>
            <w:tcW w:w="820" w:type="dxa"/>
            <w:shd w:val="clear" w:color="auto" w:fill="C6E8D7"/>
            <w:noWrap/>
            <w:hideMark/>
          </w:tcPr>
          <w:p w14:paraId="4BFD1050"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2</w:t>
            </w:r>
          </w:p>
        </w:tc>
      </w:tr>
      <w:tr w:rsidR="00881B70" w:rsidRPr="00394B32" w14:paraId="558791B0" w14:textId="77777777" w:rsidTr="00881B70">
        <w:trPr>
          <w:trHeight w:val="240"/>
          <w:tblCellSpacing w:w="43" w:type="dxa"/>
        </w:trPr>
        <w:tc>
          <w:tcPr>
            <w:tcW w:w="3034" w:type="dxa"/>
            <w:shd w:val="clear" w:color="auto" w:fill="C6E8D7"/>
            <w:noWrap/>
            <w:hideMark/>
          </w:tcPr>
          <w:p w14:paraId="1301AC01"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Denied issuance of CR</w:t>
            </w:r>
          </w:p>
        </w:tc>
        <w:tc>
          <w:tcPr>
            <w:tcW w:w="820" w:type="dxa"/>
            <w:shd w:val="clear" w:color="auto" w:fill="C6E8D7"/>
            <w:noWrap/>
            <w:hideMark/>
          </w:tcPr>
          <w:p w14:paraId="42306460"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1</w:t>
            </w:r>
          </w:p>
        </w:tc>
      </w:tr>
      <w:tr w:rsidR="00881B70" w:rsidRPr="00394B32" w14:paraId="709719CF" w14:textId="77777777" w:rsidTr="00881B70">
        <w:trPr>
          <w:trHeight w:val="240"/>
          <w:tblCellSpacing w:w="43" w:type="dxa"/>
        </w:trPr>
        <w:tc>
          <w:tcPr>
            <w:tcW w:w="3034" w:type="dxa"/>
            <w:shd w:val="clear" w:color="auto" w:fill="C6E8D7"/>
            <w:noWrap/>
            <w:hideMark/>
          </w:tcPr>
          <w:p w14:paraId="4CECEC78"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Transferred</w:t>
            </w:r>
          </w:p>
        </w:tc>
        <w:tc>
          <w:tcPr>
            <w:tcW w:w="820" w:type="dxa"/>
            <w:shd w:val="clear" w:color="auto" w:fill="C6E8D7"/>
            <w:noWrap/>
            <w:hideMark/>
          </w:tcPr>
          <w:p w14:paraId="3838A823"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1</w:t>
            </w:r>
          </w:p>
        </w:tc>
      </w:tr>
      <w:tr w:rsidR="00881B70" w:rsidRPr="00394B32" w14:paraId="6EC59C32" w14:textId="77777777" w:rsidTr="00881B70">
        <w:trPr>
          <w:trHeight w:val="240"/>
          <w:tblCellSpacing w:w="43" w:type="dxa"/>
        </w:trPr>
        <w:tc>
          <w:tcPr>
            <w:tcW w:w="3034" w:type="dxa"/>
            <w:shd w:val="clear" w:color="auto" w:fill="C6E8D7"/>
            <w:noWrap/>
            <w:hideMark/>
          </w:tcPr>
          <w:p w14:paraId="6FC604E5"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Held in abeyance</w:t>
            </w:r>
          </w:p>
        </w:tc>
        <w:tc>
          <w:tcPr>
            <w:tcW w:w="820" w:type="dxa"/>
            <w:shd w:val="clear" w:color="auto" w:fill="C6E8D7"/>
            <w:noWrap/>
            <w:hideMark/>
          </w:tcPr>
          <w:p w14:paraId="1AB6B835"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1</w:t>
            </w:r>
          </w:p>
        </w:tc>
      </w:tr>
      <w:tr w:rsidR="00881B70" w:rsidRPr="00394B32" w14:paraId="44D51828" w14:textId="77777777" w:rsidTr="00881B70">
        <w:trPr>
          <w:trHeight w:val="85"/>
          <w:tblCellSpacing w:w="43" w:type="dxa"/>
        </w:trPr>
        <w:tc>
          <w:tcPr>
            <w:tcW w:w="3034" w:type="dxa"/>
            <w:shd w:val="clear" w:color="auto" w:fill="C6E8D7"/>
            <w:hideMark/>
          </w:tcPr>
          <w:p w14:paraId="2E062D4A" w14:textId="77777777" w:rsidR="00881B70" w:rsidRPr="00116368" w:rsidRDefault="00881B70" w:rsidP="00881B70">
            <w:pPr>
              <w:widowControl w:val="0"/>
              <w:spacing w:after="0" w:line="240" w:lineRule="auto"/>
              <w:jc w:val="left"/>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Examination papers cancelled</w:t>
            </w:r>
          </w:p>
        </w:tc>
        <w:tc>
          <w:tcPr>
            <w:tcW w:w="820" w:type="dxa"/>
            <w:shd w:val="clear" w:color="auto" w:fill="C6E8D7"/>
            <w:noWrap/>
            <w:hideMark/>
          </w:tcPr>
          <w:p w14:paraId="3E0444ED" w14:textId="77777777" w:rsidR="00881B70" w:rsidRPr="00116368" w:rsidRDefault="00881B70" w:rsidP="00881B70">
            <w:pPr>
              <w:widowControl w:val="0"/>
              <w:spacing w:after="0" w:line="240" w:lineRule="auto"/>
              <w:jc w:val="center"/>
              <w:rPr>
                <w:rFonts w:ascii="Calibri" w:eastAsia="Times New Roman" w:hAnsi="Calibri" w:cs="Times New Roman"/>
                <w:color w:val="000000"/>
                <w:sz w:val="20"/>
                <w:szCs w:val="24"/>
              </w:rPr>
            </w:pPr>
            <w:r w:rsidRPr="00116368">
              <w:rPr>
                <w:rFonts w:ascii="Calibri" w:eastAsia="Times New Roman" w:hAnsi="Calibri" w:cs="Times New Roman"/>
                <w:color w:val="000000"/>
                <w:sz w:val="20"/>
                <w:szCs w:val="24"/>
              </w:rPr>
              <w:t>3</w:t>
            </w:r>
          </w:p>
        </w:tc>
      </w:tr>
      <w:tr w:rsidR="00881B70" w:rsidRPr="00394B32" w14:paraId="3EE8161E" w14:textId="77777777" w:rsidTr="00881B70">
        <w:trPr>
          <w:trHeight w:val="240"/>
          <w:tblCellSpacing w:w="43" w:type="dxa"/>
        </w:trPr>
        <w:tc>
          <w:tcPr>
            <w:tcW w:w="3034" w:type="dxa"/>
            <w:shd w:val="clear" w:color="auto" w:fill="4472C4"/>
            <w:hideMark/>
          </w:tcPr>
          <w:p w14:paraId="3E0C8B20" w14:textId="77777777" w:rsidR="00881B70" w:rsidRPr="00116368" w:rsidRDefault="00881B70" w:rsidP="00881B70">
            <w:pPr>
              <w:widowControl w:val="0"/>
              <w:spacing w:after="0" w:line="240" w:lineRule="auto"/>
              <w:jc w:val="left"/>
              <w:rPr>
                <w:rFonts w:ascii="Calibri" w:eastAsia="Times New Roman" w:hAnsi="Calibri" w:cs="Times New Roman"/>
                <w:b/>
                <w:color w:val="FFFFFF" w:themeColor="background1"/>
                <w:sz w:val="20"/>
                <w:szCs w:val="24"/>
              </w:rPr>
            </w:pPr>
            <w:r w:rsidRPr="00116368">
              <w:rPr>
                <w:rFonts w:ascii="Calibri" w:eastAsia="Times New Roman" w:hAnsi="Calibri" w:cs="Times New Roman"/>
                <w:b/>
                <w:color w:val="FFFFFF" w:themeColor="background1"/>
                <w:sz w:val="20"/>
                <w:szCs w:val="24"/>
              </w:rPr>
              <w:t>TOTAL</w:t>
            </w:r>
          </w:p>
        </w:tc>
        <w:tc>
          <w:tcPr>
            <w:tcW w:w="820" w:type="dxa"/>
            <w:shd w:val="clear" w:color="auto" w:fill="4472C4"/>
            <w:noWrap/>
            <w:hideMark/>
          </w:tcPr>
          <w:p w14:paraId="0242273E" w14:textId="77777777" w:rsidR="00881B70" w:rsidRPr="00116368" w:rsidRDefault="00881B70" w:rsidP="00881B70">
            <w:pPr>
              <w:widowControl w:val="0"/>
              <w:spacing w:after="0" w:line="240" w:lineRule="auto"/>
              <w:jc w:val="center"/>
              <w:rPr>
                <w:rFonts w:ascii="Calibri" w:eastAsia="Times New Roman" w:hAnsi="Calibri" w:cs="Times New Roman"/>
                <w:b/>
                <w:color w:val="FFFFFF" w:themeColor="background1"/>
                <w:sz w:val="20"/>
                <w:szCs w:val="24"/>
              </w:rPr>
            </w:pPr>
            <w:r w:rsidRPr="00116368">
              <w:rPr>
                <w:rFonts w:ascii="Calibri" w:eastAsia="Times New Roman" w:hAnsi="Calibri" w:cs="Times New Roman"/>
                <w:b/>
                <w:color w:val="FFFFFF" w:themeColor="background1"/>
                <w:sz w:val="20"/>
                <w:szCs w:val="24"/>
              </w:rPr>
              <w:t>351</w:t>
            </w:r>
          </w:p>
        </w:tc>
      </w:tr>
    </w:tbl>
    <w:p w14:paraId="4E7AE809" w14:textId="6FF30B39" w:rsidR="00F76E53" w:rsidRPr="00881B70" w:rsidRDefault="00F76E53" w:rsidP="00881B70">
      <w:pPr>
        <w:pStyle w:val="BodyText4"/>
        <w:numPr>
          <w:ilvl w:val="0"/>
          <w:numId w:val="2"/>
        </w:numPr>
        <w:spacing w:after="200" w:line="276" w:lineRule="auto"/>
        <w:ind w:left="0" w:hanging="567"/>
        <w:rPr>
          <w:rFonts w:asciiTheme="minorHAnsi" w:hAnsiTheme="minorHAnsi"/>
        </w:rPr>
      </w:pPr>
      <w:r w:rsidRPr="0075369F">
        <w:rPr>
          <w:rFonts w:asciiTheme="minorHAnsi" w:hAnsiTheme="minorHAnsi"/>
          <w:b/>
          <w:bCs/>
        </w:rPr>
        <w:t xml:space="preserve">The </w:t>
      </w:r>
      <w:r w:rsidRPr="0075369F">
        <w:rPr>
          <w:rFonts w:asciiTheme="minorHAnsi" w:hAnsiTheme="minorHAnsi"/>
          <w:b/>
        </w:rPr>
        <w:t>PRC</w:t>
      </w:r>
      <w:r w:rsidRPr="0075369F">
        <w:rPr>
          <w:rFonts w:asciiTheme="minorHAnsi" w:hAnsiTheme="minorHAnsi"/>
          <w:b/>
          <w:bCs/>
        </w:rPr>
        <w:t xml:space="preserve"> investigates cases of erring professionals within their coverage through its </w:t>
      </w:r>
      <w:r w:rsidR="005814E6" w:rsidRPr="0075369F">
        <w:rPr>
          <w:rFonts w:asciiTheme="minorHAnsi" w:hAnsiTheme="minorHAnsi"/>
          <w:b/>
          <w:bCs/>
        </w:rPr>
        <w:t>LID</w:t>
      </w:r>
      <w:r w:rsidRPr="0075369F">
        <w:rPr>
          <w:rFonts w:asciiTheme="minorHAnsi" w:hAnsiTheme="minorHAnsi"/>
          <w:b/>
          <w:bCs/>
        </w:rPr>
        <w:t>.</w:t>
      </w:r>
      <w:r w:rsidRPr="0075369F">
        <w:rPr>
          <w:rFonts w:asciiTheme="minorHAnsi" w:hAnsiTheme="minorHAnsi"/>
        </w:rPr>
        <w:t xml:space="preserve">  A complaint can be filed by any </w:t>
      </w:r>
      <w:r w:rsidR="00FF69EC" w:rsidRPr="0075369F">
        <w:rPr>
          <w:rFonts w:asciiTheme="minorHAnsi" w:hAnsiTheme="minorHAnsi"/>
        </w:rPr>
        <w:t>member of the public,</w:t>
      </w:r>
      <w:r w:rsidRPr="0075369F">
        <w:rPr>
          <w:rFonts w:asciiTheme="minorHAnsi" w:hAnsiTheme="minorHAnsi"/>
        </w:rPr>
        <w:t xml:space="preserve"> by a representative </w:t>
      </w:r>
      <w:r w:rsidR="00FF69EC" w:rsidRPr="0075369F">
        <w:rPr>
          <w:rFonts w:asciiTheme="minorHAnsi" w:hAnsiTheme="minorHAnsi"/>
        </w:rPr>
        <w:t xml:space="preserve">of </w:t>
      </w:r>
      <w:r w:rsidRPr="0075369F">
        <w:rPr>
          <w:rFonts w:asciiTheme="minorHAnsi" w:hAnsiTheme="minorHAnsi"/>
        </w:rPr>
        <w:t>the PRC’s public assistance and complaints</w:t>
      </w:r>
      <w:r w:rsidR="00FF69EC" w:rsidRPr="0075369F">
        <w:rPr>
          <w:rFonts w:asciiTheme="minorHAnsi" w:hAnsiTheme="minorHAnsi"/>
        </w:rPr>
        <w:t xml:space="preserve"> unit,</w:t>
      </w:r>
      <w:r w:rsidRPr="0075369F">
        <w:rPr>
          <w:rFonts w:asciiTheme="minorHAnsi" w:hAnsiTheme="minorHAnsi"/>
        </w:rPr>
        <w:t xml:space="preserve"> through PRC hotline</w:t>
      </w:r>
      <w:r w:rsidR="00FF69EC" w:rsidRPr="0075369F">
        <w:rPr>
          <w:rFonts w:asciiTheme="minorHAnsi" w:hAnsiTheme="minorHAnsi"/>
        </w:rPr>
        <w:t>,</w:t>
      </w:r>
      <w:r w:rsidRPr="0075369F">
        <w:rPr>
          <w:rFonts w:asciiTheme="minorHAnsi" w:hAnsiTheme="minorHAnsi"/>
        </w:rPr>
        <w:t xml:space="preserve"> or by sending an SMS or email to PRC. All complaints against a professional are forwarded to LID for verification and investigation. Refer to Table 16 on the number of complaints received by LID involving professional CPAs. The complaint process (See Figure 7) follows the PRC </w:t>
      </w:r>
      <w:r w:rsidR="00FF69EC" w:rsidRPr="0075369F">
        <w:rPr>
          <w:rFonts w:asciiTheme="minorHAnsi" w:hAnsiTheme="minorHAnsi"/>
        </w:rPr>
        <w:t xml:space="preserve">Resolution No. </w:t>
      </w:r>
      <w:r w:rsidRPr="0075369F">
        <w:rPr>
          <w:rFonts w:asciiTheme="minorHAnsi" w:hAnsiTheme="minorHAnsi"/>
        </w:rPr>
        <w:t xml:space="preserve">2013-775, the revised rules and regulations governing administrative investigations by the Commission. LID decisions have the force and effect of the decision of a court of law, with the same level of authority as the </w:t>
      </w:r>
      <w:r w:rsidR="00FF69EC" w:rsidRPr="0075369F">
        <w:rPr>
          <w:rFonts w:asciiTheme="minorHAnsi" w:hAnsiTheme="minorHAnsi"/>
        </w:rPr>
        <w:t>regional trial court</w:t>
      </w:r>
      <w:r w:rsidRPr="0075369F">
        <w:rPr>
          <w:rFonts w:asciiTheme="minorHAnsi" w:hAnsiTheme="minorHAnsi"/>
        </w:rPr>
        <w:t>. Decisions can also be appealed following the revised rules and regulations governing administrative investigations by the Commission, but once the appeal period had lapsed, then LID decisions become final and executory. (See table 17 on the summary of decided cases involving CPAs).</w:t>
      </w:r>
      <w:r w:rsidRPr="0075369F">
        <w:rPr>
          <w:rFonts w:asciiTheme="minorHAnsi" w:hAnsiTheme="minorHAnsi"/>
          <w:b/>
        </w:rPr>
        <w:t xml:space="preserve"> </w:t>
      </w:r>
    </w:p>
    <w:p w14:paraId="52257159" w14:textId="77777777" w:rsidR="00881B70" w:rsidRDefault="00881B70" w:rsidP="00881B70">
      <w:pPr>
        <w:pStyle w:val="BodyText4"/>
        <w:numPr>
          <w:ilvl w:val="0"/>
          <w:numId w:val="2"/>
        </w:numPr>
        <w:spacing w:after="200" w:line="276" w:lineRule="auto"/>
        <w:ind w:left="0" w:hanging="567"/>
      </w:pPr>
      <w:r w:rsidRPr="008F1E62">
        <w:rPr>
          <w:rFonts w:ascii="Calibri" w:hAnsi="Calibri"/>
          <w:b/>
        </w:rPr>
        <w:t>PRC LID decisions are not published</w:t>
      </w:r>
      <w:r w:rsidRPr="008F1E62">
        <w:rPr>
          <w:rFonts w:ascii="Calibri" w:hAnsi="Calibri"/>
          <w:b/>
          <w:bCs/>
        </w:rPr>
        <w:t xml:space="preserve">, nor </w:t>
      </w:r>
      <w:r>
        <w:rPr>
          <w:rFonts w:ascii="Calibri" w:hAnsi="Calibri"/>
          <w:b/>
          <w:bCs/>
        </w:rPr>
        <w:t>are</w:t>
      </w:r>
      <w:r w:rsidRPr="008F1E62">
        <w:rPr>
          <w:rFonts w:ascii="Calibri" w:hAnsi="Calibri"/>
          <w:b/>
          <w:bCs/>
        </w:rPr>
        <w:t xml:space="preserve"> suspension or revocation of CPA licenses or accreditations made by the BOA.  </w:t>
      </w:r>
      <w:r>
        <w:rPr>
          <w:rFonts w:ascii="Calibri" w:hAnsi="Calibri"/>
          <w:bCs/>
        </w:rPr>
        <w:t>R</w:t>
      </w:r>
      <w:r w:rsidRPr="008F1E62">
        <w:rPr>
          <w:rFonts w:ascii="Calibri" w:hAnsi="Calibri"/>
          <w:bCs/>
        </w:rPr>
        <w:t>egulators are not notified of the resolution of referrals to PRC LID.  Implementing measures to publish findings and inform regulators is a necessary step in increasing transparency over the profession and strengthening cooperation among regulators.</w:t>
      </w:r>
    </w:p>
    <w:p w14:paraId="5A027B99" w14:textId="656FA04A" w:rsidR="00881B70" w:rsidRDefault="00881B70">
      <w:pPr>
        <w:spacing w:after="160" w:line="259" w:lineRule="auto"/>
        <w:jc w:val="left"/>
        <w:rPr>
          <w:rFonts w:eastAsia="Times New Roman" w:cs="Times New Roman"/>
          <w:b/>
          <w:bCs/>
          <w:szCs w:val="20"/>
        </w:rPr>
      </w:pPr>
      <w:r>
        <w:rPr>
          <w:b/>
          <w:bCs/>
        </w:rPr>
        <w:br w:type="page"/>
      </w:r>
    </w:p>
    <w:tbl>
      <w:tblPr>
        <w:tblStyle w:val="TableGrid"/>
        <w:tblW w:w="0" w:type="auto"/>
        <w:jc w:val="center"/>
        <w:tblCellSpacing w:w="57"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4250"/>
        <w:gridCol w:w="1018"/>
        <w:gridCol w:w="1019"/>
        <w:gridCol w:w="1287"/>
      </w:tblGrid>
      <w:tr w:rsidR="007D2487" w:rsidRPr="00424C0E" w14:paraId="54CEB299" w14:textId="77777777" w:rsidTr="00881B70">
        <w:trPr>
          <w:trHeight w:val="255"/>
          <w:tblHeader/>
          <w:tblCellSpacing w:w="57" w:type="dxa"/>
          <w:jc w:val="center"/>
        </w:trPr>
        <w:tc>
          <w:tcPr>
            <w:tcW w:w="7326" w:type="dxa"/>
            <w:gridSpan w:val="4"/>
            <w:shd w:val="clear" w:color="auto" w:fill="auto"/>
            <w:noWrap/>
          </w:tcPr>
          <w:p w14:paraId="0E0444C3" w14:textId="7DC6785E" w:rsidR="007D2487" w:rsidRPr="00424C0E" w:rsidRDefault="007D2487" w:rsidP="00191DEC">
            <w:pPr>
              <w:spacing w:after="0"/>
              <w:jc w:val="center"/>
              <w:rPr>
                <w:rFonts w:eastAsia="Times New Roman" w:cs="Times New Roman"/>
                <w:b/>
                <w:color w:val="FFFFFF" w:themeColor="background1"/>
                <w:sz w:val="20"/>
                <w:szCs w:val="20"/>
              </w:rPr>
            </w:pPr>
            <w:r w:rsidRPr="00424C0E">
              <w:rPr>
                <w:b/>
                <w:sz w:val="20"/>
                <w:szCs w:val="20"/>
              </w:rPr>
              <w:t xml:space="preserve">Table </w:t>
            </w:r>
            <w:r w:rsidRPr="00424C0E">
              <w:rPr>
                <w:b/>
                <w:sz w:val="20"/>
                <w:szCs w:val="20"/>
              </w:rPr>
              <w:fldChar w:fldCharType="begin"/>
            </w:r>
            <w:r w:rsidRPr="00424C0E">
              <w:rPr>
                <w:b/>
                <w:sz w:val="20"/>
                <w:szCs w:val="20"/>
              </w:rPr>
              <w:instrText xml:space="preserve"> SEQ Table \* ARABIC </w:instrText>
            </w:r>
            <w:r w:rsidRPr="00424C0E">
              <w:rPr>
                <w:b/>
                <w:sz w:val="20"/>
                <w:szCs w:val="20"/>
              </w:rPr>
              <w:fldChar w:fldCharType="separate"/>
            </w:r>
            <w:r w:rsidR="004310EC">
              <w:rPr>
                <w:b/>
                <w:noProof/>
                <w:sz w:val="20"/>
                <w:szCs w:val="20"/>
              </w:rPr>
              <w:t>16</w:t>
            </w:r>
            <w:r w:rsidRPr="00424C0E">
              <w:rPr>
                <w:b/>
                <w:sz w:val="20"/>
                <w:szCs w:val="20"/>
              </w:rPr>
              <w:fldChar w:fldCharType="end"/>
            </w:r>
            <w:r w:rsidRPr="00424C0E">
              <w:rPr>
                <w:b/>
                <w:sz w:val="20"/>
                <w:szCs w:val="20"/>
              </w:rPr>
              <w:t>. Number of Complaints and Investigations involving CPAs lodged with LID</w:t>
            </w:r>
            <w:r w:rsidRPr="00424C0E">
              <w:rPr>
                <w:rStyle w:val="FootnoteReference"/>
                <w:b/>
                <w:sz w:val="20"/>
                <w:szCs w:val="20"/>
              </w:rPr>
              <w:footnoteReference w:id="110"/>
            </w:r>
          </w:p>
        </w:tc>
      </w:tr>
      <w:tr w:rsidR="007D2487" w:rsidRPr="00424C0E" w14:paraId="27E7A13E" w14:textId="77777777" w:rsidTr="00881B70">
        <w:trPr>
          <w:trHeight w:val="255"/>
          <w:tblHeader/>
          <w:tblCellSpacing w:w="57" w:type="dxa"/>
          <w:jc w:val="center"/>
        </w:trPr>
        <w:tc>
          <w:tcPr>
            <w:tcW w:w="4069" w:type="dxa"/>
            <w:shd w:val="clear" w:color="auto" w:fill="4472C4"/>
            <w:noWrap/>
            <w:hideMark/>
          </w:tcPr>
          <w:p w14:paraId="18A6758B" w14:textId="77777777" w:rsidR="007D2487" w:rsidRPr="00424C0E" w:rsidRDefault="007D2487" w:rsidP="00191DEC">
            <w:pPr>
              <w:spacing w:after="0"/>
              <w:jc w:val="left"/>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 xml:space="preserve">Complaint </w:t>
            </w:r>
          </w:p>
        </w:tc>
        <w:tc>
          <w:tcPr>
            <w:tcW w:w="904" w:type="dxa"/>
            <w:shd w:val="clear" w:color="auto" w:fill="4472C4"/>
            <w:noWrap/>
            <w:hideMark/>
          </w:tcPr>
          <w:p w14:paraId="44F826CB" w14:textId="77777777" w:rsidR="007D2487" w:rsidRPr="00424C0E" w:rsidRDefault="007D2487" w:rsidP="00191DEC">
            <w:pPr>
              <w:spacing w:after="0"/>
              <w:jc w:val="left"/>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 xml:space="preserve">Pending </w:t>
            </w:r>
          </w:p>
        </w:tc>
        <w:tc>
          <w:tcPr>
            <w:tcW w:w="905" w:type="dxa"/>
            <w:shd w:val="clear" w:color="auto" w:fill="4472C4"/>
            <w:noWrap/>
            <w:hideMark/>
          </w:tcPr>
          <w:p w14:paraId="7EF516A7" w14:textId="77777777" w:rsidR="007D2487" w:rsidRPr="00424C0E" w:rsidRDefault="007D2487" w:rsidP="00191DEC">
            <w:pPr>
              <w:spacing w:after="0"/>
              <w:jc w:val="left"/>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Decided</w:t>
            </w:r>
          </w:p>
        </w:tc>
        <w:tc>
          <w:tcPr>
            <w:tcW w:w="1106" w:type="dxa"/>
            <w:shd w:val="clear" w:color="auto" w:fill="4472C4"/>
            <w:hideMark/>
          </w:tcPr>
          <w:p w14:paraId="1B730DDD" w14:textId="77777777" w:rsidR="007D2487" w:rsidRPr="00424C0E" w:rsidRDefault="007D2487" w:rsidP="00191DEC">
            <w:pPr>
              <w:spacing w:after="0"/>
              <w:jc w:val="left"/>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TOTAL</w:t>
            </w:r>
          </w:p>
        </w:tc>
      </w:tr>
      <w:tr w:rsidR="007D2487" w:rsidRPr="00424C0E" w14:paraId="7245715A" w14:textId="77777777" w:rsidTr="00881B70">
        <w:trPr>
          <w:trHeight w:val="240"/>
          <w:tblCellSpacing w:w="57" w:type="dxa"/>
          <w:jc w:val="center"/>
        </w:trPr>
        <w:tc>
          <w:tcPr>
            <w:tcW w:w="4069" w:type="dxa"/>
            <w:shd w:val="clear" w:color="auto" w:fill="C6E8D7"/>
            <w:noWrap/>
            <w:hideMark/>
          </w:tcPr>
          <w:p w14:paraId="7C2185B6"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Unprofessional</w:t>
            </w:r>
          </w:p>
        </w:tc>
        <w:tc>
          <w:tcPr>
            <w:tcW w:w="904" w:type="dxa"/>
            <w:shd w:val="clear" w:color="auto" w:fill="C6E8D7"/>
            <w:noWrap/>
            <w:vAlign w:val="center"/>
            <w:hideMark/>
          </w:tcPr>
          <w:p w14:paraId="2D138E2E"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219</w:t>
            </w:r>
          </w:p>
        </w:tc>
        <w:tc>
          <w:tcPr>
            <w:tcW w:w="905" w:type="dxa"/>
            <w:shd w:val="clear" w:color="auto" w:fill="C6E8D7"/>
            <w:noWrap/>
            <w:vAlign w:val="center"/>
            <w:hideMark/>
          </w:tcPr>
          <w:p w14:paraId="62424650"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225</w:t>
            </w:r>
          </w:p>
        </w:tc>
        <w:tc>
          <w:tcPr>
            <w:tcW w:w="1106" w:type="dxa"/>
            <w:shd w:val="clear" w:color="auto" w:fill="C6E8D7"/>
            <w:noWrap/>
            <w:vAlign w:val="center"/>
            <w:hideMark/>
          </w:tcPr>
          <w:p w14:paraId="23904F78"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444</w:t>
            </w:r>
          </w:p>
        </w:tc>
      </w:tr>
      <w:tr w:rsidR="007D2487" w:rsidRPr="00424C0E" w14:paraId="7C3552E0" w14:textId="77777777" w:rsidTr="00881B70">
        <w:trPr>
          <w:trHeight w:val="240"/>
          <w:tblCellSpacing w:w="57" w:type="dxa"/>
          <w:jc w:val="center"/>
        </w:trPr>
        <w:tc>
          <w:tcPr>
            <w:tcW w:w="4069" w:type="dxa"/>
            <w:shd w:val="clear" w:color="auto" w:fill="C6E8D7"/>
            <w:noWrap/>
            <w:hideMark/>
          </w:tcPr>
          <w:p w14:paraId="6D1A83D3"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Unethical</w:t>
            </w:r>
          </w:p>
        </w:tc>
        <w:tc>
          <w:tcPr>
            <w:tcW w:w="904" w:type="dxa"/>
            <w:shd w:val="clear" w:color="auto" w:fill="C6E8D7"/>
            <w:noWrap/>
            <w:vAlign w:val="center"/>
            <w:hideMark/>
          </w:tcPr>
          <w:p w14:paraId="2D4038DA"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4</w:t>
            </w:r>
          </w:p>
        </w:tc>
        <w:tc>
          <w:tcPr>
            <w:tcW w:w="905" w:type="dxa"/>
            <w:shd w:val="clear" w:color="auto" w:fill="C6E8D7"/>
            <w:noWrap/>
            <w:vAlign w:val="center"/>
            <w:hideMark/>
          </w:tcPr>
          <w:p w14:paraId="13D1DF23"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23</w:t>
            </w:r>
          </w:p>
        </w:tc>
        <w:tc>
          <w:tcPr>
            <w:tcW w:w="1106" w:type="dxa"/>
            <w:shd w:val="clear" w:color="auto" w:fill="C6E8D7"/>
            <w:noWrap/>
            <w:vAlign w:val="center"/>
            <w:hideMark/>
          </w:tcPr>
          <w:p w14:paraId="7569F051"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27</w:t>
            </w:r>
          </w:p>
        </w:tc>
      </w:tr>
      <w:tr w:rsidR="007D2487" w:rsidRPr="00424C0E" w14:paraId="7281278F" w14:textId="77777777" w:rsidTr="00881B70">
        <w:trPr>
          <w:trHeight w:val="240"/>
          <w:tblCellSpacing w:w="57" w:type="dxa"/>
          <w:jc w:val="center"/>
        </w:trPr>
        <w:tc>
          <w:tcPr>
            <w:tcW w:w="4069" w:type="dxa"/>
            <w:shd w:val="clear" w:color="auto" w:fill="C6E8D7"/>
            <w:noWrap/>
            <w:hideMark/>
          </w:tcPr>
          <w:p w14:paraId="24B95A88"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Immorality</w:t>
            </w:r>
          </w:p>
        </w:tc>
        <w:tc>
          <w:tcPr>
            <w:tcW w:w="904" w:type="dxa"/>
            <w:shd w:val="clear" w:color="auto" w:fill="C6E8D7"/>
            <w:noWrap/>
            <w:vAlign w:val="center"/>
            <w:hideMark/>
          </w:tcPr>
          <w:p w14:paraId="75D2D052"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21</w:t>
            </w:r>
          </w:p>
        </w:tc>
        <w:tc>
          <w:tcPr>
            <w:tcW w:w="905" w:type="dxa"/>
            <w:shd w:val="clear" w:color="auto" w:fill="C6E8D7"/>
            <w:noWrap/>
            <w:vAlign w:val="center"/>
            <w:hideMark/>
          </w:tcPr>
          <w:p w14:paraId="338ECD7B"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92</w:t>
            </w:r>
          </w:p>
        </w:tc>
        <w:tc>
          <w:tcPr>
            <w:tcW w:w="1106" w:type="dxa"/>
            <w:shd w:val="clear" w:color="auto" w:fill="C6E8D7"/>
            <w:noWrap/>
            <w:vAlign w:val="center"/>
            <w:hideMark/>
          </w:tcPr>
          <w:p w14:paraId="086DAC8C"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113</w:t>
            </w:r>
          </w:p>
        </w:tc>
      </w:tr>
      <w:tr w:rsidR="007D2487" w:rsidRPr="00424C0E" w14:paraId="62FFF35C" w14:textId="77777777" w:rsidTr="00881B70">
        <w:trPr>
          <w:trHeight w:val="240"/>
          <w:tblCellSpacing w:w="57" w:type="dxa"/>
          <w:jc w:val="center"/>
        </w:trPr>
        <w:tc>
          <w:tcPr>
            <w:tcW w:w="4069" w:type="dxa"/>
            <w:shd w:val="clear" w:color="auto" w:fill="C6E8D7"/>
            <w:hideMark/>
          </w:tcPr>
          <w:p w14:paraId="5FD79BB3"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Negligence, incompetence, malpractice</w:t>
            </w:r>
          </w:p>
        </w:tc>
        <w:tc>
          <w:tcPr>
            <w:tcW w:w="904" w:type="dxa"/>
            <w:shd w:val="clear" w:color="auto" w:fill="C6E8D7"/>
            <w:noWrap/>
            <w:vAlign w:val="center"/>
            <w:hideMark/>
          </w:tcPr>
          <w:p w14:paraId="6D7CFA84"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3</w:t>
            </w:r>
          </w:p>
        </w:tc>
        <w:tc>
          <w:tcPr>
            <w:tcW w:w="905" w:type="dxa"/>
            <w:shd w:val="clear" w:color="auto" w:fill="C6E8D7"/>
            <w:noWrap/>
            <w:vAlign w:val="center"/>
            <w:hideMark/>
          </w:tcPr>
          <w:p w14:paraId="6EA387A5"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4</w:t>
            </w:r>
          </w:p>
        </w:tc>
        <w:tc>
          <w:tcPr>
            <w:tcW w:w="1106" w:type="dxa"/>
            <w:shd w:val="clear" w:color="auto" w:fill="C6E8D7"/>
            <w:noWrap/>
            <w:vAlign w:val="center"/>
            <w:hideMark/>
          </w:tcPr>
          <w:p w14:paraId="1297C226"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7</w:t>
            </w:r>
          </w:p>
        </w:tc>
      </w:tr>
      <w:tr w:rsidR="007D2487" w:rsidRPr="00424C0E" w14:paraId="42349596" w14:textId="77777777" w:rsidTr="00881B70">
        <w:trPr>
          <w:trHeight w:val="240"/>
          <w:tblCellSpacing w:w="57" w:type="dxa"/>
          <w:jc w:val="center"/>
        </w:trPr>
        <w:tc>
          <w:tcPr>
            <w:tcW w:w="4069" w:type="dxa"/>
            <w:shd w:val="clear" w:color="auto" w:fill="C6E8D7"/>
            <w:hideMark/>
          </w:tcPr>
          <w:p w14:paraId="1027FC2C"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Grave misconduct, dishonesty, falsification</w:t>
            </w:r>
          </w:p>
        </w:tc>
        <w:tc>
          <w:tcPr>
            <w:tcW w:w="904" w:type="dxa"/>
            <w:shd w:val="clear" w:color="auto" w:fill="C6E8D7"/>
            <w:noWrap/>
            <w:vAlign w:val="center"/>
            <w:hideMark/>
          </w:tcPr>
          <w:p w14:paraId="6901DF1A"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1</w:t>
            </w:r>
          </w:p>
        </w:tc>
        <w:tc>
          <w:tcPr>
            <w:tcW w:w="905" w:type="dxa"/>
            <w:shd w:val="clear" w:color="auto" w:fill="C6E8D7"/>
            <w:noWrap/>
            <w:vAlign w:val="center"/>
            <w:hideMark/>
          </w:tcPr>
          <w:p w14:paraId="07D8CE5A"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3</w:t>
            </w:r>
          </w:p>
        </w:tc>
        <w:tc>
          <w:tcPr>
            <w:tcW w:w="1106" w:type="dxa"/>
            <w:shd w:val="clear" w:color="auto" w:fill="C6E8D7"/>
            <w:noWrap/>
            <w:vAlign w:val="center"/>
            <w:hideMark/>
          </w:tcPr>
          <w:p w14:paraId="2371075F"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4</w:t>
            </w:r>
          </w:p>
        </w:tc>
      </w:tr>
      <w:tr w:rsidR="007D2487" w:rsidRPr="00424C0E" w14:paraId="6D086529" w14:textId="77777777" w:rsidTr="00881B70">
        <w:trPr>
          <w:trHeight w:val="240"/>
          <w:tblCellSpacing w:w="57" w:type="dxa"/>
          <w:jc w:val="center"/>
        </w:trPr>
        <w:tc>
          <w:tcPr>
            <w:tcW w:w="4069" w:type="dxa"/>
            <w:shd w:val="clear" w:color="auto" w:fill="C6E8D7"/>
            <w:noWrap/>
            <w:hideMark/>
          </w:tcPr>
          <w:p w14:paraId="765B7FAB"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Conviction of a crime involving moral turpitude</w:t>
            </w:r>
          </w:p>
        </w:tc>
        <w:tc>
          <w:tcPr>
            <w:tcW w:w="904" w:type="dxa"/>
            <w:shd w:val="clear" w:color="auto" w:fill="C6E8D7"/>
            <w:noWrap/>
            <w:vAlign w:val="center"/>
            <w:hideMark/>
          </w:tcPr>
          <w:p w14:paraId="2F3DBDB5"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0</w:t>
            </w:r>
          </w:p>
        </w:tc>
        <w:tc>
          <w:tcPr>
            <w:tcW w:w="905" w:type="dxa"/>
            <w:shd w:val="clear" w:color="auto" w:fill="C6E8D7"/>
            <w:noWrap/>
            <w:vAlign w:val="center"/>
            <w:hideMark/>
          </w:tcPr>
          <w:p w14:paraId="6EA38285"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1</w:t>
            </w:r>
          </w:p>
        </w:tc>
        <w:tc>
          <w:tcPr>
            <w:tcW w:w="1106" w:type="dxa"/>
            <w:shd w:val="clear" w:color="auto" w:fill="C6E8D7"/>
            <w:noWrap/>
            <w:vAlign w:val="center"/>
            <w:hideMark/>
          </w:tcPr>
          <w:p w14:paraId="11D32A3F"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1</w:t>
            </w:r>
          </w:p>
        </w:tc>
      </w:tr>
      <w:tr w:rsidR="007D2487" w:rsidRPr="00424C0E" w14:paraId="1802C0C5" w14:textId="77777777" w:rsidTr="00881B70">
        <w:trPr>
          <w:trHeight w:val="240"/>
          <w:tblCellSpacing w:w="57" w:type="dxa"/>
          <w:jc w:val="center"/>
        </w:trPr>
        <w:tc>
          <w:tcPr>
            <w:tcW w:w="4069" w:type="dxa"/>
            <w:shd w:val="clear" w:color="auto" w:fill="C6E8D7"/>
            <w:noWrap/>
            <w:hideMark/>
          </w:tcPr>
          <w:p w14:paraId="761DD186"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Violation of the accountancy law</w:t>
            </w:r>
          </w:p>
        </w:tc>
        <w:tc>
          <w:tcPr>
            <w:tcW w:w="904" w:type="dxa"/>
            <w:shd w:val="clear" w:color="auto" w:fill="C6E8D7"/>
            <w:noWrap/>
            <w:vAlign w:val="center"/>
            <w:hideMark/>
          </w:tcPr>
          <w:p w14:paraId="70FBF6CA"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0</w:t>
            </w:r>
          </w:p>
        </w:tc>
        <w:tc>
          <w:tcPr>
            <w:tcW w:w="905" w:type="dxa"/>
            <w:shd w:val="clear" w:color="auto" w:fill="C6E8D7"/>
            <w:noWrap/>
            <w:vAlign w:val="center"/>
            <w:hideMark/>
          </w:tcPr>
          <w:p w14:paraId="0D379FFE"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3</w:t>
            </w:r>
          </w:p>
        </w:tc>
        <w:tc>
          <w:tcPr>
            <w:tcW w:w="1106" w:type="dxa"/>
            <w:shd w:val="clear" w:color="auto" w:fill="C6E8D7"/>
            <w:noWrap/>
            <w:vAlign w:val="center"/>
            <w:hideMark/>
          </w:tcPr>
          <w:p w14:paraId="2A018973"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3</w:t>
            </w:r>
          </w:p>
        </w:tc>
      </w:tr>
      <w:tr w:rsidR="007D2487" w:rsidRPr="00424C0E" w14:paraId="5420368E" w14:textId="77777777" w:rsidTr="00881B70">
        <w:trPr>
          <w:trHeight w:val="240"/>
          <w:tblCellSpacing w:w="57" w:type="dxa"/>
          <w:jc w:val="center"/>
        </w:trPr>
        <w:tc>
          <w:tcPr>
            <w:tcW w:w="4069" w:type="dxa"/>
            <w:shd w:val="clear" w:color="auto" w:fill="C6E8D7"/>
            <w:noWrap/>
            <w:hideMark/>
          </w:tcPr>
          <w:p w14:paraId="3CA9FDB0"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Violation of general instruction to examinees</w:t>
            </w:r>
          </w:p>
        </w:tc>
        <w:tc>
          <w:tcPr>
            <w:tcW w:w="904" w:type="dxa"/>
            <w:shd w:val="clear" w:color="auto" w:fill="C6E8D7"/>
            <w:noWrap/>
            <w:vAlign w:val="center"/>
            <w:hideMark/>
          </w:tcPr>
          <w:p w14:paraId="607624A6"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4</w:t>
            </w:r>
          </w:p>
        </w:tc>
        <w:tc>
          <w:tcPr>
            <w:tcW w:w="905" w:type="dxa"/>
            <w:shd w:val="clear" w:color="auto" w:fill="C6E8D7"/>
            <w:noWrap/>
            <w:vAlign w:val="center"/>
            <w:hideMark/>
          </w:tcPr>
          <w:p w14:paraId="2F68DABC"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3</w:t>
            </w:r>
          </w:p>
        </w:tc>
        <w:tc>
          <w:tcPr>
            <w:tcW w:w="1106" w:type="dxa"/>
            <w:shd w:val="clear" w:color="auto" w:fill="C6E8D7"/>
            <w:noWrap/>
            <w:vAlign w:val="center"/>
            <w:hideMark/>
          </w:tcPr>
          <w:p w14:paraId="649C1D62"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7</w:t>
            </w:r>
          </w:p>
        </w:tc>
      </w:tr>
      <w:tr w:rsidR="007D2487" w:rsidRPr="00424C0E" w14:paraId="4536666A" w14:textId="77777777" w:rsidTr="00881B70">
        <w:trPr>
          <w:trHeight w:val="14"/>
          <w:tblCellSpacing w:w="57" w:type="dxa"/>
          <w:jc w:val="center"/>
        </w:trPr>
        <w:tc>
          <w:tcPr>
            <w:tcW w:w="4069" w:type="dxa"/>
            <w:shd w:val="clear" w:color="auto" w:fill="C6E8D7"/>
            <w:noWrap/>
            <w:hideMark/>
          </w:tcPr>
          <w:p w14:paraId="72D9CC63" w14:textId="77777777" w:rsidR="007D2487" w:rsidRPr="00424C0E" w:rsidRDefault="007D2487" w:rsidP="00191DEC">
            <w:pPr>
              <w:spacing w:after="0"/>
              <w:jc w:val="left"/>
              <w:rPr>
                <w:rFonts w:eastAsia="Times New Roman" w:cs="Times New Roman"/>
                <w:color w:val="000000"/>
                <w:sz w:val="20"/>
                <w:szCs w:val="20"/>
              </w:rPr>
            </w:pPr>
            <w:r w:rsidRPr="00424C0E">
              <w:rPr>
                <w:rFonts w:eastAsia="Times New Roman" w:cs="Times New Roman"/>
                <w:color w:val="000000"/>
                <w:sz w:val="20"/>
                <w:szCs w:val="20"/>
              </w:rPr>
              <w:t>Undocketed</w:t>
            </w:r>
          </w:p>
        </w:tc>
        <w:tc>
          <w:tcPr>
            <w:tcW w:w="904" w:type="dxa"/>
            <w:shd w:val="clear" w:color="auto" w:fill="C6E8D7"/>
            <w:noWrap/>
            <w:vAlign w:val="center"/>
            <w:hideMark/>
          </w:tcPr>
          <w:p w14:paraId="2882D3E6"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1</w:t>
            </w:r>
          </w:p>
        </w:tc>
        <w:tc>
          <w:tcPr>
            <w:tcW w:w="905" w:type="dxa"/>
            <w:shd w:val="clear" w:color="auto" w:fill="C6E8D7"/>
            <w:noWrap/>
            <w:vAlign w:val="center"/>
            <w:hideMark/>
          </w:tcPr>
          <w:p w14:paraId="3E07E19E" w14:textId="77777777" w:rsidR="007D2487" w:rsidRPr="00424C0E" w:rsidRDefault="007D2487" w:rsidP="00191DEC">
            <w:pPr>
              <w:spacing w:after="0"/>
              <w:jc w:val="center"/>
              <w:rPr>
                <w:rFonts w:eastAsia="Times New Roman" w:cs="Times New Roman"/>
                <w:color w:val="000000"/>
                <w:sz w:val="20"/>
                <w:szCs w:val="20"/>
              </w:rPr>
            </w:pPr>
            <w:r w:rsidRPr="00424C0E">
              <w:rPr>
                <w:rFonts w:eastAsia="Times New Roman" w:cs="Times New Roman"/>
                <w:color w:val="000000"/>
                <w:sz w:val="20"/>
                <w:szCs w:val="20"/>
              </w:rPr>
              <w:t>0</w:t>
            </w:r>
          </w:p>
        </w:tc>
        <w:tc>
          <w:tcPr>
            <w:tcW w:w="1106" w:type="dxa"/>
            <w:shd w:val="clear" w:color="auto" w:fill="C6E8D7"/>
            <w:noWrap/>
            <w:vAlign w:val="center"/>
            <w:hideMark/>
          </w:tcPr>
          <w:p w14:paraId="4F6733AD" w14:textId="77777777" w:rsidR="007D2487" w:rsidRPr="00424C0E" w:rsidRDefault="007D2487" w:rsidP="00191DEC">
            <w:pPr>
              <w:spacing w:after="0"/>
              <w:jc w:val="center"/>
              <w:rPr>
                <w:rFonts w:eastAsia="Times New Roman" w:cs="Times New Roman"/>
                <w:b/>
                <w:color w:val="000000"/>
                <w:sz w:val="20"/>
                <w:szCs w:val="20"/>
              </w:rPr>
            </w:pPr>
            <w:r w:rsidRPr="00424C0E">
              <w:rPr>
                <w:rFonts w:eastAsia="Times New Roman" w:cs="Times New Roman"/>
                <w:b/>
                <w:color w:val="000000"/>
                <w:sz w:val="20"/>
                <w:szCs w:val="20"/>
              </w:rPr>
              <w:t>1</w:t>
            </w:r>
          </w:p>
        </w:tc>
      </w:tr>
      <w:tr w:rsidR="007D2487" w:rsidRPr="00424C0E" w14:paraId="23216012" w14:textId="77777777" w:rsidTr="00881B70">
        <w:trPr>
          <w:trHeight w:val="240"/>
          <w:tblCellSpacing w:w="57" w:type="dxa"/>
          <w:jc w:val="center"/>
        </w:trPr>
        <w:tc>
          <w:tcPr>
            <w:tcW w:w="4069" w:type="dxa"/>
            <w:shd w:val="clear" w:color="auto" w:fill="4472C4"/>
            <w:hideMark/>
          </w:tcPr>
          <w:p w14:paraId="5303BFEE" w14:textId="77777777" w:rsidR="007D2487" w:rsidRPr="00424C0E" w:rsidRDefault="007D2487" w:rsidP="00191DEC">
            <w:pPr>
              <w:spacing w:after="0"/>
              <w:jc w:val="left"/>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Total</w:t>
            </w:r>
          </w:p>
        </w:tc>
        <w:tc>
          <w:tcPr>
            <w:tcW w:w="904" w:type="dxa"/>
            <w:shd w:val="clear" w:color="auto" w:fill="4472C4"/>
            <w:noWrap/>
            <w:vAlign w:val="center"/>
            <w:hideMark/>
          </w:tcPr>
          <w:p w14:paraId="51E6FBFB" w14:textId="77777777" w:rsidR="007D2487" w:rsidRPr="00424C0E" w:rsidRDefault="007D2487" w:rsidP="00191DEC">
            <w:pPr>
              <w:spacing w:after="0"/>
              <w:jc w:val="center"/>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253</w:t>
            </w:r>
          </w:p>
        </w:tc>
        <w:tc>
          <w:tcPr>
            <w:tcW w:w="905" w:type="dxa"/>
            <w:shd w:val="clear" w:color="auto" w:fill="4472C4"/>
            <w:noWrap/>
            <w:vAlign w:val="center"/>
            <w:hideMark/>
          </w:tcPr>
          <w:p w14:paraId="255DA2F4" w14:textId="77777777" w:rsidR="007D2487" w:rsidRPr="00424C0E" w:rsidRDefault="007D2487" w:rsidP="00191DEC">
            <w:pPr>
              <w:spacing w:after="0"/>
              <w:jc w:val="center"/>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354</w:t>
            </w:r>
          </w:p>
        </w:tc>
        <w:tc>
          <w:tcPr>
            <w:tcW w:w="1106" w:type="dxa"/>
            <w:shd w:val="clear" w:color="auto" w:fill="4472C4"/>
            <w:noWrap/>
            <w:vAlign w:val="center"/>
            <w:hideMark/>
          </w:tcPr>
          <w:p w14:paraId="14412B28" w14:textId="77777777" w:rsidR="007D2487" w:rsidRPr="00424C0E" w:rsidRDefault="007D2487" w:rsidP="00191DEC">
            <w:pPr>
              <w:spacing w:after="0"/>
              <w:jc w:val="center"/>
              <w:rPr>
                <w:rFonts w:eastAsia="Times New Roman" w:cs="Times New Roman"/>
                <w:b/>
                <w:color w:val="FFFFFF" w:themeColor="background1"/>
                <w:sz w:val="20"/>
                <w:szCs w:val="20"/>
              </w:rPr>
            </w:pPr>
            <w:r w:rsidRPr="00424C0E">
              <w:rPr>
                <w:rFonts w:eastAsia="Times New Roman" w:cs="Times New Roman"/>
                <w:b/>
                <w:color w:val="FFFFFF" w:themeColor="background1"/>
                <w:sz w:val="20"/>
                <w:szCs w:val="20"/>
              </w:rPr>
              <w:t>607</w:t>
            </w:r>
          </w:p>
        </w:tc>
      </w:tr>
    </w:tbl>
    <w:p w14:paraId="33CEA05B" w14:textId="77777777" w:rsidR="007D2487" w:rsidRPr="0075369F" w:rsidRDefault="007D2487" w:rsidP="007D2487">
      <w:pPr>
        <w:pStyle w:val="BodyText4"/>
        <w:spacing w:after="200" w:line="276" w:lineRule="auto"/>
        <w:rPr>
          <w:rFonts w:asciiTheme="minorHAnsi" w:hAnsiTheme="minorHAnsi"/>
        </w:rPr>
      </w:pPr>
    </w:p>
    <w:tbl>
      <w:tblPr>
        <w:tblStyle w:val="TableGrid"/>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9728F1" w14:paraId="358A37DC" w14:textId="77777777" w:rsidTr="007D2487">
        <w:tc>
          <w:tcPr>
            <w:tcW w:w="9016" w:type="dxa"/>
            <w:shd w:val="clear" w:color="auto" w:fill="4472C4"/>
            <w:vAlign w:val="center"/>
          </w:tcPr>
          <w:p w14:paraId="64D0B3AF" w14:textId="56A3940F" w:rsidR="009728F1" w:rsidRPr="00424C0E" w:rsidRDefault="009728F1" w:rsidP="00147FA6">
            <w:pPr>
              <w:pStyle w:val="Caption"/>
              <w:spacing w:before="0" w:after="0" w:line="276" w:lineRule="auto"/>
              <w:jc w:val="center"/>
              <w:rPr>
                <w:color w:val="FFFFFF" w:themeColor="background1"/>
                <w:sz w:val="20"/>
                <w:szCs w:val="24"/>
                <w:lang w:val="en-US"/>
              </w:rPr>
            </w:pPr>
            <w:r w:rsidRPr="00424C0E">
              <w:rPr>
                <w:color w:val="FFFFFF" w:themeColor="background1"/>
                <w:sz w:val="20"/>
                <w:szCs w:val="24"/>
                <w:lang w:val="en-US"/>
              </w:rPr>
              <w:t xml:space="preserve">Figure </w:t>
            </w:r>
            <w:r w:rsidRPr="00424C0E">
              <w:rPr>
                <w:color w:val="FFFFFF" w:themeColor="background1"/>
                <w:sz w:val="20"/>
                <w:szCs w:val="24"/>
                <w:lang w:val="en-US"/>
              </w:rPr>
              <w:fldChar w:fldCharType="begin"/>
            </w:r>
            <w:r w:rsidRPr="00424C0E">
              <w:rPr>
                <w:color w:val="FFFFFF" w:themeColor="background1"/>
                <w:sz w:val="20"/>
                <w:szCs w:val="24"/>
                <w:lang w:val="en-US"/>
              </w:rPr>
              <w:instrText xml:space="preserve"> SEQ Figure \* ARABIC </w:instrText>
            </w:r>
            <w:r w:rsidRPr="00424C0E">
              <w:rPr>
                <w:color w:val="FFFFFF" w:themeColor="background1"/>
                <w:sz w:val="20"/>
                <w:szCs w:val="24"/>
                <w:lang w:val="en-US"/>
              </w:rPr>
              <w:fldChar w:fldCharType="separate"/>
            </w:r>
            <w:r w:rsidR="004310EC">
              <w:rPr>
                <w:noProof/>
                <w:color w:val="FFFFFF" w:themeColor="background1"/>
                <w:sz w:val="20"/>
                <w:szCs w:val="24"/>
                <w:lang w:val="en-US"/>
              </w:rPr>
              <w:t>7</w:t>
            </w:r>
            <w:r w:rsidRPr="00424C0E">
              <w:rPr>
                <w:color w:val="FFFFFF" w:themeColor="background1"/>
                <w:sz w:val="20"/>
                <w:szCs w:val="24"/>
                <w:lang w:val="en-US"/>
              </w:rPr>
              <w:fldChar w:fldCharType="end"/>
            </w:r>
            <w:r w:rsidRPr="00424C0E">
              <w:rPr>
                <w:color w:val="FFFFFF" w:themeColor="background1"/>
                <w:sz w:val="20"/>
                <w:szCs w:val="24"/>
                <w:lang w:val="en-US"/>
              </w:rPr>
              <w:t xml:space="preserve">. PRC complaint process involving CPAs </w:t>
            </w:r>
          </w:p>
        </w:tc>
      </w:tr>
      <w:tr w:rsidR="009728F1" w14:paraId="65F21B21" w14:textId="77777777" w:rsidTr="007D2487">
        <w:tc>
          <w:tcPr>
            <w:tcW w:w="9016" w:type="dxa"/>
            <w:shd w:val="clear" w:color="auto" w:fill="auto"/>
            <w:vAlign w:val="center"/>
          </w:tcPr>
          <w:p w14:paraId="128DD35C" w14:textId="0D402F9A" w:rsidR="009728F1" w:rsidRDefault="009728F1" w:rsidP="009728F1">
            <w:pPr>
              <w:pStyle w:val="BodyText4"/>
              <w:spacing w:before="100" w:line="276" w:lineRule="auto"/>
              <w:rPr>
                <w:rFonts w:asciiTheme="minorHAnsi" w:hAnsiTheme="minorHAnsi"/>
                <w:b/>
              </w:rPr>
            </w:pPr>
            <w:r w:rsidRPr="008F1E62">
              <w:rPr>
                <w:noProof/>
                <w:sz w:val="20"/>
              </w:rPr>
              <w:drawing>
                <wp:inline distT="0" distB="0" distL="0" distR="0" wp14:anchorId="5C7AA78F" wp14:editId="22F29E8E">
                  <wp:extent cx="5545777" cy="2778760"/>
                  <wp:effectExtent l="38100" t="0" r="17145"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r w:rsidR="009728F1" w14:paraId="05DF2542" w14:textId="77777777" w:rsidTr="007D2487">
        <w:tc>
          <w:tcPr>
            <w:tcW w:w="9016" w:type="dxa"/>
            <w:shd w:val="clear" w:color="auto" w:fill="4472C4"/>
            <w:vAlign w:val="center"/>
          </w:tcPr>
          <w:p w14:paraId="1407AF5C" w14:textId="77777777" w:rsidR="009728F1" w:rsidRPr="00FA75F2" w:rsidRDefault="009728F1" w:rsidP="00147FA6">
            <w:pPr>
              <w:pStyle w:val="BodyText4"/>
              <w:spacing w:line="276" w:lineRule="auto"/>
              <w:jc w:val="center"/>
              <w:rPr>
                <w:rFonts w:asciiTheme="minorHAnsi" w:hAnsiTheme="minorHAnsi"/>
                <w:noProof/>
                <w:sz w:val="10"/>
                <w:szCs w:val="10"/>
              </w:rPr>
            </w:pPr>
          </w:p>
        </w:tc>
      </w:tr>
    </w:tbl>
    <w:p w14:paraId="00EE708A" w14:textId="7B611680" w:rsidR="00F76E53" w:rsidRPr="00A92C9A" w:rsidRDefault="00F76E53" w:rsidP="00A92C9A">
      <w:pPr>
        <w:pStyle w:val="Heading2"/>
      </w:pPr>
      <w:bookmarkStart w:id="40" w:name="_Toc499825584"/>
      <w:r w:rsidRPr="00A92C9A">
        <w:t>Observed Reporting Practices and Perceptions</w:t>
      </w:r>
      <w:bookmarkEnd w:id="40"/>
    </w:p>
    <w:p w14:paraId="56601BCC" w14:textId="77777777" w:rsidR="00F76E53" w:rsidRPr="008F1E62" w:rsidRDefault="00F76E53" w:rsidP="0077686B">
      <w:pPr>
        <w:pStyle w:val="Heading3"/>
      </w:pPr>
      <w:r w:rsidRPr="008F1E62">
        <w:t>Review of Financial Statements</w:t>
      </w:r>
    </w:p>
    <w:p w14:paraId="40174DC2" w14:textId="77777777" w:rsidR="00F76E53" w:rsidRPr="008F1E62" w:rsidRDefault="00F76E53" w:rsidP="00881B70">
      <w:pPr>
        <w:pStyle w:val="BodyText4"/>
        <w:numPr>
          <w:ilvl w:val="0"/>
          <w:numId w:val="2"/>
        </w:numPr>
        <w:spacing w:after="100" w:line="276" w:lineRule="auto"/>
        <w:ind w:left="0" w:hanging="562"/>
        <w:rPr>
          <w:rFonts w:asciiTheme="minorHAnsi" w:hAnsiTheme="minorHAnsi"/>
        </w:rPr>
      </w:pPr>
      <w:r w:rsidRPr="008F1E62">
        <w:rPr>
          <w:rFonts w:asciiTheme="minorHAnsi" w:hAnsiTheme="minorHAnsi"/>
          <w:b/>
          <w:bCs/>
        </w:rPr>
        <w:t xml:space="preserve">A sample of financial statements recently issued in the jurisdiction were reviewed to </w:t>
      </w:r>
      <w:r w:rsidRPr="008F1E62">
        <w:rPr>
          <w:rFonts w:ascii="Calibri" w:hAnsi="Calibri"/>
          <w:b/>
          <w:bCs/>
        </w:rPr>
        <w:t>determine whether the statements largely align with the expected presentation and disclosure requirements of the applicable financial reporting framework and have been prepared without significant errors or omissions</w:t>
      </w:r>
      <w:r w:rsidRPr="008F1E62">
        <w:rPr>
          <w:rFonts w:asciiTheme="minorHAnsi" w:hAnsiTheme="minorHAnsi"/>
        </w:rPr>
        <w:t xml:space="preserve">. All selected companies are subject to the annual statutory audit and all prepared their financial statements in accordance with PFRS or PFRS for SMEs.  In addition, companies were selected to assure a diversity of entity types and auditors, including each of the Big Four affiliates; other international network firms; and domestic firms.  The inferences drawn from the review should be considered with a degree of caution given the limited sample size, as well as the inherent limitations in attempting to gauge compliance without performing an independent audit. </w:t>
      </w:r>
      <w:r w:rsidRPr="008F1E62">
        <w:rPr>
          <w:rFonts w:ascii="Calibri" w:hAnsi="Calibri"/>
          <w:color w:val="000000" w:themeColor="text1"/>
        </w:rPr>
        <w:t>This ROSC A&amp;A assessed the compliance gap by reviewing a sample of 28 sets of financial statements purported to be prepared in accordance with PFRS</w:t>
      </w:r>
      <w:r w:rsidRPr="008F1E62">
        <w:rPr>
          <w:rStyle w:val="FootnoteReference"/>
          <w:rFonts w:ascii="Calibri" w:hAnsi="Calibri"/>
          <w:color w:val="000000" w:themeColor="text1"/>
        </w:rPr>
        <w:footnoteReference w:id="111"/>
      </w:r>
      <w:r w:rsidRPr="008F1E62">
        <w:rPr>
          <w:rFonts w:ascii="Calibri" w:hAnsi="Calibri"/>
          <w:color w:val="000000" w:themeColor="text1"/>
        </w:rPr>
        <w:t xml:space="preserve"> including:</w:t>
      </w:r>
    </w:p>
    <w:p w14:paraId="590ED8F4"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color w:val="000000" w:themeColor="text1"/>
          <w:kern w:val="1"/>
        </w:rPr>
        <w:t xml:space="preserve">six </w:t>
      </w:r>
      <w:r w:rsidR="001E1246" w:rsidRPr="008F1E62">
        <w:rPr>
          <w:rFonts w:asciiTheme="minorHAnsi" w:hAnsiTheme="minorHAnsi" w:cs="Calibri"/>
        </w:rPr>
        <w:t>banks</w:t>
      </w:r>
      <w:r w:rsidR="004825E4">
        <w:rPr>
          <w:rStyle w:val="FootnoteReference"/>
          <w:rFonts w:asciiTheme="minorHAnsi" w:hAnsiTheme="minorHAnsi" w:cs="Calibri"/>
        </w:rPr>
        <w:footnoteReference w:id="112"/>
      </w:r>
      <w:r w:rsidR="001E1246" w:rsidRPr="008F1E62">
        <w:rPr>
          <w:rFonts w:ascii="Calibri" w:hAnsi="Calibri" w:cs="Times New Roman"/>
          <w:color w:val="000000" w:themeColor="text1"/>
        </w:rPr>
        <w:t xml:space="preserve"> </w:t>
      </w:r>
      <w:r w:rsidR="00D82424" w:rsidRPr="008F1E62">
        <w:rPr>
          <w:rFonts w:ascii="Calibri" w:hAnsi="Calibri" w:cs="Times New Roman"/>
          <w:color w:val="000000" w:themeColor="text1"/>
        </w:rPr>
        <w:t>(including</w:t>
      </w:r>
      <w:r w:rsidR="0088108F" w:rsidRPr="0088108F">
        <w:t xml:space="preserve"> </w:t>
      </w:r>
      <w:r w:rsidR="0088108F" w:rsidRPr="0088108F">
        <w:rPr>
          <w:rFonts w:ascii="Calibri" w:hAnsi="Calibri" w:cs="Times New Roman"/>
          <w:color w:val="000000" w:themeColor="text1"/>
        </w:rPr>
        <w:t xml:space="preserve">one </w:t>
      </w:r>
      <w:r w:rsidR="00D82424" w:rsidRPr="008F1E62">
        <w:rPr>
          <w:rFonts w:ascii="Calibri" w:hAnsi="Calibri" w:cs="Times New Roman"/>
          <w:color w:val="000000" w:themeColor="text1"/>
        </w:rPr>
        <w:t>big GOCC</w:t>
      </w:r>
      <w:r w:rsidRPr="008F1E62">
        <w:rPr>
          <w:rFonts w:ascii="Calibri" w:hAnsi="Calibri" w:cs="Times New Roman"/>
          <w:color w:val="000000" w:themeColor="text1"/>
        </w:rPr>
        <w:t>):</w:t>
      </w:r>
      <w:r w:rsidR="003B13B2" w:rsidRPr="003B13B2">
        <w:t xml:space="preserve"> </w:t>
      </w:r>
      <w:r w:rsidR="003B13B2" w:rsidRPr="003B13B2">
        <w:rPr>
          <w:rFonts w:ascii="Calibri" w:hAnsi="Calibri" w:cs="Times New Roman"/>
          <w:color w:val="000000" w:themeColor="text1"/>
        </w:rPr>
        <w:t>four</w:t>
      </w:r>
      <w:r w:rsidR="00C1684B">
        <w:rPr>
          <w:rFonts w:ascii="Calibri" w:hAnsi="Calibri" w:cs="Times New Roman"/>
          <w:color w:val="000000" w:themeColor="text1"/>
        </w:rPr>
        <w:t xml:space="preserve"> </w:t>
      </w:r>
      <w:r w:rsidRPr="008F1E62">
        <w:rPr>
          <w:rFonts w:ascii="Calibri" w:hAnsi="Calibri" w:cs="Times New Roman"/>
          <w:color w:val="000000" w:themeColor="text1"/>
        </w:rPr>
        <w:t>big and</w:t>
      </w:r>
      <w:r w:rsidR="00125F77" w:rsidRPr="00125F77">
        <w:t xml:space="preserve"> </w:t>
      </w:r>
      <w:r w:rsidR="00125F77" w:rsidRPr="00125F77">
        <w:rPr>
          <w:rFonts w:ascii="Calibri" w:hAnsi="Calibri" w:cs="Times New Roman"/>
          <w:color w:val="000000" w:themeColor="text1"/>
        </w:rPr>
        <w:t xml:space="preserve">two </w:t>
      </w:r>
      <w:r w:rsidRPr="008F1E62">
        <w:rPr>
          <w:rFonts w:ascii="Calibri" w:hAnsi="Calibri" w:cs="Times New Roman"/>
          <w:color w:val="000000" w:themeColor="text1"/>
        </w:rPr>
        <w:t>medium-sized;</w:t>
      </w:r>
    </w:p>
    <w:p w14:paraId="29A5DB70"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101EBE">
        <w:rPr>
          <w:rFonts w:asciiTheme="minorHAnsi" w:hAnsiTheme="minorHAnsi" w:cs="Calibri"/>
        </w:rPr>
        <w:t>12</w:t>
      </w:r>
      <w:r w:rsidRPr="008F1E62">
        <w:rPr>
          <w:rFonts w:ascii="Calibri" w:hAnsi="Calibri" w:cs="Times New Roman"/>
          <w:color w:val="000000" w:themeColor="text1"/>
        </w:rPr>
        <w:t xml:space="preserve"> </w:t>
      </w:r>
      <w:r w:rsidR="001E1246" w:rsidRPr="008F1E62">
        <w:rPr>
          <w:rFonts w:ascii="Calibri" w:hAnsi="Calibri" w:cs="Times New Roman"/>
          <w:color w:val="000000" w:themeColor="text1"/>
        </w:rPr>
        <w:t>non</w:t>
      </w:r>
      <w:r w:rsidRPr="008F1E62">
        <w:rPr>
          <w:rFonts w:ascii="Calibri" w:hAnsi="Calibri" w:cs="Times New Roman"/>
          <w:color w:val="000000" w:themeColor="text1"/>
        </w:rPr>
        <w:t>-bank publicly listed companies:</w:t>
      </w:r>
      <w:r w:rsidR="00D20925" w:rsidRPr="00D20925">
        <w:t xml:space="preserve"> </w:t>
      </w:r>
      <w:r w:rsidR="00D20925" w:rsidRPr="00D20925">
        <w:rPr>
          <w:rFonts w:ascii="Calibri" w:hAnsi="Calibri" w:cs="Times New Roman"/>
          <w:color w:val="000000" w:themeColor="text1"/>
        </w:rPr>
        <w:t xml:space="preserve">three </w:t>
      </w:r>
      <w:r w:rsidRPr="008F1E62">
        <w:rPr>
          <w:rFonts w:ascii="Calibri" w:hAnsi="Calibri" w:cs="Times New Roman"/>
          <w:color w:val="000000" w:themeColor="text1"/>
        </w:rPr>
        <w:t xml:space="preserve">medium-sized and </w:t>
      </w:r>
      <w:r w:rsidR="005B43DD">
        <w:rPr>
          <w:rFonts w:ascii="Calibri" w:hAnsi="Calibri" w:cs="Times New Roman"/>
          <w:color w:val="000000" w:themeColor="text1"/>
        </w:rPr>
        <w:t>nine</w:t>
      </w:r>
      <w:r w:rsidR="005B43DD" w:rsidRPr="008F1E62">
        <w:rPr>
          <w:rFonts w:ascii="Calibri" w:hAnsi="Calibri" w:cs="Times New Roman"/>
          <w:color w:val="000000" w:themeColor="text1"/>
        </w:rPr>
        <w:t xml:space="preserve"> </w:t>
      </w:r>
      <w:r w:rsidRPr="008F1E62">
        <w:rPr>
          <w:rFonts w:ascii="Calibri" w:hAnsi="Calibri" w:cs="Times New Roman"/>
          <w:color w:val="000000" w:themeColor="text1"/>
        </w:rPr>
        <w:t>small;</w:t>
      </w:r>
    </w:p>
    <w:p w14:paraId="5AE02683"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Theme="minorHAnsi" w:hAnsiTheme="minorHAnsi" w:cs="Calibri"/>
        </w:rPr>
        <w:t>five</w:t>
      </w:r>
      <w:r w:rsidRPr="008F1E62">
        <w:rPr>
          <w:rFonts w:ascii="Calibri" w:hAnsi="Calibri" w:cs="Times New Roman"/>
          <w:color w:val="000000" w:themeColor="text1"/>
        </w:rPr>
        <w:t xml:space="preserve"> </w:t>
      </w:r>
      <w:r w:rsidR="001E1246" w:rsidRPr="008F1E62">
        <w:rPr>
          <w:rFonts w:ascii="Calibri" w:hAnsi="Calibri" w:cs="Times New Roman"/>
          <w:color w:val="000000" w:themeColor="text1"/>
        </w:rPr>
        <w:t>state-owned enterprises</w:t>
      </w:r>
      <w:r w:rsidRPr="008F1E62">
        <w:rPr>
          <w:rFonts w:ascii="Calibri" w:hAnsi="Calibri" w:cs="Times New Roman"/>
          <w:color w:val="000000" w:themeColor="text1"/>
        </w:rPr>
        <w:t>:</w:t>
      </w:r>
      <w:r w:rsidRPr="008F1E62">
        <w:rPr>
          <w:rStyle w:val="FootnoteReference"/>
          <w:rFonts w:ascii="Calibri" w:hAnsi="Calibri"/>
          <w:color w:val="000000" w:themeColor="text1"/>
        </w:rPr>
        <w:footnoteReference w:id="113"/>
      </w:r>
      <w:r w:rsidR="0088108F" w:rsidRPr="0088108F">
        <w:t xml:space="preserve"> </w:t>
      </w:r>
      <w:r w:rsidR="0088108F" w:rsidRPr="0088108F">
        <w:rPr>
          <w:rFonts w:ascii="Calibri" w:hAnsi="Calibri" w:cs="Times New Roman"/>
          <w:color w:val="000000" w:themeColor="text1"/>
        </w:rPr>
        <w:t xml:space="preserve">one </w:t>
      </w:r>
      <w:r w:rsidRPr="008F1E62">
        <w:rPr>
          <w:rFonts w:ascii="Calibri" w:hAnsi="Calibri" w:cs="Times New Roman"/>
          <w:color w:val="000000" w:themeColor="text1"/>
        </w:rPr>
        <w:t xml:space="preserve">big, </w:t>
      </w:r>
      <w:r w:rsidR="002F454D" w:rsidRPr="002F454D">
        <w:rPr>
          <w:rFonts w:ascii="Calibri" w:hAnsi="Calibri" w:cs="Times New Roman"/>
          <w:color w:val="000000" w:themeColor="text1"/>
        </w:rPr>
        <w:t xml:space="preserve">two </w:t>
      </w:r>
      <w:r w:rsidRPr="008F1E62">
        <w:rPr>
          <w:rFonts w:ascii="Calibri" w:hAnsi="Calibri" w:cs="Times New Roman"/>
          <w:color w:val="000000" w:themeColor="text1"/>
        </w:rPr>
        <w:t xml:space="preserve">medium-sized and </w:t>
      </w:r>
      <w:proofErr w:type="gramStart"/>
      <w:r w:rsidR="00D9639E" w:rsidRPr="00D9639E">
        <w:rPr>
          <w:rFonts w:ascii="Calibri" w:hAnsi="Calibri" w:cs="Times New Roman"/>
          <w:color w:val="000000" w:themeColor="text1"/>
        </w:rPr>
        <w:t xml:space="preserve">two </w:t>
      </w:r>
      <w:r w:rsidRPr="008F1E62">
        <w:rPr>
          <w:rFonts w:ascii="Calibri" w:hAnsi="Calibri" w:cs="Times New Roman"/>
          <w:color w:val="000000" w:themeColor="text1"/>
        </w:rPr>
        <w:t xml:space="preserve"> small</w:t>
      </w:r>
      <w:proofErr w:type="gramEnd"/>
      <w:r w:rsidRPr="008F1E62">
        <w:rPr>
          <w:rFonts w:ascii="Calibri" w:hAnsi="Calibri" w:cs="Times New Roman"/>
          <w:color w:val="000000" w:themeColor="text1"/>
        </w:rPr>
        <w:t xml:space="preserve">; </w:t>
      </w:r>
    </w:p>
    <w:p w14:paraId="64324CB9"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Theme="minorHAnsi" w:hAnsiTheme="minorHAnsi" w:cs="Calibri"/>
        </w:rPr>
        <w:t>four</w:t>
      </w:r>
      <w:r w:rsidRPr="008F1E62">
        <w:rPr>
          <w:rFonts w:ascii="Calibri" w:hAnsi="Calibri" w:cs="Times New Roman"/>
          <w:color w:val="000000" w:themeColor="text1"/>
        </w:rPr>
        <w:t xml:space="preserve"> SMEs—non-bank non-exchange-listed corporates using the PFRS for SMEs; and</w:t>
      </w:r>
    </w:p>
    <w:p w14:paraId="0BF44855" w14:textId="5F2029DA" w:rsidR="00571F14" w:rsidRPr="007D2487" w:rsidRDefault="00F76E53" w:rsidP="00FF7A94">
      <w:pPr>
        <w:pStyle w:val="ListParagraph"/>
        <w:numPr>
          <w:ilvl w:val="0"/>
          <w:numId w:val="21"/>
        </w:numPr>
        <w:spacing w:before="0" w:beforeAutospacing="0" w:after="300" w:afterAutospacing="0" w:line="276" w:lineRule="auto"/>
        <w:ind w:left="360"/>
        <w:rPr>
          <w:rFonts w:ascii="Calibri" w:hAnsi="Calibri" w:cs="Times New Roman"/>
          <w:color w:val="000000" w:themeColor="text1"/>
        </w:rPr>
      </w:pPr>
      <w:r w:rsidRPr="00101EBE">
        <w:rPr>
          <w:rFonts w:asciiTheme="minorHAnsi" w:hAnsiTheme="minorHAnsi" w:cs="Calibri"/>
        </w:rPr>
        <w:t>two</w:t>
      </w:r>
      <w:r w:rsidRPr="008F1E62">
        <w:rPr>
          <w:rFonts w:ascii="Calibri" w:hAnsi="Calibri" w:cs="Times New Roman"/>
          <w:color w:val="000000" w:themeColor="text1"/>
        </w:rPr>
        <w:t xml:space="preserve"> </w:t>
      </w:r>
      <w:r w:rsidR="001E1246" w:rsidRPr="008F1E62">
        <w:rPr>
          <w:rFonts w:ascii="Calibri" w:hAnsi="Calibri" w:cs="Times New Roman"/>
          <w:color w:val="000000" w:themeColor="text1"/>
        </w:rPr>
        <w:t xml:space="preserve">insurance </w:t>
      </w:r>
      <w:r w:rsidRPr="008F1E62">
        <w:rPr>
          <w:rFonts w:ascii="Calibri" w:hAnsi="Calibri" w:cs="Times New Roman"/>
          <w:color w:val="000000" w:themeColor="text1"/>
        </w:rPr>
        <w:t xml:space="preserve">companies – </w:t>
      </w:r>
      <w:r w:rsidR="0088108F" w:rsidRPr="0088108F">
        <w:rPr>
          <w:rFonts w:ascii="Calibri" w:hAnsi="Calibri" w:cs="Times New Roman"/>
          <w:color w:val="000000" w:themeColor="text1"/>
        </w:rPr>
        <w:t xml:space="preserve">one </w:t>
      </w:r>
      <w:r w:rsidRPr="008F1E62">
        <w:rPr>
          <w:rFonts w:ascii="Calibri" w:hAnsi="Calibri" w:cs="Times New Roman"/>
          <w:color w:val="000000" w:themeColor="text1"/>
        </w:rPr>
        <w:t xml:space="preserve">big and </w:t>
      </w:r>
      <w:r w:rsidR="0088108F" w:rsidRPr="0088108F">
        <w:rPr>
          <w:rFonts w:ascii="Calibri" w:hAnsi="Calibri" w:cs="Times New Roman"/>
          <w:color w:val="000000" w:themeColor="text1"/>
        </w:rPr>
        <w:t xml:space="preserve">one </w:t>
      </w:r>
      <w:r w:rsidRPr="008F1E62">
        <w:rPr>
          <w:rFonts w:ascii="Calibri" w:hAnsi="Calibri" w:cs="Times New Roman"/>
          <w:color w:val="000000" w:themeColor="text1"/>
        </w:rPr>
        <w:t>medium sized</w:t>
      </w:r>
    </w:p>
    <w:p w14:paraId="04B29D6F" w14:textId="19772C89" w:rsidR="00F76E53" w:rsidRPr="008F1E62" w:rsidRDefault="00F76E53" w:rsidP="00881B70">
      <w:pPr>
        <w:pStyle w:val="BodyText4"/>
        <w:numPr>
          <w:ilvl w:val="0"/>
          <w:numId w:val="2"/>
        </w:numPr>
        <w:spacing w:after="100" w:line="276" w:lineRule="auto"/>
        <w:ind w:left="0" w:hanging="562"/>
        <w:rPr>
          <w:rFonts w:asciiTheme="minorHAnsi" w:hAnsiTheme="minorHAnsi" w:cs="Calibri"/>
        </w:rPr>
      </w:pPr>
      <w:r w:rsidRPr="008F1E62">
        <w:rPr>
          <w:rFonts w:ascii="Calibri" w:hAnsi="Calibri"/>
          <w:b/>
          <w:bCs/>
          <w:color w:val="000000" w:themeColor="text1"/>
        </w:rPr>
        <w:t xml:space="preserve">The review of </w:t>
      </w:r>
      <w:r w:rsidRPr="008F1E62">
        <w:rPr>
          <w:rFonts w:ascii="Calibri" w:hAnsi="Calibri"/>
          <w:b/>
          <w:bCs/>
        </w:rPr>
        <w:t>financial</w:t>
      </w:r>
      <w:r w:rsidRPr="008F1E62">
        <w:rPr>
          <w:rFonts w:ascii="Calibri" w:hAnsi="Calibri"/>
          <w:b/>
          <w:bCs/>
          <w:color w:val="000000" w:themeColor="text1"/>
        </w:rPr>
        <w:t xml:space="preserve"> statements revealed instances of non-compliance with the relevant financial reporting framework in all sectors reviewed and across all sizes</w:t>
      </w:r>
      <w:r w:rsidRPr="008F1E62">
        <w:rPr>
          <w:rStyle w:val="FootnoteReference"/>
          <w:rFonts w:ascii="Calibri" w:hAnsi="Calibri"/>
          <w:b/>
          <w:bCs/>
          <w:color w:val="000000" w:themeColor="text1"/>
        </w:rPr>
        <w:footnoteReference w:id="114"/>
      </w:r>
      <w:r w:rsidRPr="008F1E62">
        <w:rPr>
          <w:rFonts w:ascii="Calibri" w:hAnsi="Calibri"/>
          <w:b/>
          <w:bCs/>
          <w:color w:val="000000" w:themeColor="text1"/>
        </w:rPr>
        <w:t xml:space="preserve"> and ownership structures</w:t>
      </w:r>
      <w:r w:rsidRPr="008F1E62">
        <w:rPr>
          <w:rFonts w:ascii="Calibri" w:hAnsi="Calibri"/>
          <w:color w:val="000000" w:themeColor="text1"/>
        </w:rPr>
        <w:t>.  However:</w:t>
      </w:r>
    </w:p>
    <w:p w14:paraId="534E63BF"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kern w:val="1"/>
        </w:rPr>
      </w:pPr>
      <w:r w:rsidRPr="008F1E62">
        <w:rPr>
          <w:rFonts w:ascii="Calibri" w:hAnsi="Calibri" w:cs="Times New Roman"/>
          <w:color w:val="000000" w:themeColor="text1"/>
          <w:kern w:val="1"/>
        </w:rPr>
        <w:t xml:space="preserve">Quality of financial reporting by banks appears to be better than other types of entities.  </w:t>
      </w:r>
    </w:p>
    <w:p w14:paraId="0155679D"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kern w:val="1"/>
        </w:rPr>
      </w:pPr>
      <w:r w:rsidRPr="008F1E62">
        <w:rPr>
          <w:rFonts w:ascii="Calibri" w:hAnsi="Calibri" w:cs="Times New Roman"/>
          <w:color w:val="000000" w:themeColor="text1"/>
          <w:kern w:val="1"/>
        </w:rPr>
        <w:t>Quali</w:t>
      </w:r>
      <w:r w:rsidR="00D82424" w:rsidRPr="008F1E62">
        <w:rPr>
          <w:rFonts w:ascii="Calibri" w:hAnsi="Calibri" w:cs="Times New Roman"/>
          <w:color w:val="000000" w:themeColor="text1"/>
          <w:kern w:val="1"/>
        </w:rPr>
        <w:t>ty of financial reporting by GOCC</w:t>
      </w:r>
      <w:r w:rsidRPr="008F1E62">
        <w:rPr>
          <w:rFonts w:ascii="Calibri" w:hAnsi="Calibri" w:cs="Times New Roman"/>
          <w:color w:val="000000" w:themeColor="text1"/>
          <w:kern w:val="1"/>
        </w:rPr>
        <w:t xml:space="preserve">s appears to be less satisfactory than other forms of </w:t>
      </w:r>
      <w:r w:rsidRPr="008F1E62">
        <w:rPr>
          <w:rFonts w:asciiTheme="minorHAnsi" w:hAnsiTheme="minorHAnsi" w:cs="Calibri"/>
        </w:rPr>
        <w:t>ownership</w:t>
      </w:r>
      <w:r w:rsidRPr="008F1E62">
        <w:rPr>
          <w:rFonts w:ascii="Calibri" w:hAnsi="Calibri" w:cs="Times New Roman"/>
          <w:color w:val="000000" w:themeColor="text1"/>
          <w:kern w:val="1"/>
        </w:rPr>
        <w:t>.</w:t>
      </w:r>
    </w:p>
    <w:p w14:paraId="4474A19D" w14:textId="77777777" w:rsidR="00F76E53" w:rsidRPr="008F1E62" w:rsidRDefault="00F76E53" w:rsidP="00FF7A94">
      <w:pPr>
        <w:pStyle w:val="ListParagraph"/>
        <w:numPr>
          <w:ilvl w:val="0"/>
          <w:numId w:val="21"/>
        </w:numPr>
        <w:spacing w:before="0" w:beforeAutospacing="0" w:after="200" w:afterAutospacing="0" w:line="276" w:lineRule="auto"/>
        <w:ind w:left="360"/>
        <w:rPr>
          <w:rFonts w:ascii="Calibri" w:hAnsi="Calibri" w:cs="Times New Roman"/>
          <w:color w:val="000000" w:themeColor="text1"/>
        </w:rPr>
      </w:pPr>
      <w:r w:rsidRPr="008F1E62">
        <w:rPr>
          <w:rFonts w:ascii="Calibri" w:hAnsi="Calibri" w:cs="Times New Roman"/>
          <w:color w:val="000000" w:themeColor="text1"/>
          <w:kern w:val="1"/>
        </w:rPr>
        <w:t>There is some anecdotal evidence that financial reporting quality is correlated with entity size.  For example, audit reports of small entities using PFRS</w:t>
      </w:r>
      <w:r w:rsidRPr="008F1E62">
        <w:rPr>
          <w:rStyle w:val="FootnoteReference"/>
          <w:rFonts w:ascii="Calibri" w:hAnsi="Calibri"/>
          <w:color w:val="000000" w:themeColor="text1"/>
          <w:kern w:val="1"/>
        </w:rPr>
        <w:footnoteReference w:id="115"/>
      </w:r>
      <w:r w:rsidRPr="008F1E62">
        <w:rPr>
          <w:rFonts w:ascii="Calibri" w:hAnsi="Calibri" w:cs="Times New Roman"/>
          <w:color w:val="000000" w:themeColor="text1"/>
          <w:kern w:val="1"/>
        </w:rPr>
        <w:t xml:space="preserve"> appear more likely to be qualified and appear more likely to include ‘</w:t>
      </w:r>
      <w:r w:rsidRPr="008F1E62">
        <w:rPr>
          <w:rFonts w:ascii="Calibri" w:hAnsi="Calibri" w:cs="Times New Roman"/>
          <w:color w:val="000000" w:themeColor="text1"/>
        </w:rPr>
        <w:t>emphasis</w:t>
      </w:r>
      <w:r w:rsidRPr="008F1E62">
        <w:rPr>
          <w:rFonts w:ascii="Calibri" w:hAnsi="Calibri" w:cs="Times New Roman"/>
          <w:color w:val="000000" w:themeColor="text1"/>
          <w:kern w:val="1"/>
        </w:rPr>
        <w:t xml:space="preserve"> of matter’ paragraphs.</w:t>
      </w:r>
    </w:p>
    <w:p w14:paraId="4968EAFD" w14:textId="77777777" w:rsidR="00F76E53" w:rsidRPr="008F1E62" w:rsidRDefault="00F76E53" w:rsidP="00881B70">
      <w:pPr>
        <w:pStyle w:val="BodyText4"/>
        <w:numPr>
          <w:ilvl w:val="0"/>
          <w:numId w:val="2"/>
        </w:numPr>
        <w:spacing w:after="100" w:line="276" w:lineRule="auto"/>
        <w:ind w:left="0" w:hanging="562"/>
        <w:rPr>
          <w:rFonts w:asciiTheme="minorHAnsi" w:hAnsiTheme="minorHAnsi" w:cs="Calibri"/>
        </w:rPr>
      </w:pPr>
      <w:r w:rsidRPr="008F1E62">
        <w:rPr>
          <w:rFonts w:ascii="Calibri" w:hAnsi="Calibri"/>
          <w:color w:val="000000" w:themeColor="text1"/>
        </w:rPr>
        <w:t xml:space="preserve">In </w:t>
      </w:r>
      <w:r w:rsidRPr="008F1E62">
        <w:rPr>
          <w:rFonts w:asciiTheme="minorHAnsi" w:hAnsiTheme="minorHAnsi"/>
          <w:bCs/>
        </w:rPr>
        <w:t>performing</w:t>
      </w:r>
      <w:r w:rsidRPr="008F1E62">
        <w:rPr>
          <w:rFonts w:ascii="Calibri" w:hAnsi="Calibri"/>
          <w:color w:val="000000" w:themeColor="text1"/>
        </w:rPr>
        <w:t xml:space="preserve"> the review,</w:t>
      </w:r>
      <w:r w:rsidRPr="008F1E62">
        <w:rPr>
          <w:rStyle w:val="FootnoteReference"/>
          <w:rFonts w:ascii="Calibri" w:hAnsi="Calibri"/>
          <w:color w:val="000000" w:themeColor="text1"/>
        </w:rPr>
        <w:footnoteReference w:id="116"/>
      </w:r>
      <w:r w:rsidRPr="008F1E62">
        <w:rPr>
          <w:rFonts w:ascii="Calibri" w:hAnsi="Calibri"/>
          <w:color w:val="000000" w:themeColor="text1"/>
        </w:rPr>
        <w:t xml:space="preserve"> emphasis was placed on the disclosures relating to </w:t>
      </w:r>
      <w:proofErr w:type="gramStart"/>
      <w:r w:rsidRPr="008F1E62">
        <w:rPr>
          <w:rFonts w:ascii="Calibri" w:hAnsi="Calibri"/>
          <w:color w:val="000000" w:themeColor="text1"/>
        </w:rPr>
        <w:t>particular judgments</w:t>
      </w:r>
      <w:proofErr w:type="gramEnd"/>
      <w:r w:rsidRPr="008F1E62">
        <w:rPr>
          <w:rFonts w:ascii="Calibri" w:hAnsi="Calibri"/>
          <w:color w:val="000000" w:themeColor="text1"/>
        </w:rPr>
        <w:t xml:space="preserve"> and estimates because: </w:t>
      </w:r>
    </w:p>
    <w:p w14:paraId="590BC0E1"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color w:val="000000" w:themeColor="text1"/>
        </w:rPr>
        <w:t xml:space="preserve">Doing so provides a risk-focus to the review (as disclosure of the most significant </w:t>
      </w:r>
      <w:r w:rsidRPr="008F1E62">
        <w:rPr>
          <w:rFonts w:asciiTheme="minorHAnsi" w:hAnsiTheme="minorHAnsi" w:cs="Calibri"/>
        </w:rPr>
        <w:t>judgments</w:t>
      </w:r>
      <w:r w:rsidRPr="008F1E62">
        <w:rPr>
          <w:rFonts w:ascii="Calibri" w:hAnsi="Calibri" w:cs="Times New Roman"/>
          <w:color w:val="000000" w:themeColor="text1"/>
        </w:rPr>
        <w:t xml:space="preserve"> and key measurement assumptions is required); and</w:t>
      </w:r>
    </w:p>
    <w:p w14:paraId="1E7BD499" w14:textId="4FA66557" w:rsidR="00F53362" w:rsidRDefault="00F76E53" w:rsidP="00FF7A94">
      <w:pPr>
        <w:pStyle w:val="ListParagraph"/>
        <w:numPr>
          <w:ilvl w:val="0"/>
          <w:numId w:val="21"/>
        </w:numPr>
        <w:spacing w:before="0" w:beforeAutospacing="0" w:afterAutospacing="0" w:line="276" w:lineRule="auto"/>
        <w:ind w:left="360"/>
        <w:rPr>
          <w:rFonts w:ascii="Calibri" w:hAnsi="Calibri"/>
          <w:color w:val="000000" w:themeColor="text1"/>
        </w:rPr>
      </w:pPr>
      <w:r w:rsidRPr="00571F14">
        <w:rPr>
          <w:rFonts w:ascii="Calibri" w:hAnsi="Calibri" w:cs="Times New Roman"/>
          <w:b/>
          <w:color w:val="000000" w:themeColor="text1"/>
        </w:rPr>
        <w:t>Experience</w:t>
      </w:r>
      <w:r w:rsidRPr="00F53362">
        <w:rPr>
          <w:rFonts w:ascii="Calibri" w:hAnsi="Calibri"/>
          <w:b/>
          <w:color w:val="000000" w:themeColor="text1"/>
        </w:rPr>
        <w:t xml:space="preserve"> from other </w:t>
      </w:r>
      <w:r w:rsidRPr="00F53362">
        <w:rPr>
          <w:rFonts w:ascii="Calibri" w:hAnsi="Calibri"/>
          <w:b/>
          <w:bCs/>
          <w:color w:val="000000" w:themeColor="text1"/>
        </w:rPr>
        <w:t>jurisdictions</w:t>
      </w:r>
      <w:r w:rsidRPr="00F53362">
        <w:rPr>
          <w:rFonts w:ascii="Calibri" w:hAnsi="Calibri"/>
          <w:b/>
          <w:color w:val="000000" w:themeColor="text1"/>
        </w:rPr>
        <w:t xml:space="preserve"> </w:t>
      </w:r>
      <w:r w:rsidR="00B2439A">
        <w:rPr>
          <w:rFonts w:ascii="Calibri" w:hAnsi="Calibri"/>
          <w:b/>
          <w:color w:val="000000" w:themeColor="text1"/>
        </w:rPr>
        <w:t xml:space="preserve">globally </w:t>
      </w:r>
      <w:r w:rsidRPr="00F53362">
        <w:rPr>
          <w:rFonts w:ascii="Calibri" w:hAnsi="Calibri"/>
          <w:b/>
          <w:color w:val="000000" w:themeColor="text1"/>
        </w:rPr>
        <w:t xml:space="preserve">indicates that professional accountants need to </w:t>
      </w:r>
      <w:r w:rsidRPr="00F53362">
        <w:rPr>
          <w:rFonts w:asciiTheme="minorHAnsi" w:hAnsiTheme="minorHAnsi" w:cs="Calibri"/>
          <w:b/>
        </w:rPr>
        <w:t>develop</w:t>
      </w:r>
      <w:r w:rsidRPr="00F53362">
        <w:rPr>
          <w:rFonts w:ascii="Calibri" w:hAnsi="Calibri"/>
          <w:b/>
          <w:color w:val="000000" w:themeColor="text1"/>
        </w:rPr>
        <w:t xml:space="preserve"> their capacity to make judgments and estimates to apply a principle</w:t>
      </w:r>
      <w:r w:rsidR="00B2439A">
        <w:rPr>
          <w:rFonts w:ascii="Calibri" w:hAnsi="Calibri"/>
          <w:b/>
          <w:color w:val="000000" w:themeColor="text1"/>
        </w:rPr>
        <w:t>s</w:t>
      </w:r>
      <w:r w:rsidRPr="00F53362">
        <w:rPr>
          <w:rFonts w:ascii="Calibri" w:hAnsi="Calibri"/>
          <w:b/>
          <w:color w:val="000000" w:themeColor="text1"/>
        </w:rPr>
        <w:t>-based reporting framework.</w:t>
      </w:r>
      <w:r w:rsidR="004453CC" w:rsidRPr="008602D8">
        <w:rPr>
          <w:rFonts w:ascii="Calibri" w:hAnsi="Calibri"/>
          <w:color w:val="000000" w:themeColor="text1"/>
        </w:rPr>
        <w:t xml:space="preserve"> This is especially challenging in highly developed economies</w:t>
      </w:r>
      <w:r w:rsidR="004453CC">
        <w:rPr>
          <w:rFonts w:ascii="Calibri" w:hAnsi="Calibri"/>
          <w:color w:val="000000" w:themeColor="text1"/>
        </w:rPr>
        <w:t xml:space="preserve"> in which </w:t>
      </w:r>
      <w:r w:rsidR="004453CC" w:rsidRPr="004453CC">
        <w:rPr>
          <w:rFonts w:ascii="Calibri" w:hAnsi="Calibri"/>
          <w:color w:val="000000" w:themeColor="text1"/>
        </w:rPr>
        <w:t xml:space="preserve">complex </w:t>
      </w:r>
      <w:r w:rsidR="004453CC">
        <w:rPr>
          <w:rFonts w:ascii="Calibri" w:hAnsi="Calibri"/>
          <w:color w:val="000000" w:themeColor="text1"/>
        </w:rPr>
        <w:t xml:space="preserve">and </w:t>
      </w:r>
      <w:r w:rsidR="004453CC" w:rsidRPr="004453CC">
        <w:rPr>
          <w:rFonts w:ascii="Calibri" w:hAnsi="Calibri"/>
          <w:color w:val="000000" w:themeColor="text1"/>
        </w:rPr>
        <w:t>sophisticated financial instruments</w:t>
      </w:r>
      <w:r w:rsidR="004453CC">
        <w:rPr>
          <w:rFonts w:ascii="Calibri" w:hAnsi="Calibri"/>
          <w:color w:val="000000" w:themeColor="text1"/>
        </w:rPr>
        <w:t xml:space="preserve">, tax positions, and </w:t>
      </w:r>
      <w:r w:rsidR="008602D8">
        <w:rPr>
          <w:rFonts w:ascii="Calibri" w:hAnsi="Calibri"/>
          <w:color w:val="000000" w:themeColor="text1"/>
        </w:rPr>
        <w:t xml:space="preserve">other intangible factors </w:t>
      </w:r>
      <w:r w:rsidR="004453CC">
        <w:rPr>
          <w:rFonts w:ascii="Calibri" w:hAnsi="Calibri"/>
          <w:color w:val="000000" w:themeColor="text1"/>
        </w:rPr>
        <w:t>are prevalent.</w:t>
      </w:r>
    </w:p>
    <w:p w14:paraId="32F350D4" w14:textId="63D2866C" w:rsidR="00F76E53" w:rsidRPr="004453CC" w:rsidRDefault="00F76E53" w:rsidP="0077686B">
      <w:pPr>
        <w:pStyle w:val="Heading3"/>
        <w:rPr>
          <w:color w:val="737478"/>
        </w:rPr>
      </w:pPr>
      <w:r w:rsidRPr="004453CC">
        <w:t>Summary of Review Findings</w:t>
      </w:r>
    </w:p>
    <w:p w14:paraId="3B70ADBB" w14:textId="77777777" w:rsidR="00F76E53" w:rsidRPr="008F1E62" w:rsidRDefault="00F76E53" w:rsidP="00881B70">
      <w:pPr>
        <w:pStyle w:val="BodyText4"/>
        <w:numPr>
          <w:ilvl w:val="0"/>
          <w:numId w:val="2"/>
        </w:numPr>
        <w:spacing w:after="200" w:line="276" w:lineRule="auto"/>
        <w:ind w:left="0" w:hanging="567"/>
        <w:rPr>
          <w:rFonts w:asciiTheme="minorHAnsi" w:hAnsiTheme="minorHAnsi" w:cs="Calibri"/>
        </w:rPr>
      </w:pPr>
      <w:r w:rsidRPr="008F1E62">
        <w:rPr>
          <w:rFonts w:ascii="Calibri" w:hAnsi="Calibri"/>
          <w:color w:val="000000" w:themeColor="text1"/>
        </w:rPr>
        <w:t>Reflecting the maturity of application that is anticipated from applying principle-based standards for some years, as well as the sophisticated capital market structure and developed financial sector in the Philippines, this review focused primarily on judgments, including those applied in assessing measurements, estimates and risks.  Consequently, caution must be exercised when comparing the results of this review with those of earlier ROSC A&amp;As.</w:t>
      </w:r>
    </w:p>
    <w:p w14:paraId="6CC5BB2B" w14:textId="77777777" w:rsidR="00F76E53" w:rsidRPr="008F1E62" w:rsidRDefault="00F76E53" w:rsidP="00881B70">
      <w:pPr>
        <w:pStyle w:val="BodyText4"/>
        <w:numPr>
          <w:ilvl w:val="0"/>
          <w:numId w:val="2"/>
        </w:numPr>
        <w:spacing w:after="200" w:line="276" w:lineRule="auto"/>
        <w:ind w:left="0" w:hanging="567"/>
        <w:rPr>
          <w:rFonts w:asciiTheme="minorHAnsi" w:hAnsiTheme="minorHAnsi" w:cs="Calibri"/>
        </w:rPr>
      </w:pPr>
      <w:proofErr w:type="gramStart"/>
      <w:r w:rsidRPr="008F1E62">
        <w:rPr>
          <w:rFonts w:ascii="Calibri" w:hAnsi="Calibri"/>
          <w:color w:val="000000" w:themeColor="text1"/>
        </w:rPr>
        <w:t>On the basis of</w:t>
      </w:r>
      <w:proofErr w:type="gramEnd"/>
      <w:r w:rsidRPr="008F1E62">
        <w:rPr>
          <w:rFonts w:ascii="Calibri" w:hAnsi="Calibri"/>
          <w:color w:val="000000" w:themeColor="text1"/>
        </w:rPr>
        <w:t xml:space="preserve"> the review of the sample of financial statements, the overall quality of financial reporting is found to be in need of improvement. </w:t>
      </w:r>
    </w:p>
    <w:p w14:paraId="78AA5176" w14:textId="77777777" w:rsidR="00F76E53" w:rsidRPr="008F1E62" w:rsidRDefault="00F76E53" w:rsidP="00881B70">
      <w:pPr>
        <w:pStyle w:val="BodyText4"/>
        <w:numPr>
          <w:ilvl w:val="0"/>
          <w:numId w:val="2"/>
        </w:numPr>
        <w:spacing w:after="100" w:line="276" w:lineRule="auto"/>
        <w:ind w:left="0" w:hanging="562"/>
        <w:rPr>
          <w:rFonts w:ascii="Calibri" w:hAnsi="Calibri"/>
          <w:b/>
          <w:color w:val="000000" w:themeColor="text1"/>
        </w:rPr>
      </w:pPr>
      <w:r w:rsidRPr="008F1E62">
        <w:rPr>
          <w:rFonts w:ascii="Calibri" w:hAnsi="Calibri"/>
          <w:b/>
          <w:color w:val="000000" w:themeColor="text1"/>
        </w:rPr>
        <w:t xml:space="preserve"> Recurring areas of non-compliance appear to include: </w:t>
      </w:r>
    </w:p>
    <w:p w14:paraId="39040AFD"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Financial statement presentation:</w:t>
      </w:r>
      <w:r w:rsidRPr="008F1E62">
        <w:rPr>
          <w:rFonts w:ascii="Calibri" w:hAnsi="Calibri" w:cs="Times New Roman"/>
          <w:color w:val="000000" w:themeColor="text1"/>
        </w:rPr>
        <w:t xml:space="preserve"> management appear </w:t>
      </w:r>
      <w:r w:rsidR="001E1246" w:rsidRPr="008F1E62">
        <w:rPr>
          <w:rFonts w:ascii="Calibri" w:hAnsi="Calibri" w:cs="Times New Roman"/>
          <w:color w:val="000000" w:themeColor="text1"/>
        </w:rPr>
        <w:t xml:space="preserve">not </w:t>
      </w:r>
      <w:r w:rsidRPr="008F1E62">
        <w:rPr>
          <w:rFonts w:ascii="Calibri" w:hAnsi="Calibri" w:cs="Times New Roman"/>
          <w:color w:val="000000" w:themeColor="text1"/>
        </w:rPr>
        <w:t xml:space="preserve">to have considered whether the disclosure of immaterial information results in material information being </w:t>
      </w:r>
      <w:r w:rsidRPr="008F1E62">
        <w:rPr>
          <w:rFonts w:asciiTheme="minorHAnsi" w:hAnsiTheme="minorHAnsi" w:cs="Calibri"/>
        </w:rPr>
        <w:t>obscured</w:t>
      </w:r>
      <w:r w:rsidRPr="008F1E62">
        <w:rPr>
          <w:rFonts w:ascii="Calibri" w:hAnsi="Calibri" w:cs="Times New Roman"/>
          <w:color w:val="000000" w:themeColor="text1"/>
        </w:rPr>
        <w:t xml:space="preserve">.   </w:t>
      </w:r>
    </w:p>
    <w:p w14:paraId="6B264DC5"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Disclosure of most significant judgments made in applying accounting policies:</w:t>
      </w:r>
      <w:r w:rsidRPr="008F1E62">
        <w:rPr>
          <w:rFonts w:ascii="Calibri" w:hAnsi="Calibri" w:cs="Times New Roman"/>
          <w:color w:val="000000" w:themeColor="text1"/>
        </w:rPr>
        <w:t xml:space="preserve"> insignificant judgments are included, significant judgments are omitted</w:t>
      </w:r>
      <w:r w:rsidR="001E1246">
        <w:rPr>
          <w:rFonts w:ascii="Calibri" w:hAnsi="Calibri" w:cs="Times New Roman"/>
          <w:color w:val="000000" w:themeColor="text1"/>
        </w:rPr>
        <w:t>,</w:t>
      </w:r>
      <w:r w:rsidRPr="008F1E62">
        <w:rPr>
          <w:rFonts w:ascii="Calibri" w:hAnsi="Calibri" w:cs="Times New Roman"/>
          <w:color w:val="000000" w:themeColor="text1"/>
        </w:rPr>
        <w:t xml:space="preserve"> and inadequate ‘boiler-plate’ information is disclosed. </w:t>
      </w:r>
    </w:p>
    <w:p w14:paraId="378271CF"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Disclosure of key measurement assumptions:</w:t>
      </w:r>
      <w:r w:rsidRPr="008F1E62">
        <w:rPr>
          <w:rFonts w:ascii="Calibri" w:hAnsi="Calibri" w:cs="Times New Roman"/>
          <w:color w:val="000000" w:themeColor="text1"/>
        </w:rPr>
        <w:t xml:space="preserve"> generic information is provided rather than quantified explanations of the </w:t>
      </w:r>
      <w:r w:rsidRPr="008F1E62">
        <w:rPr>
          <w:rFonts w:asciiTheme="minorHAnsi" w:hAnsiTheme="minorHAnsi" w:cs="Calibri"/>
        </w:rPr>
        <w:t>assumptions</w:t>
      </w:r>
      <w:r w:rsidRPr="008F1E62">
        <w:rPr>
          <w:rFonts w:ascii="Calibri" w:hAnsi="Calibri" w:cs="Times New Roman"/>
          <w:color w:val="000000" w:themeColor="text1"/>
        </w:rPr>
        <w:t xml:space="preserve"> made and information about the sensitivity of estimates to changes in assumptions, the range of reasonably possible outcomes</w:t>
      </w:r>
      <w:r w:rsidR="001E1246">
        <w:rPr>
          <w:rFonts w:ascii="Calibri" w:hAnsi="Calibri" w:cs="Times New Roman"/>
          <w:color w:val="000000" w:themeColor="text1"/>
        </w:rPr>
        <w:t>,</w:t>
      </w:r>
      <w:r w:rsidRPr="008F1E62">
        <w:rPr>
          <w:rFonts w:ascii="Calibri" w:hAnsi="Calibri" w:cs="Times New Roman"/>
          <w:color w:val="000000" w:themeColor="text1"/>
        </w:rPr>
        <w:t xml:space="preserve"> and changes made to past assumptions during the year.</w:t>
      </w:r>
    </w:p>
    <w:p w14:paraId="2254D3C3"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Fair value measurement:</w:t>
      </w:r>
      <w:r w:rsidRPr="008F1E62">
        <w:rPr>
          <w:rFonts w:ascii="Calibri" w:hAnsi="Calibri" w:cs="Times New Roman"/>
          <w:color w:val="000000" w:themeColor="text1"/>
        </w:rPr>
        <w:t xml:space="preserve"> inaccurately differentiating between levels of the fair value measurement hierarchy, deficient </w:t>
      </w:r>
      <w:r w:rsidRPr="008F1E62">
        <w:rPr>
          <w:rFonts w:asciiTheme="minorHAnsi" w:hAnsiTheme="minorHAnsi" w:cs="Calibri"/>
        </w:rPr>
        <w:t>measurement</w:t>
      </w:r>
      <w:r w:rsidR="001E1246">
        <w:rPr>
          <w:rFonts w:asciiTheme="minorHAnsi" w:hAnsiTheme="minorHAnsi" w:cs="Calibri"/>
        </w:rPr>
        <w:t>,</w:t>
      </w:r>
      <w:r w:rsidRPr="008F1E62">
        <w:rPr>
          <w:rFonts w:ascii="Calibri" w:hAnsi="Calibri" w:cs="Times New Roman"/>
          <w:color w:val="000000" w:themeColor="text1"/>
        </w:rPr>
        <w:t xml:space="preserve"> and incomplete disclosures.</w:t>
      </w:r>
    </w:p>
    <w:p w14:paraId="2B4CB735"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Depreciation/amortization:</w:t>
      </w:r>
      <w:r w:rsidRPr="008F1E62">
        <w:rPr>
          <w:rFonts w:ascii="Calibri" w:hAnsi="Calibri" w:cs="Times New Roman"/>
          <w:color w:val="000000" w:themeColor="text1"/>
        </w:rPr>
        <w:t xml:space="preserve"> using boiler-plate depreciation policies for property, plant</w:t>
      </w:r>
      <w:r w:rsidR="001E1246">
        <w:rPr>
          <w:rFonts w:ascii="Calibri" w:hAnsi="Calibri" w:cs="Times New Roman"/>
          <w:color w:val="000000" w:themeColor="text1"/>
        </w:rPr>
        <w:t>,</w:t>
      </w:r>
      <w:r w:rsidRPr="008F1E62">
        <w:rPr>
          <w:rFonts w:ascii="Calibri" w:hAnsi="Calibri" w:cs="Times New Roman"/>
          <w:color w:val="000000" w:themeColor="text1"/>
        </w:rPr>
        <w:t xml:space="preserve"> and equipment, investment property and intangible assets that are inconsistent with the depreciation principle of reflecting the consumption of the item’s service potential.</w:t>
      </w:r>
    </w:p>
    <w:p w14:paraId="391D3E27"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Legal proceedings and uncertain tax positions:</w:t>
      </w:r>
      <w:r w:rsidRPr="008F1E62">
        <w:rPr>
          <w:rFonts w:ascii="Calibri" w:hAnsi="Calibri" w:cs="Times New Roman"/>
          <w:color w:val="000000" w:themeColor="text1"/>
        </w:rPr>
        <w:t xml:space="preserve"> insufficient disclosures about the classification judgments made and, when relevant, the judgments made in recognizing and measuring the associated </w:t>
      </w:r>
      <w:r w:rsidRPr="008F1E62">
        <w:rPr>
          <w:rFonts w:asciiTheme="minorHAnsi" w:hAnsiTheme="minorHAnsi" w:cs="Calibri"/>
        </w:rPr>
        <w:t>liabilities</w:t>
      </w:r>
      <w:r w:rsidRPr="008F1E62">
        <w:rPr>
          <w:rFonts w:ascii="Calibri" w:hAnsi="Calibri" w:cs="Times New Roman"/>
          <w:color w:val="000000" w:themeColor="text1"/>
        </w:rPr>
        <w:t xml:space="preserve"> or assets. </w:t>
      </w:r>
    </w:p>
    <w:p w14:paraId="31E6261A"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Segment Reporting:</w:t>
      </w:r>
      <w:r w:rsidRPr="008F1E62">
        <w:rPr>
          <w:rFonts w:ascii="Calibri" w:hAnsi="Calibri" w:cs="Times New Roman"/>
          <w:color w:val="000000" w:themeColor="text1"/>
        </w:rPr>
        <w:t xml:space="preserve"> </w:t>
      </w:r>
      <w:r w:rsidRPr="008F1E62">
        <w:rPr>
          <w:rFonts w:asciiTheme="minorHAnsi" w:hAnsiTheme="minorHAnsi" w:cs="Calibri"/>
        </w:rPr>
        <w:t>insufficient</w:t>
      </w:r>
      <w:r w:rsidRPr="008F1E62">
        <w:rPr>
          <w:rFonts w:ascii="Calibri" w:hAnsi="Calibri" w:cs="Times New Roman"/>
          <w:color w:val="000000" w:themeColor="text1"/>
        </w:rPr>
        <w:t xml:space="preserve"> disclosure and information on why certain segments were not consolidated</w:t>
      </w:r>
    </w:p>
    <w:p w14:paraId="6550754E" w14:textId="77777777" w:rsidR="00F76E53" w:rsidRPr="008F1E62" w:rsidRDefault="00F76E53" w:rsidP="00FF7A94">
      <w:pPr>
        <w:pStyle w:val="ListParagraph"/>
        <w:numPr>
          <w:ilvl w:val="0"/>
          <w:numId w:val="21"/>
        </w:numPr>
        <w:spacing w:before="0" w:beforeAutospacing="0" w:after="20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Impairment of assets:</w:t>
      </w:r>
      <w:r w:rsidRPr="008F1E62">
        <w:rPr>
          <w:rFonts w:ascii="Calibri" w:hAnsi="Calibri" w:cs="Times New Roman"/>
          <w:color w:val="000000" w:themeColor="text1"/>
        </w:rPr>
        <w:t xml:space="preserve"> </w:t>
      </w:r>
      <w:r w:rsidRPr="008F1E62">
        <w:rPr>
          <w:rFonts w:asciiTheme="minorHAnsi" w:hAnsiTheme="minorHAnsi" w:cs="Calibri"/>
        </w:rPr>
        <w:t>inconsistencies</w:t>
      </w:r>
      <w:r w:rsidRPr="008F1E62">
        <w:rPr>
          <w:rFonts w:ascii="Calibri" w:hAnsi="Calibri" w:cs="Times New Roman"/>
          <w:color w:val="000000" w:themeColor="text1"/>
        </w:rPr>
        <w:t xml:space="preserve"> with underlying economics and inadequate disclosures.</w:t>
      </w:r>
    </w:p>
    <w:p w14:paraId="5AB12493" w14:textId="77777777" w:rsidR="00F76E53" w:rsidRPr="008F1E62" w:rsidRDefault="00F76E53" w:rsidP="00881B70">
      <w:pPr>
        <w:pStyle w:val="BodyText4"/>
        <w:numPr>
          <w:ilvl w:val="0"/>
          <w:numId w:val="2"/>
        </w:numPr>
        <w:spacing w:after="100" w:line="276" w:lineRule="auto"/>
        <w:ind w:left="0" w:hanging="562"/>
        <w:rPr>
          <w:rFonts w:ascii="Calibri" w:hAnsi="Calibri"/>
          <w:b/>
          <w:color w:val="000000" w:themeColor="text1"/>
        </w:rPr>
      </w:pPr>
      <w:r w:rsidRPr="008F1E62">
        <w:rPr>
          <w:rFonts w:ascii="Calibri" w:hAnsi="Calibri"/>
          <w:b/>
          <w:color w:val="000000" w:themeColor="text1"/>
        </w:rPr>
        <w:t>Recurring areas of non-compliance by banks appear to be:</w:t>
      </w:r>
    </w:p>
    <w:p w14:paraId="58D5032D"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Credit risk:</w:t>
      </w:r>
      <w:r w:rsidRPr="008F1E62">
        <w:rPr>
          <w:rFonts w:ascii="Calibri" w:hAnsi="Calibri" w:cs="Times New Roman"/>
          <w:color w:val="000000" w:themeColor="text1"/>
        </w:rPr>
        <w:t xml:space="preserve"> disclosures on maximum exposures to credit risk disclosures and concentration of credit risk disclosures were incomplete, particularly regarding off-balance sheet items and collateral. </w:t>
      </w:r>
    </w:p>
    <w:p w14:paraId="7EE7C523"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Liquidity risk:</w:t>
      </w:r>
      <w:r w:rsidRPr="008F1E62">
        <w:rPr>
          <w:rFonts w:ascii="Calibri" w:hAnsi="Calibri" w:cs="Times New Roman"/>
          <w:color w:val="000000" w:themeColor="text1"/>
        </w:rPr>
        <w:t xml:space="preserve"> inadequate disclosures about how liquidity risk is managed and the nature and extent of the liquidity risk to which they are exposed.  In particular: (i) insufficient time bands were used; (ii) off-balance sheet commitments were omitted; and (iii) significant liabilities were not allocated to the earliest period in which the bank can be required to pay.  </w:t>
      </w:r>
    </w:p>
    <w:p w14:paraId="1C82D038"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Market risk:</w:t>
      </w:r>
      <w:r w:rsidRPr="008F1E62">
        <w:rPr>
          <w:rFonts w:ascii="Calibri" w:hAnsi="Calibri" w:cs="Times New Roman"/>
          <w:color w:val="000000" w:themeColor="text1"/>
        </w:rPr>
        <w:t xml:space="preserve"> inadequate disclosures about market risk irrespective of whether the bank uses value-at-risk sensitivity analysis to reflect the interdependencies between risk variables on the basis on which they manage financial risks.</w:t>
      </w:r>
    </w:p>
    <w:p w14:paraId="617ABB99" w14:textId="77777777" w:rsidR="00F76E53" w:rsidRPr="008F1E62" w:rsidRDefault="00F76E53" w:rsidP="00FF7A94">
      <w:pPr>
        <w:pStyle w:val="ListParagraph"/>
        <w:numPr>
          <w:ilvl w:val="0"/>
          <w:numId w:val="21"/>
        </w:numPr>
        <w:spacing w:before="0" w:beforeAutospacing="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Foreclosure assets:</w:t>
      </w:r>
      <w:r w:rsidRPr="008F1E62">
        <w:rPr>
          <w:rFonts w:ascii="Calibri" w:hAnsi="Calibri" w:cs="Times New Roman"/>
          <w:color w:val="000000" w:themeColor="text1"/>
        </w:rPr>
        <w:t xml:space="preserve"> opaque accounting policies and insufficient disclosures. </w:t>
      </w:r>
    </w:p>
    <w:p w14:paraId="3C7BD2D2" w14:textId="77777777" w:rsidR="00F76E53" w:rsidRPr="008F1E62" w:rsidRDefault="00F76E53" w:rsidP="00FF7A94">
      <w:pPr>
        <w:pStyle w:val="ListParagraph"/>
        <w:numPr>
          <w:ilvl w:val="0"/>
          <w:numId w:val="21"/>
        </w:numPr>
        <w:spacing w:before="0" w:beforeAutospacing="0" w:after="200" w:afterAutospacing="0" w:line="276" w:lineRule="auto"/>
        <w:ind w:left="360"/>
        <w:rPr>
          <w:rFonts w:ascii="Calibri" w:hAnsi="Calibri" w:cs="Times New Roman"/>
          <w:color w:val="000000" w:themeColor="text1"/>
        </w:rPr>
      </w:pPr>
      <w:r w:rsidRPr="008F1E62">
        <w:rPr>
          <w:rFonts w:ascii="Calibri" w:hAnsi="Calibri" w:cs="Times New Roman"/>
          <w:b/>
          <w:color w:val="000000" w:themeColor="text1"/>
        </w:rPr>
        <w:t>Impact of PFRS 9:</w:t>
      </w:r>
      <w:r w:rsidRPr="008F1E62">
        <w:rPr>
          <w:rFonts w:ascii="Calibri" w:hAnsi="Calibri" w:cs="Times New Roman"/>
          <w:color w:val="000000" w:themeColor="text1"/>
        </w:rPr>
        <w:t xml:space="preserve"> because of its significance to banks, they should provide information about their </w:t>
      </w:r>
      <w:r w:rsidRPr="008F1E62">
        <w:rPr>
          <w:rFonts w:asciiTheme="minorHAnsi" w:hAnsiTheme="minorHAnsi" w:cs="Calibri"/>
        </w:rPr>
        <w:t>implementation</w:t>
      </w:r>
      <w:r w:rsidRPr="008F1E62">
        <w:rPr>
          <w:rFonts w:ascii="Calibri" w:hAnsi="Calibri" w:cs="Times New Roman"/>
          <w:color w:val="000000" w:themeColor="text1"/>
        </w:rPr>
        <w:t xml:space="preserve"> program.</w:t>
      </w:r>
    </w:p>
    <w:p w14:paraId="75538DE4" w14:textId="77777777" w:rsidR="00F76E53" w:rsidRPr="008F1E62" w:rsidRDefault="00F76E53" w:rsidP="00881B70">
      <w:pPr>
        <w:pStyle w:val="BodyText4"/>
        <w:numPr>
          <w:ilvl w:val="0"/>
          <w:numId w:val="2"/>
        </w:numPr>
        <w:spacing w:after="100" w:line="276" w:lineRule="auto"/>
        <w:ind w:left="0" w:hanging="562"/>
        <w:rPr>
          <w:rFonts w:ascii="Calibri" w:hAnsi="Calibri"/>
          <w:b/>
          <w:color w:val="000000" w:themeColor="text1"/>
        </w:rPr>
      </w:pPr>
      <w:r w:rsidRPr="008F1E62">
        <w:rPr>
          <w:rFonts w:ascii="Calibri" w:hAnsi="Calibri"/>
          <w:b/>
          <w:color w:val="000000" w:themeColor="text1"/>
        </w:rPr>
        <w:t>Other observations:</w:t>
      </w:r>
    </w:p>
    <w:p w14:paraId="3E97C64E" w14:textId="7E0EF1FC" w:rsidR="0018138F" w:rsidRDefault="00F76E53" w:rsidP="00FF7A94">
      <w:pPr>
        <w:pStyle w:val="ListParagraph"/>
        <w:numPr>
          <w:ilvl w:val="0"/>
          <w:numId w:val="21"/>
        </w:numPr>
        <w:spacing w:before="0" w:beforeAutospacing="0" w:after="200" w:afterAutospacing="0" w:line="276" w:lineRule="auto"/>
        <w:ind w:left="360"/>
        <w:rPr>
          <w:rFonts w:ascii="Calibri" w:hAnsi="Calibri" w:cs="Times New Roman"/>
          <w:color w:val="000000" w:themeColor="text1"/>
        </w:rPr>
      </w:pPr>
      <w:r w:rsidRPr="008F1E62">
        <w:rPr>
          <w:rFonts w:ascii="Calibri" w:hAnsi="Calibri" w:cs="Times New Roman"/>
          <w:color w:val="000000" w:themeColor="text1"/>
        </w:rPr>
        <w:t>Other observations based on the language in the audit reports include that some auditors of consolidated financial statements appear to be ‘blindly’ relying on the work of other auditors of, for example, subsidiaries furnished to them by management.  This appears to contravene International Standard on Auditing (ISA) 600.</w:t>
      </w:r>
    </w:p>
    <w:p w14:paraId="781AE88E" w14:textId="77777777" w:rsidR="00F76E53" w:rsidRPr="008F1E62" w:rsidRDefault="00F76E53" w:rsidP="0018138F">
      <w:pPr>
        <w:pStyle w:val="Heading3"/>
        <w:keepNext w:val="0"/>
        <w:keepLines w:val="0"/>
        <w:widowControl w:val="0"/>
      </w:pPr>
      <w:r w:rsidRPr="008F1E62">
        <w:t>Perceptions of A&amp;A Practices</w:t>
      </w:r>
    </w:p>
    <w:p w14:paraId="3B5889B8" w14:textId="77777777" w:rsidR="00F76E53" w:rsidRPr="008F1E62" w:rsidRDefault="00F76E53" w:rsidP="00881B70">
      <w:pPr>
        <w:pStyle w:val="BodyText4"/>
        <w:widowControl w:val="0"/>
        <w:numPr>
          <w:ilvl w:val="0"/>
          <w:numId w:val="2"/>
        </w:numPr>
        <w:spacing w:after="200" w:line="276" w:lineRule="auto"/>
        <w:ind w:left="0" w:hanging="567"/>
        <w:rPr>
          <w:rFonts w:asciiTheme="minorHAnsi" w:hAnsiTheme="minorHAnsi" w:cs="Calibri"/>
        </w:rPr>
      </w:pPr>
      <w:r w:rsidRPr="008F1E62">
        <w:rPr>
          <w:rFonts w:asciiTheme="minorHAnsi" w:hAnsiTheme="minorHAnsi"/>
          <w:b/>
          <w:bCs/>
        </w:rPr>
        <w:t xml:space="preserve">In </w:t>
      </w:r>
      <w:r w:rsidRPr="008F1E62">
        <w:rPr>
          <w:rFonts w:ascii="Calibri" w:hAnsi="Calibri"/>
          <w:b/>
          <w:bCs/>
        </w:rPr>
        <w:t>addition</w:t>
      </w:r>
      <w:r w:rsidRPr="008F1E62">
        <w:rPr>
          <w:rFonts w:asciiTheme="minorHAnsi" w:hAnsiTheme="minorHAnsi"/>
          <w:b/>
          <w:bCs/>
        </w:rPr>
        <w:t xml:space="preserve"> to roundtable discussions with stakeholders such as industry associations, an online survey was circulated to gauge perceptions of the quality of financial statements. </w:t>
      </w:r>
      <w:r w:rsidRPr="008F1E62">
        <w:rPr>
          <w:rFonts w:asciiTheme="minorHAnsi" w:hAnsiTheme="minorHAnsi"/>
        </w:rPr>
        <w:t>The inferences drawn from the survey served to corroborate some of the earlier observations regarding the A&amp;A environment from other assessments. Typically, financial information reported by listed companies and financial institutions w</w:t>
      </w:r>
      <w:r w:rsidR="001E1246">
        <w:rPr>
          <w:rFonts w:asciiTheme="minorHAnsi" w:hAnsiTheme="minorHAnsi"/>
        </w:rPr>
        <w:t>as</w:t>
      </w:r>
      <w:r w:rsidRPr="008F1E62">
        <w:rPr>
          <w:rFonts w:asciiTheme="minorHAnsi" w:hAnsiTheme="minorHAnsi"/>
        </w:rPr>
        <w:t xml:space="preserve"> perceived as high quality and useful for decision-making purpos</w:t>
      </w:r>
      <w:r w:rsidR="00D82424" w:rsidRPr="008F1E62">
        <w:rPr>
          <w:rFonts w:asciiTheme="minorHAnsi" w:hAnsiTheme="minorHAnsi"/>
        </w:rPr>
        <w:t>es and in lending decisions. GOCC</w:t>
      </w:r>
      <w:r w:rsidRPr="008F1E62">
        <w:rPr>
          <w:rFonts w:asciiTheme="minorHAnsi" w:hAnsiTheme="minorHAnsi"/>
        </w:rPr>
        <w:t xml:space="preserve">s and SME financial reporting </w:t>
      </w:r>
      <w:proofErr w:type="gramStart"/>
      <w:r w:rsidRPr="008F1E62">
        <w:rPr>
          <w:rFonts w:asciiTheme="minorHAnsi" w:hAnsiTheme="minorHAnsi"/>
        </w:rPr>
        <w:t>were seen as</w:t>
      </w:r>
      <w:proofErr w:type="gramEnd"/>
      <w:r w:rsidRPr="008F1E62">
        <w:rPr>
          <w:rFonts w:asciiTheme="minorHAnsi" w:hAnsiTheme="minorHAnsi"/>
        </w:rPr>
        <w:t xml:space="preserve"> relatively less credible and useful. The fina</w:t>
      </w:r>
      <w:r w:rsidR="00D82424" w:rsidRPr="008F1E62">
        <w:rPr>
          <w:rFonts w:asciiTheme="minorHAnsi" w:hAnsiTheme="minorHAnsi"/>
        </w:rPr>
        <w:t>ncial statements of unlisted GOCC</w:t>
      </w:r>
      <w:r w:rsidRPr="008F1E62">
        <w:rPr>
          <w:rFonts w:asciiTheme="minorHAnsi" w:hAnsiTheme="minorHAnsi"/>
        </w:rPr>
        <w:t>s</w:t>
      </w:r>
      <w:proofErr w:type="gramStart"/>
      <w:r w:rsidRPr="008F1E62">
        <w:rPr>
          <w:rFonts w:asciiTheme="minorHAnsi" w:hAnsiTheme="minorHAnsi"/>
        </w:rPr>
        <w:t>, in particular, were</w:t>
      </w:r>
      <w:proofErr w:type="gramEnd"/>
      <w:r w:rsidRPr="008F1E62">
        <w:rPr>
          <w:rFonts w:asciiTheme="minorHAnsi" w:hAnsiTheme="minorHAnsi"/>
        </w:rPr>
        <w:t xml:space="preserve"> considered less likely to provide a fair representation of the economic reality of the underlying transactions. </w:t>
      </w:r>
    </w:p>
    <w:p w14:paraId="4EA834AE" w14:textId="77777777" w:rsidR="00F76E53" w:rsidRPr="008F1E62" w:rsidRDefault="00F76E53" w:rsidP="00881B70">
      <w:pPr>
        <w:pStyle w:val="BodyText4"/>
        <w:numPr>
          <w:ilvl w:val="0"/>
          <w:numId w:val="2"/>
        </w:numPr>
        <w:spacing w:after="200" w:line="276" w:lineRule="auto"/>
        <w:ind w:left="0" w:hanging="567"/>
        <w:rPr>
          <w:rFonts w:asciiTheme="minorHAnsi" w:hAnsiTheme="minorHAnsi" w:cs="Calibri"/>
        </w:rPr>
      </w:pPr>
      <w:r w:rsidRPr="008F1E62">
        <w:rPr>
          <w:rFonts w:asciiTheme="minorHAnsi" w:hAnsiTheme="minorHAnsi" w:cs="Calibri"/>
          <w:b/>
          <w:bCs/>
        </w:rPr>
        <w:t>There is a perception</w:t>
      </w:r>
      <w:r w:rsidR="001E1246">
        <w:rPr>
          <w:rFonts w:asciiTheme="minorHAnsi" w:hAnsiTheme="minorHAnsi" w:cs="Calibri"/>
          <w:b/>
          <w:bCs/>
        </w:rPr>
        <w:t>,</w:t>
      </w:r>
      <w:r w:rsidRPr="008F1E62">
        <w:rPr>
          <w:rFonts w:asciiTheme="minorHAnsi" w:hAnsiTheme="minorHAnsi" w:cs="Calibri"/>
          <w:b/>
          <w:bCs/>
        </w:rPr>
        <w:t xml:space="preserve"> especially for MSMEs</w:t>
      </w:r>
      <w:r w:rsidR="001E1246">
        <w:rPr>
          <w:rFonts w:asciiTheme="minorHAnsi" w:hAnsiTheme="minorHAnsi" w:cs="Calibri"/>
          <w:b/>
          <w:bCs/>
        </w:rPr>
        <w:t>,</w:t>
      </w:r>
      <w:r w:rsidRPr="008F1E62">
        <w:rPr>
          <w:rFonts w:asciiTheme="minorHAnsi" w:hAnsiTheme="minorHAnsi" w:cs="Calibri"/>
          <w:b/>
          <w:bCs/>
        </w:rPr>
        <w:t xml:space="preserve"> that audited financial statements are </w:t>
      </w:r>
      <w:r w:rsidR="00B36FD6" w:rsidRPr="008F1E62">
        <w:rPr>
          <w:rFonts w:ascii="Calibri" w:hAnsi="Calibri"/>
          <w:b/>
          <w:bCs/>
        </w:rPr>
        <w:t>primar</w:t>
      </w:r>
      <w:r w:rsidR="00B36FD6">
        <w:rPr>
          <w:rFonts w:ascii="Calibri" w:hAnsi="Calibri"/>
          <w:b/>
          <w:bCs/>
        </w:rPr>
        <w:t>il</w:t>
      </w:r>
      <w:r w:rsidR="00B36FD6" w:rsidRPr="008F1E62">
        <w:rPr>
          <w:rFonts w:ascii="Calibri" w:hAnsi="Calibri"/>
          <w:b/>
          <w:bCs/>
        </w:rPr>
        <w:t>y</w:t>
      </w:r>
      <w:r w:rsidR="00B36FD6" w:rsidRPr="008F1E62">
        <w:rPr>
          <w:rFonts w:asciiTheme="minorHAnsi" w:hAnsiTheme="minorHAnsi" w:cs="Calibri"/>
          <w:b/>
          <w:bCs/>
        </w:rPr>
        <w:t xml:space="preserve"> </w:t>
      </w:r>
      <w:r w:rsidRPr="008F1E62">
        <w:rPr>
          <w:rFonts w:asciiTheme="minorHAnsi" w:hAnsiTheme="minorHAnsi" w:cs="Calibri"/>
          <w:b/>
          <w:bCs/>
        </w:rPr>
        <w:t>for the use of the BIR.</w:t>
      </w:r>
      <w:r w:rsidRPr="008F1E62">
        <w:rPr>
          <w:rFonts w:asciiTheme="minorHAnsi" w:hAnsiTheme="minorHAnsi" w:cs="Calibri"/>
        </w:rPr>
        <w:t xml:space="preserve">  As such, the objective of most enterprises is to disclose as little as possible to avoid or minimize any findings by BIR to avoid taxes or assessments.  </w:t>
      </w:r>
    </w:p>
    <w:p w14:paraId="25F9D313" w14:textId="77777777" w:rsidR="00F76E53" w:rsidRPr="008F1E62" w:rsidRDefault="00F76E53" w:rsidP="00F76E53">
      <w:pPr>
        <w:pStyle w:val="ListParagraph"/>
        <w:numPr>
          <w:ilvl w:val="0"/>
          <w:numId w:val="0"/>
        </w:numPr>
        <w:autoSpaceDE w:val="0"/>
        <w:autoSpaceDN w:val="0"/>
        <w:adjustRightInd w:val="0"/>
        <w:spacing w:before="0" w:beforeAutospacing="0" w:after="240" w:afterAutospacing="0" w:line="240" w:lineRule="auto"/>
        <w:rPr>
          <w:rFonts w:asciiTheme="minorHAnsi" w:hAnsiTheme="minorHAnsi"/>
        </w:rPr>
      </w:pPr>
      <w:r w:rsidRPr="008F1E62">
        <w:rPr>
          <w:rFonts w:asciiTheme="minorHAnsi" w:hAnsiTheme="minorHAnsi"/>
        </w:rPr>
        <w:br w:type="page"/>
      </w:r>
    </w:p>
    <w:p w14:paraId="7C234DE6" w14:textId="77777777" w:rsidR="00F76E53" w:rsidRPr="008F1E62" w:rsidRDefault="00F76E53" w:rsidP="00F76E53">
      <w:pPr>
        <w:pStyle w:val="Heading1"/>
        <w:spacing w:after="60" w:line="276" w:lineRule="auto"/>
        <w:jc w:val="center"/>
        <w:rPr>
          <w:rFonts w:ascii="Century Gothic" w:eastAsia="MS Gothic" w:hAnsi="Century Gothic" w:cstheme="minorBidi"/>
          <w:color w:val="00AB51"/>
          <w:kern w:val="32"/>
          <w:sz w:val="32"/>
          <w:szCs w:val="32"/>
          <w:lang w:val="en-US"/>
        </w:rPr>
      </w:pPr>
      <w:bookmarkStart w:id="41" w:name="_Toc499825585"/>
      <w:r w:rsidRPr="008F1E62">
        <w:rPr>
          <w:rFonts w:ascii="Century Gothic" w:eastAsia="MS Gothic" w:hAnsi="Century Gothic" w:cstheme="minorBidi"/>
          <w:caps w:val="0"/>
          <w:color w:val="00AB51"/>
          <w:kern w:val="32"/>
          <w:sz w:val="32"/>
          <w:szCs w:val="32"/>
          <w:lang w:val="en-US"/>
        </w:rPr>
        <w:t xml:space="preserve">III. </w:t>
      </w:r>
      <w:r w:rsidRPr="008F1E62">
        <w:rPr>
          <w:rFonts w:ascii="Century Gothic" w:eastAsia="MS Gothic" w:hAnsi="Century Gothic" w:cstheme="minorBidi"/>
          <w:color w:val="00AB51"/>
          <w:kern w:val="32"/>
          <w:sz w:val="32"/>
          <w:szCs w:val="32"/>
          <w:lang w:val="en-US"/>
        </w:rPr>
        <w:t>Status of Policy Recommendations of ROSC A&amp;A 2006</w:t>
      </w:r>
      <w:bookmarkEnd w:id="41"/>
    </w:p>
    <w:p w14:paraId="71707420" w14:textId="77777777" w:rsidR="007D1799" w:rsidRPr="008F1E62" w:rsidRDefault="007D1799" w:rsidP="007D1799">
      <w:pPr>
        <w:pStyle w:val="BodyText4"/>
        <w:spacing w:after="200" w:line="276" w:lineRule="auto"/>
        <w:rPr>
          <w:rFonts w:asciiTheme="minorHAnsi" w:hAnsiTheme="minorHAnsi" w:cs="Calibri"/>
        </w:rPr>
      </w:pPr>
    </w:p>
    <w:p w14:paraId="0223EE55" w14:textId="77777777" w:rsidR="007D1799" w:rsidRPr="008F1E62" w:rsidRDefault="00866082" w:rsidP="00881B70">
      <w:pPr>
        <w:pStyle w:val="BodyText4"/>
        <w:numPr>
          <w:ilvl w:val="0"/>
          <w:numId w:val="2"/>
        </w:numPr>
        <w:spacing w:after="200" w:line="276" w:lineRule="auto"/>
        <w:ind w:left="0" w:hanging="630"/>
        <w:rPr>
          <w:rFonts w:asciiTheme="minorHAnsi" w:hAnsiTheme="minorHAnsi" w:cstheme="minorHAnsi"/>
        </w:rPr>
      </w:pPr>
      <w:r w:rsidRPr="008F1E62">
        <w:rPr>
          <w:rFonts w:asciiTheme="minorHAnsi" w:hAnsiTheme="minorHAnsi" w:cstheme="minorHAnsi"/>
          <w:b/>
          <w:bCs/>
        </w:rPr>
        <w:t>The last ROSC A&amp;A was completed in the Philippines in 2006, and since then the country has made p</w:t>
      </w:r>
      <w:r w:rsidR="007D1799" w:rsidRPr="008F1E62">
        <w:rPr>
          <w:rFonts w:asciiTheme="minorHAnsi" w:hAnsiTheme="minorHAnsi" w:cstheme="minorHAnsi"/>
          <w:b/>
        </w:rPr>
        <w:t xml:space="preserve">rogress </w:t>
      </w:r>
      <w:r w:rsidRPr="008F1E62">
        <w:rPr>
          <w:rFonts w:asciiTheme="minorHAnsi" w:hAnsiTheme="minorHAnsi" w:cstheme="minorHAnsi"/>
          <w:b/>
          <w:bCs/>
        </w:rPr>
        <w:t xml:space="preserve">in addressing </w:t>
      </w:r>
      <w:r w:rsidR="00B36FD6">
        <w:rPr>
          <w:rFonts w:asciiTheme="minorHAnsi" w:hAnsiTheme="minorHAnsi" w:cstheme="minorHAnsi"/>
          <w:b/>
          <w:bCs/>
        </w:rPr>
        <w:t>its</w:t>
      </w:r>
      <w:r w:rsidR="00B36FD6" w:rsidRPr="008F1E62">
        <w:rPr>
          <w:rFonts w:asciiTheme="minorHAnsi" w:hAnsiTheme="minorHAnsi" w:cstheme="minorHAnsi"/>
          <w:b/>
          <w:bCs/>
        </w:rPr>
        <w:t xml:space="preserve"> </w:t>
      </w:r>
      <w:r w:rsidRPr="008F1E62">
        <w:rPr>
          <w:rFonts w:asciiTheme="minorHAnsi" w:hAnsiTheme="minorHAnsi" w:cstheme="minorHAnsi"/>
          <w:b/>
          <w:bCs/>
        </w:rPr>
        <w:t>recommendation</w:t>
      </w:r>
      <w:r w:rsidR="00B36FD6">
        <w:rPr>
          <w:rFonts w:asciiTheme="minorHAnsi" w:hAnsiTheme="minorHAnsi" w:cstheme="minorHAnsi"/>
          <w:b/>
          <w:bCs/>
        </w:rPr>
        <w:t>s</w:t>
      </w:r>
      <w:r w:rsidRPr="008F1E62">
        <w:rPr>
          <w:rFonts w:asciiTheme="minorHAnsi" w:hAnsiTheme="minorHAnsi" w:cstheme="minorHAnsi"/>
          <w:b/>
          <w:bCs/>
        </w:rPr>
        <w:t xml:space="preserve"> to</w:t>
      </w:r>
      <w:r w:rsidRPr="008F1E62">
        <w:rPr>
          <w:rFonts w:asciiTheme="minorHAnsi" w:hAnsiTheme="minorHAnsi" w:cstheme="minorHAnsi"/>
          <w:b/>
        </w:rPr>
        <w:t xml:space="preserve"> develop</w:t>
      </w:r>
      <w:r w:rsidR="007D1799" w:rsidRPr="008F1E62">
        <w:rPr>
          <w:rFonts w:asciiTheme="minorHAnsi" w:hAnsiTheme="minorHAnsi" w:cstheme="minorHAnsi"/>
          <w:b/>
        </w:rPr>
        <w:t xml:space="preserve"> its legal framework, standards, and institutions to foster reliable and efficient financial reporting.</w:t>
      </w:r>
      <w:r w:rsidR="007D1799" w:rsidRPr="008F1E62">
        <w:rPr>
          <w:rFonts w:asciiTheme="minorHAnsi" w:hAnsiTheme="minorHAnsi" w:cstheme="minorHAnsi"/>
        </w:rPr>
        <w:t xml:space="preserve"> The table below summarizes the primary recommendations in the 2006 ROSC and developments in the Philippines since then.</w:t>
      </w:r>
    </w:p>
    <w:p w14:paraId="377AEC5A" w14:textId="77777777" w:rsidR="00F76E53" w:rsidRPr="008F1E62" w:rsidRDefault="00F76E53" w:rsidP="00F76E53">
      <w:pPr>
        <w:pStyle w:val="Caption"/>
        <w:spacing w:before="0" w:after="0" w:line="276" w:lineRule="auto"/>
        <w:jc w:val="center"/>
        <w:rPr>
          <w:sz w:val="24"/>
          <w:szCs w:val="24"/>
          <w:lang w:val="en-US"/>
        </w:rPr>
      </w:pPr>
    </w:p>
    <w:tbl>
      <w:tblPr>
        <w:tblStyle w:val="TableGrid11"/>
        <w:tblW w:w="5000" w:type="pct"/>
        <w:jc w:val="center"/>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420"/>
        <w:gridCol w:w="1839"/>
        <w:gridCol w:w="3767"/>
      </w:tblGrid>
      <w:tr w:rsidR="00F76E53" w:rsidRPr="00F14D19" w14:paraId="2FED5CF3" w14:textId="77777777" w:rsidTr="00F03568">
        <w:trPr>
          <w:trHeight w:val="485"/>
          <w:tblHeader/>
          <w:tblCellSpacing w:w="57" w:type="dxa"/>
          <w:jc w:val="center"/>
        </w:trPr>
        <w:tc>
          <w:tcPr>
            <w:tcW w:w="3249" w:type="dxa"/>
            <w:shd w:val="clear" w:color="auto" w:fill="4472C4"/>
            <w:vAlign w:val="center"/>
          </w:tcPr>
          <w:p w14:paraId="01C9F864" w14:textId="77777777" w:rsidR="00F76E53" w:rsidRPr="00F14D19" w:rsidRDefault="00F76E53" w:rsidP="00F14D19">
            <w:pPr>
              <w:spacing w:after="0"/>
              <w:jc w:val="center"/>
              <w:rPr>
                <w:rFonts w:ascii="Calibri" w:hAnsi="Calibri"/>
                <w:b/>
                <w:color w:val="FFFFFF" w:themeColor="background1"/>
                <w:szCs w:val="22"/>
              </w:rPr>
            </w:pPr>
            <w:bookmarkStart w:id="42" w:name="page2"/>
            <w:bookmarkStart w:id="43" w:name="page6"/>
            <w:bookmarkStart w:id="44" w:name="page19"/>
            <w:bookmarkEnd w:id="42"/>
            <w:bookmarkEnd w:id="43"/>
            <w:bookmarkEnd w:id="44"/>
            <w:r w:rsidRPr="00F14D19">
              <w:rPr>
                <w:rFonts w:ascii="Calibri" w:hAnsi="Calibri"/>
                <w:b/>
                <w:color w:val="FFFFFF" w:themeColor="background1"/>
                <w:szCs w:val="22"/>
              </w:rPr>
              <w:t>Recommendation</w:t>
            </w:r>
          </w:p>
        </w:tc>
        <w:tc>
          <w:tcPr>
            <w:tcW w:w="1725" w:type="dxa"/>
            <w:shd w:val="clear" w:color="auto" w:fill="4472C4"/>
            <w:vAlign w:val="center"/>
          </w:tcPr>
          <w:p w14:paraId="3C4AC794" w14:textId="77777777" w:rsidR="00F76E53" w:rsidRPr="00F14D19" w:rsidRDefault="00F76E53" w:rsidP="00F14D19">
            <w:pPr>
              <w:spacing w:after="0"/>
              <w:jc w:val="center"/>
              <w:rPr>
                <w:rFonts w:ascii="Calibri" w:hAnsi="Calibri"/>
                <w:b/>
                <w:color w:val="FFFFFF" w:themeColor="background1"/>
                <w:szCs w:val="22"/>
              </w:rPr>
            </w:pPr>
            <w:r w:rsidRPr="00F14D19">
              <w:rPr>
                <w:rFonts w:ascii="Calibri" w:hAnsi="Calibri"/>
                <w:b/>
                <w:color w:val="FFFFFF" w:themeColor="background1"/>
                <w:szCs w:val="22"/>
              </w:rPr>
              <w:t>Implementation status</w:t>
            </w:r>
          </w:p>
        </w:tc>
        <w:tc>
          <w:tcPr>
            <w:tcW w:w="3596" w:type="dxa"/>
            <w:shd w:val="clear" w:color="auto" w:fill="4472C4"/>
            <w:vAlign w:val="center"/>
          </w:tcPr>
          <w:p w14:paraId="1BD75BE7" w14:textId="77777777" w:rsidR="00F76E53" w:rsidRPr="00F14D19" w:rsidRDefault="00F76E53" w:rsidP="00F14D19">
            <w:pPr>
              <w:spacing w:after="0"/>
              <w:jc w:val="center"/>
              <w:rPr>
                <w:rFonts w:ascii="Calibri" w:hAnsi="Calibri"/>
                <w:b/>
                <w:color w:val="FFFFFF" w:themeColor="background1"/>
                <w:szCs w:val="22"/>
              </w:rPr>
            </w:pPr>
            <w:r w:rsidRPr="00F14D19">
              <w:rPr>
                <w:rFonts w:ascii="Calibri" w:hAnsi="Calibri"/>
                <w:b/>
                <w:color w:val="FFFFFF" w:themeColor="background1"/>
                <w:szCs w:val="22"/>
              </w:rPr>
              <w:t>Actions taken</w:t>
            </w:r>
          </w:p>
        </w:tc>
      </w:tr>
      <w:tr w:rsidR="00F76E53" w:rsidRPr="00F14D19" w14:paraId="4B13C634" w14:textId="77777777" w:rsidTr="00F03568">
        <w:trPr>
          <w:trHeight w:val="62"/>
          <w:tblCellSpacing w:w="57" w:type="dxa"/>
          <w:jc w:val="center"/>
        </w:trPr>
        <w:tc>
          <w:tcPr>
            <w:tcW w:w="8798" w:type="dxa"/>
            <w:gridSpan w:val="3"/>
            <w:shd w:val="clear" w:color="auto" w:fill="8C8D90"/>
          </w:tcPr>
          <w:p w14:paraId="40139A50" w14:textId="77777777" w:rsidR="00F76E53" w:rsidRPr="00F14D19" w:rsidRDefault="00F76E53" w:rsidP="00F14D19">
            <w:pPr>
              <w:spacing w:after="0"/>
              <w:jc w:val="center"/>
              <w:rPr>
                <w:rFonts w:ascii="Calibri" w:hAnsi="Calibri"/>
                <w:b/>
                <w:color w:val="FFFFFF" w:themeColor="background1"/>
                <w:szCs w:val="22"/>
              </w:rPr>
            </w:pPr>
            <w:r w:rsidRPr="00F14D19">
              <w:rPr>
                <w:rFonts w:ascii="Calibri" w:hAnsi="Calibri"/>
                <w:b/>
                <w:color w:val="FFFFFF" w:themeColor="background1"/>
                <w:szCs w:val="22"/>
              </w:rPr>
              <w:t>A&amp;A standards</w:t>
            </w:r>
          </w:p>
        </w:tc>
      </w:tr>
      <w:tr w:rsidR="00F76E53" w:rsidRPr="00F14D19" w14:paraId="2B11FB01" w14:textId="77777777" w:rsidTr="00F03568">
        <w:trPr>
          <w:trHeight w:val="38"/>
          <w:tblCellSpacing w:w="57" w:type="dxa"/>
          <w:jc w:val="center"/>
        </w:trPr>
        <w:tc>
          <w:tcPr>
            <w:tcW w:w="3249" w:type="dxa"/>
            <w:shd w:val="clear" w:color="auto" w:fill="E7E6E6" w:themeFill="background2"/>
            <w:vAlign w:val="center"/>
          </w:tcPr>
          <w:p w14:paraId="50A79C3F"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Training on preparing IFRS/IAS-based financial statements for various stakeholders.</w:t>
            </w:r>
          </w:p>
        </w:tc>
        <w:tc>
          <w:tcPr>
            <w:tcW w:w="1725" w:type="dxa"/>
            <w:shd w:val="clear" w:color="auto" w:fill="E7E6E6" w:themeFill="background2"/>
            <w:vAlign w:val="center"/>
          </w:tcPr>
          <w:p w14:paraId="4921F12E" w14:textId="77777777" w:rsidR="00F76E53" w:rsidRPr="00F14D19" w:rsidRDefault="00F76E53" w:rsidP="00F14D19">
            <w:pPr>
              <w:widowControl w:val="0"/>
              <w:overflowPunct w:val="0"/>
              <w:spacing w:after="0"/>
              <w:jc w:val="center"/>
              <w:rPr>
                <w:rFonts w:ascii="Calibri" w:hAnsi="Calibri"/>
                <w:color w:val="000000"/>
                <w:szCs w:val="22"/>
              </w:rPr>
            </w:pPr>
            <w:r w:rsidRPr="00F14D19">
              <w:rPr>
                <w:rFonts w:ascii="Calibri" w:hAnsi="Calibri"/>
                <w:color w:val="000000"/>
                <w:szCs w:val="22"/>
              </w:rPr>
              <w:t>Fully Implemented</w:t>
            </w:r>
          </w:p>
        </w:tc>
        <w:tc>
          <w:tcPr>
            <w:tcW w:w="3596" w:type="dxa"/>
            <w:shd w:val="clear" w:color="auto" w:fill="E7E6E6" w:themeFill="background2"/>
            <w:vAlign w:val="center"/>
          </w:tcPr>
          <w:p w14:paraId="362E58D0"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IFRS/IAS was fully adopted in 2005.  Trainings and the required literature are available to all practitioners.</w:t>
            </w:r>
          </w:p>
        </w:tc>
      </w:tr>
      <w:tr w:rsidR="00461ECF" w:rsidRPr="00F14D19" w14:paraId="379B3E3F" w14:textId="77777777" w:rsidTr="00F03568">
        <w:trPr>
          <w:trHeight w:val="231"/>
          <w:tblCellSpacing w:w="57" w:type="dxa"/>
          <w:jc w:val="center"/>
        </w:trPr>
        <w:tc>
          <w:tcPr>
            <w:tcW w:w="3249" w:type="dxa"/>
            <w:vMerge w:val="restart"/>
            <w:shd w:val="clear" w:color="auto" w:fill="E7E6E6" w:themeFill="background2"/>
            <w:vAlign w:val="center"/>
          </w:tcPr>
          <w:p w14:paraId="6BD72E3A" w14:textId="77777777" w:rsidR="00461ECF" w:rsidRPr="00F14D19" w:rsidRDefault="00461ECF" w:rsidP="00F14D19">
            <w:pPr>
              <w:spacing w:after="0"/>
              <w:jc w:val="left"/>
              <w:rPr>
                <w:rFonts w:ascii="Calibri" w:hAnsi="Calibri"/>
                <w:color w:val="000000"/>
                <w:szCs w:val="22"/>
              </w:rPr>
            </w:pPr>
            <w:r w:rsidRPr="00F14D19">
              <w:rPr>
                <w:rFonts w:ascii="Calibri" w:hAnsi="Calibri"/>
                <w:color w:val="000000"/>
                <w:szCs w:val="22"/>
              </w:rPr>
              <w:t xml:space="preserve">Establish an oversight body to coordinate the quality control programs of the various Stakeholders (SEC, BSP, IC, BOA and PICPA) and provide appropriate transparency in carrying out the quality control function. </w:t>
            </w:r>
          </w:p>
        </w:tc>
        <w:tc>
          <w:tcPr>
            <w:tcW w:w="1725" w:type="dxa"/>
            <w:vMerge w:val="restart"/>
            <w:shd w:val="clear" w:color="auto" w:fill="E7E6E6" w:themeFill="background2"/>
            <w:vAlign w:val="center"/>
          </w:tcPr>
          <w:p w14:paraId="3915513F" w14:textId="77777777" w:rsidR="00461ECF" w:rsidRPr="00F14D19" w:rsidRDefault="00461ECF" w:rsidP="00F14D19">
            <w:pPr>
              <w:widowControl w:val="0"/>
              <w:overflowPunct w:val="0"/>
              <w:spacing w:after="0"/>
              <w:jc w:val="center"/>
              <w:rPr>
                <w:rFonts w:ascii="Calibri" w:hAnsi="Calibri"/>
                <w:color w:val="000000"/>
                <w:szCs w:val="22"/>
              </w:rPr>
            </w:pPr>
            <w:r w:rsidRPr="00F14D19">
              <w:rPr>
                <w:rFonts w:ascii="Calibri" w:hAnsi="Calibri"/>
                <w:color w:val="000000"/>
                <w:szCs w:val="22"/>
              </w:rPr>
              <w:t>Partially Implemented</w:t>
            </w:r>
          </w:p>
        </w:tc>
        <w:tc>
          <w:tcPr>
            <w:tcW w:w="3596" w:type="dxa"/>
            <w:shd w:val="clear" w:color="auto" w:fill="E7E6E6" w:themeFill="background2"/>
            <w:vAlign w:val="center"/>
          </w:tcPr>
          <w:p w14:paraId="3B4094DA" w14:textId="49BC081A" w:rsidR="00461ECF" w:rsidRPr="00F14D19" w:rsidRDefault="00461ECF" w:rsidP="00F14D19">
            <w:pPr>
              <w:spacing w:after="0"/>
              <w:jc w:val="left"/>
              <w:rPr>
                <w:rFonts w:ascii="Calibri" w:hAnsi="Calibri"/>
                <w:color w:val="000000"/>
                <w:szCs w:val="22"/>
              </w:rPr>
            </w:pPr>
            <w:r w:rsidRPr="00F14D19">
              <w:rPr>
                <w:rFonts w:ascii="Calibri" w:hAnsi="Calibri"/>
                <w:color w:val="000000"/>
                <w:szCs w:val="22"/>
              </w:rPr>
              <w:t>A Council for Accreditation and Quality Control of Practicing CPAs (“Council”) was created under a Memorandum of Agreement executed on August 12, 2009, by BOA, SEC, BSP, and IC.</w:t>
            </w:r>
          </w:p>
        </w:tc>
      </w:tr>
      <w:tr w:rsidR="00461ECF" w:rsidRPr="00F14D19" w14:paraId="6EE8E685" w14:textId="77777777" w:rsidTr="00F03568">
        <w:trPr>
          <w:trHeight w:val="879"/>
          <w:tblCellSpacing w:w="57" w:type="dxa"/>
          <w:jc w:val="center"/>
        </w:trPr>
        <w:tc>
          <w:tcPr>
            <w:tcW w:w="3249" w:type="dxa"/>
            <w:vMerge/>
            <w:shd w:val="clear" w:color="auto" w:fill="E7E6E6" w:themeFill="background2"/>
            <w:vAlign w:val="center"/>
          </w:tcPr>
          <w:p w14:paraId="62FFA3CF" w14:textId="77777777" w:rsidR="00461ECF" w:rsidRPr="00F14D19" w:rsidRDefault="00461ECF" w:rsidP="00F14D19">
            <w:pPr>
              <w:spacing w:after="0"/>
              <w:jc w:val="left"/>
              <w:rPr>
                <w:rFonts w:ascii="Calibri" w:hAnsi="Calibri"/>
                <w:color w:val="000000"/>
              </w:rPr>
            </w:pPr>
          </w:p>
        </w:tc>
        <w:tc>
          <w:tcPr>
            <w:tcW w:w="1725" w:type="dxa"/>
            <w:vMerge/>
            <w:shd w:val="clear" w:color="auto" w:fill="E7E6E6" w:themeFill="background2"/>
            <w:vAlign w:val="center"/>
          </w:tcPr>
          <w:p w14:paraId="043C32F7" w14:textId="77777777" w:rsidR="00461ECF" w:rsidRPr="00F14D19" w:rsidRDefault="00461ECF" w:rsidP="00F14D19">
            <w:pPr>
              <w:widowControl w:val="0"/>
              <w:overflowPunct w:val="0"/>
              <w:spacing w:after="0"/>
              <w:jc w:val="center"/>
              <w:rPr>
                <w:rFonts w:ascii="Calibri" w:hAnsi="Calibri"/>
                <w:color w:val="000000"/>
              </w:rPr>
            </w:pPr>
          </w:p>
        </w:tc>
        <w:tc>
          <w:tcPr>
            <w:tcW w:w="3596" w:type="dxa"/>
            <w:shd w:val="clear" w:color="auto" w:fill="E7E6E6" w:themeFill="background2"/>
            <w:vAlign w:val="center"/>
          </w:tcPr>
          <w:p w14:paraId="147BDD63" w14:textId="703576CD" w:rsidR="00461ECF" w:rsidRPr="00F14D19" w:rsidRDefault="00461ECF" w:rsidP="00F14D19">
            <w:pPr>
              <w:spacing w:after="0"/>
              <w:jc w:val="left"/>
              <w:rPr>
                <w:rFonts w:ascii="Calibri" w:hAnsi="Calibri"/>
                <w:color w:val="000000"/>
              </w:rPr>
            </w:pPr>
            <w:r w:rsidRPr="00F14D19">
              <w:rPr>
                <w:rFonts w:ascii="Calibri" w:hAnsi="Calibri"/>
                <w:color w:val="000000"/>
                <w:szCs w:val="22"/>
              </w:rPr>
              <w:t>The oversight body would establish the objectives and policies such as the companies to be covered by quality control review and the nature and extent of work to be done but progress has been quite limited.</w:t>
            </w:r>
          </w:p>
        </w:tc>
      </w:tr>
      <w:tr w:rsidR="00F76E53" w:rsidRPr="00F14D19" w14:paraId="38289729" w14:textId="77777777" w:rsidTr="00F03568">
        <w:trPr>
          <w:trHeight w:val="197"/>
          <w:tblCellSpacing w:w="57" w:type="dxa"/>
          <w:jc w:val="center"/>
        </w:trPr>
        <w:tc>
          <w:tcPr>
            <w:tcW w:w="3249" w:type="dxa"/>
            <w:shd w:val="clear" w:color="auto" w:fill="E7E6E6" w:themeFill="background2"/>
            <w:vAlign w:val="center"/>
          </w:tcPr>
          <w:p w14:paraId="59AFD991"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Set up quality control review teams of full time qualified professionals who report directly to the oversight body.  The oversight body should be able to recruit qualified personnel with commensurate compensation.</w:t>
            </w:r>
          </w:p>
        </w:tc>
        <w:tc>
          <w:tcPr>
            <w:tcW w:w="1725" w:type="dxa"/>
            <w:shd w:val="clear" w:color="auto" w:fill="E7E6E6" w:themeFill="background2"/>
            <w:vAlign w:val="center"/>
          </w:tcPr>
          <w:p w14:paraId="4A3A71FB" w14:textId="0A202B88" w:rsidR="00F76E53" w:rsidRPr="00F14D19" w:rsidRDefault="00F76E53" w:rsidP="00F14D19">
            <w:pPr>
              <w:widowControl w:val="0"/>
              <w:overflowPunct w:val="0"/>
              <w:spacing w:after="0"/>
              <w:jc w:val="center"/>
              <w:rPr>
                <w:rFonts w:ascii="Calibri" w:hAnsi="Calibri"/>
                <w:color w:val="000000"/>
                <w:szCs w:val="22"/>
              </w:rPr>
            </w:pPr>
            <w:r w:rsidRPr="00F14D19">
              <w:rPr>
                <w:rFonts w:ascii="Calibri" w:hAnsi="Calibri"/>
                <w:color w:val="000000"/>
                <w:szCs w:val="22"/>
              </w:rPr>
              <w:t>Limited progress to date</w:t>
            </w:r>
          </w:p>
        </w:tc>
        <w:tc>
          <w:tcPr>
            <w:tcW w:w="3596" w:type="dxa"/>
            <w:shd w:val="clear" w:color="auto" w:fill="E7E6E6" w:themeFill="background2"/>
            <w:vAlign w:val="center"/>
          </w:tcPr>
          <w:p w14:paraId="3F339003"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Various quality assurance inspection program initiatives are underway but efforts are fragmented and teams are not expected to report directly to the oversight body.</w:t>
            </w:r>
          </w:p>
        </w:tc>
      </w:tr>
      <w:tr w:rsidR="00F76E53" w:rsidRPr="00F14D19" w14:paraId="36FF67AA" w14:textId="77777777" w:rsidTr="00F03568">
        <w:trPr>
          <w:trHeight w:val="197"/>
          <w:tblCellSpacing w:w="57" w:type="dxa"/>
          <w:jc w:val="center"/>
        </w:trPr>
        <w:tc>
          <w:tcPr>
            <w:tcW w:w="3249" w:type="dxa"/>
            <w:shd w:val="clear" w:color="auto" w:fill="E7E6E6" w:themeFill="background2"/>
            <w:vAlign w:val="center"/>
          </w:tcPr>
          <w:p w14:paraId="083BD218"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 xml:space="preserve">Design quality control procedures appropriate to audit firms to be reviewed. </w:t>
            </w:r>
          </w:p>
        </w:tc>
        <w:tc>
          <w:tcPr>
            <w:tcW w:w="1725" w:type="dxa"/>
            <w:shd w:val="clear" w:color="auto" w:fill="E7E6E6" w:themeFill="background2"/>
            <w:vAlign w:val="center"/>
          </w:tcPr>
          <w:p w14:paraId="79F7A028" w14:textId="187D664D" w:rsidR="00F76E53" w:rsidRPr="00F14D19" w:rsidRDefault="00F76E53" w:rsidP="00F14D19">
            <w:pPr>
              <w:widowControl w:val="0"/>
              <w:overflowPunct w:val="0"/>
              <w:spacing w:after="0"/>
              <w:jc w:val="center"/>
              <w:rPr>
                <w:rFonts w:ascii="Calibri" w:hAnsi="Calibri"/>
                <w:color w:val="000000"/>
                <w:szCs w:val="22"/>
              </w:rPr>
            </w:pPr>
            <w:r w:rsidRPr="00F14D19">
              <w:rPr>
                <w:rFonts w:ascii="Calibri" w:hAnsi="Calibri"/>
                <w:color w:val="000000"/>
                <w:szCs w:val="22"/>
              </w:rPr>
              <w:t>Limited progress to date</w:t>
            </w:r>
          </w:p>
        </w:tc>
        <w:tc>
          <w:tcPr>
            <w:tcW w:w="3596" w:type="dxa"/>
            <w:shd w:val="clear" w:color="auto" w:fill="E7E6E6" w:themeFill="background2"/>
            <w:vAlign w:val="center"/>
          </w:tcPr>
          <w:p w14:paraId="2BC81CA3"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Although some progress has been made, a mandatory quality assurance inspection program is not yet operational.</w:t>
            </w:r>
          </w:p>
        </w:tc>
      </w:tr>
      <w:tr w:rsidR="00F76E53" w:rsidRPr="00F14D19" w14:paraId="3FFA597C" w14:textId="77777777" w:rsidTr="00F03568">
        <w:trPr>
          <w:trHeight w:val="197"/>
          <w:tblCellSpacing w:w="57" w:type="dxa"/>
          <w:jc w:val="center"/>
        </w:trPr>
        <w:tc>
          <w:tcPr>
            <w:tcW w:w="8798" w:type="dxa"/>
            <w:gridSpan w:val="3"/>
            <w:shd w:val="clear" w:color="auto" w:fill="8C8D90"/>
          </w:tcPr>
          <w:p w14:paraId="7F38C569" w14:textId="77777777" w:rsidR="00F76E53" w:rsidRPr="00F14D19" w:rsidRDefault="00F76E53" w:rsidP="00F14D19">
            <w:pPr>
              <w:spacing w:after="0"/>
              <w:jc w:val="center"/>
              <w:rPr>
                <w:rFonts w:ascii="Calibri" w:hAnsi="Calibri"/>
                <w:b/>
                <w:color w:val="FFFFFF" w:themeColor="background1"/>
                <w:szCs w:val="22"/>
              </w:rPr>
            </w:pPr>
            <w:r w:rsidRPr="00F14D19">
              <w:rPr>
                <w:rFonts w:ascii="Calibri" w:hAnsi="Calibri"/>
                <w:b/>
                <w:color w:val="FFFFFF" w:themeColor="background1"/>
                <w:szCs w:val="22"/>
              </w:rPr>
              <w:t>Capacity to implement A&amp;A requirements</w:t>
            </w:r>
          </w:p>
        </w:tc>
      </w:tr>
      <w:tr w:rsidR="00F76E53" w:rsidRPr="00F14D19" w14:paraId="6F2A92E8" w14:textId="77777777" w:rsidTr="00F03568">
        <w:trPr>
          <w:trHeight w:val="665"/>
          <w:tblCellSpacing w:w="57" w:type="dxa"/>
          <w:jc w:val="center"/>
        </w:trPr>
        <w:tc>
          <w:tcPr>
            <w:tcW w:w="3249" w:type="dxa"/>
            <w:shd w:val="clear" w:color="auto" w:fill="E7E6E6" w:themeFill="background2"/>
            <w:vAlign w:val="center"/>
          </w:tcPr>
          <w:p w14:paraId="0247CC22"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Require continuing professional education and create a CPE Council as required by the Accountancy Act of 2004</w:t>
            </w:r>
          </w:p>
        </w:tc>
        <w:tc>
          <w:tcPr>
            <w:tcW w:w="1725" w:type="dxa"/>
            <w:shd w:val="clear" w:color="auto" w:fill="E7E6E6" w:themeFill="background2"/>
            <w:vAlign w:val="center"/>
          </w:tcPr>
          <w:p w14:paraId="176EDEEA" w14:textId="77777777" w:rsidR="00F76E53" w:rsidRPr="00F14D19" w:rsidRDefault="00F76E53" w:rsidP="00F14D19">
            <w:pPr>
              <w:spacing w:after="0"/>
              <w:jc w:val="center"/>
              <w:rPr>
                <w:rFonts w:ascii="Calibri" w:hAnsi="Calibri"/>
                <w:color w:val="000000"/>
                <w:szCs w:val="22"/>
              </w:rPr>
            </w:pPr>
            <w:r w:rsidRPr="00F14D19">
              <w:rPr>
                <w:rFonts w:ascii="Calibri" w:hAnsi="Calibri"/>
                <w:color w:val="000000"/>
                <w:szCs w:val="22"/>
              </w:rPr>
              <w:t>Fully Implemented</w:t>
            </w:r>
          </w:p>
        </w:tc>
        <w:tc>
          <w:tcPr>
            <w:tcW w:w="3596" w:type="dxa"/>
            <w:shd w:val="clear" w:color="auto" w:fill="E7E6E6" w:themeFill="background2"/>
            <w:vAlign w:val="center"/>
          </w:tcPr>
          <w:p w14:paraId="136A7115"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PRC issued MO requiring minimum number of CPE credits before license renewal.</w:t>
            </w:r>
          </w:p>
          <w:p w14:paraId="7580F457"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PICPA was designated to create a CPE Council to take charge of the establishment of CPE requirements.</w:t>
            </w:r>
          </w:p>
        </w:tc>
      </w:tr>
      <w:tr w:rsidR="00F76E53" w:rsidRPr="00F14D19" w14:paraId="345B58BB" w14:textId="77777777" w:rsidTr="00F03568">
        <w:trPr>
          <w:tblCellSpacing w:w="57" w:type="dxa"/>
          <w:jc w:val="center"/>
        </w:trPr>
        <w:tc>
          <w:tcPr>
            <w:tcW w:w="8798" w:type="dxa"/>
            <w:gridSpan w:val="3"/>
            <w:shd w:val="clear" w:color="auto" w:fill="8C8D90"/>
          </w:tcPr>
          <w:p w14:paraId="4F52BE4C" w14:textId="77777777" w:rsidR="00F76E53" w:rsidRPr="00F14D19" w:rsidRDefault="00F76E53" w:rsidP="00F14D19">
            <w:pPr>
              <w:spacing w:after="0"/>
              <w:jc w:val="center"/>
              <w:rPr>
                <w:rFonts w:ascii="Calibri" w:hAnsi="Calibri"/>
                <w:b/>
                <w:color w:val="FFFFFF" w:themeColor="background1"/>
                <w:szCs w:val="22"/>
              </w:rPr>
            </w:pPr>
            <w:r w:rsidRPr="00F14D19">
              <w:rPr>
                <w:rFonts w:ascii="Calibri" w:hAnsi="Calibri"/>
                <w:b/>
                <w:color w:val="FFFFFF" w:themeColor="background1"/>
                <w:szCs w:val="22"/>
              </w:rPr>
              <w:t>Monitoring and enforcement</w:t>
            </w:r>
          </w:p>
        </w:tc>
      </w:tr>
      <w:tr w:rsidR="00F76E53" w:rsidRPr="00F14D19" w14:paraId="61489161" w14:textId="77777777" w:rsidTr="00F03568">
        <w:trPr>
          <w:tblCellSpacing w:w="57" w:type="dxa"/>
          <w:jc w:val="center"/>
        </w:trPr>
        <w:tc>
          <w:tcPr>
            <w:tcW w:w="3249" w:type="dxa"/>
            <w:shd w:val="clear" w:color="auto" w:fill="E7E6E6" w:themeFill="background2"/>
          </w:tcPr>
          <w:p w14:paraId="2F67BFB9"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 xml:space="preserve">Rationalize audit requirements for small companies. The present thresholds that require submission of audited financial statements were set many years ago and are no longer </w:t>
            </w:r>
            <w:r w:rsidR="008602D8" w:rsidRPr="00F14D19">
              <w:rPr>
                <w:rFonts w:ascii="Calibri" w:hAnsi="Calibri"/>
                <w:color w:val="000000"/>
                <w:szCs w:val="22"/>
              </w:rPr>
              <w:t>optimal in the current economic context</w:t>
            </w:r>
          </w:p>
        </w:tc>
        <w:tc>
          <w:tcPr>
            <w:tcW w:w="1725" w:type="dxa"/>
            <w:shd w:val="clear" w:color="auto" w:fill="E7E6E6" w:themeFill="background2"/>
            <w:vAlign w:val="center"/>
          </w:tcPr>
          <w:p w14:paraId="3A32E21E" w14:textId="77777777" w:rsidR="00F76E53" w:rsidRPr="00F14D19" w:rsidRDefault="00F76E53" w:rsidP="00F14D19">
            <w:pPr>
              <w:spacing w:after="0"/>
              <w:jc w:val="center"/>
              <w:rPr>
                <w:rFonts w:ascii="Calibri" w:hAnsi="Calibri"/>
                <w:color w:val="000000"/>
                <w:szCs w:val="22"/>
              </w:rPr>
            </w:pPr>
            <w:r w:rsidRPr="00F14D19">
              <w:rPr>
                <w:rFonts w:ascii="Calibri" w:hAnsi="Calibri"/>
                <w:color w:val="000000"/>
                <w:szCs w:val="22"/>
              </w:rPr>
              <w:t>Not implemented</w:t>
            </w:r>
          </w:p>
        </w:tc>
        <w:tc>
          <w:tcPr>
            <w:tcW w:w="3596" w:type="dxa"/>
            <w:shd w:val="clear" w:color="auto" w:fill="E7E6E6" w:themeFill="background2"/>
            <w:vAlign w:val="center"/>
          </w:tcPr>
          <w:p w14:paraId="4D195E6E"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 xml:space="preserve">No changes to date.  However, the DOF is in the process </w:t>
            </w:r>
            <w:r w:rsidR="00B36FD6" w:rsidRPr="00F14D19">
              <w:rPr>
                <w:rFonts w:ascii="Calibri" w:hAnsi="Calibri"/>
                <w:color w:val="000000"/>
                <w:szCs w:val="22"/>
              </w:rPr>
              <w:t xml:space="preserve">of </w:t>
            </w:r>
            <w:r w:rsidRPr="00F14D19">
              <w:rPr>
                <w:rFonts w:ascii="Calibri" w:hAnsi="Calibri"/>
                <w:color w:val="000000"/>
                <w:szCs w:val="22"/>
              </w:rPr>
              <w:t>proposing changes to existing governing laws in coordination with SEC and BIR.</w:t>
            </w:r>
          </w:p>
        </w:tc>
      </w:tr>
      <w:tr w:rsidR="00F76E53" w:rsidRPr="00F14D19" w14:paraId="294E3A58" w14:textId="77777777" w:rsidTr="00F03568">
        <w:trPr>
          <w:tblCellSpacing w:w="57" w:type="dxa"/>
          <w:jc w:val="center"/>
        </w:trPr>
        <w:tc>
          <w:tcPr>
            <w:tcW w:w="8798" w:type="dxa"/>
            <w:gridSpan w:val="3"/>
            <w:shd w:val="clear" w:color="auto" w:fill="8C8D90"/>
          </w:tcPr>
          <w:p w14:paraId="37FE13E6" w14:textId="77777777" w:rsidR="00F76E53" w:rsidRPr="00F14D19" w:rsidRDefault="00F76E53" w:rsidP="00F14D19">
            <w:pPr>
              <w:spacing w:after="0"/>
              <w:jc w:val="center"/>
              <w:rPr>
                <w:rFonts w:ascii="Calibri" w:hAnsi="Calibri"/>
                <w:b/>
                <w:color w:val="FFFFFF" w:themeColor="background1"/>
                <w:szCs w:val="22"/>
              </w:rPr>
            </w:pPr>
            <w:r w:rsidRPr="00F14D19">
              <w:rPr>
                <w:rFonts w:ascii="Calibri" w:hAnsi="Calibri"/>
                <w:b/>
                <w:color w:val="FFFFFF" w:themeColor="background1"/>
                <w:szCs w:val="22"/>
              </w:rPr>
              <w:t>Audit practice review</w:t>
            </w:r>
          </w:p>
        </w:tc>
      </w:tr>
      <w:tr w:rsidR="00F76E53" w:rsidRPr="00F14D19" w14:paraId="3556DBC0" w14:textId="77777777" w:rsidTr="00F03568">
        <w:trPr>
          <w:tblCellSpacing w:w="57" w:type="dxa"/>
          <w:jc w:val="center"/>
        </w:trPr>
        <w:tc>
          <w:tcPr>
            <w:tcW w:w="3249" w:type="dxa"/>
            <w:shd w:val="clear" w:color="auto" w:fill="E7E6E6" w:themeFill="background2"/>
          </w:tcPr>
          <w:p w14:paraId="39210900"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Rationalize PICPA’s membership fee structure.</w:t>
            </w:r>
          </w:p>
        </w:tc>
        <w:tc>
          <w:tcPr>
            <w:tcW w:w="1725" w:type="dxa"/>
            <w:shd w:val="clear" w:color="auto" w:fill="E7E6E6" w:themeFill="background2"/>
            <w:vAlign w:val="center"/>
          </w:tcPr>
          <w:p w14:paraId="43632655" w14:textId="77777777" w:rsidR="00F76E53" w:rsidRPr="00F14D19" w:rsidRDefault="00F76E53" w:rsidP="00F14D19">
            <w:pPr>
              <w:spacing w:after="0"/>
              <w:jc w:val="center"/>
              <w:rPr>
                <w:rFonts w:ascii="Calibri" w:hAnsi="Calibri"/>
                <w:color w:val="000000"/>
                <w:szCs w:val="22"/>
              </w:rPr>
            </w:pPr>
            <w:r w:rsidRPr="00F14D19">
              <w:rPr>
                <w:rFonts w:ascii="Calibri" w:hAnsi="Calibri"/>
                <w:color w:val="000000"/>
                <w:szCs w:val="22"/>
              </w:rPr>
              <w:t>Not implemented</w:t>
            </w:r>
          </w:p>
        </w:tc>
        <w:tc>
          <w:tcPr>
            <w:tcW w:w="3596" w:type="dxa"/>
            <w:shd w:val="clear" w:color="auto" w:fill="E7E6E6" w:themeFill="background2"/>
            <w:vAlign w:val="center"/>
          </w:tcPr>
          <w:p w14:paraId="4DC262D8" w14:textId="77777777" w:rsidR="00F76E53" w:rsidRPr="00F14D19" w:rsidRDefault="00F76E53" w:rsidP="00F14D19">
            <w:pPr>
              <w:spacing w:after="0"/>
              <w:jc w:val="left"/>
              <w:rPr>
                <w:rFonts w:ascii="Calibri" w:hAnsi="Calibri"/>
                <w:color w:val="000000"/>
                <w:szCs w:val="22"/>
              </w:rPr>
            </w:pPr>
            <w:r w:rsidRPr="00F14D19">
              <w:rPr>
                <w:rFonts w:ascii="Calibri" w:hAnsi="Calibri"/>
                <w:color w:val="000000"/>
                <w:szCs w:val="22"/>
              </w:rPr>
              <w:t xml:space="preserve">No significant changes to date.  </w:t>
            </w:r>
          </w:p>
        </w:tc>
      </w:tr>
    </w:tbl>
    <w:p w14:paraId="60392213" w14:textId="77777777" w:rsidR="00F76E53" w:rsidRPr="008F1E62" w:rsidRDefault="00F76E53" w:rsidP="00F76E53">
      <w:pPr>
        <w:rPr>
          <w:sz w:val="20"/>
          <w:szCs w:val="20"/>
        </w:rPr>
      </w:pPr>
      <w:bookmarkStart w:id="45" w:name="_Toc465982183"/>
    </w:p>
    <w:bookmarkEnd w:id="45"/>
    <w:p w14:paraId="48359127" w14:textId="77777777" w:rsidR="000B59FF" w:rsidRPr="008F1E62" w:rsidRDefault="000B59FF" w:rsidP="000B59FF">
      <w:pPr>
        <w:pStyle w:val="BodyText4"/>
        <w:spacing w:after="200" w:line="276" w:lineRule="auto"/>
        <w:rPr>
          <w:rFonts w:asciiTheme="minorHAnsi" w:hAnsiTheme="minorHAnsi" w:cs="Calibri"/>
        </w:rPr>
      </w:pPr>
    </w:p>
    <w:p w14:paraId="4A0E5903" w14:textId="77777777" w:rsidR="000B59FF" w:rsidRPr="008F1E62" w:rsidRDefault="000B59FF" w:rsidP="000B59FF">
      <w:pPr>
        <w:pStyle w:val="BodyText4"/>
        <w:spacing w:after="200" w:line="276" w:lineRule="auto"/>
        <w:rPr>
          <w:rFonts w:asciiTheme="minorHAnsi" w:hAnsiTheme="minorHAnsi" w:cs="Calibri"/>
        </w:rPr>
      </w:pPr>
    </w:p>
    <w:p w14:paraId="2379ABBF" w14:textId="77777777" w:rsidR="000B59FF" w:rsidRPr="008F1E62" w:rsidRDefault="000B59FF" w:rsidP="000B59FF">
      <w:pPr>
        <w:pStyle w:val="BodyText4"/>
        <w:spacing w:after="200" w:line="276" w:lineRule="auto"/>
        <w:rPr>
          <w:rFonts w:asciiTheme="minorHAnsi" w:hAnsiTheme="minorHAnsi" w:cs="Calibri"/>
        </w:rPr>
      </w:pPr>
    </w:p>
    <w:p w14:paraId="4ABDEB1E" w14:textId="77777777" w:rsidR="001247F2" w:rsidRDefault="001247F2" w:rsidP="000B59FF">
      <w:pPr>
        <w:pStyle w:val="BodyText4"/>
        <w:spacing w:after="200" w:line="276" w:lineRule="auto"/>
        <w:rPr>
          <w:rFonts w:asciiTheme="minorHAnsi" w:hAnsiTheme="minorHAnsi" w:cs="Calibri"/>
        </w:rPr>
        <w:sectPr w:rsidR="001247F2" w:rsidSect="0002662F">
          <w:footerReference w:type="default" r:id="rId29"/>
          <w:type w:val="nextColumn"/>
          <w:pgSz w:w="11906" w:h="16838" w:code="9"/>
          <w:pgMar w:top="1440" w:right="1440" w:bottom="1440" w:left="1440" w:header="720" w:footer="720" w:gutter="0"/>
          <w:cols w:space="720"/>
          <w:docGrid w:linePitch="360"/>
        </w:sectPr>
      </w:pPr>
    </w:p>
    <w:p w14:paraId="195B5E8C" w14:textId="77777777" w:rsidR="00BF5021" w:rsidRPr="008F1E62" w:rsidRDefault="00BF5021" w:rsidP="005F5625">
      <w:pPr>
        <w:pStyle w:val="Heading1"/>
        <w:spacing w:after="700" w:line="276" w:lineRule="auto"/>
        <w:jc w:val="center"/>
        <w:rPr>
          <w:rFonts w:ascii="Century Gothic" w:eastAsia="MS Gothic" w:hAnsi="Century Gothic" w:cstheme="minorBidi"/>
          <w:caps w:val="0"/>
          <w:color w:val="00AB51"/>
          <w:kern w:val="32"/>
          <w:sz w:val="32"/>
          <w:szCs w:val="32"/>
          <w:lang w:val="en-US"/>
        </w:rPr>
      </w:pPr>
      <w:bookmarkStart w:id="46" w:name="_Toc499825586"/>
      <w:r w:rsidRPr="008F1E62">
        <w:rPr>
          <w:rFonts w:ascii="Century Gothic" w:eastAsia="MS Gothic" w:hAnsi="Century Gothic" w:cstheme="minorBidi"/>
          <w:caps w:val="0"/>
          <w:color w:val="00AB51"/>
          <w:kern w:val="32"/>
          <w:sz w:val="32"/>
          <w:szCs w:val="32"/>
          <w:lang w:val="en-US"/>
        </w:rPr>
        <w:t xml:space="preserve">IV. </w:t>
      </w:r>
      <w:r w:rsidRPr="008F1E62">
        <w:rPr>
          <w:rFonts w:ascii="Century Gothic" w:eastAsia="MS Gothic" w:hAnsi="Century Gothic" w:cstheme="minorBidi"/>
          <w:color w:val="00AB51"/>
          <w:kern w:val="32"/>
          <w:sz w:val="32"/>
          <w:szCs w:val="32"/>
          <w:lang w:val="en-US"/>
        </w:rPr>
        <w:t>Key Findings and Areas for Consideration</w:t>
      </w:r>
      <w:bookmarkEnd w:id="46"/>
    </w:p>
    <w:p w14:paraId="749A80EE" w14:textId="2D681D06" w:rsidR="00BF5021" w:rsidRPr="008602D8" w:rsidRDefault="00BF5021" w:rsidP="00881B70">
      <w:pPr>
        <w:pStyle w:val="BodyText4"/>
        <w:numPr>
          <w:ilvl w:val="0"/>
          <w:numId w:val="2"/>
        </w:numPr>
        <w:spacing w:after="200" w:line="276" w:lineRule="auto"/>
        <w:ind w:left="0" w:hanging="567"/>
        <w:rPr>
          <w:rFonts w:asciiTheme="minorHAnsi" w:hAnsiTheme="minorHAnsi" w:cstheme="minorHAnsi"/>
          <w:bCs/>
          <w:i/>
        </w:rPr>
      </w:pPr>
      <w:r w:rsidRPr="008F1E62">
        <w:rPr>
          <w:rFonts w:asciiTheme="minorHAnsi" w:hAnsiTheme="minorHAnsi"/>
          <w:b/>
          <w:bCs/>
        </w:rPr>
        <w:t xml:space="preserve">A mature and comprehensive </w:t>
      </w:r>
      <w:r>
        <w:rPr>
          <w:rFonts w:asciiTheme="minorHAnsi" w:hAnsiTheme="minorHAnsi"/>
          <w:b/>
          <w:bCs/>
        </w:rPr>
        <w:t xml:space="preserve">accounting and auditing </w:t>
      </w:r>
      <w:r w:rsidRPr="008F1E62">
        <w:rPr>
          <w:rFonts w:asciiTheme="minorHAnsi" w:hAnsiTheme="minorHAnsi"/>
          <w:b/>
          <w:bCs/>
        </w:rPr>
        <w:t xml:space="preserve">framework exists in the Philippines, </w:t>
      </w:r>
      <w:r w:rsidRPr="009315BA">
        <w:rPr>
          <w:rFonts w:ascii="Calibri" w:hAnsi="Calibri"/>
          <w:b/>
        </w:rPr>
        <w:t>which</w:t>
      </w:r>
      <w:r>
        <w:rPr>
          <w:rFonts w:asciiTheme="minorHAnsi" w:hAnsiTheme="minorHAnsi"/>
          <w:b/>
          <w:bCs/>
        </w:rPr>
        <w:t xml:space="preserve"> is largely in line with international standards and many internationally recognized good practices, however, f</w:t>
      </w:r>
      <w:r w:rsidRPr="008F1E62">
        <w:rPr>
          <w:rFonts w:asciiTheme="minorHAnsi" w:hAnsiTheme="minorHAnsi"/>
          <w:b/>
          <w:bCs/>
        </w:rPr>
        <w:t xml:space="preserve">urther improvements can be achieved to further align with international standards and good practice.  </w:t>
      </w:r>
      <w:r w:rsidRPr="008F1E62">
        <w:rPr>
          <w:rFonts w:asciiTheme="minorHAnsi" w:hAnsiTheme="minorHAnsi"/>
          <w:bCs/>
        </w:rPr>
        <w:t>The following findings and corresponding recommendations relate to further improvements which can be incorporated to the existing and generally successful regulatory initiatives undertaken largely by regulators and PICPA.</w:t>
      </w:r>
      <w:r w:rsidRPr="008F1E62">
        <w:rPr>
          <w:rFonts w:asciiTheme="minorHAnsi" w:hAnsiTheme="minorHAnsi"/>
          <w:b/>
          <w:bCs/>
        </w:rPr>
        <w:t xml:space="preserve">  </w:t>
      </w:r>
      <w:r w:rsidRPr="008F1E62">
        <w:rPr>
          <w:rFonts w:asciiTheme="minorHAnsi" w:hAnsiTheme="minorHAnsi"/>
          <w:bCs/>
        </w:rPr>
        <w:t xml:space="preserve">These include measures to: </w:t>
      </w:r>
      <w:r w:rsidRPr="008602D8">
        <w:rPr>
          <w:rFonts w:asciiTheme="minorHAnsi" w:hAnsiTheme="minorHAnsi"/>
          <w:bCs/>
        </w:rPr>
        <w:t xml:space="preserve">enhance market competition through the establishment of a comprehensive system of audit quality assurance with </w:t>
      </w:r>
      <w:r w:rsidRPr="008602D8">
        <w:rPr>
          <w:rFonts w:asciiTheme="minorHAnsi" w:hAnsiTheme="minorHAnsi" w:cstheme="minorHAnsi"/>
        </w:rPr>
        <w:t>risk based inspections and an enabling legal framework</w:t>
      </w:r>
      <w:r w:rsidRPr="00E76FFD">
        <w:rPr>
          <w:rFonts w:asciiTheme="minorHAnsi" w:hAnsiTheme="minorHAnsi" w:cstheme="minorHAnsi"/>
          <w:bCs/>
        </w:rPr>
        <w:t>;</w:t>
      </w:r>
      <w:r w:rsidRPr="00484744">
        <w:rPr>
          <w:rFonts w:asciiTheme="minorHAnsi" w:hAnsiTheme="minorHAnsi"/>
          <w:b/>
          <w:bCs/>
        </w:rPr>
        <w:t xml:space="preserve"> </w:t>
      </w:r>
      <w:r w:rsidRPr="00484744">
        <w:rPr>
          <w:rFonts w:asciiTheme="minorHAnsi" w:hAnsiTheme="minorHAnsi"/>
          <w:bCs/>
        </w:rPr>
        <w:t>improve</w:t>
      </w:r>
      <w:r w:rsidRPr="00484744">
        <w:rPr>
          <w:rFonts w:asciiTheme="minorHAnsi" w:hAnsiTheme="minorHAnsi" w:cstheme="minorHAnsi"/>
          <w:bCs/>
        </w:rPr>
        <w:t xml:space="preserve"> transparency and accountability by GOCCs to enhance service delivery</w:t>
      </w:r>
      <w:r w:rsidRPr="00484744">
        <w:rPr>
          <w:rFonts w:asciiTheme="minorHAnsi" w:hAnsiTheme="minorHAnsi" w:cstheme="minorHAnsi"/>
          <w:bCs/>
          <w:i/>
        </w:rPr>
        <w:t xml:space="preserve"> </w:t>
      </w:r>
      <w:r w:rsidRPr="00484744">
        <w:rPr>
          <w:rFonts w:asciiTheme="minorHAnsi" w:hAnsiTheme="minorHAnsi" w:cstheme="minorHAnsi"/>
          <w:bCs/>
        </w:rPr>
        <w:t>through improved corporate governance, financial reporting, and auditing practices; and facilitate ease of doing business and more efficient tax collection for micro, small, and medium enterprises through the rationalization of statutory audit thresholds, rationalization of accreditation and compilation requirements, strengthening the skills and competencies of SMPs, raising the standards of accounting education throughout all regions, and developing the support to the profession provided by PICPA.</w:t>
      </w:r>
      <w:r w:rsidRPr="00484744">
        <w:rPr>
          <w:rFonts w:asciiTheme="minorHAnsi" w:hAnsiTheme="minorHAnsi"/>
          <w:b/>
          <w:bCs/>
        </w:rPr>
        <w:t xml:space="preserve"> </w:t>
      </w:r>
    </w:p>
    <w:p w14:paraId="50D924C8" w14:textId="3AB938A4" w:rsidR="00BF5021" w:rsidRPr="005F5625" w:rsidRDefault="00BF5021" w:rsidP="00881B70">
      <w:pPr>
        <w:pStyle w:val="BodyText4"/>
        <w:numPr>
          <w:ilvl w:val="0"/>
          <w:numId w:val="2"/>
        </w:numPr>
        <w:spacing w:after="200" w:line="276" w:lineRule="auto"/>
        <w:ind w:left="0" w:hanging="567"/>
        <w:rPr>
          <w:rFonts w:asciiTheme="minorHAnsi" w:hAnsiTheme="minorHAnsi" w:cstheme="minorHAnsi"/>
          <w:bCs/>
          <w:i/>
        </w:rPr>
      </w:pPr>
      <w:r w:rsidRPr="008F1E62">
        <w:rPr>
          <w:rFonts w:asciiTheme="minorHAnsi" w:hAnsiTheme="minorHAnsi"/>
          <w:b/>
        </w:rPr>
        <w:t xml:space="preserve">The following table will inform the country action plan and identifies key findings, </w:t>
      </w:r>
      <w:r w:rsidRPr="009315BA">
        <w:rPr>
          <w:rFonts w:ascii="Calibri" w:hAnsi="Calibri"/>
          <w:b/>
        </w:rPr>
        <w:t>recommendations</w:t>
      </w:r>
      <w:r w:rsidRPr="008F1E62">
        <w:rPr>
          <w:rFonts w:asciiTheme="minorHAnsi" w:hAnsiTheme="minorHAnsi"/>
          <w:b/>
        </w:rPr>
        <w:t>, responsible agencies</w:t>
      </w:r>
      <w:r>
        <w:rPr>
          <w:rFonts w:asciiTheme="minorHAnsi" w:hAnsiTheme="minorHAnsi"/>
          <w:b/>
        </w:rPr>
        <w:t>,</w:t>
      </w:r>
      <w:r w:rsidRPr="008F1E62">
        <w:rPr>
          <w:rFonts w:asciiTheme="minorHAnsi" w:hAnsiTheme="minorHAnsi"/>
          <w:b/>
        </w:rPr>
        <w:t xml:space="preserve"> and time frame (short term: less than a year, medium-term: 1-3 years and long-term: 3-5 years). </w:t>
      </w:r>
      <w:r w:rsidRPr="008F1E62">
        <w:rPr>
          <w:rFonts w:asciiTheme="minorHAnsi" w:hAnsiTheme="minorHAnsi"/>
        </w:rPr>
        <w:t>Key findings and recommendations are presented in bold.  The recommendations are further summarized by timeframe</w:t>
      </w:r>
      <w:r w:rsidR="00802D21">
        <w:rPr>
          <w:rFonts w:asciiTheme="minorHAnsi" w:hAnsiTheme="minorHAnsi"/>
        </w:rPr>
        <w:t xml:space="preserve"> in Figure 8</w:t>
      </w:r>
      <w:r w:rsidRPr="008F1E62">
        <w:rPr>
          <w:rFonts w:asciiTheme="minorHAnsi" w:hAnsiTheme="minorHAnsi"/>
        </w:rPr>
        <w:t>, with key recommendations in bold, for ease of reference.</w:t>
      </w:r>
    </w:p>
    <w:p w14:paraId="27ABBF0D" w14:textId="77777777" w:rsidR="005F5625" w:rsidRPr="008F1E62" w:rsidRDefault="005F5625" w:rsidP="005F5625">
      <w:pPr>
        <w:pStyle w:val="BodyText4"/>
        <w:spacing w:line="276" w:lineRule="auto"/>
        <w:rPr>
          <w:rFonts w:asciiTheme="minorHAnsi" w:hAnsiTheme="minorHAnsi" w:cstheme="minorHAnsi"/>
          <w:bCs/>
          <w:i/>
        </w:rPr>
      </w:pPr>
    </w:p>
    <w:tbl>
      <w:tblPr>
        <w:tblStyle w:val="TableGrid411"/>
        <w:tblW w:w="13950" w:type="dxa"/>
        <w:jc w:val="center"/>
        <w:tblBorders>
          <w:top w:val="none" w:sz="0" w:space="0" w:color="auto"/>
          <w:left w:val="none" w:sz="0" w:space="0" w:color="auto"/>
          <w:bottom w:val="none" w:sz="0" w:space="0" w:color="auto"/>
          <w:right w:val="none" w:sz="0" w:space="0" w:color="auto"/>
          <w:insideH w:val="single" w:sz="4" w:space="0" w:color="8C8D90"/>
          <w:insideV w:val="single" w:sz="4" w:space="0" w:color="8C8D90"/>
        </w:tblBorders>
        <w:tblCellMar>
          <w:top w:w="43" w:type="dxa"/>
          <w:left w:w="115" w:type="dxa"/>
          <w:bottom w:w="43" w:type="dxa"/>
          <w:right w:w="115" w:type="dxa"/>
        </w:tblCellMar>
        <w:tblLook w:val="04A0" w:firstRow="1" w:lastRow="0" w:firstColumn="1" w:lastColumn="0" w:noHBand="0" w:noVBand="1"/>
      </w:tblPr>
      <w:tblGrid>
        <w:gridCol w:w="3219"/>
        <w:gridCol w:w="8281"/>
        <w:gridCol w:w="1371"/>
        <w:gridCol w:w="1079"/>
      </w:tblGrid>
      <w:tr w:rsidR="002D012E" w:rsidRPr="0081720F" w14:paraId="3B7302A1" w14:textId="77777777" w:rsidTr="0081720F">
        <w:trPr>
          <w:cantSplit/>
          <w:trHeight w:val="42"/>
          <w:tblHeader/>
          <w:jc w:val="center"/>
        </w:trPr>
        <w:tc>
          <w:tcPr>
            <w:tcW w:w="3219" w:type="dxa"/>
            <w:tcBorders>
              <w:top w:val="nil"/>
              <w:bottom w:val="single" w:sz="4" w:space="0" w:color="8C8D90"/>
              <w:right w:val="single" w:sz="4" w:space="0" w:color="FFFFFF" w:themeColor="background1"/>
            </w:tcBorders>
            <w:shd w:val="clear" w:color="auto" w:fill="4472C4"/>
            <w:vAlign w:val="center"/>
          </w:tcPr>
          <w:p w14:paraId="3A898CCC" w14:textId="77777777" w:rsidR="00F76E53" w:rsidRPr="0081720F" w:rsidRDefault="00F76E53" w:rsidP="00DD5BB1">
            <w:pPr>
              <w:spacing w:after="0"/>
              <w:jc w:val="center"/>
              <w:rPr>
                <w:b/>
                <w:color w:val="FFFFFF" w:themeColor="background1"/>
                <w:sz w:val="20"/>
                <w:szCs w:val="20"/>
              </w:rPr>
            </w:pPr>
            <w:r w:rsidRPr="0081720F">
              <w:rPr>
                <w:rFonts w:eastAsia="Times New Roman" w:cs="Times New Roman"/>
                <w:b/>
                <w:color w:val="FFFFFF" w:themeColor="background1"/>
                <w:sz w:val="20"/>
                <w:szCs w:val="20"/>
              </w:rPr>
              <w:t>Findings</w:t>
            </w:r>
          </w:p>
        </w:tc>
        <w:tc>
          <w:tcPr>
            <w:tcW w:w="8281" w:type="dxa"/>
            <w:tcBorders>
              <w:top w:val="nil"/>
              <w:left w:val="single" w:sz="4" w:space="0" w:color="FFFFFF" w:themeColor="background1"/>
              <w:bottom w:val="single" w:sz="4" w:space="0" w:color="8C8D90"/>
              <w:right w:val="single" w:sz="4" w:space="0" w:color="FFFFFF" w:themeColor="background1"/>
            </w:tcBorders>
            <w:shd w:val="clear" w:color="auto" w:fill="4472C4"/>
            <w:vAlign w:val="center"/>
          </w:tcPr>
          <w:p w14:paraId="49EB44BA" w14:textId="77777777" w:rsidR="00F76E53" w:rsidRPr="0081720F" w:rsidRDefault="00F76E53" w:rsidP="00DD5BB1">
            <w:pPr>
              <w:autoSpaceDE w:val="0"/>
              <w:autoSpaceDN w:val="0"/>
              <w:adjustRightInd w:val="0"/>
              <w:spacing w:after="0"/>
              <w:jc w:val="center"/>
              <w:rPr>
                <w:rFonts w:cs="Times New Roman"/>
                <w:b/>
                <w:color w:val="FFFFFF" w:themeColor="background1"/>
                <w:sz w:val="20"/>
                <w:szCs w:val="20"/>
              </w:rPr>
            </w:pPr>
            <w:r w:rsidRPr="0081720F">
              <w:rPr>
                <w:rFonts w:eastAsia="Times New Roman" w:cs="Times New Roman"/>
                <w:b/>
                <w:color w:val="FFFFFF" w:themeColor="background1"/>
                <w:sz w:val="20"/>
                <w:szCs w:val="20"/>
              </w:rPr>
              <w:t>Recommendations</w:t>
            </w:r>
          </w:p>
        </w:tc>
        <w:tc>
          <w:tcPr>
            <w:tcW w:w="1371" w:type="dxa"/>
            <w:tcBorders>
              <w:top w:val="nil"/>
              <w:left w:val="single" w:sz="4" w:space="0" w:color="FFFFFF" w:themeColor="background1"/>
              <w:bottom w:val="single" w:sz="4" w:space="0" w:color="8C8D90"/>
              <w:right w:val="single" w:sz="4" w:space="0" w:color="FFFFFF" w:themeColor="background1"/>
            </w:tcBorders>
            <w:shd w:val="clear" w:color="auto" w:fill="4472C4"/>
            <w:tcMar>
              <w:left w:w="43" w:type="dxa"/>
              <w:right w:w="43" w:type="dxa"/>
            </w:tcMar>
            <w:vAlign w:val="center"/>
          </w:tcPr>
          <w:p w14:paraId="61B86C82" w14:textId="77777777" w:rsidR="00F76E53" w:rsidRPr="0081720F" w:rsidRDefault="00F76E53" w:rsidP="00DD5BB1">
            <w:pPr>
              <w:spacing w:after="0"/>
              <w:jc w:val="center"/>
              <w:rPr>
                <w:rFonts w:eastAsia="Times New Roman" w:cs="Times New Roman"/>
                <w:b/>
                <w:color w:val="FFFFFF" w:themeColor="background1"/>
                <w:sz w:val="20"/>
                <w:szCs w:val="20"/>
              </w:rPr>
            </w:pPr>
            <w:r w:rsidRPr="0081720F">
              <w:rPr>
                <w:rFonts w:eastAsia="Times New Roman" w:cs="Times New Roman"/>
                <w:b/>
                <w:color w:val="FFFFFF" w:themeColor="background1"/>
                <w:sz w:val="20"/>
                <w:szCs w:val="20"/>
              </w:rPr>
              <w:t>Responsible Agency</w:t>
            </w:r>
          </w:p>
        </w:tc>
        <w:tc>
          <w:tcPr>
            <w:tcW w:w="1079" w:type="dxa"/>
            <w:tcBorders>
              <w:top w:val="nil"/>
              <w:left w:val="single" w:sz="4" w:space="0" w:color="FFFFFF" w:themeColor="background1"/>
              <w:bottom w:val="single" w:sz="4" w:space="0" w:color="8C8D90"/>
            </w:tcBorders>
            <w:shd w:val="clear" w:color="auto" w:fill="4472C4"/>
            <w:tcMar>
              <w:left w:w="43" w:type="dxa"/>
              <w:right w:w="43" w:type="dxa"/>
            </w:tcMar>
            <w:vAlign w:val="center"/>
          </w:tcPr>
          <w:p w14:paraId="7B27A85D" w14:textId="77777777" w:rsidR="00F76E53" w:rsidRPr="0081720F" w:rsidRDefault="00F76E53" w:rsidP="00DD5BB1">
            <w:pPr>
              <w:spacing w:after="0"/>
              <w:jc w:val="center"/>
              <w:rPr>
                <w:rFonts w:eastAsia="Times New Roman" w:cs="Times New Roman"/>
                <w:b/>
                <w:color w:val="FFFFFF" w:themeColor="background1"/>
                <w:sz w:val="20"/>
                <w:szCs w:val="20"/>
              </w:rPr>
            </w:pPr>
            <w:r w:rsidRPr="0081720F">
              <w:rPr>
                <w:rFonts w:eastAsia="Times New Roman" w:cs="Times New Roman"/>
                <w:b/>
                <w:color w:val="FFFFFF" w:themeColor="background1"/>
                <w:sz w:val="20"/>
                <w:szCs w:val="20"/>
              </w:rPr>
              <w:t>Timeline</w:t>
            </w:r>
          </w:p>
        </w:tc>
      </w:tr>
      <w:tr w:rsidR="00F76E53" w:rsidRPr="0081720F" w14:paraId="0603A7DE" w14:textId="77777777" w:rsidTr="00A22D4F">
        <w:trPr>
          <w:cantSplit/>
          <w:jc w:val="center"/>
        </w:trPr>
        <w:tc>
          <w:tcPr>
            <w:tcW w:w="13950" w:type="dxa"/>
            <w:gridSpan w:val="4"/>
            <w:tcBorders>
              <w:top w:val="single" w:sz="4" w:space="0" w:color="8C8D90"/>
            </w:tcBorders>
            <w:shd w:val="clear" w:color="auto" w:fill="8C8D90"/>
          </w:tcPr>
          <w:p w14:paraId="4638A44B" w14:textId="77777777" w:rsidR="00F76E53" w:rsidRPr="0081720F" w:rsidRDefault="00F76E53" w:rsidP="00DD5BB1">
            <w:pPr>
              <w:spacing w:after="0"/>
              <w:jc w:val="center"/>
              <w:rPr>
                <w:rFonts w:eastAsia="Times New Roman" w:cs="Times New Roman"/>
                <w:b/>
                <w:color w:val="FFFFFF" w:themeColor="background1"/>
                <w:sz w:val="20"/>
                <w:szCs w:val="20"/>
              </w:rPr>
            </w:pPr>
            <w:r w:rsidRPr="0081720F">
              <w:rPr>
                <w:rFonts w:eastAsia="Times New Roman" w:cs="Times New Roman"/>
                <w:b/>
                <w:color w:val="FFFFFF" w:themeColor="background1"/>
                <w:sz w:val="20"/>
                <w:szCs w:val="20"/>
              </w:rPr>
              <w:t>A&amp;A standards assessment</w:t>
            </w:r>
          </w:p>
        </w:tc>
      </w:tr>
      <w:tr w:rsidR="00BF5021" w:rsidRPr="0081720F" w14:paraId="5BBF5407" w14:textId="77777777" w:rsidTr="00A22D4F">
        <w:trPr>
          <w:cantSplit/>
          <w:trHeight w:val="91"/>
          <w:jc w:val="center"/>
        </w:trPr>
        <w:tc>
          <w:tcPr>
            <w:tcW w:w="3219" w:type="dxa"/>
            <w:vMerge w:val="restart"/>
            <w:tcBorders>
              <w:top w:val="single" w:sz="4" w:space="0" w:color="8C8D90"/>
              <w:bottom w:val="single" w:sz="4" w:space="0" w:color="8C8D90"/>
            </w:tcBorders>
            <w:shd w:val="clear" w:color="auto" w:fill="auto"/>
            <w:vAlign w:val="center"/>
          </w:tcPr>
          <w:p w14:paraId="554BA239" w14:textId="77777777" w:rsidR="00BF5021" w:rsidRPr="0081720F" w:rsidRDefault="00BF5021"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PFRS 9 and 15 will be adopted in 2018.</w:t>
            </w:r>
          </w:p>
        </w:tc>
        <w:tc>
          <w:tcPr>
            <w:tcW w:w="8281" w:type="dxa"/>
            <w:tcBorders>
              <w:bottom w:val="single" w:sz="4" w:space="0" w:color="8C8D90"/>
            </w:tcBorders>
            <w:shd w:val="clear" w:color="auto" w:fill="auto"/>
            <w:vAlign w:val="center"/>
          </w:tcPr>
          <w:p w14:paraId="4F394A4F" w14:textId="7C4366CA" w:rsidR="00BF5021" w:rsidRPr="0081720F" w:rsidRDefault="00BF5021"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Develop road map to prepare companies for adoption of PFRS 9 and 15 in 2018</w:t>
            </w:r>
          </w:p>
        </w:tc>
        <w:tc>
          <w:tcPr>
            <w:tcW w:w="1371" w:type="dxa"/>
            <w:vMerge w:val="restart"/>
            <w:tcBorders>
              <w:top w:val="single" w:sz="4" w:space="0" w:color="8C8D90"/>
              <w:bottom w:val="single" w:sz="4" w:space="0" w:color="8C8D90"/>
            </w:tcBorders>
            <w:shd w:val="clear" w:color="auto" w:fill="auto"/>
            <w:vAlign w:val="center"/>
          </w:tcPr>
          <w:p w14:paraId="63E4A8CA" w14:textId="77777777" w:rsidR="00BF5021" w:rsidRPr="0081720F" w:rsidRDefault="00BF5021"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BOA, BSP, SEC, IC</w:t>
            </w:r>
          </w:p>
        </w:tc>
        <w:tc>
          <w:tcPr>
            <w:tcW w:w="1079" w:type="dxa"/>
            <w:vMerge w:val="restart"/>
            <w:tcBorders>
              <w:top w:val="single" w:sz="4" w:space="0" w:color="8C8D90"/>
              <w:bottom w:val="single" w:sz="4" w:space="0" w:color="8C8D90"/>
            </w:tcBorders>
            <w:shd w:val="clear" w:color="auto" w:fill="auto"/>
            <w:vAlign w:val="center"/>
          </w:tcPr>
          <w:p w14:paraId="6F66F484" w14:textId="3D979287" w:rsidR="00BF5021" w:rsidRPr="0081720F" w:rsidRDefault="00BF5021"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Short Term</w:t>
            </w:r>
          </w:p>
        </w:tc>
      </w:tr>
      <w:tr w:rsidR="00BF5021" w:rsidRPr="0081720F" w14:paraId="55EDAC29" w14:textId="77777777" w:rsidTr="00A22D4F">
        <w:trPr>
          <w:cantSplit/>
          <w:trHeight w:val="851"/>
          <w:jc w:val="center"/>
        </w:trPr>
        <w:tc>
          <w:tcPr>
            <w:tcW w:w="3219" w:type="dxa"/>
            <w:vMerge/>
            <w:tcBorders>
              <w:top w:val="single" w:sz="4" w:space="0" w:color="8C8D90"/>
              <w:bottom w:val="single" w:sz="4" w:space="0" w:color="8C8D90"/>
            </w:tcBorders>
            <w:shd w:val="clear" w:color="auto" w:fill="C6E8D7"/>
            <w:vAlign w:val="center"/>
          </w:tcPr>
          <w:p w14:paraId="0C25F8D3" w14:textId="77777777" w:rsidR="00BF5021" w:rsidRPr="0081720F" w:rsidRDefault="00BF5021" w:rsidP="00C075C1">
            <w:pPr>
              <w:spacing w:after="0"/>
              <w:jc w:val="left"/>
              <w:rPr>
                <w:rFonts w:eastAsia="Times New Roman" w:cs="Times New Roman"/>
                <w:color w:val="000000"/>
                <w:sz w:val="20"/>
                <w:szCs w:val="20"/>
              </w:rPr>
            </w:pPr>
          </w:p>
        </w:tc>
        <w:tc>
          <w:tcPr>
            <w:tcW w:w="8281" w:type="dxa"/>
            <w:tcBorders>
              <w:top w:val="single" w:sz="4" w:space="0" w:color="8C8D90"/>
              <w:bottom w:val="single" w:sz="4" w:space="0" w:color="8C8D90"/>
            </w:tcBorders>
            <w:shd w:val="clear" w:color="auto" w:fill="auto"/>
            <w:vAlign w:val="center"/>
          </w:tcPr>
          <w:p w14:paraId="27C77824" w14:textId="70CE4CA7" w:rsidR="00BF5021" w:rsidRPr="0081720F" w:rsidRDefault="00BF5021"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Develop more practical guidelines on the adoption of PFRS 9 particularly on implementation of expected credit losses</w:t>
            </w:r>
            <w:r w:rsidRPr="0081720F">
              <w:rPr>
                <w:rStyle w:val="FootnoteReference"/>
                <w:rFonts w:eastAsia="Times New Roman" w:cs="Times New Roman"/>
                <w:color w:val="000000"/>
                <w:sz w:val="20"/>
                <w:szCs w:val="20"/>
              </w:rPr>
              <w:footnoteReference w:id="117"/>
            </w:r>
          </w:p>
        </w:tc>
        <w:tc>
          <w:tcPr>
            <w:tcW w:w="1371" w:type="dxa"/>
            <w:vMerge/>
            <w:tcBorders>
              <w:top w:val="single" w:sz="4" w:space="0" w:color="8C8D90"/>
              <w:bottom w:val="single" w:sz="4" w:space="0" w:color="8C8D90"/>
            </w:tcBorders>
            <w:shd w:val="clear" w:color="auto" w:fill="C6E8D7"/>
          </w:tcPr>
          <w:p w14:paraId="2A58CD7A" w14:textId="77777777" w:rsidR="00BF5021" w:rsidRPr="0081720F" w:rsidRDefault="00BF5021" w:rsidP="00C075C1">
            <w:pPr>
              <w:spacing w:after="0"/>
              <w:jc w:val="left"/>
              <w:rPr>
                <w:rFonts w:eastAsia="Times New Roman" w:cs="Times New Roman"/>
                <w:color w:val="000000"/>
                <w:sz w:val="20"/>
                <w:szCs w:val="20"/>
              </w:rPr>
            </w:pPr>
          </w:p>
        </w:tc>
        <w:tc>
          <w:tcPr>
            <w:tcW w:w="1079" w:type="dxa"/>
            <w:vMerge/>
            <w:tcBorders>
              <w:top w:val="single" w:sz="4" w:space="0" w:color="8C8D90"/>
              <w:bottom w:val="single" w:sz="4" w:space="0" w:color="8C8D90"/>
            </w:tcBorders>
            <w:shd w:val="clear" w:color="auto" w:fill="C6E8D7"/>
          </w:tcPr>
          <w:p w14:paraId="2BCF9757" w14:textId="77777777" w:rsidR="00BF5021" w:rsidRPr="0081720F" w:rsidRDefault="00BF5021" w:rsidP="00C075C1">
            <w:pPr>
              <w:spacing w:after="0"/>
              <w:jc w:val="left"/>
              <w:rPr>
                <w:rFonts w:eastAsia="Times New Roman" w:cs="Times New Roman"/>
                <w:color w:val="000000"/>
                <w:sz w:val="20"/>
                <w:szCs w:val="20"/>
              </w:rPr>
            </w:pPr>
          </w:p>
        </w:tc>
      </w:tr>
      <w:tr w:rsidR="00F76E53" w:rsidRPr="0081720F" w14:paraId="7743AF5B" w14:textId="77777777" w:rsidTr="00A22D4F">
        <w:trPr>
          <w:cantSplit/>
          <w:trHeight w:val="332"/>
          <w:jc w:val="center"/>
        </w:trPr>
        <w:tc>
          <w:tcPr>
            <w:tcW w:w="13950" w:type="dxa"/>
            <w:gridSpan w:val="4"/>
            <w:shd w:val="clear" w:color="auto" w:fill="8C8D90"/>
          </w:tcPr>
          <w:p w14:paraId="560775EC" w14:textId="77777777" w:rsidR="00F76E53" w:rsidRPr="0081720F" w:rsidRDefault="00F76E53" w:rsidP="005F5625">
            <w:pPr>
              <w:keepNext/>
              <w:spacing w:after="0"/>
              <w:jc w:val="center"/>
              <w:rPr>
                <w:rFonts w:eastAsia="Times New Roman" w:cs="Times New Roman"/>
                <w:b/>
                <w:color w:val="FFFFFF" w:themeColor="background1"/>
                <w:sz w:val="20"/>
                <w:szCs w:val="20"/>
              </w:rPr>
            </w:pPr>
            <w:r w:rsidRPr="0081720F">
              <w:rPr>
                <w:rFonts w:eastAsia="Times New Roman" w:cs="Times New Roman"/>
                <w:b/>
                <w:color w:val="FFFFFF" w:themeColor="background1"/>
                <w:sz w:val="20"/>
                <w:szCs w:val="20"/>
              </w:rPr>
              <w:t>Financial reporting and auditing requirements</w:t>
            </w:r>
          </w:p>
        </w:tc>
      </w:tr>
      <w:tr w:rsidR="00BF5021" w:rsidRPr="0081720F" w14:paraId="609FAA21" w14:textId="77777777" w:rsidTr="0081720F">
        <w:trPr>
          <w:cantSplit/>
          <w:trHeight w:val="20"/>
          <w:jc w:val="center"/>
        </w:trPr>
        <w:tc>
          <w:tcPr>
            <w:tcW w:w="3219" w:type="dxa"/>
            <w:vMerge w:val="restart"/>
            <w:shd w:val="clear" w:color="auto" w:fill="E7E6E6" w:themeFill="background2"/>
            <w:vAlign w:val="center"/>
          </w:tcPr>
          <w:p w14:paraId="7AAB20FA" w14:textId="77777777" w:rsidR="00BF5021" w:rsidRPr="0081720F" w:rsidRDefault="00BF5021" w:rsidP="005F5625">
            <w:pPr>
              <w:keepNext/>
              <w:spacing w:after="0"/>
              <w:jc w:val="left"/>
              <w:rPr>
                <w:rFonts w:eastAsia="Times New Roman" w:cs="Times New Roman"/>
                <w:b/>
                <w:color w:val="000000"/>
                <w:sz w:val="20"/>
                <w:szCs w:val="20"/>
              </w:rPr>
            </w:pPr>
            <w:r w:rsidRPr="0081720F">
              <w:rPr>
                <w:rFonts w:eastAsia="Times New Roman" w:cs="Times New Roman"/>
                <w:b/>
                <w:color w:val="000000"/>
                <w:sz w:val="20"/>
                <w:szCs w:val="20"/>
              </w:rPr>
              <w:t>The legal framework for Audit Quality Assurance does not provide for operational independence, adequacy of staffing and salaries, nor adequacy of funding.</w:t>
            </w:r>
          </w:p>
        </w:tc>
        <w:tc>
          <w:tcPr>
            <w:tcW w:w="8281" w:type="dxa"/>
            <w:shd w:val="clear" w:color="auto" w:fill="E7E6E6" w:themeFill="background2"/>
          </w:tcPr>
          <w:p w14:paraId="0234057B" w14:textId="38FD4225" w:rsidR="00BF5021" w:rsidRPr="0081720F" w:rsidRDefault="00BF5021" w:rsidP="005F5625">
            <w:pPr>
              <w:keepNext/>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Develop a working group including representatives from key stakeholder groups to review the legal framework.  The working group should be led by a high-level government official with sufficient decision-making authority to moderate the process. Input should be solicited from stakeholders through surveys, request for public comment, stakeholder forums, or other means.</w:t>
            </w:r>
          </w:p>
        </w:tc>
        <w:tc>
          <w:tcPr>
            <w:tcW w:w="1371" w:type="dxa"/>
            <w:vMerge w:val="restart"/>
            <w:shd w:val="clear" w:color="auto" w:fill="E7E6E6" w:themeFill="background2"/>
            <w:vAlign w:val="center"/>
          </w:tcPr>
          <w:p w14:paraId="20C2F316" w14:textId="77777777" w:rsidR="00BF5021" w:rsidRPr="0081720F" w:rsidRDefault="00BF5021" w:rsidP="005F5625">
            <w:pPr>
              <w:keepNext/>
              <w:spacing w:after="0"/>
              <w:jc w:val="center"/>
              <w:rPr>
                <w:rFonts w:eastAsia="Times New Roman" w:cs="Times New Roman"/>
                <w:b/>
                <w:color w:val="000000"/>
                <w:sz w:val="20"/>
                <w:szCs w:val="20"/>
              </w:rPr>
            </w:pPr>
            <w:r w:rsidRPr="0081720F">
              <w:rPr>
                <w:rFonts w:eastAsia="Times New Roman" w:cs="Times New Roman"/>
                <w:b/>
                <w:color w:val="000000"/>
                <w:sz w:val="20"/>
                <w:szCs w:val="20"/>
              </w:rPr>
              <w:t>DOF, BOA, BSP, IC, SEC, BIR, CDA, NEA</w:t>
            </w:r>
          </w:p>
        </w:tc>
        <w:tc>
          <w:tcPr>
            <w:tcW w:w="1079" w:type="dxa"/>
            <w:shd w:val="clear" w:color="auto" w:fill="E7E6E6" w:themeFill="background2"/>
            <w:vAlign w:val="center"/>
          </w:tcPr>
          <w:p w14:paraId="5C7A7321" w14:textId="603300D7" w:rsidR="00BF5021" w:rsidRPr="0081720F" w:rsidRDefault="00BF5021" w:rsidP="005F5625">
            <w:pPr>
              <w:keepNext/>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BF5021" w:rsidRPr="0081720F" w14:paraId="03060779" w14:textId="77777777" w:rsidTr="0081720F">
        <w:trPr>
          <w:cantSplit/>
          <w:trHeight w:val="539"/>
          <w:jc w:val="center"/>
        </w:trPr>
        <w:tc>
          <w:tcPr>
            <w:tcW w:w="3219" w:type="dxa"/>
            <w:vMerge/>
            <w:tcBorders>
              <w:bottom w:val="single" w:sz="4" w:space="0" w:color="8C8D90"/>
            </w:tcBorders>
            <w:shd w:val="clear" w:color="auto" w:fill="E7E6E6" w:themeFill="background2"/>
          </w:tcPr>
          <w:p w14:paraId="5DFE82D1" w14:textId="77777777" w:rsidR="00BF5021" w:rsidRPr="0081720F" w:rsidRDefault="00BF5021" w:rsidP="00C075C1">
            <w:pPr>
              <w:spacing w:after="0"/>
              <w:jc w:val="left"/>
              <w:rPr>
                <w:rFonts w:eastAsia="Times New Roman" w:cs="Times New Roman"/>
                <w:b/>
                <w:color w:val="000000"/>
                <w:sz w:val="20"/>
                <w:szCs w:val="20"/>
              </w:rPr>
            </w:pPr>
          </w:p>
        </w:tc>
        <w:tc>
          <w:tcPr>
            <w:tcW w:w="8281" w:type="dxa"/>
            <w:shd w:val="clear" w:color="auto" w:fill="E7E6E6" w:themeFill="background2"/>
          </w:tcPr>
          <w:p w14:paraId="07ED7727" w14:textId="6EE0FE14" w:rsidR="00BF5021" w:rsidRPr="0081720F" w:rsidRDefault="00BF5021"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Update the Accountancy Law to realign legislation with international good practice and promote compliance with international principles.  (Refer to Annex 3 for IFIAR Core Principles and IFAC SMO 1.)  The legal framework should ensure adequate and stable funding and the ability to provide competitive compensation to audit inspectors. To adequately address the risk of PIE audits, the oversight authority must be able to pay salaries sufficient to attract and retain inspectors with substantial audit experience (a minimum of about six years and attainment of senior manager level) as auditors with international network firms or their equivalents.</w:t>
            </w:r>
          </w:p>
        </w:tc>
        <w:tc>
          <w:tcPr>
            <w:tcW w:w="1371" w:type="dxa"/>
            <w:vMerge/>
            <w:tcBorders>
              <w:bottom w:val="single" w:sz="4" w:space="0" w:color="8C8D90"/>
            </w:tcBorders>
            <w:shd w:val="clear" w:color="auto" w:fill="E7E6E6" w:themeFill="background2"/>
          </w:tcPr>
          <w:p w14:paraId="3C00C3DF" w14:textId="77777777" w:rsidR="00BF5021" w:rsidRPr="0081720F" w:rsidRDefault="00BF5021" w:rsidP="00C075C1">
            <w:pPr>
              <w:spacing w:after="0"/>
              <w:jc w:val="left"/>
              <w:rPr>
                <w:rFonts w:eastAsia="Times New Roman" w:cs="Times New Roman"/>
                <w:b/>
                <w:color w:val="000000"/>
                <w:sz w:val="20"/>
                <w:szCs w:val="20"/>
              </w:rPr>
            </w:pPr>
          </w:p>
        </w:tc>
        <w:tc>
          <w:tcPr>
            <w:tcW w:w="1079" w:type="dxa"/>
            <w:tcBorders>
              <w:bottom w:val="single" w:sz="4" w:space="0" w:color="8C8D90"/>
            </w:tcBorders>
            <w:shd w:val="clear" w:color="auto" w:fill="E7E6E6" w:themeFill="background2"/>
            <w:vAlign w:val="center"/>
          </w:tcPr>
          <w:p w14:paraId="04671E67" w14:textId="5A88889A" w:rsidR="00BF5021" w:rsidRPr="0081720F" w:rsidRDefault="00BF5021"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Medium Term</w:t>
            </w:r>
          </w:p>
        </w:tc>
      </w:tr>
      <w:tr w:rsidR="00BF5021" w:rsidRPr="0081720F" w14:paraId="4D58598C" w14:textId="77777777" w:rsidTr="00A22D4F">
        <w:trPr>
          <w:cantSplit/>
          <w:trHeight w:val="20"/>
          <w:jc w:val="center"/>
        </w:trPr>
        <w:tc>
          <w:tcPr>
            <w:tcW w:w="3219" w:type="dxa"/>
            <w:vMerge w:val="restart"/>
            <w:tcBorders>
              <w:top w:val="single" w:sz="4" w:space="0" w:color="8C8D90"/>
              <w:left w:val="nil"/>
              <w:bottom w:val="single" w:sz="4" w:space="0" w:color="8C8D90"/>
              <w:right w:val="single" w:sz="4" w:space="0" w:color="8C8D90"/>
            </w:tcBorders>
            <w:shd w:val="clear" w:color="auto" w:fill="auto"/>
            <w:vAlign w:val="center"/>
          </w:tcPr>
          <w:p w14:paraId="684E9877" w14:textId="77777777" w:rsidR="00BF5021" w:rsidRPr="0081720F" w:rsidRDefault="00BF5021"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A comprehensive, cohesive, and adequate system of audit quality assurance is not in place, with various elements of quality assurance being performed by different agencies.</w:t>
            </w:r>
          </w:p>
        </w:tc>
        <w:tc>
          <w:tcPr>
            <w:tcW w:w="8281" w:type="dxa"/>
            <w:tcBorders>
              <w:left w:val="single" w:sz="4" w:space="0" w:color="8C8D90"/>
              <w:bottom w:val="single" w:sz="4" w:space="0" w:color="8C8D90"/>
            </w:tcBorders>
            <w:shd w:val="clear" w:color="auto" w:fill="auto"/>
          </w:tcPr>
          <w:p w14:paraId="5A7228CD" w14:textId="22E73560" w:rsidR="00BF5021" w:rsidRPr="0081720F" w:rsidRDefault="00BF5021"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Coordinate quality assurance</w:t>
            </w:r>
            <w:r w:rsidRPr="0081720F" w:rsidDel="00B36FD6">
              <w:rPr>
                <w:rFonts w:eastAsia="Times New Roman" w:cs="Times New Roman"/>
                <w:b/>
                <w:color w:val="000000"/>
                <w:sz w:val="20"/>
                <w:szCs w:val="20"/>
              </w:rPr>
              <w:t xml:space="preserve"> </w:t>
            </w:r>
            <w:r w:rsidRPr="0081720F">
              <w:rPr>
                <w:rFonts w:eastAsia="Times New Roman" w:cs="Times New Roman"/>
                <w:b/>
                <w:color w:val="000000"/>
                <w:sz w:val="20"/>
                <w:szCs w:val="20"/>
              </w:rPr>
              <w:t>initiatives of various agencies to ensure all categories of audited entity financial statements are included in coverage of quality assurance</w:t>
            </w:r>
            <w:r w:rsidRPr="0081720F" w:rsidDel="00902C0C">
              <w:rPr>
                <w:rFonts w:eastAsia="Times New Roman" w:cs="Times New Roman"/>
                <w:b/>
                <w:color w:val="000000"/>
                <w:sz w:val="20"/>
                <w:szCs w:val="20"/>
              </w:rPr>
              <w:t xml:space="preserve"> </w:t>
            </w:r>
            <w:r w:rsidRPr="0081720F">
              <w:rPr>
                <w:rFonts w:eastAsia="Times New Roman" w:cs="Times New Roman"/>
                <w:b/>
                <w:color w:val="000000"/>
                <w:sz w:val="20"/>
                <w:szCs w:val="20"/>
              </w:rPr>
              <w:t>inspections, and overlaps are avoided.  The agreed coordination should be formalized in an inter-agency agreement or similar document.</w:t>
            </w:r>
          </w:p>
        </w:tc>
        <w:tc>
          <w:tcPr>
            <w:tcW w:w="1371" w:type="dxa"/>
            <w:vMerge w:val="restart"/>
            <w:tcBorders>
              <w:top w:val="single" w:sz="4" w:space="0" w:color="8C8D90"/>
              <w:bottom w:val="single" w:sz="4" w:space="0" w:color="8C8D90"/>
            </w:tcBorders>
            <w:shd w:val="clear" w:color="auto" w:fill="auto"/>
            <w:vAlign w:val="center"/>
          </w:tcPr>
          <w:p w14:paraId="68941D88" w14:textId="77777777" w:rsidR="00BF5021" w:rsidRPr="0081720F" w:rsidRDefault="00BF5021"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BOA, BSP, IC, SEC, CDA, NEA, PICPA</w:t>
            </w:r>
          </w:p>
        </w:tc>
        <w:tc>
          <w:tcPr>
            <w:tcW w:w="1079" w:type="dxa"/>
            <w:vMerge w:val="restart"/>
            <w:tcBorders>
              <w:top w:val="single" w:sz="4" w:space="0" w:color="8C8D90"/>
              <w:bottom w:val="single" w:sz="4" w:space="0" w:color="8C8D90"/>
            </w:tcBorders>
            <w:shd w:val="clear" w:color="auto" w:fill="auto"/>
            <w:vAlign w:val="center"/>
          </w:tcPr>
          <w:p w14:paraId="26D826E1" w14:textId="4B7986E9" w:rsidR="00BF5021" w:rsidRPr="0081720F" w:rsidRDefault="00BF5021"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BF5021" w:rsidRPr="0081720F" w14:paraId="51E9A273" w14:textId="77777777" w:rsidTr="00A22D4F">
        <w:trPr>
          <w:cantSplit/>
          <w:trHeight w:val="20"/>
          <w:jc w:val="center"/>
        </w:trPr>
        <w:tc>
          <w:tcPr>
            <w:tcW w:w="3219" w:type="dxa"/>
            <w:vMerge/>
            <w:tcBorders>
              <w:top w:val="single" w:sz="4" w:space="0" w:color="8C8D90"/>
              <w:left w:val="nil"/>
              <w:bottom w:val="single" w:sz="4" w:space="0" w:color="8C8D90"/>
              <w:right w:val="single" w:sz="4" w:space="0" w:color="8C8D90"/>
            </w:tcBorders>
            <w:shd w:val="clear" w:color="auto" w:fill="auto"/>
            <w:vAlign w:val="center"/>
          </w:tcPr>
          <w:p w14:paraId="6A641D20" w14:textId="77777777" w:rsidR="00BF5021" w:rsidRPr="0081720F" w:rsidRDefault="00BF5021" w:rsidP="00C075C1">
            <w:pPr>
              <w:spacing w:after="0"/>
              <w:jc w:val="left"/>
              <w:rPr>
                <w:rFonts w:eastAsia="Times New Roman" w:cs="Times New Roman"/>
                <w:b/>
                <w:color w:val="000000"/>
                <w:sz w:val="20"/>
                <w:szCs w:val="20"/>
              </w:rPr>
            </w:pPr>
          </w:p>
        </w:tc>
        <w:tc>
          <w:tcPr>
            <w:tcW w:w="8281" w:type="dxa"/>
            <w:tcBorders>
              <w:top w:val="single" w:sz="4" w:space="0" w:color="8C8D90"/>
              <w:left w:val="single" w:sz="4" w:space="0" w:color="8C8D90"/>
              <w:bottom w:val="single" w:sz="4" w:space="0" w:color="8C8D90"/>
              <w:right w:val="single" w:sz="4" w:space="0" w:color="8C8D90"/>
            </w:tcBorders>
            <w:shd w:val="clear" w:color="auto" w:fill="auto"/>
          </w:tcPr>
          <w:p w14:paraId="1DBE3CB4" w14:textId="27E98C7E" w:rsidR="00BF5021" w:rsidRPr="0081720F" w:rsidRDefault="00BF5021"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Implementation of audit QAR programs developed under ongoing initiatives should incorporate international best practices and principles, based on the agreed plan of coordination.  Quality assurance of PIE auditors should be completed by a competent body independent of the profession.  Quality assurance over non-PIE auditors may be delegated to an appropriate body, and should initially be developmental in nature to build capacity within the profession.</w:t>
            </w:r>
          </w:p>
        </w:tc>
        <w:tc>
          <w:tcPr>
            <w:tcW w:w="1371" w:type="dxa"/>
            <w:vMerge/>
            <w:tcBorders>
              <w:top w:val="single" w:sz="4" w:space="0" w:color="8C8D90"/>
              <w:left w:val="single" w:sz="4" w:space="0" w:color="8C8D90"/>
              <w:bottom w:val="single" w:sz="4" w:space="0" w:color="8C8D90"/>
            </w:tcBorders>
            <w:shd w:val="clear" w:color="auto" w:fill="auto"/>
          </w:tcPr>
          <w:p w14:paraId="262B8455" w14:textId="77777777" w:rsidR="00BF5021" w:rsidRPr="0081720F" w:rsidRDefault="00BF5021" w:rsidP="00C075C1">
            <w:pPr>
              <w:spacing w:after="0"/>
              <w:jc w:val="left"/>
              <w:rPr>
                <w:rFonts w:eastAsia="Times New Roman" w:cs="Times New Roman"/>
                <w:b/>
                <w:color w:val="000000"/>
                <w:sz w:val="20"/>
                <w:szCs w:val="20"/>
              </w:rPr>
            </w:pPr>
          </w:p>
        </w:tc>
        <w:tc>
          <w:tcPr>
            <w:tcW w:w="1079" w:type="dxa"/>
            <w:vMerge/>
            <w:tcBorders>
              <w:top w:val="single" w:sz="4" w:space="0" w:color="8C8D90"/>
              <w:bottom w:val="single" w:sz="4" w:space="0" w:color="8C8D90"/>
            </w:tcBorders>
            <w:shd w:val="clear" w:color="auto" w:fill="auto"/>
          </w:tcPr>
          <w:p w14:paraId="6E807A88" w14:textId="77777777" w:rsidR="00BF5021" w:rsidRPr="0081720F" w:rsidRDefault="00BF5021" w:rsidP="00C075C1">
            <w:pPr>
              <w:spacing w:after="0"/>
              <w:jc w:val="left"/>
              <w:rPr>
                <w:rFonts w:eastAsia="Times New Roman" w:cs="Times New Roman"/>
                <w:b/>
                <w:color w:val="000000"/>
                <w:sz w:val="20"/>
                <w:szCs w:val="20"/>
              </w:rPr>
            </w:pPr>
          </w:p>
        </w:tc>
      </w:tr>
      <w:tr w:rsidR="00605DBA" w:rsidRPr="0081720F" w14:paraId="6326EEF3" w14:textId="77777777" w:rsidTr="0081720F">
        <w:trPr>
          <w:cantSplit/>
          <w:trHeight w:val="197"/>
          <w:jc w:val="center"/>
        </w:trPr>
        <w:tc>
          <w:tcPr>
            <w:tcW w:w="3219" w:type="dxa"/>
            <w:tcBorders>
              <w:top w:val="single" w:sz="4" w:space="0" w:color="8C8D90"/>
            </w:tcBorders>
            <w:shd w:val="clear" w:color="auto" w:fill="E7E6E6" w:themeFill="background2"/>
            <w:vAlign w:val="center"/>
          </w:tcPr>
          <w:p w14:paraId="51701CD9" w14:textId="77777777" w:rsidR="00605DBA" w:rsidRPr="0081720F" w:rsidRDefault="00605DBA"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Requirement for auditor accreditation is varied per oversight agency</w:t>
            </w:r>
          </w:p>
        </w:tc>
        <w:tc>
          <w:tcPr>
            <w:tcW w:w="8281" w:type="dxa"/>
            <w:tcBorders>
              <w:top w:val="single" w:sz="4" w:space="0" w:color="8C8D90"/>
            </w:tcBorders>
            <w:shd w:val="clear" w:color="auto" w:fill="E7E6E6" w:themeFill="background2"/>
            <w:vAlign w:val="center"/>
          </w:tcPr>
          <w:p w14:paraId="550F8FD7" w14:textId="77777777" w:rsidR="00605DBA" w:rsidRPr="0081720F" w:rsidRDefault="00605DBA"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Review auditor accreditation requirements of various oversight agencies for increased coordination.</w:t>
            </w:r>
            <w:r w:rsidR="00A507CB" w:rsidRPr="0081720F">
              <w:rPr>
                <w:rStyle w:val="FootnoteReference"/>
                <w:rFonts w:eastAsia="Times New Roman" w:cs="Times New Roman"/>
                <w:b/>
                <w:color w:val="000000"/>
                <w:sz w:val="20"/>
                <w:szCs w:val="20"/>
              </w:rPr>
              <w:footnoteReference w:id="118"/>
            </w:r>
          </w:p>
        </w:tc>
        <w:tc>
          <w:tcPr>
            <w:tcW w:w="1371" w:type="dxa"/>
            <w:tcBorders>
              <w:top w:val="single" w:sz="4" w:space="0" w:color="8C8D90"/>
            </w:tcBorders>
            <w:shd w:val="clear" w:color="auto" w:fill="E7E6E6" w:themeFill="background2"/>
            <w:vAlign w:val="center"/>
          </w:tcPr>
          <w:p w14:paraId="510E113B"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BOA, BSP, IC, SEC, BIR, CDA, NEA</w:t>
            </w:r>
          </w:p>
        </w:tc>
        <w:tc>
          <w:tcPr>
            <w:tcW w:w="1079" w:type="dxa"/>
            <w:tcBorders>
              <w:top w:val="single" w:sz="4" w:space="0" w:color="8C8D90"/>
            </w:tcBorders>
            <w:shd w:val="clear" w:color="auto" w:fill="E7E6E6" w:themeFill="background2"/>
            <w:vAlign w:val="center"/>
          </w:tcPr>
          <w:p w14:paraId="23B7F461"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50031E" w:rsidRPr="0081720F" w14:paraId="01EBBBD8" w14:textId="77777777" w:rsidTr="00A22D4F">
        <w:trPr>
          <w:cantSplit/>
          <w:trHeight w:val="42"/>
          <w:jc w:val="center"/>
        </w:trPr>
        <w:tc>
          <w:tcPr>
            <w:tcW w:w="3219" w:type="dxa"/>
            <w:vMerge w:val="restart"/>
            <w:shd w:val="clear" w:color="auto" w:fill="auto"/>
            <w:vAlign w:val="center"/>
          </w:tcPr>
          <w:p w14:paraId="67A9C594" w14:textId="77777777" w:rsidR="0050031E" w:rsidRPr="0081720F" w:rsidRDefault="0050031E"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Audit requirement threshold of various agencies are too low</w:t>
            </w:r>
          </w:p>
        </w:tc>
        <w:tc>
          <w:tcPr>
            <w:tcW w:w="8281" w:type="dxa"/>
            <w:shd w:val="clear" w:color="auto" w:fill="auto"/>
          </w:tcPr>
          <w:p w14:paraId="24ADCA64" w14:textId="5E7499D0" w:rsidR="0050031E" w:rsidRPr="0081720F" w:rsidRDefault="0050031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Move forward with proposal to rationalize audit requirements and provide a statutory audit exemption framework for MSMEs.</w:t>
            </w:r>
          </w:p>
        </w:tc>
        <w:tc>
          <w:tcPr>
            <w:tcW w:w="1371" w:type="dxa"/>
            <w:vMerge w:val="restart"/>
            <w:shd w:val="clear" w:color="auto" w:fill="auto"/>
            <w:vAlign w:val="center"/>
          </w:tcPr>
          <w:p w14:paraId="3A3A1B3F" w14:textId="77777777" w:rsidR="0050031E" w:rsidRPr="0081720F" w:rsidRDefault="0050031E"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DOF, BIR, SEC</w:t>
            </w:r>
            <w:r w:rsidRPr="0081720F">
              <w:rPr>
                <w:rStyle w:val="FootnoteReference"/>
                <w:rFonts w:eastAsia="Times New Roman" w:cs="Times New Roman"/>
                <w:b/>
                <w:color w:val="000000"/>
                <w:sz w:val="20"/>
                <w:szCs w:val="20"/>
              </w:rPr>
              <w:footnoteReference w:id="119"/>
            </w:r>
          </w:p>
        </w:tc>
        <w:tc>
          <w:tcPr>
            <w:tcW w:w="1079" w:type="dxa"/>
            <w:vMerge w:val="restart"/>
            <w:shd w:val="clear" w:color="auto" w:fill="auto"/>
            <w:vAlign w:val="center"/>
          </w:tcPr>
          <w:p w14:paraId="62340D36" w14:textId="77777777" w:rsidR="0050031E" w:rsidRPr="0081720F" w:rsidRDefault="0050031E"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50031E" w:rsidRPr="0081720F" w14:paraId="02B20A9A" w14:textId="77777777" w:rsidTr="00A22D4F">
        <w:trPr>
          <w:cantSplit/>
          <w:trHeight w:val="42"/>
          <w:jc w:val="center"/>
        </w:trPr>
        <w:tc>
          <w:tcPr>
            <w:tcW w:w="3219" w:type="dxa"/>
            <w:vMerge/>
            <w:shd w:val="clear" w:color="auto" w:fill="auto"/>
          </w:tcPr>
          <w:p w14:paraId="2AF12D25" w14:textId="77777777" w:rsidR="0050031E" w:rsidRPr="0081720F" w:rsidRDefault="0050031E" w:rsidP="00C075C1">
            <w:pPr>
              <w:spacing w:after="0"/>
              <w:jc w:val="left"/>
              <w:rPr>
                <w:rFonts w:eastAsia="Times New Roman" w:cs="Times New Roman"/>
                <w:b/>
                <w:color w:val="000000"/>
                <w:sz w:val="20"/>
                <w:szCs w:val="20"/>
              </w:rPr>
            </w:pPr>
          </w:p>
        </w:tc>
        <w:tc>
          <w:tcPr>
            <w:tcW w:w="8281" w:type="dxa"/>
            <w:shd w:val="clear" w:color="auto" w:fill="auto"/>
          </w:tcPr>
          <w:p w14:paraId="015DAB1A" w14:textId="2F3AF37B" w:rsidR="0050031E" w:rsidRPr="0081720F" w:rsidRDefault="0050031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Consider the use of alternate levels of assurance such as reviewed financial statements.</w:t>
            </w:r>
          </w:p>
        </w:tc>
        <w:tc>
          <w:tcPr>
            <w:tcW w:w="1371" w:type="dxa"/>
            <w:vMerge/>
            <w:shd w:val="clear" w:color="auto" w:fill="auto"/>
          </w:tcPr>
          <w:p w14:paraId="0179C2F1" w14:textId="77777777" w:rsidR="0050031E" w:rsidRPr="0081720F" w:rsidRDefault="0050031E" w:rsidP="00C075C1">
            <w:pPr>
              <w:spacing w:after="0"/>
              <w:jc w:val="left"/>
              <w:rPr>
                <w:rFonts w:eastAsia="Times New Roman" w:cs="Times New Roman"/>
                <w:b/>
                <w:color w:val="000000"/>
                <w:sz w:val="20"/>
                <w:szCs w:val="20"/>
              </w:rPr>
            </w:pPr>
          </w:p>
        </w:tc>
        <w:tc>
          <w:tcPr>
            <w:tcW w:w="1079" w:type="dxa"/>
            <w:vMerge/>
            <w:shd w:val="clear" w:color="auto" w:fill="auto"/>
          </w:tcPr>
          <w:p w14:paraId="37383766" w14:textId="77777777" w:rsidR="0050031E" w:rsidRPr="0081720F" w:rsidRDefault="0050031E" w:rsidP="00C075C1">
            <w:pPr>
              <w:spacing w:after="0"/>
              <w:jc w:val="left"/>
              <w:rPr>
                <w:rFonts w:eastAsia="Times New Roman" w:cs="Times New Roman"/>
                <w:b/>
                <w:color w:val="000000"/>
                <w:sz w:val="20"/>
                <w:szCs w:val="20"/>
              </w:rPr>
            </w:pPr>
          </w:p>
        </w:tc>
      </w:tr>
      <w:tr w:rsidR="0050031E" w:rsidRPr="0081720F" w14:paraId="15F9B2D8" w14:textId="77777777" w:rsidTr="00A22D4F">
        <w:trPr>
          <w:cantSplit/>
          <w:trHeight w:val="42"/>
          <w:jc w:val="center"/>
        </w:trPr>
        <w:tc>
          <w:tcPr>
            <w:tcW w:w="3219" w:type="dxa"/>
            <w:vMerge/>
            <w:shd w:val="clear" w:color="auto" w:fill="auto"/>
          </w:tcPr>
          <w:p w14:paraId="034D6634" w14:textId="77777777" w:rsidR="0050031E" w:rsidRPr="0081720F" w:rsidRDefault="0050031E" w:rsidP="00C075C1">
            <w:pPr>
              <w:spacing w:after="0"/>
              <w:jc w:val="left"/>
              <w:rPr>
                <w:rFonts w:eastAsia="Times New Roman" w:cs="Times New Roman"/>
                <w:b/>
                <w:color w:val="000000"/>
                <w:sz w:val="20"/>
                <w:szCs w:val="20"/>
              </w:rPr>
            </w:pPr>
          </w:p>
        </w:tc>
        <w:tc>
          <w:tcPr>
            <w:tcW w:w="8281" w:type="dxa"/>
            <w:shd w:val="clear" w:color="auto" w:fill="auto"/>
          </w:tcPr>
          <w:p w14:paraId="4B568B78" w14:textId="487C3F27" w:rsidR="0050031E" w:rsidRPr="0081720F" w:rsidRDefault="0050031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Consider a simplified reporting framework for small entities.</w:t>
            </w:r>
          </w:p>
        </w:tc>
        <w:tc>
          <w:tcPr>
            <w:tcW w:w="1371" w:type="dxa"/>
            <w:vMerge/>
            <w:shd w:val="clear" w:color="auto" w:fill="auto"/>
          </w:tcPr>
          <w:p w14:paraId="52315C5F" w14:textId="77777777" w:rsidR="0050031E" w:rsidRPr="0081720F" w:rsidRDefault="0050031E" w:rsidP="00C075C1">
            <w:pPr>
              <w:spacing w:after="0"/>
              <w:jc w:val="left"/>
              <w:rPr>
                <w:rFonts w:eastAsia="Times New Roman" w:cs="Times New Roman"/>
                <w:b/>
                <w:color w:val="000000"/>
                <w:sz w:val="20"/>
                <w:szCs w:val="20"/>
              </w:rPr>
            </w:pPr>
          </w:p>
        </w:tc>
        <w:tc>
          <w:tcPr>
            <w:tcW w:w="1079" w:type="dxa"/>
            <w:vMerge/>
            <w:shd w:val="clear" w:color="auto" w:fill="auto"/>
          </w:tcPr>
          <w:p w14:paraId="4AB17C48" w14:textId="77777777" w:rsidR="0050031E" w:rsidRPr="0081720F" w:rsidRDefault="0050031E" w:rsidP="00C075C1">
            <w:pPr>
              <w:spacing w:after="0"/>
              <w:jc w:val="left"/>
              <w:rPr>
                <w:rFonts w:eastAsia="Times New Roman" w:cs="Times New Roman"/>
                <w:b/>
                <w:color w:val="000000"/>
                <w:sz w:val="20"/>
                <w:szCs w:val="20"/>
              </w:rPr>
            </w:pPr>
          </w:p>
        </w:tc>
      </w:tr>
      <w:tr w:rsidR="0050031E" w:rsidRPr="0081720F" w14:paraId="30431686" w14:textId="77777777" w:rsidTr="00A22D4F">
        <w:trPr>
          <w:cantSplit/>
          <w:trHeight w:val="42"/>
          <w:jc w:val="center"/>
        </w:trPr>
        <w:tc>
          <w:tcPr>
            <w:tcW w:w="3219" w:type="dxa"/>
            <w:vMerge/>
            <w:shd w:val="clear" w:color="auto" w:fill="auto"/>
          </w:tcPr>
          <w:p w14:paraId="274ED665" w14:textId="77777777" w:rsidR="0050031E" w:rsidRPr="0081720F" w:rsidRDefault="0050031E" w:rsidP="00C075C1">
            <w:pPr>
              <w:spacing w:after="0"/>
              <w:jc w:val="left"/>
              <w:rPr>
                <w:rFonts w:eastAsia="Times New Roman" w:cs="Times New Roman"/>
                <w:b/>
                <w:color w:val="000000"/>
                <w:sz w:val="20"/>
                <w:szCs w:val="20"/>
              </w:rPr>
            </w:pPr>
          </w:p>
        </w:tc>
        <w:tc>
          <w:tcPr>
            <w:tcW w:w="8281" w:type="dxa"/>
            <w:shd w:val="clear" w:color="auto" w:fill="auto"/>
          </w:tcPr>
          <w:p w14:paraId="1683B6F0" w14:textId="39D1CD65" w:rsidR="0050031E" w:rsidRPr="0081720F" w:rsidRDefault="0050031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To the extent possible, harmonize audit requirements of the SEC and BIR.</w:t>
            </w:r>
          </w:p>
        </w:tc>
        <w:tc>
          <w:tcPr>
            <w:tcW w:w="1371" w:type="dxa"/>
            <w:vMerge/>
            <w:shd w:val="clear" w:color="auto" w:fill="auto"/>
          </w:tcPr>
          <w:p w14:paraId="560DCB49" w14:textId="77777777" w:rsidR="0050031E" w:rsidRPr="0081720F" w:rsidRDefault="0050031E" w:rsidP="00C075C1">
            <w:pPr>
              <w:spacing w:after="0"/>
              <w:jc w:val="left"/>
              <w:rPr>
                <w:rFonts w:eastAsia="Times New Roman" w:cs="Times New Roman"/>
                <w:b/>
                <w:color w:val="000000"/>
                <w:sz w:val="20"/>
                <w:szCs w:val="20"/>
              </w:rPr>
            </w:pPr>
          </w:p>
        </w:tc>
        <w:tc>
          <w:tcPr>
            <w:tcW w:w="1079" w:type="dxa"/>
            <w:vMerge/>
            <w:shd w:val="clear" w:color="auto" w:fill="auto"/>
          </w:tcPr>
          <w:p w14:paraId="6A3C8EE7" w14:textId="77777777" w:rsidR="0050031E" w:rsidRPr="0081720F" w:rsidRDefault="0050031E" w:rsidP="00C075C1">
            <w:pPr>
              <w:spacing w:after="0"/>
              <w:jc w:val="left"/>
              <w:rPr>
                <w:rFonts w:eastAsia="Times New Roman" w:cs="Times New Roman"/>
                <w:b/>
                <w:color w:val="000000"/>
                <w:sz w:val="20"/>
                <w:szCs w:val="20"/>
              </w:rPr>
            </w:pPr>
          </w:p>
        </w:tc>
      </w:tr>
      <w:tr w:rsidR="0050031E" w:rsidRPr="0081720F" w14:paraId="2076CF80" w14:textId="77777777" w:rsidTr="0081720F">
        <w:trPr>
          <w:cantSplit/>
          <w:trHeight w:val="42"/>
          <w:jc w:val="center"/>
        </w:trPr>
        <w:tc>
          <w:tcPr>
            <w:tcW w:w="3219" w:type="dxa"/>
            <w:vMerge w:val="restart"/>
            <w:shd w:val="clear" w:color="auto" w:fill="E7E6E6" w:themeFill="background2"/>
            <w:vAlign w:val="center"/>
          </w:tcPr>
          <w:p w14:paraId="4B91FE2C" w14:textId="77777777" w:rsidR="0050031E" w:rsidRPr="0081720F" w:rsidRDefault="0050031E"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Requirement for compilation of financial reports were perceived as onerous by industries and practitioners</w:t>
            </w:r>
          </w:p>
        </w:tc>
        <w:tc>
          <w:tcPr>
            <w:tcW w:w="8281" w:type="dxa"/>
            <w:shd w:val="clear" w:color="auto" w:fill="E7E6E6" w:themeFill="background2"/>
          </w:tcPr>
          <w:p w14:paraId="748ABDED" w14:textId="7F01E05D" w:rsidR="0050031E" w:rsidRPr="0081720F" w:rsidRDefault="0050031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 xml:space="preserve">Reevaluate the need for the Certificate of Compilation </w:t>
            </w:r>
            <w:proofErr w:type="gramStart"/>
            <w:r w:rsidRPr="0081720F">
              <w:rPr>
                <w:rFonts w:eastAsia="Times New Roman" w:cs="Times New Roman"/>
                <w:b/>
                <w:color w:val="000000"/>
                <w:sz w:val="20"/>
                <w:szCs w:val="20"/>
              </w:rPr>
              <w:t>in light of</w:t>
            </w:r>
            <w:proofErr w:type="gramEnd"/>
            <w:r w:rsidRPr="0081720F">
              <w:rPr>
                <w:rFonts w:eastAsia="Times New Roman" w:cs="Times New Roman"/>
                <w:b/>
                <w:color w:val="000000"/>
                <w:sz w:val="20"/>
                <w:szCs w:val="20"/>
              </w:rPr>
              <w:t xml:space="preserve"> the Statement of Management Responsibility required by the SEC.</w:t>
            </w:r>
          </w:p>
        </w:tc>
        <w:tc>
          <w:tcPr>
            <w:tcW w:w="1371" w:type="dxa"/>
            <w:vMerge w:val="restart"/>
            <w:shd w:val="clear" w:color="auto" w:fill="E7E6E6" w:themeFill="background2"/>
            <w:vAlign w:val="center"/>
          </w:tcPr>
          <w:p w14:paraId="09A53120" w14:textId="77777777" w:rsidR="0050031E" w:rsidRPr="0081720F" w:rsidRDefault="0050031E"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BOA</w:t>
            </w:r>
          </w:p>
        </w:tc>
        <w:tc>
          <w:tcPr>
            <w:tcW w:w="1079" w:type="dxa"/>
            <w:vMerge w:val="restart"/>
            <w:shd w:val="clear" w:color="auto" w:fill="E7E6E6" w:themeFill="background2"/>
            <w:vAlign w:val="center"/>
          </w:tcPr>
          <w:p w14:paraId="215A4E33" w14:textId="77777777" w:rsidR="0050031E" w:rsidRPr="0081720F" w:rsidRDefault="0050031E"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50031E" w:rsidRPr="0081720F" w14:paraId="727DBB20" w14:textId="77777777" w:rsidTr="0081720F">
        <w:trPr>
          <w:cantSplit/>
          <w:trHeight w:val="42"/>
          <w:jc w:val="center"/>
        </w:trPr>
        <w:tc>
          <w:tcPr>
            <w:tcW w:w="3219" w:type="dxa"/>
            <w:vMerge/>
            <w:shd w:val="clear" w:color="auto" w:fill="C6E8D7"/>
          </w:tcPr>
          <w:p w14:paraId="686624E7" w14:textId="77777777" w:rsidR="0050031E" w:rsidRPr="0081720F" w:rsidRDefault="0050031E" w:rsidP="00C075C1">
            <w:pPr>
              <w:spacing w:after="0"/>
              <w:jc w:val="left"/>
              <w:rPr>
                <w:rFonts w:eastAsia="Times New Roman" w:cs="Times New Roman"/>
                <w:b/>
                <w:color w:val="000000"/>
                <w:sz w:val="20"/>
                <w:szCs w:val="20"/>
              </w:rPr>
            </w:pPr>
          </w:p>
        </w:tc>
        <w:tc>
          <w:tcPr>
            <w:tcW w:w="8281" w:type="dxa"/>
            <w:shd w:val="clear" w:color="auto" w:fill="E7E6E6" w:themeFill="background2"/>
          </w:tcPr>
          <w:p w14:paraId="31A2A529" w14:textId="6EEDA12D" w:rsidR="0050031E" w:rsidRPr="0081720F" w:rsidRDefault="0050031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Reevaluate the requirement that internally compiled financial statements must be prepared by a CPA.</w:t>
            </w:r>
          </w:p>
        </w:tc>
        <w:tc>
          <w:tcPr>
            <w:tcW w:w="1371" w:type="dxa"/>
            <w:vMerge/>
            <w:shd w:val="clear" w:color="auto" w:fill="C6E8D7"/>
          </w:tcPr>
          <w:p w14:paraId="47A6D74F" w14:textId="77777777" w:rsidR="0050031E" w:rsidRPr="0081720F" w:rsidRDefault="0050031E" w:rsidP="00C075C1">
            <w:pPr>
              <w:spacing w:after="0"/>
              <w:jc w:val="left"/>
              <w:rPr>
                <w:rFonts w:eastAsia="Times New Roman" w:cs="Times New Roman"/>
                <w:b/>
                <w:color w:val="000000"/>
                <w:sz w:val="20"/>
                <w:szCs w:val="20"/>
              </w:rPr>
            </w:pPr>
          </w:p>
        </w:tc>
        <w:tc>
          <w:tcPr>
            <w:tcW w:w="1079" w:type="dxa"/>
            <w:vMerge/>
            <w:shd w:val="clear" w:color="auto" w:fill="C6E8D7"/>
          </w:tcPr>
          <w:p w14:paraId="669EBB20" w14:textId="77777777" w:rsidR="0050031E" w:rsidRPr="0081720F" w:rsidRDefault="0050031E" w:rsidP="00C075C1">
            <w:pPr>
              <w:spacing w:after="0"/>
              <w:jc w:val="left"/>
              <w:rPr>
                <w:rFonts w:eastAsia="Times New Roman" w:cs="Times New Roman"/>
                <w:b/>
                <w:color w:val="000000"/>
                <w:sz w:val="20"/>
                <w:szCs w:val="20"/>
              </w:rPr>
            </w:pPr>
          </w:p>
        </w:tc>
      </w:tr>
      <w:tr w:rsidR="00605DBA" w:rsidRPr="0081720F" w14:paraId="562BCDC9" w14:textId="77777777" w:rsidTr="00A22D4F">
        <w:trPr>
          <w:cantSplit/>
          <w:trHeight w:val="332"/>
          <w:jc w:val="center"/>
        </w:trPr>
        <w:tc>
          <w:tcPr>
            <w:tcW w:w="13950" w:type="dxa"/>
            <w:gridSpan w:val="4"/>
            <w:shd w:val="clear" w:color="auto" w:fill="8C8D90"/>
          </w:tcPr>
          <w:p w14:paraId="0903143B" w14:textId="77777777" w:rsidR="00605DBA" w:rsidRPr="0081720F" w:rsidRDefault="00605DBA" w:rsidP="00C075C1">
            <w:pPr>
              <w:keepNext/>
              <w:spacing w:after="0"/>
              <w:jc w:val="center"/>
              <w:rPr>
                <w:rFonts w:eastAsia="Times New Roman" w:cs="Times New Roman"/>
                <w:b/>
                <w:color w:val="FFFFFF" w:themeColor="background1"/>
                <w:sz w:val="20"/>
                <w:szCs w:val="20"/>
              </w:rPr>
            </w:pPr>
            <w:r w:rsidRPr="0081720F">
              <w:rPr>
                <w:rFonts w:eastAsia="Times New Roman" w:cs="Times New Roman"/>
                <w:b/>
                <w:color w:val="FFFFFF" w:themeColor="background1"/>
                <w:sz w:val="20"/>
                <w:szCs w:val="20"/>
              </w:rPr>
              <w:t>Institutional Capacity</w:t>
            </w:r>
          </w:p>
        </w:tc>
      </w:tr>
      <w:tr w:rsidR="00605DBA" w:rsidRPr="0081720F" w14:paraId="5D3DB31E" w14:textId="77777777" w:rsidTr="00A22D4F">
        <w:trPr>
          <w:cantSplit/>
          <w:jc w:val="center"/>
        </w:trPr>
        <w:tc>
          <w:tcPr>
            <w:tcW w:w="3219" w:type="dxa"/>
            <w:shd w:val="clear" w:color="auto" w:fill="auto"/>
            <w:vAlign w:val="center"/>
          </w:tcPr>
          <w:p w14:paraId="69827441" w14:textId="77777777" w:rsidR="00605DBA" w:rsidRPr="0081720F" w:rsidRDefault="00605DBA"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A&amp;A standard setting bodies do not have predictable funding</w:t>
            </w:r>
          </w:p>
        </w:tc>
        <w:tc>
          <w:tcPr>
            <w:tcW w:w="8281" w:type="dxa"/>
            <w:shd w:val="clear" w:color="auto" w:fill="auto"/>
            <w:vAlign w:val="center"/>
          </w:tcPr>
          <w:p w14:paraId="4CB2D274" w14:textId="77777777" w:rsidR="00605DBA" w:rsidRPr="0081720F" w:rsidRDefault="00605DBA" w:rsidP="00C075C1">
            <w:pPr>
              <w:keepNext/>
              <w:keepLines/>
              <w:spacing w:after="0"/>
              <w:jc w:val="left"/>
              <w:rPr>
                <w:rFonts w:eastAsia="Times New Roman" w:cs="Times New Roman"/>
                <w:color w:val="000000"/>
                <w:sz w:val="20"/>
                <w:szCs w:val="20"/>
              </w:rPr>
            </w:pPr>
            <w:r w:rsidRPr="0081720F">
              <w:rPr>
                <w:rFonts w:eastAsia="Times New Roman" w:cs="Times New Roman"/>
                <w:color w:val="000000"/>
                <w:sz w:val="20"/>
                <w:szCs w:val="20"/>
              </w:rPr>
              <w:t xml:space="preserve">Consider regular and sustainable funding for FRSC and AASC.  BOA may consider inclusion in the </w:t>
            </w:r>
            <w:r w:rsidR="00B7463F" w:rsidRPr="0081720F">
              <w:rPr>
                <w:rFonts w:eastAsia="Times New Roman" w:cs="Times New Roman"/>
                <w:color w:val="000000"/>
                <w:sz w:val="20"/>
                <w:szCs w:val="20"/>
              </w:rPr>
              <w:t>General Appropriations Act</w:t>
            </w:r>
            <w:r w:rsidRPr="0081720F">
              <w:rPr>
                <w:rFonts w:eastAsia="Times New Roman" w:cs="Times New Roman"/>
                <w:color w:val="000000"/>
                <w:sz w:val="20"/>
                <w:szCs w:val="20"/>
              </w:rPr>
              <w:t>.</w:t>
            </w:r>
          </w:p>
        </w:tc>
        <w:tc>
          <w:tcPr>
            <w:tcW w:w="1371" w:type="dxa"/>
            <w:shd w:val="clear" w:color="auto" w:fill="auto"/>
            <w:vAlign w:val="center"/>
          </w:tcPr>
          <w:p w14:paraId="03409B1D"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PRC, BOA</w:t>
            </w:r>
          </w:p>
        </w:tc>
        <w:tc>
          <w:tcPr>
            <w:tcW w:w="1079" w:type="dxa"/>
            <w:shd w:val="clear" w:color="auto" w:fill="auto"/>
            <w:vAlign w:val="center"/>
          </w:tcPr>
          <w:p w14:paraId="608B5B62"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Short Term</w:t>
            </w:r>
          </w:p>
        </w:tc>
      </w:tr>
      <w:tr w:rsidR="002D012E" w:rsidRPr="0081720F" w14:paraId="4F3775B8" w14:textId="77777777" w:rsidTr="0081720F">
        <w:trPr>
          <w:cantSplit/>
          <w:trHeight w:val="42"/>
          <w:jc w:val="center"/>
        </w:trPr>
        <w:tc>
          <w:tcPr>
            <w:tcW w:w="3219" w:type="dxa"/>
            <w:vMerge w:val="restart"/>
            <w:shd w:val="clear" w:color="auto" w:fill="E7E6E6" w:themeFill="background2"/>
            <w:vAlign w:val="center"/>
          </w:tcPr>
          <w:p w14:paraId="230D61B0" w14:textId="77777777" w:rsidR="002D012E" w:rsidRPr="0081720F" w:rsidRDefault="002D012E" w:rsidP="00C075C1">
            <w:pPr>
              <w:spacing w:after="0"/>
              <w:jc w:val="left"/>
              <w:rPr>
                <w:rFonts w:eastAsia="Times New Roman" w:cs="Times New Roman"/>
                <w:color w:val="000000"/>
                <w:sz w:val="20"/>
                <w:szCs w:val="20"/>
              </w:rPr>
            </w:pPr>
            <w:r w:rsidRPr="0081720F">
              <w:rPr>
                <w:rFonts w:eastAsia="Times New Roman"/>
                <w:color w:val="000000"/>
                <w:sz w:val="20"/>
                <w:szCs w:val="20"/>
              </w:rPr>
              <w:t xml:space="preserve">PRC Legal and Investigation Division decisions on erring CPAs are not published </w:t>
            </w:r>
          </w:p>
        </w:tc>
        <w:tc>
          <w:tcPr>
            <w:tcW w:w="8281" w:type="dxa"/>
            <w:shd w:val="clear" w:color="auto" w:fill="E7E6E6" w:themeFill="background2"/>
          </w:tcPr>
          <w:p w14:paraId="12C2E791" w14:textId="2DB40FD4" w:rsidR="002D012E" w:rsidRPr="0081720F" w:rsidRDefault="002D012E" w:rsidP="00C075C1">
            <w:pPr>
              <w:keepLines/>
              <w:spacing w:after="0"/>
              <w:jc w:val="left"/>
              <w:rPr>
                <w:rFonts w:eastAsia="Times New Roman"/>
                <w:color w:val="000000"/>
                <w:sz w:val="20"/>
                <w:szCs w:val="20"/>
              </w:rPr>
            </w:pPr>
            <w:r w:rsidRPr="0081720F">
              <w:rPr>
                <w:rFonts w:eastAsia="Times New Roman"/>
                <w:color w:val="000000"/>
                <w:sz w:val="20"/>
                <w:szCs w:val="20"/>
              </w:rPr>
              <w:t xml:space="preserve">Publish final decisions on erring CPAs especially those cases involving ethics </w:t>
            </w:r>
            <w:r w:rsidRPr="0081720F">
              <w:rPr>
                <w:rFonts w:eastAsia="Times New Roman" w:cs="Times New Roman"/>
                <w:color w:val="000000"/>
                <w:sz w:val="20"/>
                <w:szCs w:val="20"/>
              </w:rPr>
              <w:t>and</w:t>
            </w:r>
            <w:r w:rsidRPr="0081720F">
              <w:rPr>
                <w:rFonts w:eastAsia="Times New Roman"/>
                <w:color w:val="000000"/>
                <w:sz w:val="20"/>
                <w:szCs w:val="20"/>
              </w:rPr>
              <w:t xml:space="preserve"> fraud;</w:t>
            </w:r>
          </w:p>
        </w:tc>
        <w:tc>
          <w:tcPr>
            <w:tcW w:w="1371" w:type="dxa"/>
            <w:vMerge w:val="restart"/>
            <w:shd w:val="clear" w:color="auto" w:fill="E7E6E6" w:themeFill="background2"/>
            <w:vAlign w:val="center"/>
          </w:tcPr>
          <w:p w14:paraId="5A3A6297" w14:textId="77777777" w:rsidR="002D012E" w:rsidRPr="0081720F" w:rsidRDefault="002D012E" w:rsidP="00C075C1">
            <w:pPr>
              <w:spacing w:after="0"/>
              <w:jc w:val="center"/>
              <w:rPr>
                <w:rFonts w:eastAsia="Times New Roman" w:cs="Times New Roman"/>
                <w:color w:val="000000"/>
                <w:sz w:val="20"/>
                <w:szCs w:val="20"/>
              </w:rPr>
            </w:pPr>
            <w:r w:rsidRPr="0081720F">
              <w:rPr>
                <w:rFonts w:eastAsia="Times New Roman"/>
                <w:color w:val="000000"/>
                <w:sz w:val="20"/>
                <w:szCs w:val="20"/>
              </w:rPr>
              <w:t>PRC, BOA</w:t>
            </w:r>
          </w:p>
        </w:tc>
        <w:tc>
          <w:tcPr>
            <w:tcW w:w="1079" w:type="dxa"/>
            <w:vMerge w:val="restart"/>
            <w:shd w:val="clear" w:color="auto" w:fill="E7E6E6" w:themeFill="background2"/>
            <w:vAlign w:val="center"/>
          </w:tcPr>
          <w:p w14:paraId="0CE52E8C" w14:textId="77777777" w:rsidR="002D012E" w:rsidRPr="0081720F" w:rsidRDefault="002D012E" w:rsidP="00C075C1">
            <w:pPr>
              <w:spacing w:after="0"/>
              <w:jc w:val="center"/>
              <w:rPr>
                <w:rFonts w:eastAsia="Times New Roman" w:cs="Times New Roman"/>
                <w:color w:val="000000"/>
                <w:sz w:val="20"/>
                <w:szCs w:val="20"/>
              </w:rPr>
            </w:pPr>
            <w:r w:rsidRPr="0081720F">
              <w:rPr>
                <w:rFonts w:eastAsia="Times New Roman"/>
                <w:color w:val="000000"/>
                <w:sz w:val="20"/>
                <w:szCs w:val="20"/>
              </w:rPr>
              <w:t>Short Term</w:t>
            </w:r>
          </w:p>
        </w:tc>
      </w:tr>
      <w:tr w:rsidR="002D012E" w:rsidRPr="0081720F" w14:paraId="317F9F58" w14:textId="77777777" w:rsidTr="0081720F">
        <w:trPr>
          <w:cantSplit/>
          <w:trHeight w:val="42"/>
          <w:jc w:val="center"/>
        </w:trPr>
        <w:tc>
          <w:tcPr>
            <w:tcW w:w="3219" w:type="dxa"/>
            <w:vMerge/>
            <w:shd w:val="clear" w:color="auto" w:fill="E7E6E6" w:themeFill="background2"/>
          </w:tcPr>
          <w:p w14:paraId="003A09F6" w14:textId="77777777" w:rsidR="002D012E" w:rsidRPr="0081720F" w:rsidRDefault="002D012E" w:rsidP="00C075C1">
            <w:pPr>
              <w:spacing w:after="0"/>
              <w:jc w:val="left"/>
              <w:rPr>
                <w:rFonts w:eastAsia="Times New Roman"/>
                <w:color w:val="000000"/>
                <w:sz w:val="20"/>
                <w:szCs w:val="20"/>
              </w:rPr>
            </w:pPr>
          </w:p>
        </w:tc>
        <w:tc>
          <w:tcPr>
            <w:tcW w:w="8281" w:type="dxa"/>
            <w:shd w:val="clear" w:color="auto" w:fill="E7E6E6" w:themeFill="background2"/>
          </w:tcPr>
          <w:p w14:paraId="4D9CC9C7" w14:textId="7DA0C70B" w:rsidR="002D012E" w:rsidRPr="0081720F" w:rsidRDefault="002D012E" w:rsidP="00C075C1">
            <w:pPr>
              <w:keepLines/>
              <w:spacing w:after="0"/>
              <w:jc w:val="left"/>
              <w:rPr>
                <w:rFonts w:eastAsia="Times New Roman"/>
                <w:color w:val="000000"/>
                <w:sz w:val="20"/>
                <w:szCs w:val="20"/>
              </w:rPr>
            </w:pPr>
            <w:r w:rsidRPr="0081720F">
              <w:rPr>
                <w:rFonts w:eastAsia="Times New Roman"/>
                <w:color w:val="000000"/>
                <w:sz w:val="20"/>
                <w:szCs w:val="20"/>
              </w:rPr>
              <w:t xml:space="preserve">Publish the </w:t>
            </w:r>
            <w:r w:rsidRPr="0081720F">
              <w:rPr>
                <w:rFonts w:eastAsia="Times New Roman" w:cs="Times New Roman"/>
                <w:color w:val="000000"/>
                <w:sz w:val="20"/>
                <w:szCs w:val="20"/>
              </w:rPr>
              <w:t>list</w:t>
            </w:r>
            <w:r w:rsidRPr="0081720F">
              <w:rPr>
                <w:rFonts w:eastAsia="Times New Roman"/>
                <w:color w:val="000000"/>
                <w:sz w:val="20"/>
                <w:szCs w:val="20"/>
              </w:rPr>
              <w:t xml:space="preserve"> of </w:t>
            </w:r>
            <w:r w:rsidRPr="0081720F">
              <w:rPr>
                <w:rFonts w:eastAsia="Times New Roman" w:cs="Times New Roman"/>
                <w:color w:val="000000"/>
                <w:sz w:val="20"/>
                <w:szCs w:val="20"/>
              </w:rPr>
              <w:t>professional</w:t>
            </w:r>
            <w:r w:rsidR="00223271">
              <w:rPr>
                <w:rFonts w:eastAsia="Times New Roman" w:cs="Times New Roman"/>
                <w:color w:val="000000"/>
                <w:sz w:val="20"/>
                <w:szCs w:val="20"/>
              </w:rPr>
              <w:t>s</w:t>
            </w:r>
            <w:r w:rsidRPr="0081720F">
              <w:rPr>
                <w:rFonts w:eastAsia="Times New Roman"/>
                <w:color w:val="000000"/>
                <w:sz w:val="20"/>
                <w:szCs w:val="20"/>
              </w:rPr>
              <w:t xml:space="preserve"> whose licenses were revoked and suspended </w:t>
            </w:r>
            <w:proofErr w:type="gramStart"/>
            <w:r w:rsidRPr="0081720F">
              <w:rPr>
                <w:rFonts w:eastAsia="Times New Roman"/>
                <w:color w:val="000000"/>
                <w:sz w:val="20"/>
                <w:szCs w:val="20"/>
              </w:rPr>
              <w:t>for the purpose of</w:t>
            </w:r>
            <w:proofErr w:type="gramEnd"/>
            <w:r w:rsidRPr="0081720F">
              <w:rPr>
                <w:rFonts w:eastAsia="Times New Roman"/>
                <w:color w:val="000000"/>
                <w:sz w:val="20"/>
                <w:szCs w:val="20"/>
              </w:rPr>
              <w:t xml:space="preserve"> informing the general public; and</w:t>
            </w:r>
          </w:p>
        </w:tc>
        <w:tc>
          <w:tcPr>
            <w:tcW w:w="1371" w:type="dxa"/>
            <w:vMerge/>
            <w:shd w:val="clear" w:color="auto" w:fill="E7E6E6" w:themeFill="background2"/>
          </w:tcPr>
          <w:p w14:paraId="12F5C5F7" w14:textId="77777777" w:rsidR="002D012E" w:rsidRPr="0081720F" w:rsidRDefault="002D012E" w:rsidP="00C075C1">
            <w:pPr>
              <w:spacing w:after="0"/>
              <w:jc w:val="left"/>
              <w:rPr>
                <w:rFonts w:eastAsia="Times New Roman"/>
                <w:color w:val="000000"/>
                <w:sz w:val="20"/>
                <w:szCs w:val="20"/>
              </w:rPr>
            </w:pPr>
          </w:p>
        </w:tc>
        <w:tc>
          <w:tcPr>
            <w:tcW w:w="1079" w:type="dxa"/>
            <w:vMerge/>
            <w:shd w:val="clear" w:color="auto" w:fill="E7E6E6" w:themeFill="background2"/>
          </w:tcPr>
          <w:p w14:paraId="79B86174" w14:textId="77777777" w:rsidR="002D012E" w:rsidRPr="0081720F" w:rsidRDefault="002D012E" w:rsidP="00C075C1">
            <w:pPr>
              <w:spacing w:after="0"/>
              <w:jc w:val="left"/>
              <w:rPr>
                <w:rFonts w:eastAsia="Times New Roman"/>
                <w:color w:val="000000"/>
                <w:sz w:val="20"/>
                <w:szCs w:val="20"/>
              </w:rPr>
            </w:pPr>
          </w:p>
        </w:tc>
      </w:tr>
      <w:tr w:rsidR="002D012E" w:rsidRPr="0081720F" w14:paraId="15F7F0D8" w14:textId="77777777" w:rsidTr="0081720F">
        <w:trPr>
          <w:cantSplit/>
          <w:trHeight w:val="42"/>
          <w:jc w:val="center"/>
        </w:trPr>
        <w:tc>
          <w:tcPr>
            <w:tcW w:w="3219" w:type="dxa"/>
            <w:vMerge/>
            <w:shd w:val="clear" w:color="auto" w:fill="C6E8D7"/>
          </w:tcPr>
          <w:p w14:paraId="0810C4B8" w14:textId="77777777" w:rsidR="002D012E" w:rsidRPr="0081720F" w:rsidRDefault="002D012E" w:rsidP="00C075C1">
            <w:pPr>
              <w:spacing w:after="0"/>
              <w:jc w:val="left"/>
              <w:rPr>
                <w:rFonts w:eastAsia="Times New Roman"/>
                <w:color w:val="000000"/>
                <w:sz w:val="20"/>
                <w:szCs w:val="20"/>
              </w:rPr>
            </w:pPr>
          </w:p>
        </w:tc>
        <w:tc>
          <w:tcPr>
            <w:tcW w:w="8281" w:type="dxa"/>
            <w:shd w:val="clear" w:color="auto" w:fill="E7E6E6" w:themeFill="background2"/>
          </w:tcPr>
          <w:p w14:paraId="065780D8" w14:textId="758C3DFB" w:rsidR="002D012E" w:rsidRPr="0081720F" w:rsidRDefault="002D012E" w:rsidP="00C075C1">
            <w:pPr>
              <w:keepLines/>
              <w:spacing w:after="0"/>
              <w:jc w:val="left"/>
              <w:rPr>
                <w:rFonts w:eastAsia="Times New Roman"/>
                <w:color w:val="000000"/>
                <w:sz w:val="20"/>
                <w:szCs w:val="20"/>
              </w:rPr>
            </w:pPr>
            <w:r w:rsidRPr="0081720F">
              <w:rPr>
                <w:rFonts w:eastAsia="Times New Roman"/>
                <w:color w:val="000000"/>
                <w:sz w:val="20"/>
                <w:szCs w:val="20"/>
              </w:rPr>
              <w:t xml:space="preserve">Consider compiling the final decisions of PRC LID for reference so that the </w:t>
            </w:r>
            <w:r w:rsidRPr="0081720F">
              <w:rPr>
                <w:rFonts w:eastAsia="Times New Roman" w:cs="Times New Roman"/>
                <w:color w:val="000000"/>
                <w:sz w:val="20"/>
                <w:szCs w:val="20"/>
              </w:rPr>
              <w:t>final</w:t>
            </w:r>
            <w:r w:rsidRPr="0081720F">
              <w:rPr>
                <w:rFonts w:eastAsia="Times New Roman"/>
                <w:color w:val="000000"/>
                <w:sz w:val="20"/>
                <w:szCs w:val="20"/>
              </w:rPr>
              <w:t xml:space="preserve"> decisions may also be cited for similar cases involving professionals.</w:t>
            </w:r>
          </w:p>
        </w:tc>
        <w:tc>
          <w:tcPr>
            <w:tcW w:w="1371" w:type="dxa"/>
            <w:vMerge/>
            <w:shd w:val="clear" w:color="auto" w:fill="E7E6E6" w:themeFill="background2"/>
          </w:tcPr>
          <w:p w14:paraId="65F68235" w14:textId="77777777" w:rsidR="002D012E" w:rsidRPr="0081720F" w:rsidRDefault="002D012E" w:rsidP="00C075C1">
            <w:pPr>
              <w:spacing w:after="0"/>
              <w:jc w:val="left"/>
              <w:rPr>
                <w:rFonts w:eastAsia="Times New Roman"/>
                <w:color w:val="000000"/>
                <w:sz w:val="20"/>
                <w:szCs w:val="20"/>
              </w:rPr>
            </w:pPr>
          </w:p>
        </w:tc>
        <w:tc>
          <w:tcPr>
            <w:tcW w:w="1079" w:type="dxa"/>
            <w:vMerge/>
            <w:shd w:val="clear" w:color="auto" w:fill="E7E6E6" w:themeFill="background2"/>
          </w:tcPr>
          <w:p w14:paraId="3CEE1DBF" w14:textId="77777777" w:rsidR="002D012E" w:rsidRPr="0081720F" w:rsidRDefault="002D012E" w:rsidP="00C075C1">
            <w:pPr>
              <w:spacing w:after="0"/>
              <w:jc w:val="left"/>
              <w:rPr>
                <w:rFonts w:eastAsia="Times New Roman"/>
                <w:color w:val="000000"/>
                <w:sz w:val="20"/>
                <w:szCs w:val="20"/>
              </w:rPr>
            </w:pPr>
          </w:p>
        </w:tc>
      </w:tr>
      <w:tr w:rsidR="00605DBA" w:rsidRPr="0081720F" w14:paraId="0673A2EB" w14:textId="77777777" w:rsidTr="00C075C1">
        <w:trPr>
          <w:cantSplit/>
          <w:jc w:val="center"/>
        </w:trPr>
        <w:tc>
          <w:tcPr>
            <w:tcW w:w="3219" w:type="dxa"/>
            <w:tcBorders>
              <w:bottom w:val="single" w:sz="4" w:space="0" w:color="8C8D90"/>
            </w:tcBorders>
            <w:shd w:val="clear" w:color="auto" w:fill="auto"/>
          </w:tcPr>
          <w:p w14:paraId="1DABEAEA" w14:textId="77777777" w:rsidR="00605DBA" w:rsidRPr="0081720F" w:rsidRDefault="00605DBA"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The Board of Accountancy is not required to be independent from the profession.</w:t>
            </w:r>
          </w:p>
        </w:tc>
        <w:tc>
          <w:tcPr>
            <w:tcW w:w="8281" w:type="dxa"/>
            <w:shd w:val="clear" w:color="auto" w:fill="auto"/>
            <w:vAlign w:val="center"/>
          </w:tcPr>
          <w:p w14:paraId="675FC907" w14:textId="77777777" w:rsidR="00605DBA" w:rsidRPr="0081720F" w:rsidRDefault="00605DBA"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 xml:space="preserve">Review the governance rules of the Board of Accountancy to ensure independence from the profession and avoid conflicts of interest. </w:t>
            </w:r>
          </w:p>
        </w:tc>
        <w:tc>
          <w:tcPr>
            <w:tcW w:w="1371" w:type="dxa"/>
            <w:tcBorders>
              <w:bottom w:val="single" w:sz="4" w:space="0" w:color="8C8D90"/>
            </w:tcBorders>
            <w:shd w:val="clear" w:color="auto" w:fill="auto"/>
            <w:vAlign w:val="center"/>
          </w:tcPr>
          <w:p w14:paraId="60B01052"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olor w:val="000000"/>
                <w:sz w:val="20"/>
                <w:szCs w:val="20"/>
              </w:rPr>
              <w:t>PRC, BOA</w:t>
            </w:r>
          </w:p>
        </w:tc>
        <w:tc>
          <w:tcPr>
            <w:tcW w:w="1079" w:type="dxa"/>
            <w:tcBorders>
              <w:bottom w:val="single" w:sz="4" w:space="0" w:color="8C8D90"/>
            </w:tcBorders>
            <w:shd w:val="clear" w:color="auto" w:fill="auto"/>
            <w:vAlign w:val="center"/>
          </w:tcPr>
          <w:p w14:paraId="5D6F0084"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olor w:val="000000"/>
                <w:sz w:val="20"/>
                <w:szCs w:val="20"/>
              </w:rPr>
              <w:t>Short Term</w:t>
            </w:r>
          </w:p>
        </w:tc>
      </w:tr>
      <w:tr w:rsidR="002D012E" w:rsidRPr="0081720F" w14:paraId="49410776" w14:textId="77777777" w:rsidTr="0081720F">
        <w:trPr>
          <w:cantSplit/>
          <w:trHeight w:val="42"/>
          <w:jc w:val="center"/>
        </w:trPr>
        <w:tc>
          <w:tcPr>
            <w:tcW w:w="3219" w:type="dxa"/>
            <w:vMerge w:val="restart"/>
            <w:tcBorders>
              <w:top w:val="single" w:sz="4" w:space="0" w:color="8C8D90"/>
              <w:bottom w:val="single" w:sz="4" w:space="0" w:color="8C8D90"/>
            </w:tcBorders>
            <w:shd w:val="clear" w:color="auto" w:fill="E7E6E6" w:themeFill="background2"/>
            <w:vAlign w:val="center"/>
          </w:tcPr>
          <w:p w14:paraId="1D3DD87B" w14:textId="77777777" w:rsidR="002D012E" w:rsidRPr="0081720F" w:rsidRDefault="002D012E"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The current process for certifying accountants and auditors is not fully compliant with IFAC’s International Education Pronouncements and needs to be overhauled.</w:t>
            </w:r>
          </w:p>
        </w:tc>
        <w:tc>
          <w:tcPr>
            <w:tcW w:w="8281" w:type="dxa"/>
            <w:tcBorders>
              <w:bottom w:val="single" w:sz="4" w:space="0" w:color="8C8D90"/>
            </w:tcBorders>
            <w:shd w:val="clear" w:color="auto" w:fill="E7E6E6" w:themeFill="background2"/>
          </w:tcPr>
          <w:p w14:paraId="5C9FAF9B" w14:textId="7E6EFCDC" w:rsidR="002D012E" w:rsidRPr="0081720F" w:rsidRDefault="002D012E"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Overhaul exams to meet the “sufficiency” requirement of IES 6.  Exams should include a peer review process to increase the quality of the questions and should not entirely consist of multiple choice questions.</w:t>
            </w:r>
          </w:p>
        </w:tc>
        <w:tc>
          <w:tcPr>
            <w:tcW w:w="1371" w:type="dxa"/>
            <w:vMerge w:val="restart"/>
            <w:tcBorders>
              <w:top w:val="single" w:sz="4" w:space="0" w:color="8C8D90"/>
              <w:bottom w:val="single" w:sz="4" w:space="0" w:color="8C8D90"/>
            </w:tcBorders>
            <w:shd w:val="clear" w:color="auto" w:fill="E7E6E6" w:themeFill="background2"/>
            <w:vAlign w:val="center"/>
          </w:tcPr>
          <w:p w14:paraId="7520B0F6" w14:textId="77777777" w:rsidR="002D012E" w:rsidRPr="0081720F" w:rsidRDefault="002D012E"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BOA</w:t>
            </w:r>
          </w:p>
        </w:tc>
        <w:tc>
          <w:tcPr>
            <w:tcW w:w="1079" w:type="dxa"/>
            <w:vMerge w:val="restart"/>
            <w:tcBorders>
              <w:top w:val="single" w:sz="4" w:space="0" w:color="8C8D90"/>
              <w:bottom w:val="single" w:sz="4" w:space="0" w:color="8C8D90"/>
            </w:tcBorders>
            <w:shd w:val="clear" w:color="auto" w:fill="E7E6E6" w:themeFill="background2"/>
            <w:vAlign w:val="center"/>
          </w:tcPr>
          <w:p w14:paraId="0231BD8A" w14:textId="77777777" w:rsidR="002D012E" w:rsidRPr="0081720F" w:rsidRDefault="002D012E"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Short Term</w:t>
            </w:r>
          </w:p>
        </w:tc>
      </w:tr>
      <w:tr w:rsidR="002D012E" w:rsidRPr="0081720F" w14:paraId="385A4021" w14:textId="77777777" w:rsidTr="005734FB">
        <w:trPr>
          <w:cantSplit/>
          <w:trHeight w:val="42"/>
          <w:jc w:val="center"/>
        </w:trPr>
        <w:tc>
          <w:tcPr>
            <w:tcW w:w="3219" w:type="dxa"/>
            <w:vMerge/>
            <w:tcBorders>
              <w:top w:val="single" w:sz="4" w:space="0" w:color="8C8D90"/>
              <w:bottom w:val="single" w:sz="4" w:space="0" w:color="8C8D90"/>
            </w:tcBorders>
            <w:shd w:val="clear" w:color="auto" w:fill="C6E8D7"/>
          </w:tcPr>
          <w:p w14:paraId="43AF9696" w14:textId="77777777" w:rsidR="002D012E" w:rsidRPr="0081720F" w:rsidRDefault="002D012E" w:rsidP="00C075C1">
            <w:pPr>
              <w:spacing w:after="0"/>
              <w:jc w:val="left"/>
              <w:rPr>
                <w:rFonts w:eastAsia="Times New Roman" w:cs="Times New Roman"/>
                <w:color w:val="000000"/>
                <w:sz w:val="20"/>
                <w:szCs w:val="20"/>
              </w:rPr>
            </w:pPr>
          </w:p>
        </w:tc>
        <w:tc>
          <w:tcPr>
            <w:tcW w:w="8281" w:type="dxa"/>
            <w:tcBorders>
              <w:top w:val="single" w:sz="4" w:space="0" w:color="8C8D90"/>
              <w:bottom w:val="single" w:sz="4" w:space="0" w:color="8C8D90"/>
            </w:tcBorders>
            <w:shd w:val="clear" w:color="auto" w:fill="E7E6E6" w:themeFill="background2"/>
          </w:tcPr>
          <w:p w14:paraId="4230E464" w14:textId="37D681A4" w:rsidR="002D012E" w:rsidRPr="0081720F" w:rsidRDefault="002D012E"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Ensure experience requirements to comply with IES 5 "Initial Professional Development - Practical experience" 2015. The experience requirement should apply to all CPAs, not only to auditors, and should evaluate professional competence.</w:t>
            </w:r>
          </w:p>
        </w:tc>
        <w:tc>
          <w:tcPr>
            <w:tcW w:w="1371" w:type="dxa"/>
            <w:vMerge/>
            <w:tcBorders>
              <w:top w:val="single" w:sz="4" w:space="0" w:color="8C8D90"/>
              <w:bottom w:val="single" w:sz="4" w:space="0" w:color="8C8D90"/>
            </w:tcBorders>
            <w:shd w:val="clear" w:color="auto" w:fill="C6E8D7"/>
            <w:vAlign w:val="center"/>
          </w:tcPr>
          <w:p w14:paraId="68B69962" w14:textId="77777777" w:rsidR="002D012E" w:rsidRPr="0081720F" w:rsidRDefault="002D012E" w:rsidP="00C075C1">
            <w:pPr>
              <w:spacing w:after="0"/>
              <w:jc w:val="center"/>
              <w:rPr>
                <w:rFonts w:eastAsia="Times New Roman" w:cs="Times New Roman"/>
                <w:color w:val="000000"/>
                <w:sz w:val="20"/>
                <w:szCs w:val="20"/>
              </w:rPr>
            </w:pPr>
          </w:p>
        </w:tc>
        <w:tc>
          <w:tcPr>
            <w:tcW w:w="1079" w:type="dxa"/>
            <w:vMerge/>
            <w:tcBorders>
              <w:top w:val="single" w:sz="4" w:space="0" w:color="8C8D90"/>
              <w:bottom w:val="single" w:sz="4" w:space="0" w:color="8C8D90"/>
            </w:tcBorders>
            <w:shd w:val="clear" w:color="auto" w:fill="C6E8D7"/>
            <w:vAlign w:val="center"/>
          </w:tcPr>
          <w:p w14:paraId="40272243" w14:textId="77777777" w:rsidR="002D012E" w:rsidRPr="0081720F" w:rsidRDefault="002D012E" w:rsidP="00C075C1">
            <w:pPr>
              <w:spacing w:after="0"/>
              <w:jc w:val="center"/>
              <w:rPr>
                <w:rFonts w:eastAsia="Times New Roman" w:cs="Times New Roman"/>
                <w:color w:val="000000"/>
                <w:sz w:val="20"/>
                <w:szCs w:val="20"/>
              </w:rPr>
            </w:pPr>
          </w:p>
        </w:tc>
      </w:tr>
      <w:tr w:rsidR="00605DBA" w:rsidRPr="0081720F" w14:paraId="58228B9B" w14:textId="77777777" w:rsidTr="005734FB">
        <w:trPr>
          <w:cantSplit/>
          <w:jc w:val="center"/>
        </w:trPr>
        <w:tc>
          <w:tcPr>
            <w:tcW w:w="3219" w:type="dxa"/>
            <w:tcBorders>
              <w:top w:val="single" w:sz="4" w:space="0" w:color="8C8D90"/>
              <w:bottom w:val="single" w:sz="4" w:space="0" w:color="8C8D90"/>
            </w:tcBorders>
            <w:shd w:val="clear" w:color="auto" w:fill="auto"/>
          </w:tcPr>
          <w:p w14:paraId="5EC819C7" w14:textId="77777777" w:rsidR="00605DBA" w:rsidRPr="0081720F" w:rsidRDefault="00605DBA"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 xml:space="preserve">Current rules prevent foreigners from practicing accounting in the Philippines with some narrowly defined exceptions, </w:t>
            </w:r>
            <w:proofErr w:type="gramStart"/>
            <w:r w:rsidRPr="0081720F">
              <w:rPr>
                <w:rFonts w:eastAsia="Times New Roman" w:cs="Times New Roman"/>
                <w:color w:val="000000"/>
                <w:sz w:val="20"/>
                <w:szCs w:val="20"/>
              </w:rPr>
              <w:t>in particular for</w:t>
            </w:r>
            <w:proofErr w:type="gramEnd"/>
            <w:r w:rsidRPr="0081720F">
              <w:rPr>
                <w:rFonts w:eastAsia="Times New Roman" w:cs="Times New Roman"/>
                <w:color w:val="000000"/>
                <w:sz w:val="20"/>
                <w:szCs w:val="20"/>
              </w:rPr>
              <w:t xml:space="preserve"> lecturers. This has not prevented international firms from establishing correspondence relationships with local firms, even though they are barred from direct investment. </w:t>
            </w:r>
          </w:p>
        </w:tc>
        <w:tc>
          <w:tcPr>
            <w:tcW w:w="8281" w:type="dxa"/>
            <w:tcBorders>
              <w:top w:val="single" w:sz="4" w:space="0" w:color="8C8D90"/>
              <w:bottom w:val="single" w:sz="4" w:space="0" w:color="8C8D90"/>
            </w:tcBorders>
            <w:shd w:val="clear" w:color="auto" w:fill="auto"/>
            <w:vAlign w:val="center"/>
          </w:tcPr>
          <w:p w14:paraId="3D91C4F4" w14:textId="77777777" w:rsidR="00605DBA" w:rsidRPr="0081720F" w:rsidRDefault="00605DBA"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 xml:space="preserve">Consider admitting qualified foreign practitioners </w:t>
            </w:r>
            <w:bookmarkStart w:id="47" w:name="_Hlk508087917"/>
            <w:r w:rsidRPr="0081720F">
              <w:rPr>
                <w:rFonts w:eastAsia="Times New Roman" w:cs="Times New Roman"/>
                <w:color w:val="000000"/>
                <w:sz w:val="20"/>
                <w:szCs w:val="20"/>
              </w:rPr>
              <w:t xml:space="preserve">subject to an examination related to tax and audit rules </w:t>
            </w:r>
            <w:bookmarkEnd w:id="47"/>
            <w:r w:rsidRPr="0081720F">
              <w:rPr>
                <w:rFonts w:eastAsia="Times New Roman" w:cs="Times New Roman"/>
                <w:color w:val="000000"/>
                <w:sz w:val="20"/>
                <w:szCs w:val="20"/>
              </w:rPr>
              <w:t xml:space="preserve">in the Philippines rather than insisting on "mutual recognition" by foreign regulators of accountants and auditors. </w:t>
            </w:r>
          </w:p>
        </w:tc>
        <w:tc>
          <w:tcPr>
            <w:tcW w:w="1371" w:type="dxa"/>
            <w:tcBorders>
              <w:top w:val="single" w:sz="4" w:space="0" w:color="8C8D90"/>
              <w:bottom w:val="single" w:sz="4" w:space="0" w:color="8C8D90"/>
            </w:tcBorders>
            <w:shd w:val="clear" w:color="auto" w:fill="auto"/>
            <w:vAlign w:val="center"/>
          </w:tcPr>
          <w:p w14:paraId="1C3DA06E"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BOA</w:t>
            </w:r>
          </w:p>
        </w:tc>
        <w:tc>
          <w:tcPr>
            <w:tcW w:w="1079" w:type="dxa"/>
            <w:tcBorders>
              <w:top w:val="single" w:sz="4" w:space="0" w:color="8C8D90"/>
              <w:bottom w:val="single" w:sz="4" w:space="0" w:color="8C8D90"/>
            </w:tcBorders>
            <w:shd w:val="clear" w:color="auto" w:fill="auto"/>
            <w:vAlign w:val="center"/>
          </w:tcPr>
          <w:p w14:paraId="034062FF"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Medium Term</w:t>
            </w:r>
          </w:p>
        </w:tc>
      </w:tr>
      <w:tr w:rsidR="00605DBA" w:rsidRPr="0081720F" w14:paraId="3381E0BF" w14:textId="77777777" w:rsidTr="005734FB">
        <w:trPr>
          <w:cantSplit/>
          <w:jc w:val="center"/>
        </w:trPr>
        <w:tc>
          <w:tcPr>
            <w:tcW w:w="3219" w:type="dxa"/>
            <w:tcBorders>
              <w:top w:val="single" w:sz="4" w:space="0" w:color="8C8D90"/>
              <w:bottom w:val="single" w:sz="4" w:space="0" w:color="8C8D90"/>
            </w:tcBorders>
            <w:shd w:val="clear" w:color="auto" w:fill="E7E6E6" w:themeFill="background2"/>
          </w:tcPr>
          <w:p w14:paraId="40529147" w14:textId="77777777" w:rsidR="00605DBA" w:rsidRPr="0081720F" w:rsidRDefault="00605DBA"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New CPD requirements are misunderstood and perceived as burdensome</w:t>
            </w:r>
          </w:p>
        </w:tc>
        <w:tc>
          <w:tcPr>
            <w:tcW w:w="8281" w:type="dxa"/>
            <w:tcBorders>
              <w:top w:val="single" w:sz="4" w:space="0" w:color="8C8D90"/>
              <w:bottom w:val="single" w:sz="4" w:space="0" w:color="8C8D90"/>
            </w:tcBorders>
            <w:shd w:val="clear" w:color="auto" w:fill="E7E6E6" w:themeFill="background2"/>
            <w:vAlign w:val="center"/>
          </w:tcPr>
          <w:p w14:paraId="3A9C24B7" w14:textId="77777777" w:rsidR="00605DBA" w:rsidRPr="0081720F" w:rsidRDefault="00605DBA"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 xml:space="preserve">Provide flexibility in attaining CPD units for practitioners to obtain training relevant to their sector or type of practice </w:t>
            </w:r>
          </w:p>
        </w:tc>
        <w:tc>
          <w:tcPr>
            <w:tcW w:w="1371" w:type="dxa"/>
            <w:tcBorders>
              <w:top w:val="single" w:sz="4" w:space="0" w:color="8C8D90"/>
              <w:bottom w:val="single" w:sz="4" w:space="0" w:color="8C8D90"/>
            </w:tcBorders>
            <w:shd w:val="clear" w:color="auto" w:fill="E7E6E6" w:themeFill="background2"/>
            <w:vAlign w:val="center"/>
          </w:tcPr>
          <w:p w14:paraId="133944BE"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BOA</w:t>
            </w:r>
          </w:p>
        </w:tc>
        <w:tc>
          <w:tcPr>
            <w:tcW w:w="1079" w:type="dxa"/>
            <w:tcBorders>
              <w:top w:val="single" w:sz="4" w:space="0" w:color="8C8D90"/>
              <w:bottom w:val="single" w:sz="4" w:space="0" w:color="8C8D90"/>
            </w:tcBorders>
            <w:shd w:val="clear" w:color="auto" w:fill="E7E6E6" w:themeFill="background2"/>
            <w:vAlign w:val="center"/>
          </w:tcPr>
          <w:p w14:paraId="170EF2B6"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605DBA" w:rsidRPr="0081720F" w14:paraId="79E15A47" w14:textId="77777777" w:rsidTr="00C075C1">
        <w:trPr>
          <w:cantSplit/>
          <w:jc w:val="center"/>
        </w:trPr>
        <w:tc>
          <w:tcPr>
            <w:tcW w:w="3219" w:type="dxa"/>
            <w:tcBorders>
              <w:top w:val="single" w:sz="4" w:space="0" w:color="8C8D90"/>
              <w:bottom w:val="single" w:sz="4" w:space="0" w:color="8C8D90"/>
            </w:tcBorders>
            <w:shd w:val="clear" w:color="auto" w:fill="FFFFFF" w:themeFill="background1"/>
          </w:tcPr>
          <w:p w14:paraId="1897D4CF" w14:textId="77777777" w:rsidR="00605DBA" w:rsidRPr="0081720F" w:rsidRDefault="00605DBA"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Almost 68% of schools offering the accountancy program have CPA passing rates below the national average</w:t>
            </w:r>
          </w:p>
        </w:tc>
        <w:tc>
          <w:tcPr>
            <w:tcW w:w="8281" w:type="dxa"/>
            <w:tcBorders>
              <w:top w:val="single" w:sz="4" w:space="0" w:color="8C8D90"/>
              <w:bottom w:val="single" w:sz="4" w:space="0" w:color="8C8D90"/>
            </w:tcBorders>
            <w:shd w:val="clear" w:color="auto" w:fill="FFFFFF" w:themeFill="background1"/>
            <w:vAlign w:val="center"/>
          </w:tcPr>
          <w:p w14:paraId="13CBBF60" w14:textId="77777777" w:rsidR="00605DBA" w:rsidRPr="0081720F" w:rsidRDefault="00605DBA"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Strengthen capacity of low performing schools in CPA examinations.</w:t>
            </w:r>
          </w:p>
        </w:tc>
        <w:tc>
          <w:tcPr>
            <w:tcW w:w="1371" w:type="dxa"/>
            <w:tcBorders>
              <w:top w:val="single" w:sz="4" w:space="0" w:color="8C8D90"/>
              <w:bottom w:val="single" w:sz="4" w:space="0" w:color="8C8D90"/>
            </w:tcBorders>
            <w:shd w:val="clear" w:color="auto" w:fill="FFFFFF" w:themeFill="background1"/>
            <w:vAlign w:val="center"/>
          </w:tcPr>
          <w:p w14:paraId="0A7985DE"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BOA, CHED</w:t>
            </w:r>
          </w:p>
        </w:tc>
        <w:tc>
          <w:tcPr>
            <w:tcW w:w="1079" w:type="dxa"/>
            <w:tcBorders>
              <w:top w:val="single" w:sz="4" w:space="0" w:color="8C8D90"/>
              <w:bottom w:val="single" w:sz="4" w:space="0" w:color="8C8D90"/>
            </w:tcBorders>
            <w:shd w:val="clear" w:color="auto" w:fill="FFFFFF" w:themeFill="background1"/>
            <w:vAlign w:val="center"/>
          </w:tcPr>
          <w:p w14:paraId="73114DC4"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Long Term</w:t>
            </w:r>
          </w:p>
        </w:tc>
      </w:tr>
      <w:tr w:rsidR="00605DBA" w:rsidRPr="0081720F" w14:paraId="43E00626" w14:textId="77777777" w:rsidTr="0081720F">
        <w:trPr>
          <w:cantSplit/>
          <w:jc w:val="center"/>
        </w:trPr>
        <w:tc>
          <w:tcPr>
            <w:tcW w:w="3219" w:type="dxa"/>
            <w:tcBorders>
              <w:top w:val="single" w:sz="4" w:space="0" w:color="8C8D90"/>
            </w:tcBorders>
            <w:shd w:val="clear" w:color="auto" w:fill="E7E6E6" w:themeFill="background2"/>
            <w:vAlign w:val="center"/>
          </w:tcPr>
          <w:p w14:paraId="55513C38" w14:textId="77777777" w:rsidR="00605DBA" w:rsidRPr="0081720F" w:rsidRDefault="00605DBA"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The Accounting curriculum is presently under review by CHED with reforms expected to be rolled out in the 17-18 education year.</w:t>
            </w:r>
          </w:p>
        </w:tc>
        <w:tc>
          <w:tcPr>
            <w:tcW w:w="8281" w:type="dxa"/>
            <w:tcBorders>
              <w:top w:val="single" w:sz="4" w:space="0" w:color="8C8D90"/>
            </w:tcBorders>
            <w:shd w:val="clear" w:color="auto" w:fill="E7E6E6" w:themeFill="background2"/>
          </w:tcPr>
          <w:p w14:paraId="288015E0" w14:textId="77777777" w:rsidR="00605DBA" w:rsidRPr="0081720F" w:rsidRDefault="00605DBA"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Finalize the new national accounting curriculum, ensuring compliance with IES, adequate planning and resources, as well as ongoing consultations with stakeholders. Consideration should be given to institutional arrangement</w:t>
            </w:r>
            <w:r w:rsidR="00902C0C" w:rsidRPr="0081720F">
              <w:rPr>
                <w:rFonts w:eastAsia="Times New Roman" w:cs="Times New Roman"/>
                <w:b/>
                <w:color w:val="000000"/>
                <w:sz w:val="20"/>
                <w:szCs w:val="20"/>
              </w:rPr>
              <w:t>s</w:t>
            </w:r>
            <w:r w:rsidRPr="0081720F">
              <w:rPr>
                <w:rFonts w:eastAsia="Times New Roman" w:cs="Times New Roman"/>
                <w:b/>
                <w:color w:val="000000"/>
                <w:sz w:val="20"/>
                <w:szCs w:val="20"/>
              </w:rPr>
              <w:t xml:space="preserve"> for educating government sector accountants. Assessing the market needs by conducting an extensive survey of professional accounting needs and existing competencies, working with </w:t>
            </w:r>
            <w:r w:rsidR="00902C0C" w:rsidRPr="0081720F">
              <w:rPr>
                <w:rFonts w:eastAsia="Times New Roman" w:cs="Times New Roman"/>
                <w:b/>
                <w:color w:val="000000"/>
                <w:sz w:val="20"/>
                <w:szCs w:val="20"/>
              </w:rPr>
              <w:t xml:space="preserve">universities </w:t>
            </w:r>
            <w:r w:rsidRPr="0081720F">
              <w:rPr>
                <w:rFonts w:eastAsia="Times New Roman" w:cs="Times New Roman"/>
                <w:b/>
                <w:color w:val="000000"/>
                <w:sz w:val="20"/>
                <w:szCs w:val="20"/>
              </w:rPr>
              <w:t>and practitioners to ensure the reforms are well planned and fully understood, and taking into consideration the aptitude and financial constraints of students and practitioners will all be key to the success of the proposed reforms.</w:t>
            </w:r>
          </w:p>
        </w:tc>
        <w:tc>
          <w:tcPr>
            <w:tcW w:w="1371" w:type="dxa"/>
            <w:tcBorders>
              <w:top w:val="single" w:sz="4" w:space="0" w:color="8C8D90"/>
            </w:tcBorders>
            <w:shd w:val="clear" w:color="auto" w:fill="E7E6E6" w:themeFill="background2"/>
            <w:vAlign w:val="center"/>
          </w:tcPr>
          <w:p w14:paraId="54D3EA92"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BOA, CHED</w:t>
            </w:r>
          </w:p>
        </w:tc>
        <w:tc>
          <w:tcPr>
            <w:tcW w:w="1079" w:type="dxa"/>
            <w:tcBorders>
              <w:top w:val="single" w:sz="4" w:space="0" w:color="8C8D90"/>
            </w:tcBorders>
            <w:shd w:val="clear" w:color="auto" w:fill="E7E6E6" w:themeFill="background2"/>
            <w:vAlign w:val="center"/>
          </w:tcPr>
          <w:p w14:paraId="60DAC5B8"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to Medium Term</w:t>
            </w:r>
          </w:p>
        </w:tc>
      </w:tr>
      <w:tr w:rsidR="00605DBA" w:rsidRPr="0081720F" w14:paraId="031BDC73" w14:textId="77777777" w:rsidTr="00A22D4F">
        <w:trPr>
          <w:cantSplit/>
          <w:jc w:val="center"/>
        </w:trPr>
        <w:tc>
          <w:tcPr>
            <w:tcW w:w="3219" w:type="dxa"/>
            <w:shd w:val="clear" w:color="auto" w:fill="FFFFFF" w:themeFill="background1"/>
          </w:tcPr>
          <w:p w14:paraId="0458C5A3" w14:textId="77777777" w:rsidR="00605DBA" w:rsidRPr="0081720F" w:rsidRDefault="00605DBA"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PICPA fees may not be sufficient to maintain its operations.</w:t>
            </w:r>
          </w:p>
        </w:tc>
        <w:tc>
          <w:tcPr>
            <w:tcW w:w="8281" w:type="dxa"/>
            <w:shd w:val="clear" w:color="auto" w:fill="FFFFFF" w:themeFill="background1"/>
          </w:tcPr>
          <w:p w14:paraId="5CA2ABEB" w14:textId="77777777" w:rsidR="00605DBA" w:rsidRPr="0081720F" w:rsidRDefault="00605DBA"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Rationalize PICPA fee structure to enable enhanced delivery of CPD, tools</w:t>
            </w:r>
            <w:r w:rsidR="00902C0C" w:rsidRPr="0081720F">
              <w:rPr>
                <w:rFonts w:eastAsia="Times New Roman" w:cs="Times New Roman"/>
                <w:b/>
                <w:color w:val="000000"/>
                <w:sz w:val="20"/>
                <w:szCs w:val="20"/>
              </w:rPr>
              <w:t>,</w:t>
            </w:r>
            <w:r w:rsidRPr="0081720F">
              <w:rPr>
                <w:rFonts w:eastAsia="Times New Roman" w:cs="Times New Roman"/>
                <w:b/>
                <w:color w:val="000000"/>
                <w:sz w:val="20"/>
                <w:szCs w:val="20"/>
              </w:rPr>
              <w:t xml:space="preserve"> and resources to develop and support the profession.</w:t>
            </w:r>
          </w:p>
        </w:tc>
        <w:tc>
          <w:tcPr>
            <w:tcW w:w="1371" w:type="dxa"/>
            <w:shd w:val="clear" w:color="auto" w:fill="FFFFFF" w:themeFill="background1"/>
            <w:vAlign w:val="center"/>
          </w:tcPr>
          <w:p w14:paraId="67AA4EEE"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PICPA</w:t>
            </w:r>
          </w:p>
        </w:tc>
        <w:tc>
          <w:tcPr>
            <w:tcW w:w="1079" w:type="dxa"/>
            <w:shd w:val="clear" w:color="auto" w:fill="FFFFFF" w:themeFill="background1"/>
            <w:vAlign w:val="center"/>
          </w:tcPr>
          <w:p w14:paraId="0BA2E445" w14:textId="77777777" w:rsidR="00605DBA" w:rsidRPr="0081720F" w:rsidRDefault="00605DBA"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Medium Term</w:t>
            </w:r>
          </w:p>
        </w:tc>
      </w:tr>
      <w:tr w:rsidR="00605DBA" w:rsidRPr="0081720F" w14:paraId="1652BABF" w14:textId="77777777" w:rsidTr="0081720F">
        <w:trPr>
          <w:cantSplit/>
          <w:jc w:val="center"/>
        </w:trPr>
        <w:tc>
          <w:tcPr>
            <w:tcW w:w="3219" w:type="dxa"/>
            <w:tcBorders>
              <w:bottom w:val="single" w:sz="4" w:space="0" w:color="8C8D90"/>
            </w:tcBorders>
            <w:shd w:val="clear" w:color="auto" w:fill="E7E6E6" w:themeFill="background2"/>
          </w:tcPr>
          <w:p w14:paraId="5EE4CFCA" w14:textId="77777777" w:rsidR="00605DBA" w:rsidRPr="0081720F" w:rsidRDefault="00605DBA"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PICPA Directors and the President hold short term tenures which do not provide sufficient time for senior leadership to oversee the execution of any significant initiatives or reforms</w:t>
            </w:r>
          </w:p>
        </w:tc>
        <w:tc>
          <w:tcPr>
            <w:tcW w:w="8281" w:type="dxa"/>
            <w:shd w:val="clear" w:color="auto" w:fill="E7E6E6" w:themeFill="background2"/>
            <w:vAlign w:val="center"/>
          </w:tcPr>
          <w:p w14:paraId="0B045214" w14:textId="77777777" w:rsidR="00605DBA" w:rsidRPr="0081720F" w:rsidRDefault="00605DBA"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Review PICPA Governance rules</w:t>
            </w:r>
            <w:r w:rsidR="008602D8" w:rsidRPr="0081720F">
              <w:rPr>
                <w:rFonts w:eastAsia="Times New Roman" w:cs="Times New Roman"/>
                <w:color w:val="000000"/>
                <w:sz w:val="20"/>
                <w:szCs w:val="20"/>
              </w:rPr>
              <w:t xml:space="preserve"> with respect to tenure of the Directors and the President.</w:t>
            </w:r>
          </w:p>
        </w:tc>
        <w:tc>
          <w:tcPr>
            <w:tcW w:w="1371" w:type="dxa"/>
            <w:tcBorders>
              <w:bottom w:val="single" w:sz="4" w:space="0" w:color="8C8D90"/>
            </w:tcBorders>
            <w:shd w:val="clear" w:color="auto" w:fill="E7E6E6" w:themeFill="background2"/>
            <w:vAlign w:val="center"/>
          </w:tcPr>
          <w:p w14:paraId="3FCD7DA4"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PICPA</w:t>
            </w:r>
          </w:p>
        </w:tc>
        <w:tc>
          <w:tcPr>
            <w:tcW w:w="1079" w:type="dxa"/>
            <w:tcBorders>
              <w:bottom w:val="single" w:sz="4" w:space="0" w:color="8C8D90"/>
            </w:tcBorders>
            <w:shd w:val="clear" w:color="auto" w:fill="E7E6E6" w:themeFill="background2"/>
            <w:vAlign w:val="center"/>
          </w:tcPr>
          <w:p w14:paraId="4959D525"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Medium Term</w:t>
            </w:r>
          </w:p>
        </w:tc>
      </w:tr>
      <w:tr w:rsidR="00147FA6" w:rsidRPr="0081720F" w14:paraId="65820795" w14:textId="77777777" w:rsidTr="002245F5">
        <w:trPr>
          <w:cantSplit/>
          <w:trHeight w:val="42"/>
          <w:jc w:val="center"/>
        </w:trPr>
        <w:tc>
          <w:tcPr>
            <w:tcW w:w="3219" w:type="dxa"/>
            <w:vMerge w:val="restart"/>
            <w:tcBorders>
              <w:top w:val="single" w:sz="4" w:space="0" w:color="8C8D90"/>
              <w:bottom w:val="single" w:sz="4" w:space="0" w:color="8C8D90"/>
            </w:tcBorders>
            <w:shd w:val="clear" w:color="auto" w:fill="auto"/>
            <w:vAlign w:val="center"/>
          </w:tcPr>
          <w:p w14:paraId="7ED2DDBE" w14:textId="77777777" w:rsidR="00147FA6" w:rsidRPr="0081720F" w:rsidRDefault="00147FA6"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PICPA membership is not being optimized</w:t>
            </w:r>
          </w:p>
        </w:tc>
        <w:tc>
          <w:tcPr>
            <w:tcW w:w="8281" w:type="dxa"/>
            <w:tcBorders>
              <w:bottom w:val="single" w:sz="4" w:space="0" w:color="8C8D90"/>
            </w:tcBorders>
            <w:shd w:val="clear" w:color="auto" w:fill="auto"/>
          </w:tcPr>
          <w:p w14:paraId="42231BDB" w14:textId="09441FE5" w:rsidR="00147FA6" w:rsidRPr="0081720F" w:rsidRDefault="00147FA6"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Achieve a greater level of full membership</w:t>
            </w:r>
            <w:r w:rsidRPr="0081720F">
              <w:rPr>
                <w:rFonts w:cs="Times New Roman"/>
                <w:b/>
                <w:color w:val="000000"/>
                <w:sz w:val="20"/>
                <w:szCs w:val="20"/>
              </w:rPr>
              <w:t xml:space="preserve"> by </w:t>
            </w:r>
            <w:r w:rsidRPr="0081720F">
              <w:rPr>
                <w:rFonts w:eastAsia="Times New Roman" w:cs="Times New Roman"/>
                <w:b/>
                <w:color w:val="000000"/>
                <w:sz w:val="20"/>
                <w:szCs w:val="20"/>
              </w:rPr>
              <w:t>demonstrating the value of membership;</w:t>
            </w:r>
          </w:p>
        </w:tc>
        <w:tc>
          <w:tcPr>
            <w:tcW w:w="1371" w:type="dxa"/>
            <w:vMerge w:val="restart"/>
            <w:tcBorders>
              <w:top w:val="single" w:sz="4" w:space="0" w:color="8C8D90"/>
              <w:bottom w:val="single" w:sz="4" w:space="0" w:color="8C8D90"/>
            </w:tcBorders>
            <w:shd w:val="clear" w:color="auto" w:fill="auto"/>
            <w:vAlign w:val="center"/>
          </w:tcPr>
          <w:p w14:paraId="57F07899" w14:textId="77777777" w:rsidR="00147FA6" w:rsidRPr="0081720F" w:rsidRDefault="00147FA6"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PICPA</w:t>
            </w:r>
          </w:p>
        </w:tc>
        <w:tc>
          <w:tcPr>
            <w:tcW w:w="1079" w:type="dxa"/>
            <w:vMerge w:val="restart"/>
            <w:tcBorders>
              <w:top w:val="single" w:sz="4" w:space="0" w:color="8C8D90"/>
              <w:bottom w:val="single" w:sz="4" w:space="0" w:color="8C8D90"/>
            </w:tcBorders>
            <w:shd w:val="clear" w:color="auto" w:fill="auto"/>
            <w:vAlign w:val="center"/>
          </w:tcPr>
          <w:p w14:paraId="3F4F6FD5" w14:textId="77777777" w:rsidR="00147FA6" w:rsidRPr="0081720F" w:rsidRDefault="00147FA6"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Medium Term</w:t>
            </w:r>
          </w:p>
        </w:tc>
      </w:tr>
      <w:tr w:rsidR="00147FA6" w:rsidRPr="0081720F" w14:paraId="51D1FE89" w14:textId="77777777" w:rsidTr="002245F5">
        <w:trPr>
          <w:cantSplit/>
          <w:trHeight w:val="42"/>
          <w:jc w:val="center"/>
        </w:trPr>
        <w:tc>
          <w:tcPr>
            <w:tcW w:w="3219" w:type="dxa"/>
            <w:vMerge/>
            <w:tcBorders>
              <w:top w:val="single" w:sz="4" w:space="0" w:color="8C8D90"/>
              <w:bottom w:val="single" w:sz="4" w:space="0" w:color="8C8D90"/>
            </w:tcBorders>
            <w:shd w:val="clear" w:color="auto" w:fill="auto"/>
          </w:tcPr>
          <w:p w14:paraId="266F21AD" w14:textId="77777777" w:rsidR="00147FA6" w:rsidRPr="0081720F" w:rsidRDefault="00147FA6" w:rsidP="00C075C1">
            <w:pPr>
              <w:spacing w:after="0"/>
              <w:jc w:val="left"/>
              <w:rPr>
                <w:rFonts w:eastAsia="Times New Roman" w:cs="Times New Roman"/>
                <w:b/>
                <w:color w:val="000000"/>
                <w:sz w:val="20"/>
                <w:szCs w:val="20"/>
              </w:rPr>
            </w:pPr>
          </w:p>
        </w:tc>
        <w:tc>
          <w:tcPr>
            <w:tcW w:w="8281" w:type="dxa"/>
            <w:tcBorders>
              <w:top w:val="single" w:sz="4" w:space="0" w:color="8C8D90"/>
              <w:bottom w:val="single" w:sz="4" w:space="0" w:color="8C8D90"/>
            </w:tcBorders>
            <w:shd w:val="clear" w:color="auto" w:fill="auto"/>
          </w:tcPr>
          <w:p w14:paraId="106BA066" w14:textId="51EEDB89" w:rsidR="00147FA6" w:rsidRPr="0081720F" w:rsidRDefault="00147FA6"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 xml:space="preserve">Consider including a membership tier for Accounting Technicians </w:t>
            </w:r>
          </w:p>
        </w:tc>
        <w:tc>
          <w:tcPr>
            <w:tcW w:w="1371" w:type="dxa"/>
            <w:vMerge/>
            <w:tcBorders>
              <w:top w:val="single" w:sz="4" w:space="0" w:color="8C8D90"/>
              <w:bottom w:val="single" w:sz="4" w:space="0" w:color="8C8D90"/>
            </w:tcBorders>
            <w:shd w:val="clear" w:color="auto" w:fill="auto"/>
            <w:vAlign w:val="center"/>
          </w:tcPr>
          <w:p w14:paraId="0BF52586" w14:textId="77777777" w:rsidR="00147FA6" w:rsidRPr="0081720F" w:rsidRDefault="00147FA6" w:rsidP="00C075C1">
            <w:pPr>
              <w:spacing w:after="0"/>
              <w:jc w:val="center"/>
              <w:rPr>
                <w:rFonts w:eastAsia="Times New Roman" w:cs="Times New Roman"/>
                <w:b/>
                <w:color w:val="000000"/>
                <w:sz w:val="20"/>
                <w:szCs w:val="20"/>
              </w:rPr>
            </w:pPr>
          </w:p>
        </w:tc>
        <w:tc>
          <w:tcPr>
            <w:tcW w:w="1079" w:type="dxa"/>
            <w:vMerge/>
            <w:tcBorders>
              <w:top w:val="single" w:sz="4" w:space="0" w:color="8C8D90"/>
              <w:bottom w:val="single" w:sz="4" w:space="0" w:color="8C8D90"/>
            </w:tcBorders>
            <w:shd w:val="clear" w:color="auto" w:fill="auto"/>
            <w:vAlign w:val="center"/>
          </w:tcPr>
          <w:p w14:paraId="56AD4F8F" w14:textId="77777777" w:rsidR="00147FA6" w:rsidRPr="0081720F" w:rsidRDefault="00147FA6" w:rsidP="00C075C1">
            <w:pPr>
              <w:spacing w:after="0"/>
              <w:jc w:val="center"/>
              <w:rPr>
                <w:rFonts w:eastAsia="Times New Roman" w:cs="Times New Roman"/>
                <w:b/>
                <w:color w:val="000000"/>
                <w:sz w:val="20"/>
                <w:szCs w:val="20"/>
              </w:rPr>
            </w:pPr>
          </w:p>
        </w:tc>
      </w:tr>
      <w:tr w:rsidR="00605DBA" w:rsidRPr="0081720F" w14:paraId="45F77B9E" w14:textId="77777777" w:rsidTr="0081720F">
        <w:trPr>
          <w:cantSplit/>
          <w:jc w:val="center"/>
        </w:trPr>
        <w:tc>
          <w:tcPr>
            <w:tcW w:w="3219" w:type="dxa"/>
            <w:tcBorders>
              <w:top w:val="single" w:sz="4" w:space="0" w:color="8C8D90"/>
            </w:tcBorders>
            <w:shd w:val="clear" w:color="auto" w:fill="E7E6E6" w:themeFill="background2"/>
          </w:tcPr>
          <w:p w14:paraId="4869CABA" w14:textId="77777777" w:rsidR="00605DBA" w:rsidRPr="0081720F" w:rsidRDefault="00605DBA"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Although PICPA reports that roughly two-thirds of its members are female, the percentage of female partners and principals in the largest public accounting firms is reported to be 50%, while females represent less than one-third of firm executives.  Similarly, only</w:t>
            </w:r>
            <w:r w:rsidR="00211083" w:rsidRPr="0081720F">
              <w:rPr>
                <w:sz w:val="20"/>
                <w:szCs w:val="20"/>
              </w:rPr>
              <w:t xml:space="preserve"> </w:t>
            </w:r>
            <w:r w:rsidR="00211083" w:rsidRPr="0081720F">
              <w:rPr>
                <w:rFonts w:eastAsia="Times New Roman" w:cs="Times New Roman"/>
                <w:color w:val="000000"/>
                <w:sz w:val="20"/>
                <w:szCs w:val="20"/>
              </w:rPr>
              <w:t xml:space="preserve">two </w:t>
            </w:r>
            <w:r w:rsidRPr="0081720F">
              <w:rPr>
                <w:rFonts w:eastAsia="Times New Roman" w:cs="Times New Roman"/>
                <w:color w:val="000000"/>
                <w:sz w:val="20"/>
                <w:szCs w:val="20"/>
              </w:rPr>
              <w:t xml:space="preserve">of the </w:t>
            </w:r>
            <w:r w:rsidR="003305CA" w:rsidRPr="0081720F">
              <w:rPr>
                <w:rFonts w:eastAsia="Times New Roman" w:cs="Times New Roman"/>
                <w:color w:val="000000"/>
                <w:sz w:val="20"/>
                <w:szCs w:val="20"/>
              </w:rPr>
              <w:t xml:space="preserve">seven </w:t>
            </w:r>
            <w:r w:rsidRPr="0081720F">
              <w:rPr>
                <w:rFonts w:eastAsia="Times New Roman" w:cs="Times New Roman"/>
                <w:color w:val="000000"/>
                <w:sz w:val="20"/>
                <w:szCs w:val="20"/>
              </w:rPr>
              <w:t xml:space="preserve">Board members of the BOA are female.  </w:t>
            </w:r>
          </w:p>
        </w:tc>
        <w:tc>
          <w:tcPr>
            <w:tcW w:w="8281" w:type="dxa"/>
            <w:tcBorders>
              <w:top w:val="single" w:sz="4" w:space="0" w:color="8C8D90"/>
            </w:tcBorders>
            <w:shd w:val="clear" w:color="auto" w:fill="E7E6E6" w:themeFill="background2"/>
            <w:vAlign w:val="center"/>
          </w:tcPr>
          <w:p w14:paraId="1D93151E" w14:textId="77777777" w:rsidR="00605DBA" w:rsidRPr="0081720F" w:rsidRDefault="00605DBA"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Evaluate the need for viable career development paths for women in the profession.</w:t>
            </w:r>
          </w:p>
        </w:tc>
        <w:tc>
          <w:tcPr>
            <w:tcW w:w="1371" w:type="dxa"/>
            <w:tcBorders>
              <w:top w:val="single" w:sz="4" w:space="0" w:color="8C8D90"/>
            </w:tcBorders>
            <w:shd w:val="clear" w:color="auto" w:fill="E7E6E6" w:themeFill="background2"/>
            <w:vAlign w:val="center"/>
          </w:tcPr>
          <w:p w14:paraId="2E9DE7AE" w14:textId="14A5029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PICPA</w:t>
            </w:r>
          </w:p>
        </w:tc>
        <w:tc>
          <w:tcPr>
            <w:tcW w:w="1079" w:type="dxa"/>
            <w:tcBorders>
              <w:top w:val="single" w:sz="4" w:space="0" w:color="8C8D90"/>
            </w:tcBorders>
            <w:shd w:val="clear" w:color="auto" w:fill="E7E6E6" w:themeFill="background2"/>
            <w:vAlign w:val="center"/>
          </w:tcPr>
          <w:p w14:paraId="7ACDD87F"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Medium Term</w:t>
            </w:r>
          </w:p>
        </w:tc>
      </w:tr>
      <w:tr w:rsidR="009F1354" w:rsidRPr="0081720F" w14:paraId="197CFF64" w14:textId="77777777" w:rsidTr="00A22D4F">
        <w:trPr>
          <w:cantSplit/>
          <w:trHeight w:val="42"/>
          <w:jc w:val="center"/>
        </w:trPr>
        <w:tc>
          <w:tcPr>
            <w:tcW w:w="3219" w:type="dxa"/>
            <w:vMerge w:val="restart"/>
            <w:shd w:val="clear" w:color="auto" w:fill="auto"/>
            <w:vAlign w:val="center"/>
          </w:tcPr>
          <w:p w14:paraId="424E436D" w14:textId="77777777" w:rsidR="009F1354" w:rsidRPr="0081720F" w:rsidRDefault="009F1354"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 xml:space="preserve">Availability of accountants and auditors in areas outside Metro Manila is low </w:t>
            </w:r>
          </w:p>
        </w:tc>
        <w:tc>
          <w:tcPr>
            <w:tcW w:w="8281" w:type="dxa"/>
            <w:shd w:val="clear" w:color="auto" w:fill="auto"/>
          </w:tcPr>
          <w:p w14:paraId="10D2167B" w14:textId="3E454036" w:rsidR="009F1354" w:rsidRPr="0081720F" w:rsidRDefault="009F1354" w:rsidP="00C075C1">
            <w:pPr>
              <w:keepLines/>
              <w:spacing w:after="0"/>
              <w:jc w:val="left"/>
              <w:rPr>
                <w:rFonts w:eastAsia="Times New Roman"/>
                <w:b/>
                <w:color w:val="000000"/>
                <w:sz w:val="20"/>
                <w:szCs w:val="20"/>
              </w:rPr>
            </w:pPr>
            <w:r w:rsidRPr="0081720F">
              <w:rPr>
                <w:rFonts w:eastAsia="Times New Roman" w:cs="Times New Roman"/>
                <w:b/>
                <w:color w:val="000000"/>
                <w:sz w:val="20"/>
                <w:szCs w:val="20"/>
              </w:rPr>
              <w:t>Develop a targeted program to strengthen the capacity of the SMP sector to meet the accreditation and compliance requirements of regulators and serve as trusted advisors for the MSME sector;</w:t>
            </w:r>
          </w:p>
        </w:tc>
        <w:tc>
          <w:tcPr>
            <w:tcW w:w="1371" w:type="dxa"/>
            <w:vMerge w:val="restart"/>
            <w:shd w:val="clear" w:color="auto" w:fill="auto"/>
            <w:vAlign w:val="center"/>
          </w:tcPr>
          <w:p w14:paraId="66B53271" w14:textId="77777777" w:rsidR="009F1354" w:rsidRPr="0081720F" w:rsidRDefault="009F1354"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PICPA, BOA</w:t>
            </w:r>
          </w:p>
        </w:tc>
        <w:tc>
          <w:tcPr>
            <w:tcW w:w="1079" w:type="dxa"/>
            <w:vMerge w:val="restart"/>
            <w:shd w:val="clear" w:color="auto" w:fill="auto"/>
            <w:vAlign w:val="center"/>
          </w:tcPr>
          <w:p w14:paraId="505CF703" w14:textId="77777777" w:rsidR="009F1354" w:rsidRPr="0081720F" w:rsidRDefault="009F1354"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Medium to Long Term</w:t>
            </w:r>
          </w:p>
        </w:tc>
      </w:tr>
      <w:tr w:rsidR="009F1354" w:rsidRPr="0081720F" w14:paraId="75A2D2BA" w14:textId="77777777" w:rsidTr="00A22D4F">
        <w:trPr>
          <w:cantSplit/>
          <w:trHeight w:val="42"/>
          <w:jc w:val="center"/>
        </w:trPr>
        <w:tc>
          <w:tcPr>
            <w:tcW w:w="3219" w:type="dxa"/>
            <w:vMerge/>
            <w:shd w:val="clear" w:color="auto" w:fill="auto"/>
            <w:vAlign w:val="center"/>
          </w:tcPr>
          <w:p w14:paraId="17BCEC41" w14:textId="77777777" w:rsidR="009F1354" w:rsidRPr="0081720F" w:rsidRDefault="009F1354" w:rsidP="00C075C1">
            <w:pPr>
              <w:spacing w:after="0"/>
              <w:jc w:val="left"/>
              <w:rPr>
                <w:rFonts w:eastAsia="Times New Roman" w:cs="Times New Roman"/>
                <w:b/>
                <w:color w:val="000000"/>
                <w:sz w:val="20"/>
                <w:szCs w:val="20"/>
              </w:rPr>
            </w:pPr>
          </w:p>
        </w:tc>
        <w:tc>
          <w:tcPr>
            <w:tcW w:w="8281" w:type="dxa"/>
            <w:shd w:val="clear" w:color="auto" w:fill="auto"/>
          </w:tcPr>
          <w:p w14:paraId="45C03807" w14:textId="4789C3D6" w:rsidR="009F1354" w:rsidRPr="0081720F" w:rsidRDefault="009F1354" w:rsidP="00C075C1">
            <w:pPr>
              <w:keepLines/>
              <w:spacing w:after="0"/>
              <w:jc w:val="left"/>
              <w:rPr>
                <w:rFonts w:eastAsia="Times New Roman"/>
                <w:b/>
                <w:color w:val="000000"/>
                <w:sz w:val="20"/>
                <w:szCs w:val="20"/>
              </w:rPr>
            </w:pPr>
            <w:r w:rsidRPr="0081720F">
              <w:rPr>
                <w:rFonts w:eastAsia="Times New Roman" w:cs="Times New Roman"/>
                <w:b/>
                <w:color w:val="000000"/>
                <w:sz w:val="20"/>
                <w:szCs w:val="20"/>
              </w:rPr>
              <w:t>Increase availability of relevant quality CPD, tools, and resources to SMPs in regions outside the national capital region;</w:t>
            </w:r>
          </w:p>
        </w:tc>
        <w:tc>
          <w:tcPr>
            <w:tcW w:w="1371" w:type="dxa"/>
            <w:vMerge/>
            <w:shd w:val="clear" w:color="auto" w:fill="auto"/>
            <w:vAlign w:val="center"/>
          </w:tcPr>
          <w:p w14:paraId="7A324A24" w14:textId="77777777" w:rsidR="009F1354" w:rsidRPr="0081720F" w:rsidRDefault="009F1354" w:rsidP="00C075C1">
            <w:pPr>
              <w:spacing w:after="0"/>
              <w:jc w:val="center"/>
              <w:rPr>
                <w:rFonts w:eastAsia="Times New Roman" w:cs="Times New Roman"/>
                <w:b/>
                <w:color w:val="000000"/>
                <w:sz w:val="20"/>
                <w:szCs w:val="20"/>
              </w:rPr>
            </w:pPr>
          </w:p>
        </w:tc>
        <w:tc>
          <w:tcPr>
            <w:tcW w:w="1079" w:type="dxa"/>
            <w:vMerge/>
            <w:shd w:val="clear" w:color="auto" w:fill="auto"/>
            <w:vAlign w:val="center"/>
          </w:tcPr>
          <w:p w14:paraId="765352F7" w14:textId="77777777" w:rsidR="009F1354" w:rsidRPr="0081720F" w:rsidRDefault="009F1354" w:rsidP="00C075C1">
            <w:pPr>
              <w:spacing w:after="0"/>
              <w:jc w:val="center"/>
              <w:rPr>
                <w:rFonts w:eastAsia="Times New Roman" w:cs="Times New Roman"/>
                <w:b/>
                <w:color w:val="000000"/>
                <w:sz w:val="20"/>
                <w:szCs w:val="20"/>
              </w:rPr>
            </w:pPr>
          </w:p>
        </w:tc>
      </w:tr>
      <w:tr w:rsidR="009F1354" w:rsidRPr="0081720F" w14:paraId="22B27926" w14:textId="77777777" w:rsidTr="00652F69">
        <w:trPr>
          <w:cantSplit/>
          <w:trHeight w:val="42"/>
          <w:jc w:val="center"/>
        </w:trPr>
        <w:tc>
          <w:tcPr>
            <w:tcW w:w="3219" w:type="dxa"/>
            <w:vMerge/>
            <w:tcBorders>
              <w:bottom w:val="single" w:sz="4" w:space="0" w:color="8C8D90"/>
            </w:tcBorders>
            <w:shd w:val="clear" w:color="auto" w:fill="auto"/>
            <w:vAlign w:val="center"/>
          </w:tcPr>
          <w:p w14:paraId="027B134C" w14:textId="77777777" w:rsidR="009F1354" w:rsidRPr="0081720F" w:rsidRDefault="009F1354" w:rsidP="00C075C1">
            <w:pPr>
              <w:spacing w:after="0"/>
              <w:jc w:val="left"/>
              <w:rPr>
                <w:rFonts w:eastAsia="Times New Roman" w:cs="Times New Roman"/>
                <w:b/>
                <w:color w:val="000000"/>
                <w:sz w:val="20"/>
                <w:szCs w:val="20"/>
              </w:rPr>
            </w:pPr>
          </w:p>
        </w:tc>
        <w:tc>
          <w:tcPr>
            <w:tcW w:w="8281" w:type="dxa"/>
            <w:shd w:val="clear" w:color="auto" w:fill="auto"/>
          </w:tcPr>
          <w:p w14:paraId="46A00979" w14:textId="7ADE94C3" w:rsidR="009F1354" w:rsidRPr="0081720F" w:rsidRDefault="009F1354"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Consider strengthening capacity of Accounting Technicians who may act as in-house financial professionals for small and micro sized entities.  This may be achieved by including a membership tier within PICPA for Accounting Technicians.</w:t>
            </w:r>
          </w:p>
        </w:tc>
        <w:tc>
          <w:tcPr>
            <w:tcW w:w="1371" w:type="dxa"/>
            <w:vMerge/>
            <w:tcBorders>
              <w:bottom w:val="single" w:sz="4" w:space="0" w:color="8C8D90"/>
            </w:tcBorders>
            <w:shd w:val="clear" w:color="auto" w:fill="auto"/>
            <w:vAlign w:val="center"/>
          </w:tcPr>
          <w:p w14:paraId="04985003" w14:textId="77777777" w:rsidR="009F1354" w:rsidRPr="0081720F" w:rsidRDefault="009F1354" w:rsidP="00C075C1">
            <w:pPr>
              <w:spacing w:after="0"/>
              <w:jc w:val="center"/>
              <w:rPr>
                <w:rFonts w:eastAsia="Times New Roman" w:cs="Times New Roman"/>
                <w:b/>
                <w:color w:val="000000"/>
                <w:sz w:val="20"/>
                <w:szCs w:val="20"/>
              </w:rPr>
            </w:pPr>
          </w:p>
        </w:tc>
        <w:tc>
          <w:tcPr>
            <w:tcW w:w="1079" w:type="dxa"/>
            <w:vMerge/>
            <w:shd w:val="clear" w:color="auto" w:fill="auto"/>
            <w:vAlign w:val="center"/>
          </w:tcPr>
          <w:p w14:paraId="62424087" w14:textId="77777777" w:rsidR="009F1354" w:rsidRPr="0081720F" w:rsidRDefault="009F1354" w:rsidP="00C075C1">
            <w:pPr>
              <w:spacing w:after="0"/>
              <w:jc w:val="center"/>
              <w:rPr>
                <w:rFonts w:eastAsia="Times New Roman" w:cs="Times New Roman"/>
                <w:b/>
                <w:color w:val="000000"/>
                <w:sz w:val="20"/>
                <w:szCs w:val="20"/>
              </w:rPr>
            </w:pPr>
          </w:p>
        </w:tc>
      </w:tr>
      <w:tr w:rsidR="002D012E" w:rsidRPr="0081720F" w14:paraId="2CF47FC1" w14:textId="77777777" w:rsidTr="0081720F">
        <w:trPr>
          <w:cantSplit/>
          <w:trHeight w:val="42"/>
          <w:jc w:val="center"/>
        </w:trPr>
        <w:tc>
          <w:tcPr>
            <w:tcW w:w="3219" w:type="dxa"/>
            <w:vMerge w:val="restart"/>
            <w:tcBorders>
              <w:top w:val="single" w:sz="4" w:space="0" w:color="8C8D90"/>
              <w:bottom w:val="single" w:sz="4" w:space="0" w:color="8C8D90"/>
            </w:tcBorders>
            <w:shd w:val="clear" w:color="auto" w:fill="E7E6E6" w:themeFill="background2"/>
            <w:vAlign w:val="center"/>
          </w:tcPr>
          <w:p w14:paraId="6B5E55E0" w14:textId="77777777" w:rsidR="002D012E" w:rsidRPr="0081720F" w:rsidRDefault="002D012E"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Audit reports of GOCCs are generally delayed</w:t>
            </w:r>
          </w:p>
        </w:tc>
        <w:tc>
          <w:tcPr>
            <w:tcW w:w="8281" w:type="dxa"/>
            <w:tcBorders>
              <w:bottom w:val="single" w:sz="4" w:space="0" w:color="8C8D90"/>
            </w:tcBorders>
            <w:shd w:val="clear" w:color="auto" w:fill="E7E6E6" w:themeFill="background2"/>
          </w:tcPr>
          <w:p w14:paraId="0EBB81D0" w14:textId="5B05549D" w:rsidR="002D012E" w:rsidRPr="0081720F" w:rsidRDefault="002D012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 xml:space="preserve">Capacitate GOCCs to ensure timely preparation of quality financial reports based on PFRS or PPSAS, as applicable;  </w:t>
            </w:r>
          </w:p>
        </w:tc>
        <w:tc>
          <w:tcPr>
            <w:tcW w:w="1371" w:type="dxa"/>
            <w:vMerge w:val="restart"/>
            <w:tcBorders>
              <w:top w:val="single" w:sz="4" w:space="0" w:color="8C8D90"/>
              <w:bottom w:val="single" w:sz="4" w:space="0" w:color="8C8D90"/>
            </w:tcBorders>
            <w:shd w:val="clear" w:color="auto" w:fill="E7E6E6" w:themeFill="background2"/>
            <w:vAlign w:val="center"/>
          </w:tcPr>
          <w:p w14:paraId="4A6FB2E6" w14:textId="77777777" w:rsidR="002D012E" w:rsidRPr="0081720F" w:rsidRDefault="002D012E"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COA</w:t>
            </w:r>
          </w:p>
        </w:tc>
        <w:tc>
          <w:tcPr>
            <w:tcW w:w="1079" w:type="dxa"/>
            <w:tcBorders>
              <w:bottom w:val="single" w:sz="4" w:space="0" w:color="8C8D90"/>
            </w:tcBorders>
            <w:shd w:val="clear" w:color="auto" w:fill="E7E6E6" w:themeFill="background2"/>
            <w:vAlign w:val="center"/>
          </w:tcPr>
          <w:p w14:paraId="27CE35D9" w14:textId="625210FC" w:rsidR="002D012E" w:rsidRPr="0081720F" w:rsidRDefault="002D012E"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2D012E" w:rsidRPr="0081720F" w14:paraId="3DD4A60B" w14:textId="77777777" w:rsidTr="0081720F">
        <w:trPr>
          <w:cantSplit/>
          <w:trHeight w:val="42"/>
          <w:jc w:val="center"/>
        </w:trPr>
        <w:tc>
          <w:tcPr>
            <w:tcW w:w="3219" w:type="dxa"/>
            <w:vMerge/>
            <w:tcBorders>
              <w:top w:val="single" w:sz="4" w:space="0" w:color="8C8D90"/>
              <w:bottom w:val="single" w:sz="4" w:space="0" w:color="8C8D90"/>
            </w:tcBorders>
            <w:shd w:val="clear" w:color="auto" w:fill="E7E6E6" w:themeFill="background2"/>
          </w:tcPr>
          <w:p w14:paraId="5E602AE1" w14:textId="77777777" w:rsidR="002D012E" w:rsidRPr="0081720F" w:rsidRDefault="002D012E" w:rsidP="00C075C1">
            <w:pPr>
              <w:spacing w:after="0"/>
              <w:jc w:val="left"/>
              <w:rPr>
                <w:rFonts w:eastAsia="Times New Roman" w:cs="Times New Roman"/>
                <w:b/>
                <w:color w:val="000000"/>
                <w:sz w:val="20"/>
                <w:szCs w:val="20"/>
              </w:rPr>
            </w:pPr>
          </w:p>
        </w:tc>
        <w:tc>
          <w:tcPr>
            <w:tcW w:w="8281" w:type="dxa"/>
            <w:tcBorders>
              <w:top w:val="single" w:sz="4" w:space="0" w:color="8C8D90"/>
              <w:bottom w:val="single" w:sz="4" w:space="0" w:color="8C8D90"/>
            </w:tcBorders>
            <w:shd w:val="clear" w:color="auto" w:fill="E7E6E6" w:themeFill="background2"/>
          </w:tcPr>
          <w:p w14:paraId="2A59E291" w14:textId="6E3D71BA" w:rsidR="002D012E" w:rsidRPr="0081720F" w:rsidRDefault="002D012E"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 xml:space="preserve">Conduct a feasibility study, including consideration of any related legislative changes, for outsourcing audits of GOCCs to the profession </w:t>
            </w:r>
            <w:proofErr w:type="gramStart"/>
            <w:r w:rsidRPr="0081720F">
              <w:rPr>
                <w:rFonts w:eastAsia="Times New Roman" w:cs="Times New Roman"/>
                <w:b/>
                <w:color w:val="000000"/>
                <w:sz w:val="20"/>
                <w:szCs w:val="20"/>
              </w:rPr>
              <w:t>in order to</w:t>
            </w:r>
            <w:proofErr w:type="gramEnd"/>
            <w:r w:rsidRPr="0081720F">
              <w:rPr>
                <w:rFonts w:eastAsia="Times New Roman" w:cs="Times New Roman"/>
                <w:b/>
                <w:color w:val="000000"/>
                <w:sz w:val="20"/>
                <w:szCs w:val="20"/>
              </w:rPr>
              <w:t xml:space="preserve"> supplement the existing capacity of COA;</w:t>
            </w:r>
          </w:p>
        </w:tc>
        <w:tc>
          <w:tcPr>
            <w:tcW w:w="1371" w:type="dxa"/>
            <w:vMerge/>
            <w:tcBorders>
              <w:top w:val="single" w:sz="4" w:space="0" w:color="8C8D90"/>
              <w:bottom w:val="single" w:sz="4" w:space="0" w:color="8C8D90"/>
            </w:tcBorders>
            <w:shd w:val="clear" w:color="auto" w:fill="E7E6E6" w:themeFill="background2"/>
            <w:vAlign w:val="center"/>
          </w:tcPr>
          <w:p w14:paraId="55558C92" w14:textId="77777777" w:rsidR="002D012E" w:rsidRPr="0081720F" w:rsidRDefault="002D012E" w:rsidP="00C075C1">
            <w:pPr>
              <w:spacing w:after="0"/>
              <w:jc w:val="center"/>
              <w:rPr>
                <w:rFonts w:eastAsia="Times New Roman" w:cs="Times New Roman"/>
                <w:b/>
                <w:color w:val="000000"/>
                <w:sz w:val="20"/>
                <w:szCs w:val="20"/>
              </w:rPr>
            </w:pPr>
          </w:p>
        </w:tc>
        <w:tc>
          <w:tcPr>
            <w:tcW w:w="1079" w:type="dxa"/>
            <w:tcBorders>
              <w:top w:val="single" w:sz="4" w:space="0" w:color="8C8D90"/>
              <w:bottom w:val="single" w:sz="4" w:space="0" w:color="8C8D90"/>
            </w:tcBorders>
            <w:shd w:val="clear" w:color="auto" w:fill="E7E6E6" w:themeFill="background2"/>
            <w:vAlign w:val="center"/>
          </w:tcPr>
          <w:p w14:paraId="4DFEAA36" w14:textId="1A945C76" w:rsidR="002D012E" w:rsidRPr="0081720F" w:rsidRDefault="002D012E"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Medium Term</w:t>
            </w:r>
          </w:p>
        </w:tc>
      </w:tr>
      <w:tr w:rsidR="00605DBA" w:rsidRPr="0081720F" w14:paraId="37EFB180" w14:textId="77777777" w:rsidTr="00A22D4F">
        <w:trPr>
          <w:cantSplit/>
          <w:trHeight w:val="42"/>
          <w:jc w:val="center"/>
        </w:trPr>
        <w:tc>
          <w:tcPr>
            <w:tcW w:w="13950" w:type="dxa"/>
            <w:gridSpan w:val="4"/>
            <w:shd w:val="clear" w:color="auto" w:fill="8C8D90"/>
            <w:vAlign w:val="center"/>
          </w:tcPr>
          <w:p w14:paraId="3AD5D240" w14:textId="77777777" w:rsidR="00605DBA" w:rsidRPr="0081720F" w:rsidRDefault="00605DBA" w:rsidP="005F5625">
            <w:pPr>
              <w:keepNext/>
              <w:keepLines/>
              <w:spacing w:after="0"/>
              <w:jc w:val="center"/>
              <w:rPr>
                <w:rFonts w:eastAsia="Times New Roman" w:cs="Times New Roman"/>
                <w:b/>
                <w:color w:val="FFFFFF" w:themeColor="background1"/>
                <w:sz w:val="20"/>
                <w:szCs w:val="20"/>
              </w:rPr>
            </w:pPr>
            <w:r w:rsidRPr="0081720F">
              <w:rPr>
                <w:rFonts w:eastAsia="Times New Roman" w:cs="Times New Roman"/>
                <w:b/>
                <w:color w:val="FFFFFF" w:themeColor="background1"/>
                <w:sz w:val="20"/>
                <w:szCs w:val="20"/>
              </w:rPr>
              <w:t>Observed reporting practices and perceptions</w:t>
            </w:r>
          </w:p>
        </w:tc>
      </w:tr>
      <w:tr w:rsidR="001759DB" w:rsidRPr="0081720F" w14:paraId="424E5201" w14:textId="77777777" w:rsidTr="00A22D4F">
        <w:trPr>
          <w:cantSplit/>
          <w:trHeight w:val="42"/>
          <w:jc w:val="center"/>
        </w:trPr>
        <w:tc>
          <w:tcPr>
            <w:tcW w:w="3219" w:type="dxa"/>
            <w:vMerge w:val="restart"/>
            <w:shd w:val="clear" w:color="auto" w:fill="auto"/>
            <w:vAlign w:val="center"/>
          </w:tcPr>
          <w:p w14:paraId="01794396" w14:textId="77777777" w:rsidR="001759DB" w:rsidRPr="0081720F" w:rsidRDefault="001759DB" w:rsidP="005F5625">
            <w:pPr>
              <w:keepNext/>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Quality of audits for MSMEs is perceived to be low by regulators and users of financial statements</w:t>
            </w:r>
          </w:p>
        </w:tc>
        <w:tc>
          <w:tcPr>
            <w:tcW w:w="8281" w:type="dxa"/>
            <w:shd w:val="clear" w:color="auto" w:fill="auto"/>
          </w:tcPr>
          <w:p w14:paraId="02EAD577" w14:textId="0334C163" w:rsidR="001759DB" w:rsidRPr="0081720F" w:rsidRDefault="001759DB" w:rsidP="005F5625">
            <w:pPr>
              <w:keepNext/>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 xml:space="preserve">Develop a targeted program to improve quality of audits for the </w:t>
            </w:r>
            <w:r w:rsidR="00223271">
              <w:rPr>
                <w:rFonts w:eastAsia="Times New Roman" w:cs="Times New Roman"/>
                <w:b/>
                <w:color w:val="000000"/>
                <w:sz w:val="20"/>
                <w:szCs w:val="20"/>
              </w:rPr>
              <w:t>M</w:t>
            </w:r>
            <w:r w:rsidRPr="0081720F">
              <w:rPr>
                <w:rFonts w:eastAsia="Times New Roman" w:cs="Times New Roman"/>
                <w:b/>
                <w:color w:val="000000"/>
                <w:sz w:val="20"/>
                <w:szCs w:val="20"/>
              </w:rPr>
              <w:t>SME sector to provide reasonable assurance to the lenders and users of the financial statements;</w:t>
            </w:r>
          </w:p>
        </w:tc>
        <w:tc>
          <w:tcPr>
            <w:tcW w:w="1371" w:type="dxa"/>
            <w:vMerge w:val="restart"/>
            <w:shd w:val="clear" w:color="auto" w:fill="auto"/>
            <w:vAlign w:val="center"/>
          </w:tcPr>
          <w:p w14:paraId="060BD7E1" w14:textId="77777777" w:rsidR="001759DB" w:rsidRPr="0081720F" w:rsidRDefault="001759DB" w:rsidP="005F5625">
            <w:pPr>
              <w:keepNext/>
              <w:keepLines/>
              <w:spacing w:after="0"/>
              <w:jc w:val="center"/>
              <w:rPr>
                <w:rFonts w:eastAsia="Times New Roman" w:cs="Times New Roman"/>
                <w:b/>
                <w:color w:val="000000"/>
                <w:sz w:val="20"/>
                <w:szCs w:val="20"/>
              </w:rPr>
            </w:pPr>
            <w:r w:rsidRPr="0081720F">
              <w:rPr>
                <w:rFonts w:eastAsia="Times New Roman" w:cs="Times New Roman"/>
                <w:b/>
                <w:color w:val="000000"/>
                <w:sz w:val="20"/>
                <w:szCs w:val="20"/>
              </w:rPr>
              <w:t>BOA/PICPA</w:t>
            </w:r>
          </w:p>
        </w:tc>
        <w:tc>
          <w:tcPr>
            <w:tcW w:w="1079" w:type="dxa"/>
            <w:vMerge w:val="restart"/>
            <w:shd w:val="clear" w:color="auto" w:fill="auto"/>
            <w:vAlign w:val="center"/>
          </w:tcPr>
          <w:p w14:paraId="0F657536" w14:textId="77777777" w:rsidR="001759DB" w:rsidRPr="0081720F" w:rsidRDefault="001759DB" w:rsidP="005F5625">
            <w:pPr>
              <w:keepNext/>
              <w:keepLines/>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r w:rsidR="001759DB" w:rsidRPr="0081720F" w14:paraId="78E288E9" w14:textId="77777777" w:rsidTr="00A22D4F">
        <w:trPr>
          <w:cantSplit/>
          <w:trHeight w:val="42"/>
          <w:jc w:val="center"/>
        </w:trPr>
        <w:tc>
          <w:tcPr>
            <w:tcW w:w="3219" w:type="dxa"/>
            <w:vMerge/>
            <w:shd w:val="clear" w:color="auto" w:fill="auto"/>
          </w:tcPr>
          <w:p w14:paraId="4BBFEC03" w14:textId="77777777" w:rsidR="001759DB" w:rsidRPr="0081720F" w:rsidRDefault="001759DB" w:rsidP="005F5625">
            <w:pPr>
              <w:keepNext/>
              <w:keepLines/>
              <w:spacing w:after="0"/>
              <w:jc w:val="left"/>
              <w:rPr>
                <w:rFonts w:eastAsia="Times New Roman" w:cs="Times New Roman"/>
                <w:b/>
                <w:color w:val="000000"/>
                <w:sz w:val="20"/>
                <w:szCs w:val="20"/>
              </w:rPr>
            </w:pPr>
          </w:p>
        </w:tc>
        <w:tc>
          <w:tcPr>
            <w:tcW w:w="8281" w:type="dxa"/>
            <w:shd w:val="clear" w:color="auto" w:fill="auto"/>
          </w:tcPr>
          <w:p w14:paraId="1CCE1AEA" w14:textId="531AF391" w:rsidR="001759DB" w:rsidRPr="0081720F" w:rsidRDefault="001759DB" w:rsidP="005F5625">
            <w:pPr>
              <w:keepNext/>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Implement a quality assurance</w:t>
            </w:r>
            <w:r w:rsidRPr="0081720F" w:rsidDel="00902C0C">
              <w:rPr>
                <w:rFonts w:eastAsia="Times New Roman" w:cs="Times New Roman"/>
                <w:b/>
                <w:color w:val="000000"/>
                <w:sz w:val="20"/>
                <w:szCs w:val="20"/>
              </w:rPr>
              <w:t xml:space="preserve"> </w:t>
            </w:r>
            <w:r w:rsidRPr="0081720F">
              <w:rPr>
                <w:rFonts w:eastAsia="Times New Roman" w:cs="Times New Roman"/>
                <w:b/>
                <w:color w:val="000000"/>
                <w:sz w:val="20"/>
                <w:szCs w:val="20"/>
              </w:rPr>
              <w:t>program over auditors in SMPs which is developmental in nature and focused on building capacity within the profession;</w:t>
            </w:r>
          </w:p>
        </w:tc>
        <w:tc>
          <w:tcPr>
            <w:tcW w:w="1371" w:type="dxa"/>
            <w:vMerge/>
            <w:shd w:val="clear" w:color="auto" w:fill="auto"/>
            <w:vAlign w:val="center"/>
          </w:tcPr>
          <w:p w14:paraId="29EB4519" w14:textId="77777777" w:rsidR="001759DB" w:rsidRPr="0081720F" w:rsidRDefault="001759DB" w:rsidP="005F5625">
            <w:pPr>
              <w:keepNext/>
              <w:keepLines/>
              <w:spacing w:after="0"/>
              <w:jc w:val="center"/>
              <w:rPr>
                <w:rFonts w:eastAsia="Times New Roman" w:cs="Times New Roman"/>
                <w:b/>
                <w:color w:val="000000"/>
                <w:sz w:val="20"/>
                <w:szCs w:val="20"/>
              </w:rPr>
            </w:pPr>
          </w:p>
        </w:tc>
        <w:tc>
          <w:tcPr>
            <w:tcW w:w="1079" w:type="dxa"/>
            <w:vMerge/>
            <w:shd w:val="clear" w:color="auto" w:fill="auto"/>
            <w:vAlign w:val="center"/>
          </w:tcPr>
          <w:p w14:paraId="41C68B80" w14:textId="77777777" w:rsidR="001759DB" w:rsidRPr="0081720F" w:rsidRDefault="001759DB" w:rsidP="005F5625">
            <w:pPr>
              <w:keepNext/>
              <w:keepLines/>
              <w:spacing w:after="0"/>
              <w:jc w:val="center"/>
              <w:rPr>
                <w:rFonts w:eastAsia="Times New Roman" w:cs="Times New Roman"/>
                <w:b/>
                <w:color w:val="000000"/>
                <w:sz w:val="20"/>
                <w:szCs w:val="20"/>
              </w:rPr>
            </w:pPr>
          </w:p>
        </w:tc>
      </w:tr>
      <w:tr w:rsidR="001759DB" w:rsidRPr="0081720F" w14:paraId="2A48F1CA" w14:textId="77777777" w:rsidTr="00A22D4F">
        <w:trPr>
          <w:cantSplit/>
          <w:trHeight w:val="42"/>
          <w:jc w:val="center"/>
        </w:trPr>
        <w:tc>
          <w:tcPr>
            <w:tcW w:w="3219" w:type="dxa"/>
            <w:vMerge/>
            <w:shd w:val="clear" w:color="auto" w:fill="auto"/>
          </w:tcPr>
          <w:p w14:paraId="25AB4390" w14:textId="77777777" w:rsidR="001759DB" w:rsidRPr="0081720F" w:rsidRDefault="001759DB" w:rsidP="005F5625">
            <w:pPr>
              <w:keepNext/>
              <w:keepLines/>
              <w:spacing w:after="0"/>
              <w:jc w:val="left"/>
              <w:rPr>
                <w:rFonts w:eastAsia="Times New Roman" w:cs="Times New Roman"/>
                <w:b/>
                <w:color w:val="000000"/>
                <w:sz w:val="20"/>
                <w:szCs w:val="20"/>
              </w:rPr>
            </w:pPr>
          </w:p>
        </w:tc>
        <w:tc>
          <w:tcPr>
            <w:tcW w:w="8281" w:type="dxa"/>
            <w:shd w:val="clear" w:color="auto" w:fill="auto"/>
          </w:tcPr>
          <w:p w14:paraId="364BBAF6" w14:textId="4CF7E7CF" w:rsidR="001759DB" w:rsidRPr="0081720F" w:rsidRDefault="001759DB" w:rsidP="005F5625">
            <w:pPr>
              <w:keepNext/>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Strengthen capacity of auditors in SMPs outside Manila</w:t>
            </w:r>
            <w:r w:rsidRPr="0081720F">
              <w:rPr>
                <w:rFonts w:cs="Times New Roman"/>
                <w:b/>
                <w:color w:val="000000"/>
                <w:sz w:val="20"/>
                <w:szCs w:val="20"/>
              </w:rPr>
              <w:t xml:space="preserve"> </w:t>
            </w:r>
            <w:r w:rsidRPr="0081720F">
              <w:rPr>
                <w:rFonts w:eastAsia="Times New Roman" w:cs="Times New Roman"/>
                <w:b/>
                <w:color w:val="000000"/>
                <w:sz w:val="20"/>
                <w:szCs w:val="20"/>
              </w:rPr>
              <w:t>by increasing availability of CPD, tools, and resources to regions outside Metro Manila;</w:t>
            </w:r>
          </w:p>
        </w:tc>
        <w:tc>
          <w:tcPr>
            <w:tcW w:w="1371" w:type="dxa"/>
            <w:vMerge/>
            <w:shd w:val="clear" w:color="auto" w:fill="auto"/>
            <w:vAlign w:val="center"/>
          </w:tcPr>
          <w:p w14:paraId="12504C6E" w14:textId="77777777" w:rsidR="001759DB" w:rsidRPr="0081720F" w:rsidRDefault="001759DB" w:rsidP="005F5625">
            <w:pPr>
              <w:keepNext/>
              <w:keepLines/>
              <w:spacing w:after="0"/>
              <w:jc w:val="center"/>
              <w:rPr>
                <w:rFonts w:eastAsia="Times New Roman" w:cs="Times New Roman"/>
                <w:b/>
                <w:color w:val="000000"/>
                <w:sz w:val="20"/>
                <w:szCs w:val="20"/>
              </w:rPr>
            </w:pPr>
          </w:p>
        </w:tc>
        <w:tc>
          <w:tcPr>
            <w:tcW w:w="1079" w:type="dxa"/>
            <w:vMerge/>
            <w:shd w:val="clear" w:color="auto" w:fill="auto"/>
            <w:vAlign w:val="center"/>
          </w:tcPr>
          <w:p w14:paraId="2D90E25E" w14:textId="77777777" w:rsidR="001759DB" w:rsidRPr="0081720F" w:rsidRDefault="001759DB" w:rsidP="005F5625">
            <w:pPr>
              <w:keepNext/>
              <w:keepLines/>
              <w:spacing w:after="0"/>
              <w:jc w:val="center"/>
              <w:rPr>
                <w:rFonts w:eastAsia="Times New Roman" w:cs="Times New Roman"/>
                <w:b/>
                <w:color w:val="000000"/>
                <w:sz w:val="20"/>
                <w:szCs w:val="20"/>
              </w:rPr>
            </w:pPr>
          </w:p>
        </w:tc>
      </w:tr>
      <w:tr w:rsidR="001759DB" w:rsidRPr="0081720F" w14:paraId="543F9572" w14:textId="77777777" w:rsidTr="005F5625">
        <w:trPr>
          <w:cantSplit/>
          <w:trHeight w:val="53"/>
          <w:jc w:val="center"/>
        </w:trPr>
        <w:tc>
          <w:tcPr>
            <w:tcW w:w="3219" w:type="dxa"/>
            <w:vMerge/>
            <w:shd w:val="clear" w:color="auto" w:fill="auto"/>
          </w:tcPr>
          <w:p w14:paraId="4B708A5B" w14:textId="77777777" w:rsidR="001759DB" w:rsidRPr="0081720F" w:rsidRDefault="001759DB" w:rsidP="005F5625">
            <w:pPr>
              <w:keepNext/>
              <w:keepLines/>
              <w:spacing w:after="0"/>
              <w:jc w:val="left"/>
              <w:rPr>
                <w:rFonts w:eastAsia="Times New Roman" w:cs="Times New Roman"/>
                <w:b/>
                <w:color w:val="000000"/>
                <w:sz w:val="20"/>
                <w:szCs w:val="20"/>
              </w:rPr>
            </w:pPr>
          </w:p>
        </w:tc>
        <w:tc>
          <w:tcPr>
            <w:tcW w:w="8281" w:type="dxa"/>
            <w:shd w:val="clear" w:color="auto" w:fill="auto"/>
          </w:tcPr>
          <w:p w14:paraId="377892D6" w14:textId="2145B810" w:rsidR="001759DB" w:rsidRPr="0081720F" w:rsidRDefault="001759DB" w:rsidP="005F5625">
            <w:pPr>
              <w:keepNext/>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Review circumstances in which sole proprietors issue audit reports to ensure compliance with necessary Engagement Quality Control (pre-issuance) Reviews required by International Standards on Quality Control 1.</w:t>
            </w:r>
          </w:p>
        </w:tc>
        <w:tc>
          <w:tcPr>
            <w:tcW w:w="1371" w:type="dxa"/>
            <w:vMerge/>
            <w:shd w:val="clear" w:color="auto" w:fill="auto"/>
            <w:vAlign w:val="center"/>
          </w:tcPr>
          <w:p w14:paraId="27A5E40D" w14:textId="77777777" w:rsidR="001759DB" w:rsidRPr="0081720F" w:rsidRDefault="001759DB" w:rsidP="005F5625">
            <w:pPr>
              <w:keepNext/>
              <w:keepLines/>
              <w:spacing w:after="0"/>
              <w:jc w:val="center"/>
              <w:rPr>
                <w:rFonts w:eastAsia="Times New Roman" w:cs="Times New Roman"/>
                <w:b/>
                <w:color w:val="000000"/>
                <w:sz w:val="20"/>
                <w:szCs w:val="20"/>
              </w:rPr>
            </w:pPr>
          </w:p>
        </w:tc>
        <w:tc>
          <w:tcPr>
            <w:tcW w:w="1079" w:type="dxa"/>
            <w:vMerge/>
            <w:shd w:val="clear" w:color="auto" w:fill="auto"/>
            <w:vAlign w:val="center"/>
          </w:tcPr>
          <w:p w14:paraId="222A8511" w14:textId="77777777" w:rsidR="001759DB" w:rsidRPr="0081720F" w:rsidRDefault="001759DB" w:rsidP="005F5625">
            <w:pPr>
              <w:keepNext/>
              <w:keepLines/>
              <w:spacing w:after="0"/>
              <w:jc w:val="center"/>
              <w:rPr>
                <w:rFonts w:eastAsia="Times New Roman" w:cs="Times New Roman"/>
                <w:b/>
                <w:color w:val="000000"/>
                <w:sz w:val="20"/>
                <w:szCs w:val="20"/>
              </w:rPr>
            </w:pPr>
          </w:p>
        </w:tc>
      </w:tr>
      <w:tr w:rsidR="00605DBA" w:rsidRPr="0081720F" w14:paraId="5DBCB728" w14:textId="77777777" w:rsidTr="0081720F">
        <w:trPr>
          <w:cantSplit/>
          <w:jc w:val="center"/>
        </w:trPr>
        <w:tc>
          <w:tcPr>
            <w:tcW w:w="3219" w:type="dxa"/>
            <w:tcBorders>
              <w:bottom w:val="single" w:sz="4" w:space="0" w:color="8C8D90"/>
            </w:tcBorders>
            <w:shd w:val="clear" w:color="auto" w:fill="E7E6E6" w:themeFill="background2"/>
          </w:tcPr>
          <w:p w14:paraId="51ACC033" w14:textId="77777777" w:rsidR="00605DBA" w:rsidRPr="0081720F" w:rsidRDefault="00605DBA" w:rsidP="00C075C1">
            <w:pPr>
              <w:spacing w:after="0"/>
              <w:jc w:val="left"/>
              <w:rPr>
                <w:rFonts w:eastAsia="Times New Roman" w:cs="Times New Roman"/>
                <w:color w:val="000000"/>
                <w:sz w:val="20"/>
                <w:szCs w:val="20"/>
              </w:rPr>
            </w:pPr>
            <w:r w:rsidRPr="0081720F">
              <w:rPr>
                <w:rFonts w:eastAsia="Times New Roman" w:cs="Times New Roman"/>
                <w:color w:val="000000"/>
                <w:sz w:val="20"/>
                <w:szCs w:val="20"/>
              </w:rPr>
              <w:t>A review of a sample of financial statements found recurring instances of non-compliance with</w:t>
            </w:r>
            <w:r w:rsidRPr="0081720F">
              <w:rPr>
                <w:color w:val="000000"/>
                <w:sz w:val="20"/>
                <w:szCs w:val="20"/>
              </w:rPr>
              <w:t xml:space="preserve"> </w:t>
            </w:r>
            <w:r w:rsidRPr="0081720F">
              <w:rPr>
                <w:rFonts w:eastAsia="Times New Roman" w:cs="Times New Roman"/>
                <w:color w:val="000000"/>
                <w:sz w:val="20"/>
                <w:szCs w:val="20"/>
              </w:rPr>
              <w:t>judgments and estimates in compliance with a principles</w:t>
            </w:r>
            <w:r w:rsidR="00642BCA" w:rsidRPr="0081720F">
              <w:rPr>
                <w:rFonts w:eastAsia="Times New Roman" w:cs="Times New Roman"/>
                <w:color w:val="000000"/>
                <w:sz w:val="20"/>
                <w:szCs w:val="20"/>
              </w:rPr>
              <w:t>-</w:t>
            </w:r>
            <w:r w:rsidRPr="0081720F">
              <w:rPr>
                <w:rFonts w:eastAsia="Times New Roman" w:cs="Times New Roman"/>
                <w:color w:val="000000"/>
                <w:sz w:val="20"/>
                <w:szCs w:val="20"/>
              </w:rPr>
              <w:t>based reporting framework.</w:t>
            </w:r>
          </w:p>
        </w:tc>
        <w:tc>
          <w:tcPr>
            <w:tcW w:w="8281" w:type="dxa"/>
            <w:tcBorders>
              <w:bottom w:val="single" w:sz="4" w:space="0" w:color="8C8D90"/>
            </w:tcBorders>
            <w:shd w:val="clear" w:color="auto" w:fill="E7E6E6" w:themeFill="background2"/>
            <w:vAlign w:val="center"/>
          </w:tcPr>
          <w:p w14:paraId="6B563FCA" w14:textId="77777777" w:rsidR="00605DBA" w:rsidRPr="0081720F" w:rsidRDefault="00605DBA" w:rsidP="00C075C1">
            <w:pPr>
              <w:keepLines/>
              <w:spacing w:after="0"/>
              <w:jc w:val="left"/>
              <w:rPr>
                <w:rFonts w:eastAsia="Times New Roman" w:cs="Times New Roman"/>
                <w:color w:val="000000"/>
                <w:sz w:val="20"/>
                <w:szCs w:val="20"/>
              </w:rPr>
            </w:pPr>
            <w:r w:rsidRPr="0081720F">
              <w:rPr>
                <w:rFonts w:eastAsia="Times New Roman" w:cs="Times New Roman"/>
                <w:color w:val="000000"/>
                <w:sz w:val="20"/>
                <w:szCs w:val="20"/>
              </w:rPr>
              <w:t xml:space="preserve">Professional accountants should further develop their capacity to make judgments and estimates in compliance with </w:t>
            </w:r>
            <w:r w:rsidR="00A12F4F" w:rsidRPr="0081720F">
              <w:rPr>
                <w:rFonts w:eastAsia="Times New Roman" w:cs="Times New Roman"/>
                <w:color w:val="000000"/>
                <w:sz w:val="20"/>
                <w:szCs w:val="20"/>
              </w:rPr>
              <w:t>a principle</w:t>
            </w:r>
            <w:r w:rsidRPr="0081720F">
              <w:rPr>
                <w:rFonts w:eastAsia="Times New Roman" w:cs="Times New Roman"/>
                <w:color w:val="000000"/>
                <w:sz w:val="20"/>
                <w:szCs w:val="20"/>
              </w:rPr>
              <w:t xml:space="preserve"> based reporting framework.</w:t>
            </w:r>
          </w:p>
        </w:tc>
        <w:tc>
          <w:tcPr>
            <w:tcW w:w="1371" w:type="dxa"/>
            <w:tcBorders>
              <w:bottom w:val="single" w:sz="4" w:space="0" w:color="8C8D90"/>
            </w:tcBorders>
            <w:shd w:val="clear" w:color="auto" w:fill="E7E6E6" w:themeFill="background2"/>
            <w:vAlign w:val="center"/>
          </w:tcPr>
          <w:p w14:paraId="66DA0B5C"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Practitioners</w:t>
            </w:r>
          </w:p>
        </w:tc>
        <w:tc>
          <w:tcPr>
            <w:tcW w:w="1079" w:type="dxa"/>
            <w:tcBorders>
              <w:bottom w:val="single" w:sz="4" w:space="0" w:color="8C8D90"/>
            </w:tcBorders>
            <w:shd w:val="clear" w:color="auto" w:fill="E7E6E6" w:themeFill="background2"/>
            <w:vAlign w:val="center"/>
          </w:tcPr>
          <w:p w14:paraId="55F2C6AD" w14:textId="77777777" w:rsidR="00605DBA" w:rsidRPr="0081720F" w:rsidRDefault="00605DBA" w:rsidP="00C075C1">
            <w:pPr>
              <w:spacing w:after="0"/>
              <w:jc w:val="center"/>
              <w:rPr>
                <w:rFonts w:eastAsia="Times New Roman" w:cs="Times New Roman"/>
                <w:color w:val="000000"/>
                <w:sz w:val="20"/>
                <w:szCs w:val="20"/>
              </w:rPr>
            </w:pPr>
            <w:r w:rsidRPr="0081720F">
              <w:rPr>
                <w:rFonts w:eastAsia="Times New Roman" w:cs="Times New Roman"/>
                <w:color w:val="000000"/>
                <w:sz w:val="20"/>
                <w:szCs w:val="20"/>
              </w:rPr>
              <w:t>Short to Medium Term</w:t>
            </w:r>
          </w:p>
        </w:tc>
      </w:tr>
      <w:tr w:rsidR="00013B7F" w:rsidRPr="0081720F" w14:paraId="0E8F1BDC" w14:textId="77777777" w:rsidTr="00652F69">
        <w:trPr>
          <w:cantSplit/>
          <w:jc w:val="center"/>
        </w:trPr>
        <w:tc>
          <w:tcPr>
            <w:tcW w:w="3219" w:type="dxa"/>
            <w:tcBorders>
              <w:top w:val="single" w:sz="4" w:space="0" w:color="8C8D90"/>
              <w:bottom w:val="single" w:sz="4" w:space="0" w:color="0038A8"/>
            </w:tcBorders>
            <w:shd w:val="clear" w:color="auto" w:fill="auto"/>
          </w:tcPr>
          <w:p w14:paraId="2BCB7158" w14:textId="77777777" w:rsidR="00013B7F" w:rsidRPr="0081720F" w:rsidRDefault="00D35419" w:rsidP="00C075C1">
            <w:pPr>
              <w:spacing w:after="0"/>
              <w:jc w:val="left"/>
              <w:rPr>
                <w:rFonts w:eastAsia="Times New Roman" w:cs="Times New Roman"/>
                <w:b/>
                <w:color w:val="000000"/>
                <w:sz w:val="20"/>
                <w:szCs w:val="20"/>
              </w:rPr>
            </w:pPr>
            <w:r w:rsidRPr="0081720F">
              <w:rPr>
                <w:rFonts w:eastAsia="Times New Roman" w:cs="Times New Roman"/>
                <w:b/>
                <w:color w:val="000000"/>
                <w:sz w:val="20"/>
                <w:szCs w:val="20"/>
              </w:rPr>
              <w:t>Financial reporting of GOCCs is often not done in accordance with required frameworks, and GO</w:t>
            </w:r>
            <w:r w:rsidR="00642BCA" w:rsidRPr="0081720F">
              <w:rPr>
                <w:rFonts w:eastAsia="Times New Roman" w:cs="Times New Roman"/>
                <w:b/>
                <w:color w:val="000000"/>
                <w:sz w:val="20"/>
                <w:szCs w:val="20"/>
              </w:rPr>
              <w:t>C</w:t>
            </w:r>
            <w:r w:rsidRPr="0081720F">
              <w:rPr>
                <w:rFonts w:eastAsia="Times New Roman" w:cs="Times New Roman"/>
                <w:b/>
                <w:color w:val="000000"/>
                <w:sz w:val="20"/>
                <w:szCs w:val="20"/>
              </w:rPr>
              <w:t xml:space="preserve">Cs do not display readiness for the required adoption of IFRS in 2016. </w:t>
            </w:r>
          </w:p>
        </w:tc>
        <w:tc>
          <w:tcPr>
            <w:tcW w:w="8281" w:type="dxa"/>
            <w:tcBorders>
              <w:top w:val="single" w:sz="4" w:space="0" w:color="8C8D90"/>
              <w:bottom w:val="single" w:sz="4" w:space="0" w:color="0038A8"/>
            </w:tcBorders>
            <w:shd w:val="clear" w:color="auto" w:fill="auto"/>
            <w:vAlign w:val="center"/>
          </w:tcPr>
          <w:p w14:paraId="36C80174" w14:textId="77777777" w:rsidR="00013B7F" w:rsidRPr="0081720F" w:rsidRDefault="00D35419" w:rsidP="00C075C1">
            <w:pPr>
              <w:keepLines/>
              <w:spacing w:after="0"/>
              <w:jc w:val="left"/>
              <w:rPr>
                <w:rFonts w:eastAsia="Times New Roman" w:cs="Times New Roman"/>
                <w:b/>
                <w:color w:val="000000"/>
                <w:sz w:val="20"/>
                <w:szCs w:val="20"/>
              </w:rPr>
            </w:pPr>
            <w:r w:rsidRPr="0081720F">
              <w:rPr>
                <w:rFonts w:eastAsia="Times New Roman" w:cs="Times New Roman"/>
                <w:b/>
                <w:color w:val="000000"/>
                <w:sz w:val="20"/>
                <w:szCs w:val="20"/>
              </w:rPr>
              <w:t>A comprehensive transition plan and training program should be undertaken within GOCCs to build capacity for compliance with required financial reporting frameworks.</w:t>
            </w:r>
          </w:p>
        </w:tc>
        <w:tc>
          <w:tcPr>
            <w:tcW w:w="1371" w:type="dxa"/>
            <w:tcBorders>
              <w:top w:val="single" w:sz="4" w:space="0" w:color="8C8D90"/>
              <w:bottom w:val="single" w:sz="4" w:space="0" w:color="0038A8"/>
            </w:tcBorders>
            <w:shd w:val="clear" w:color="auto" w:fill="auto"/>
            <w:vAlign w:val="center"/>
          </w:tcPr>
          <w:p w14:paraId="31EC99BB" w14:textId="77777777" w:rsidR="00013B7F" w:rsidRPr="0081720F" w:rsidRDefault="008602D8"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D</w:t>
            </w:r>
            <w:r w:rsidR="00D35419" w:rsidRPr="0081720F">
              <w:rPr>
                <w:rFonts w:eastAsia="Times New Roman" w:cs="Times New Roman"/>
                <w:b/>
                <w:color w:val="000000"/>
                <w:sz w:val="20"/>
                <w:szCs w:val="20"/>
              </w:rPr>
              <w:t>OF</w:t>
            </w:r>
          </w:p>
        </w:tc>
        <w:tc>
          <w:tcPr>
            <w:tcW w:w="1079" w:type="dxa"/>
            <w:tcBorders>
              <w:top w:val="single" w:sz="4" w:space="0" w:color="8C8D90"/>
              <w:bottom w:val="single" w:sz="4" w:space="0" w:color="0038A8"/>
            </w:tcBorders>
            <w:shd w:val="clear" w:color="auto" w:fill="auto"/>
            <w:vAlign w:val="center"/>
          </w:tcPr>
          <w:p w14:paraId="5CD26590" w14:textId="77777777" w:rsidR="00013B7F" w:rsidRPr="0081720F" w:rsidRDefault="00D35419" w:rsidP="00C075C1">
            <w:pPr>
              <w:spacing w:after="0"/>
              <w:jc w:val="center"/>
              <w:rPr>
                <w:rFonts w:eastAsia="Times New Roman" w:cs="Times New Roman"/>
                <w:b/>
                <w:color w:val="000000"/>
                <w:sz w:val="20"/>
                <w:szCs w:val="20"/>
              </w:rPr>
            </w:pPr>
            <w:r w:rsidRPr="0081720F">
              <w:rPr>
                <w:rFonts w:eastAsia="Times New Roman" w:cs="Times New Roman"/>
                <w:b/>
                <w:color w:val="000000"/>
                <w:sz w:val="20"/>
                <w:szCs w:val="20"/>
              </w:rPr>
              <w:t>Short Term</w:t>
            </w:r>
          </w:p>
        </w:tc>
      </w:tr>
    </w:tbl>
    <w:p w14:paraId="232C7288" w14:textId="77777777" w:rsidR="00F76E53" w:rsidRPr="008F1E62" w:rsidRDefault="00F76E53" w:rsidP="00F76E53">
      <w:pPr>
        <w:tabs>
          <w:tab w:val="left" w:pos="540"/>
          <w:tab w:val="left" w:pos="900"/>
        </w:tabs>
        <w:autoSpaceDE w:val="0"/>
        <w:autoSpaceDN w:val="0"/>
        <w:adjustRightInd w:val="0"/>
        <w:spacing w:before="2" w:after="0" w:line="240" w:lineRule="auto"/>
        <w:rPr>
          <w:rFonts w:cs="Calibri"/>
        </w:rPr>
      </w:pPr>
    </w:p>
    <w:p w14:paraId="7B329A4D" w14:textId="320B6A2E" w:rsidR="00C75303" w:rsidRPr="008F1E62" w:rsidRDefault="00F76E53" w:rsidP="00F76E53">
      <w:pPr>
        <w:rPr>
          <w:rFonts w:cs="Calibri"/>
        </w:rPr>
      </w:pPr>
      <w:r w:rsidRPr="008F1E62">
        <w:rPr>
          <w:rFonts w:cs="Calibri"/>
        </w:rPr>
        <w:br w:type="page"/>
      </w:r>
    </w:p>
    <w:p w14:paraId="31EB3A0B" w14:textId="326A1894" w:rsidR="00390404" w:rsidRDefault="0061531B" w:rsidP="003453D3">
      <w:pPr>
        <w:spacing w:after="160" w:line="259" w:lineRule="auto"/>
        <w:jc w:val="left"/>
        <w:rPr>
          <w:rFonts w:ascii="Century Gothic" w:eastAsia="MS Gothic" w:hAnsi="Century Gothic"/>
          <w:caps/>
          <w:color w:val="00AB51"/>
          <w:kern w:val="32"/>
          <w:sz w:val="32"/>
          <w:szCs w:val="32"/>
        </w:rPr>
        <w:sectPr w:rsidR="00390404" w:rsidSect="0002662F">
          <w:footerReference w:type="default" r:id="rId30"/>
          <w:type w:val="nextColumn"/>
          <w:pgSz w:w="16838" w:h="11906" w:orient="landscape" w:code="9"/>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58243" behindDoc="0" locked="0" layoutInCell="1" allowOverlap="1" wp14:anchorId="2A55F832" wp14:editId="08EF033E">
                <wp:simplePos x="0" y="0"/>
                <wp:positionH relativeFrom="margin">
                  <wp:align>center</wp:align>
                </wp:positionH>
                <wp:positionV relativeFrom="paragraph">
                  <wp:posOffset>-577850</wp:posOffset>
                </wp:positionV>
                <wp:extent cx="3930650" cy="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930650" cy="635"/>
                        </a:xfrm>
                        <a:prstGeom prst="rect">
                          <a:avLst/>
                        </a:prstGeom>
                        <a:solidFill>
                          <a:prstClr val="white"/>
                        </a:solidFill>
                        <a:ln>
                          <a:noFill/>
                        </a:ln>
                      </wps:spPr>
                      <wps:txbx>
                        <w:txbxContent>
                          <w:p w14:paraId="7C64E813" w14:textId="27125160" w:rsidR="004310EC" w:rsidRPr="0081720F" w:rsidRDefault="004310EC" w:rsidP="0081720F">
                            <w:pPr>
                              <w:pStyle w:val="Caption"/>
                              <w:jc w:val="center"/>
                              <w:rPr>
                                <w:rFonts w:cs="Calibri"/>
                                <w:noProof/>
                                <w:sz w:val="20"/>
                                <w:szCs w:val="20"/>
                              </w:rPr>
                            </w:pPr>
                            <w:r w:rsidRPr="0081720F">
                              <w:rPr>
                                <w:sz w:val="20"/>
                                <w:szCs w:val="20"/>
                              </w:rPr>
                              <w:t xml:space="preserve">Figure </w:t>
                            </w:r>
                            <w:r w:rsidRPr="0081720F">
                              <w:rPr>
                                <w:sz w:val="20"/>
                                <w:szCs w:val="20"/>
                              </w:rPr>
                              <w:fldChar w:fldCharType="begin"/>
                            </w:r>
                            <w:r w:rsidRPr="0081720F">
                              <w:rPr>
                                <w:sz w:val="20"/>
                                <w:szCs w:val="20"/>
                              </w:rPr>
                              <w:instrText xml:space="preserve"> SEQ Figure \* ARABIC </w:instrText>
                            </w:r>
                            <w:r w:rsidRPr="0081720F">
                              <w:rPr>
                                <w:sz w:val="20"/>
                                <w:szCs w:val="20"/>
                              </w:rPr>
                              <w:fldChar w:fldCharType="separate"/>
                            </w:r>
                            <w:r>
                              <w:rPr>
                                <w:noProof/>
                                <w:sz w:val="20"/>
                                <w:szCs w:val="20"/>
                              </w:rPr>
                              <w:t>8</w:t>
                            </w:r>
                            <w:r w:rsidRPr="0081720F">
                              <w:rPr>
                                <w:sz w:val="20"/>
                                <w:szCs w:val="20"/>
                              </w:rPr>
                              <w:fldChar w:fldCharType="end"/>
                            </w:r>
                            <w:r w:rsidRPr="0081720F">
                              <w:rPr>
                                <w:sz w:val="20"/>
                                <w:szCs w:val="20"/>
                              </w:rPr>
                              <w:t>. Summary of Recommendations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A55F832" id="_x0000_t202" coordsize="21600,21600" o:spt="202" path="m,l,21600r21600,l21600,xe">
                <v:stroke joinstyle="miter"/>
                <v:path gradientshapeok="t" o:connecttype="rect"/>
              </v:shapetype>
              <v:shape id="Text Box 9" o:spid="_x0000_s1026" type="#_x0000_t202" style="position:absolute;margin-left:0;margin-top:-45.5pt;width:309.5pt;height:.05pt;z-index:251658243;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" stroked="f">
                <v:textbox style="mso-fit-shape-to-text:t" inset="0,0,0,0">
                  <w:txbxContent>
                    <w:p w14:paraId="7C64E813" w14:textId="27125160" w:rsidR="004310EC" w:rsidRPr="0081720F" w:rsidRDefault="004310EC" w:rsidP="0081720F">
                      <w:pPr>
                        <w:pStyle w:val="Caption"/>
                        <w:jc w:val="center"/>
                        <w:rPr>
                          <w:rFonts w:cs="Calibri"/>
                          <w:noProof/>
                          <w:sz w:val="20"/>
                          <w:szCs w:val="20"/>
                        </w:rPr>
                      </w:pPr>
                      <w:r w:rsidRPr="0081720F">
                        <w:rPr>
                          <w:sz w:val="20"/>
                          <w:szCs w:val="20"/>
                        </w:rPr>
                        <w:t xml:space="preserve">Figure </w:t>
                      </w:r>
                      <w:r w:rsidRPr="0081720F">
                        <w:rPr>
                          <w:sz w:val="20"/>
                          <w:szCs w:val="20"/>
                        </w:rPr>
                        <w:fldChar w:fldCharType="begin"/>
                      </w:r>
                      <w:r w:rsidRPr="0081720F">
                        <w:rPr>
                          <w:sz w:val="20"/>
                          <w:szCs w:val="20"/>
                        </w:rPr>
                        <w:instrText xml:space="preserve"> SEQ Figure \* ARABIC </w:instrText>
                      </w:r>
                      <w:r w:rsidRPr="0081720F">
                        <w:rPr>
                          <w:sz w:val="20"/>
                          <w:szCs w:val="20"/>
                        </w:rPr>
                        <w:fldChar w:fldCharType="separate"/>
                      </w:r>
                      <w:r>
                        <w:rPr>
                          <w:noProof/>
                          <w:sz w:val="20"/>
                          <w:szCs w:val="20"/>
                        </w:rPr>
                        <w:t>8</w:t>
                      </w:r>
                      <w:r w:rsidRPr="0081720F">
                        <w:rPr>
                          <w:sz w:val="20"/>
                          <w:szCs w:val="20"/>
                        </w:rPr>
                        <w:fldChar w:fldCharType="end"/>
                      </w:r>
                      <w:r w:rsidRPr="0081720F">
                        <w:rPr>
                          <w:sz w:val="20"/>
                          <w:szCs w:val="20"/>
                        </w:rPr>
                        <w:t>. Summary of Recommendations</w:t>
                      </w:r>
                    </w:p>
                  </w:txbxContent>
                </v:textbox>
                <w10:wrap anchorx="margin"/>
              </v:shape>
            </w:pict>
          </mc:Fallback>
        </mc:AlternateContent>
      </w:r>
      <w:r w:rsidR="003453D3" w:rsidRPr="008F1E62">
        <w:rPr>
          <w:rFonts w:ascii="Calibri" w:eastAsia="Times New Roman" w:hAnsi="Calibri" w:cs="Times New Roman"/>
          <w:b/>
          <w:noProof/>
          <w:sz w:val="18"/>
          <w:szCs w:val="18"/>
        </w:rPr>
        <mc:AlternateContent>
          <mc:Choice Requires="wpg">
            <w:drawing>
              <wp:anchor distT="0" distB="0" distL="114300" distR="114300" simplePos="0" relativeHeight="251658244" behindDoc="0" locked="0" layoutInCell="1" allowOverlap="1" wp14:anchorId="3F617DE4" wp14:editId="52E36F9D">
                <wp:simplePos x="0" y="0"/>
                <wp:positionH relativeFrom="margin">
                  <wp:posOffset>0</wp:posOffset>
                </wp:positionH>
                <wp:positionV relativeFrom="paragraph">
                  <wp:posOffset>-272956</wp:posOffset>
                </wp:positionV>
                <wp:extent cx="8919210" cy="6088380"/>
                <wp:effectExtent l="0" t="0" r="0" b="4572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19210" cy="6088380"/>
                          <a:chOff x="-85725" y="0"/>
                          <a:chExt cx="8957280" cy="6081426"/>
                        </a:xfrm>
                      </wpg:grpSpPr>
                      <wps:wsp>
                        <wps:cNvPr id="26" name="Rectangle 26"/>
                        <wps:cNvSpPr/>
                        <wps:spPr>
                          <a:xfrm>
                            <a:off x="153640" y="5200650"/>
                            <a:ext cx="8714105" cy="876300"/>
                          </a:xfrm>
                          <a:prstGeom prst="rect">
                            <a:avLst/>
                          </a:prstGeom>
                          <a:solidFill>
                            <a:srgbClr val="5B9BD5">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5"/>
                        <wps:cNvSpPr txBox="1"/>
                        <wps:spPr>
                          <a:xfrm>
                            <a:off x="1306165" y="0"/>
                            <a:ext cx="5820410" cy="581025"/>
                          </a:xfrm>
                          <a:prstGeom prst="rect">
                            <a:avLst/>
                          </a:prstGeom>
                          <a:solidFill>
                            <a:sysClr val="window" lastClr="FFFFFF">
                              <a:lumMod val="50000"/>
                            </a:sysClr>
                          </a:solidFill>
                          <a:ln w="6350">
                            <a:noFill/>
                          </a:ln>
                        </wps:spPr>
                        <wps:txbx>
                          <w:txbxContent>
                            <w:p w14:paraId="74623BAC" w14:textId="77777777" w:rsidR="004310EC" w:rsidRPr="000B59FF" w:rsidRDefault="004310EC" w:rsidP="003453D3">
                              <w:pPr>
                                <w:spacing w:before="20" w:after="0" w:line="240" w:lineRule="auto"/>
                                <w:jc w:val="center"/>
                                <w:rPr>
                                  <w:color w:val="FFFFFF"/>
                                  <w:sz w:val="20"/>
                                  <w:szCs w:val="20"/>
                                </w:rPr>
                              </w:pPr>
                              <w:r w:rsidRPr="000B59FF">
                                <w:rPr>
                                  <w:rFonts w:cs="Calibri"/>
                                  <w:color w:val="FFFFFF"/>
                                  <w:sz w:val="20"/>
                                  <w:szCs w:val="20"/>
                                </w:rPr>
                                <w:t>Institutional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Rectangle 24"/>
                        <wps:cNvSpPr/>
                        <wps:spPr>
                          <a:xfrm>
                            <a:off x="144115" y="581025"/>
                            <a:ext cx="8724900" cy="2228850"/>
                          </a:xfrm>
                          <a:prstGeom prst="rect">
                            <a:avLst/>
                          </a:prstGeom>
                          <a:solidFill>
                            <a:srgbClr val="70AD47">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rot="16200000">
                            <a:off x="-1086993" y="1583532"/>
                            <a:ext cx="2231136" cy="228600"/>
                          </a:xfrm>
                          <a:prstGeom prst="rect">
                            <a:avLst/>
                          </a:prstGeom>
                          <a:solidFill>
                            <a:srgbClr val="70AD47">
                              <a:lumMod val="40000"/>
                              <a:lumOff val="60000"/>
                            </a:srgbClr>
                          </a:solidFill>
                          <a:ln w="6350">
                            <a:noFill/>
                          </a:ln>
                        </wps:spPr>
                        <wps:txbx>
                          <w:txbxContent>
                            <w:p w14:paraId="77983AB4" w14:textId="77777777" w:rsidR="004310EC" w:rsidRPr="008602D8" w:rsidRDefault="004310EC" w:rsidP="003453D3">
                              <w:pPr>
                                <w:spacing w:after="0" w:line="240" w:lineRule="auto"/>
                                <w:jc w:val="center"/>
                                <w:rPr>
                                  <w:b/>
                                </w:rPr>
                              </w:pPr>
                              <w:r w:rsidRPr="00484744">
                                <w:rPr>
                                  <w:rFonts w:cs="Calibri"/>
                                  <w:b/>
                                </w:rPr>
                                <w:t>Short term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25"/>
                        <wps:cNvSpPr/>
                        <wps:spPr>
                          <a:xfrm>
                            <a:off x="144115" y="2809875"/>
                            <a:ext cx="8727440" cy="2390775"/>
                          </a:xfrm>
                          <a:prstGeom prst="rect">
                            <a:avLst/>
                          </a:prstGeom>
                          <a:solidFill>
                            <a:srgbClr val="FFC000">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rot="16200000">
                            <a:off x="-1166526" y="3891915"/>
                            <a:ext cx="2395220" cy="228600"/>
                          </a:xfrm>
                          <a:prstGeom prst="rect">
                            <a:avLst/>
                          </a:prstGeom>
                          <a:solidFill>
                            <a:srgbClr val="FFC000">
                              <a:lumMod val="40000"/>
                              <a:lumOff val="60000"/>
                            </a:srgbClr>
                          </a:solidFill>
                          <a:ln w="6350">
                            <a:noFill/>
                          </a:ln>
                        </wps:spPr>
                        <wps:txbx>
                          <w:txbxContent>
                            <w:p w14:paraId="26110A19" w14:textId="77777777" w:rsidR="004310EC" w:rsidRPr="008602D8" w:rsidRDefault="004310EC" w:rsidP="003453D3">
                              <w:pPr>
                                <w:spacing w:after="0" w:line="240" w:lineRule="auto"/>
                                <w:jc w:val="center"/>
                                <w:rPr>
                                  <w:b/>
                                </w:rPr>
                              </w:pPr>
                              <w:r w:rsidRPr="00484744">
                                <w:rPr>
                                  <w:b/>
                                </w:rPr>
                                <w:t>Medium</w:t>
                              </w:r>
                              <w:r w:rsidRPr="008602D8">
                                <w:rPr>
                                  <w:rFonts w:cs="Calibri"/>
                                  <w:b/>
                                </w:rPr>
                                <w:t xml:space="preserve"> term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 name="Straight Connector 36"/>
                        <wps:cNvCnPr/>
                        <wps:spPr>
                          <a:xfrm>
                            <a:off x="715615" y="400050"/>
                            <a:ext cx="0" cy="5681345"/>
                          </a:xfrm>
                          <a:prstGeom prst="line">
                            <a:avLst/>
                          </a:prstGeom>
                          <a:noFill/>
                          <a:ln w="76200" cap="flat" cmpd="sng" algn="ctr">
                            <a:solidFill>
                              <a:sysClr val="window" lastClr="FFFFFF">
                                <a:lumMod val="50000"/>
                              </a:sysClr>
                            </a:solidFill>
                            <a:prstDash val="solid"/>
                            <a:miter lim="800000"/>
                          </a:ln>
                          <a:effectLst/>
                        </wps:spPr>
                        <wps:bodyPr/>
                      </wps:wsp>
                      <wps:wsp>
                        <wps:cNvPr id="17" name="Straight Connector 37"/>
                        <wps:cNvCnPr/>
                        <wps:spPr>
                          <a:xfrm>
                            <a:off x="2353915" y="400050"/>
                            <a:ext cx="0" cy="5681345"/>
                          </a:xfrm>
                          <a:prstGeom prst="line">
                            <a:avLst/>
                          </a:prstGeom>
                          <a:noFill/>
                          <a:ln w="76200" cap="flat" cmpd="sng" algn="ctr">
                            <a:solidFill>
                              <a:sysClr val="window" lastClr="FFFFFF">
                                <a:lumMod val="65000"/>
                              </a:sysClr>
                            </a:solidFill>
                            <a:prstDash val="solid"/>
                            <a:miter lim="800000"/>
                          </a:ln>
                          <a:effectLst/>
                        </wps:spPr>
                        <wps:bodyPr/>
                      </wps:wsp>
                      <wps:wsp>
                        <wps:cNvPr id="38" name="Straight Connector 38"/>
                        <wps:cNvCnPr/>
                        <wps:spPr>
                          <a:xfrm>
                            <a:off x="5306665" y="400050"/>
                            <a:ext cx="0" cy="5681376"/>
                          </a:xfrm>
                          <a:prstGeom prst="line">
                            <a:avLst/>
                          </a:prstGeom>
                          <a:noFill/>
                          <a:ln w="76200" cap="flat" cmpd="sng" algn="ctr">
                            <a:solidFill>
                              <a:sysClr val="window" lastClr="FFFFFF">
                                <a:lumMod val="65000"/>
                              </a:sysClr>
                            </a:solidFill>
                            <a:prstDash val="solid"/>
                            <a:miter lim="800000"/>
                          </a:ln>
                          <a:effectLst/>
                        </wps:spPr>
                        <wps:bodyPr/>
                      </wps:wsp>
                      <wps:wsp>
                        <wps:cNvPr id="39" name="Straight Connector 39"/>
                        <wps:cNvCnPr/>
                        <wps:spPr>
                          <a:xfrm>
                            <a:off x="7992715" y="400050"/>
                            <a:ext cx="0" cy="5681345"/>
                          </a:xfrm>
                          <a:prstGeom prst="line">
                            <a:avLst/>
                          </a:prstGeom>
                          <a:noFill/>
                          <a:ln w="76200" cap="flat" cmpd="sng" algn="ctr">
                            <a:solidFill>
                              <a:sysClr val="window" lastClr="FFFFFF">
                                <a:lumMod val="50000"/>
                              </a:sysClr>
                            </a:solidFill>
                            <a:prstDash val="solid"/>
                            <a:miter lim="800000"/>
                          </a:ln>
                          <a:effectLst/>
                        </wps:spPr>
                        <wps:bodyPr/>
                      </wps:wsp>
                      <wps:wsp>
                        <wps:cNvPr id="18" name="Text Box 8"/>
                        <wps:cNvSpPr txBox="1"/>
                        <wps:spPr>
                          <a:xfrm>
                            <a:off x="1306165" y="638175"/>
                            <a:ext cx="2105025" cy="2114550"/>
                          </a:xfrm>
                          <a:prstGeom prst="rect">
                            <a:avLst/>
                          </a:prstGeom>
                          <a:solidFill>
                            <a:sysClr val="window" lastClr="FFFFFF"/>
                          </a:solidFill>
                          <a:ln w="6350">
                            <a:noFill/>
                          </a:ln>
                        </wps:spPr>
                        <wps:txbx>
                          <w:txbxContent>
                            <w:p w14:paraId="76BD1A8D"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1.</w:t>
                              </w:r>
                              <w:r w:rsidRPr="00025825">
                                <w:rPr>
                                  <w:rFonts w:cs="Calibri"/>
                                  <w:sz w:val="20"/>
                                  <w:szCs w:val="20"/>
                                </w:rPr>
                                <w:t xml:space="preserve"> </w:t>
                              </w:r>
                              <w:r w:rsidRPr="0048571B">
                                <w:rPr>
                                  <w:rFonts w:cs="Calibri"/>
                                  <w:b/>
                                  <w:sz w:val="20"/>
                                  <w:szCs w:val="20"/>
                                </w:rPr>
                                <w:t>Develop a working group to review the legal framework for audit quality assurance</w:t>
                              </w:r>
                            </w:p>
                            <w:p w14:paraId="4FB07946"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2. Coordinate QA initiatives of various agencies, incorporating international good practices and principles</w:t>
                              </w:r>
                            </w:p>
                            <w:p w14:paraId="40295B8E"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3. Rationalize audit requirements especially for MSMEs</w:t>
                              </w:r>
                            </w:p>
                            <w:p w14:paraId="0DAA2A5C"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4. Review auditor accreditation requirements to enhance coordination</w:t>
                              </w:r>
                            </w:p>
                            <w:p w14:paraId="5427C1BE"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5. Review compilation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13"/>
                        <wps:cNvSpPr txBox="1"/>
                        <wps:spPr>
                          <a:xfrm>
                            <a:off x="3468340" y="638175"/>
                            <a:ext cx="3638550" cy="2114550"/>
                          </a:xfrm>
                          <a:prstGeom prst="rect">
                            <a:avLst/>
                          </a:prstGeom>
                          <a:solidFill>
                            <a:sysClr val="window" lastClr="FFFFFF"/>
                          </a:solidFill>
                          <a:ln w="6350">
                            <a:noFill/>
                          </a:ln>
                        </wps:spPr>
                        <wps:txbx>
                          <w:txbxContent>
                            <w:p w14:paraId="14408A51" w14:textId="77777777" w:rsidR="004310EC" w:rsidRPr="00CD0862" w:rsidRDefault="004310EC" w:rsidP="003453D3">
                              <w:pPr>
                                <w:keepLines/>
                                <w:spacing w:after="0" w:line="240" w:lineRule="auto"/>
                                <w:rPr>
                                  <w:rFonts w:cs="Calibri"/>
                                  <w:sz w:val="20"/>
                                  <w:szCs w:val="20"/>
                                </w:rPr>
                              </w:pPr>
                              <w:r w:rsidRPr="00CD0862">
                                <w:rPr>
                                  <w:rFonts w:cs="Calibri"/>
                                  <w:sz w:val="20"/>
                                  <w:szCs w:val="20"/>
                                </w:rPr>
                                <w:t>1. Review funding arrangements of FRSC and AASC</w:t>
                              </w:r>
                            </w:p>
                            <w:p w14:paraId="0B06F54F" w14:textId="77777777" w:rsidR="004310EC" w:rsidRPr="00CD0862" w:rsidRDefault="004310EC" w:rsidP="003453D3">
                              <w:pPr>
                                <w:keepLines/>
                                <w:spacing w:after="0" w:line="240" w:lineRule="auto"/>
                                <w:rPr>
                                  <w:rFonts w:cs="Calibri"/>
                                  <w:sz w:val="20"/>
                                  <w:szCs w:val="20"/>
                                </w:rPr>
                              </w:pPr>
                              <w:r w:rsidRPr="00CD0862">
                                <w:rPr>
                                  <w:rFonts w:cs="Calibri"/>
                                  <w:sz w:val="20"/>
                                  <w:szCs w:val="20"/>
                                </w:rPr>
                                <w:t>2. Consider publication of PRC LID decisions on erring CPAs</w:t>
                              </w:r>
                            </w:p>
                            <w:p w14:paraId="24FD8DCD" w14:textId="77777777" w:rsidR="004310EC" w:rsidRPr="00CD0862" w:rsidRDefault="004310EC" w:rsidP="003453D3">
                              <w:pPr>
                                <w:keepLines/>
                                <w:spacing w:after="0" w:line="240" w:lineRule="auto"/>
                                <w:rPr>
                                  <w:rFonts w:cs="Calibri"/>
                                  <w:sz w:val="20"/>
                                  <w:szCs w:val="20"/>
                                </w:rPr>
                              </w:pPr>
                              <w:r w:rsidRPr="00CD0862">
                                <w:rPr>
                                  <w:rFonts w:cs="Calibri"/>
                                  <w:sz w:val="20"/>
                                  <w:szCs w:val="20"/>
                                </w:rPr>
                                <w:t>3. Review governance rules of BOA to ensure independence from the profession</w:t>
                              </w:r>
                            </w:p>
                            <w:p w14:paraId="2E35AA7F" w14:textId="77777777" w:rsidR="004310EC" w:rsidRPr="00CD0862" w:rsidRDefault="004310EC" w:rsidP="003453D3">
                              <w:pPr>
                                <w:keepLines/>
                                <w:spacing w:after="0" w:line="240" w:lineRule="auto"/>
                                <w:rPr>
                                  <w:rFonts w:cs="Calibri"/>
                                  <w:sz w:val="20"/>
                                  <w:szCs w:val="20"/>
                                </w:rPr>
                              </w:pPr>
                              <w:r w:rsidRPr="00CD0862">
                                <w:rPr>
                                  <w:rFonts w:cs="Calibri"/>
                                  <w:sz w:val="20"/>
                                  <w:szCs w:val="20"/>
                                </w:rPr>
                                <w:t>4. Overhaul exams to meet “sufficiency” requirements of IES 6</w:t>
                              </w:r>
                            </w:p>
                            <w:p w14:paraId="5BDA8661" w14:textId="77777777" w:rsidR="004310EC" w:rsidRPr="00CD0862" w:rsidRDefault="004310EC" w:rsidP="003453D3">
                              <w:pPr>
                                <w:keepLines/>
                                <w:spacing w:after="0" w:line="240" w:lineRule="auto"/>
                                <w:rPr>
                                  <w:rFonts w:cs="Calibri"/>
                                  <w:sz w:val="20"/>
                                  <w:szCs w:val="20"/>
                                </w:rPr>
                              </w:pPr>
                              <w:r w:rsidRPr="00CD0862">
                                <w:rPr>
                                  <w:rFonts w:cs="Calibri"/>
                                  <w:sz w:val="20"/>
                                  <w:szCs w:val="20"/>
                                </w:rPr>
                                <w:t>5. Ensure experience requirements to comply with IES 5 "Initial Professional Development - Practical experience" 2015</w:t>
                              </w:r>
                            </w:p>
                            <w:p w14:paraId="69621293" w14:textId="77777777" w:rsidR="004310EC" w:rsidRPr="00025825" w:rsidRDefault="004310EC" w:rsidP="003453D3">
                              <w:pPr>
                                <w:keepLines/>
                                <w:spacing w:after="0" w:line="240" w:lineRule="auto"/>
                                <w:rPr>
                                  <w:rFonts w:cs="Calibri"/>
                                  <w:b/>
                                  <w:sz w:val="20"/>
                                  <w:szCs w:val="20"/>
                                </w:rPr>
                              </w:pPr>
                              <w:r w:rsidRPr="00025825">
                                <w:rPr>
                                  <w:rFonts w:cs="Calibri"/>
                                  <w:b/>
                                  <w:sz w:val="20"/>
                                  <w:szCs w:val="20"/>
                                </w:rPr>
                                <w:t>6. Provide flexibility in attaining CPD units for practitioners</w:t>
                              </w:r>
                            </w:p>
                            <w:p w14:paraId="726F7B59" w14:textId="77777777" w:rsidR="004310EC" w:rsidRPr="00025825" w:rsidRDefault="004310EC" w:rsidP="003453D3">
                              <w:pPr>
                                <w:keepLines/>
                                <w:spacing w:after="0" w:line="240" w:lineRule="auto"/>
                                <w:rPr>
                                  <w:rFonts w:cs="Calibri"/>
                                  <w:b/>
                                  <w:sz w:val="20"/>
                                  <w:szCs w:val="20"/>
                                </w:rPr>
                              </w:pPr>
                              <w:r w:rsidRPr="00025825">
                                <w:rPr>
                                  <w:rFonts w:cs="Calibri"/>
                                  <w:b/>
                                  <w:sz w:val="20"/>
                                  <w:szCs w:val="20"/>
                                </w:rPr>
                                <w:t>7. Finalize the new national accounting curriculum</w:t>
                              </w:r>
                            </w:p>
                            <w:p w14:paraId="39DBFF64" w14:textId="77777777" w:rsidR="004310EC" w:rsidRPr="00025825" w:rsidRDefault="004310EC" w:rsidP="003453D3">
                              <w:pPr>
                                <w:keepLines/>
                                <w:spacing w:after="0" w:line="240" w:lineRule="auto"/>
                                <w:rPr>
                                  <w:rFonts w:cs="Calibri"/>
                                  <w:b/>
                                  <w:sz w:val="20"/>
                                  <w:szCs w:val="20"/>
                                </w:rPr>
                              </w:pPr>
                              <w:r w:rsidRPr="00025825">
                                <w:rPr>
                                  <w:rFonts w:cs="Calibri"/>
                                  <w:b/>
                                  <w:sz w:val="20"/>
                                  <w:szCs w:val="20"/>
                                </w:rPr>
                                <w:t>8. Strengthen institutional arrangement for training auditors outside the Metro Manila Region.</w:t>
                              </w:r>
                            </w:p>
                            <w:p w14:paraId="47E1751F" w14:textId="29ACE4C3" w:rsidR="004310EC" w:rsidRPr="00025825" w:rsidRDefault="004310EC" w:rsidP="003453D3">
                              <w:pPr>
                                <w:keepLines/>
                                <w:spacing w:after="0" w:line="240" w:lineRule="auto"/>
                                <w:rPr>
                                  <w:rFonts w:cs="Calibri"/>
                                  <w:b/>
                                  <w:sz w:val="20"/>
                                  <w:szCs w:val="20"/>
                                </w:rPr>
                              </w:pPr>
                              <w:r>
                                <w:rPr>
                                  <w:rFonts w:cs="Calibri"/>
                                  <w:b/>
                                  <w:sz w:val="20"/>
                                  <w:szCs w:val="20"/>
                                </w:rPr>
                                <w:t>9. Consider o</w:t>
                              </w:r>
                              <w:r w:rsidRPr="00025825">
                                <w:rPr>
                                  <w:rFonts w:cs="Calibri"/>
                                  <w:b/>
                                  <w:sz w:val="20"/>
                                  <w:szCs w:val="20"/>
                                </w:rPr>
                                <w:t xml:space="preserve">utsourcing audits of GOCCs to the profession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14"/>
                        <wps:cNvSpPr txBox="1"/>
                        <wps:spPr>
                          <a:xfrm>
                            <a:off x="7173565" y="638175"/>
                            <a:ext cx="1638300" cy="2114550"/>
                          </a:xfrm>
                          <a:prstGeom prst="rect">
                            <a:avLst/>
                          </a:prstGeom>
                          <a:solidFill>
                            <a:sysClr val="window" lastClr="FFFFFF"/>
                          </a:solidFill>
                          <a:ln w="6350">
                            <a:noFill/>
                          </a:ln>
                        </wps:spPr>
                        <wps:txbx>
                          <w:txbxContent>
                            <w:p w14:paraId="2F56FF47" w14:textId="2DA3A6BB" w:rsidR="004310EC" w:rsidRPr="00CD0862" w:rsidRDefault="004310EC" w:rsidP="003453D3">
                              <w:pPr>
                                <w:keepLines/>
                                <w:spacing w:after="0" w:line="240" w:lineRule="auto"/>
                                <w:rPr>
                                  <w:rFonts w:cs="Calibri"/>
                                  <w:b/>
                                  <w:sz w:val="20"/>
                                  <w:szCs w:val="20"/>
                                </w:rPr>
                              </w:pPr>
                              <w:r w:rsidRPr="00CD0862">
                                <w:rPr>
                                  <w:rFonts w:cs="Calibri"/>
                                  <w:b/>
                                  <w:sz w:val="20"/>
                                  <w:szCs w:val="20"/>
                                </w:rPr>
                                <w:t xml:space="preserve">1. Improve quality of audits for the </w:t>
                              </w:r>
                              <w:r>
                                <w:rPr>
                                  <w:rFonts w:cs="Calibri"/>
                                  <w:b/>
                                  <w:sz w:val="20"/>
                                  <w:szCs w:val="20"/>
                                </w:rPr>
                                <w:t>M</w:t>
                              </w:r>
                              <w:r w:rsidRPr="00CD0862">
                                <w:rPr>
                                  <w:rFonts w:cs="Calibri"/>
                                  <w:b/>
                                  <w:sz w:val="20"/>
                                  <w:szCs w:val="20"/>
                                </w:rPr>
                                <w:t>SME sector to provide reasonable assurance to the users of the financial statements</w:t>
                              </w:r>
                            </w:p>
                            <w:p w14:paraId="378C188A" w14:textId="77777777" w:rsidR="004310EC" w:rsidRPr="00484744" w:rsidRDefault="004310EC" w:rsidP="003453D3">
                              <w:pPr>
                                <w:keepLines/>
                                <w:spacing w:after="0" w:line="240" w:lineRule="auto"/>
                                <w:rPr>
                                  <w:rFonts w:cs="Calibri"/>
                                  <w:sz w:val="20"/>
                                  <w:szCs w:val="20"/>
                                </w:rPr>
                              </w:pPr>
                              <w:r w:rsidRPr="00484744">
                                <w:rPr>
                                  <w:rFonts w:cs="Calibri"/>
                                  <w:sz w:val="20"/>
                                  <w:szCs w:val="20"/>
                                </w:rPr>
                                <w:t>2. Further develop capacity to make judgments and estimates in compliance with a principles-based reporting framework</w:t>
                              </w:r>
                            </w:p>
                            <w:p w14:paraId="1496467E" w14:textId="77777777" w:rsidR="004310EC" w:rsidRPr="00CD0862" w:rsidRDefault="004310EC" w:rsidP="003453D3">
                              <w:pPr>
                                <w:keepLines/>
                                <w:spacing w:after="0" w:line="240" w:lineRule="auto"/>
                                <w:rPr>
                                  <w:rFonts w:cs="Calibri"/>
                                  <w:b/>
                                  <w:sz w:val="20"/>
                                  <w:szCs w:val="20"/>
                                </w:rPr>
                              </w:pPr>
                              <w:r>
                                <w:rPr>
                                  <w:rFonts w:cs="Calibri"/>
                                  <w:b/>
                                  <w:sz w:val="20"/>
                                  <w:szCs w:val="20"/>
                                </w:rPr>
                                <w:t>3. Establish IFRS</w:t>
                              </w:r>
                              <w:r w:rsidRPr="00D35419">
                                <w:rPr>
                                  <w:rFonts w:cs="Calibri"/>
                                  <w:b/>
                                  <w:sz w:val="20"/>
                                  <w:szCs w:val="20"/>
                                </w:rPr>
                                <w:t xml:space="preserve"> transition plan and training program </w:t>
                              </w:r>
                              <w:r>
                                <w:rPr>
                                  <w:rFonts w:cs="Calibri"/>
                                  <w:b/>
                                  <w:sz w:val="20"/>
                                  <w:szCs w:val="20"/>
                                </w:rPr>
                                <w:t>for GOCCs.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1"/>
                        <wps:cNvSpPr txBox="1"/>
                        <wps:spPr>
                          <a:xfrm>
                            <a:off x="191740" y="200025"/>
                            <a:ext cx="1042416" cy="381000"/>
                          </a:xfrm>
                          <a:prstGeom prst="rect">
                            <a:avLst/>
                          </a:prstGeom>
                          <a:solidFill>
                            <a:sysClr val="window" lastClr="FFFFFF">
                              <a:lumMod val="50000"/>
                            </a:sysClr>
                          </a:solidFill>
                          <a:ln w="6350">
                            <a:noFill/>
                          </a:ln>
                        </wps:spPr>
                        <wps:txbx>
                          <w:txbxContent>
                            <w:p w14:paraId="641B19E0"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A&amp;A standards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
                        <wps:cNvSpPr txBox="1"/>
                        <wps:spPr>
                          <a:xfrm>
                            <a:off x="1306165" y="200025"/>
                            <a:ext cx="2103120" cy="381000"/>
                          </a:xfrm>
                          <a:prstGeom prst="rect">
                            <a:avLst/>
                          </a:prstGeom>
                          <a:solidFill>
                            <a:sysClr val="window" lastClr="FFFFFF">
                              <a:lumMod val="65000"/>
                            </a:sysClr>
                          </a:solidFill>
                          <a:ln w="6350">
                            <a:noFill/>
                          </a:ln>
                        </wps:spPr>
                        <wps:txbx>
                          <w:txbxContent>
                            <w:p w14:paraId="7EBC98DD"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Financial reporting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3"/>
                        <wps:cNvSpPr txBox="1"/>
                        <wps:spPr>
                          <a:xfrm>
                            <a:off x="3487390" y="200025"/>
                            <a:ext cx="3639312" cy="381000"/>
                          </a:xfrm>
                          <a:prstGeom prst="rect">
                            <a:avLst/>
                          </a:prstGeom>
                          <a:solidFill>
                            <a:sysClr val="window" lastClr="FFFFFF">
                              <a:lumMod val="65000"/>
                            </a:sysClr>
                          </a:solidFill>
                          <a:ln w="6350">
                            <a:noFill/>
                          </a:ln>
                        </wps:spPr>
                        <wps:txbx>
                          <w:txbxContent>
                            <w:p w14:paraId="2441451B"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Institutional capacity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4"/>
                        <wps:cNvSpPr txBox="1"/>
                        <wps:spPr>
                          <a:xfrm>
                            <a:off x="7173565" y="200025"/>
                            <a:ext cx="1638300" cy="381000"/>
                          </a:xfrm>
                          <a:prstGeom prst="rect">
                            <a:avLst/>
                          </a:prstGeom>
                          <a:solidFill>
                            <a:sysClr val="window" lastClr="FFFFFF">
                              <a:lumMod val="50000"/>
                            </a:sysClr>
                          </a:solidFill>
                          <a:ln w="6350">
                            <a:noFill/>
                          </a:ln>
                        </wps:spPr>
                        <wps:txbx>
                          <w:txbxContent>
                            <w:p w14:paraId="7704E928"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Observed reporting practices and perceptions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6"/>
                        <wps:cNvSpPr txBox="1"/>
                        <wps:spPr>
                          <a:xfrm>
                            <a:off x="191740" y="647700"/>
                            <a:ext cx="1038225" cy="2105025"/>
                          </a:xfrm>
                          <a:prstGeom prst="rect">
                            <a:avLst/>
                          </a:prstGeom>
                          <a:solidFill>
                            <a:sysClr val="window" lastClr="FFFFFF"/>
                          </a:solidFill>
                          <a:ln w="6350">
                            <a:noFill/>
                          </a:ln>
                        </wps:spPr>
                        <wps:txbx>
                          <w:txbxContent>
                            <w:p w14:paraId="1271A742" w14:textId="77777777" w:rsidR="004310EC" w:rsidRPr="00CD0862" w:rsidRDefault="004310EC" w:rsidP="003453D3">
                              <w:pPr>
                                <w:keepLines/>
                                <w:spacing w:after="0" w:line="240" w:lineRule="auto"/>
                                <w:rPr>
                                  <w:rFonts w:cs="Calibri"/>
                                  <w:sz w:val="20"/>
                                  <w:szCs w:val="20"/>
                                </w:rPr>
                              </w:pPr>
                              <w:r w:rsidRPr="00CD0862">
                                <w:rPr>
                                  <w:rFonts w:cs="Calibri"/>
                                  <w:sz w:val="20"/>
                                  <w:szCs w:val="20"/>
                                </w:rPr>
                                <w:t xml:space="preserve">1. Develop road map to prepare for adoption of IFRS 9 and 15 </w:t>
                              </w:r>
                            </w:p>
                            <w:p w14:paraId="2D2A4F0B" w14:textId="77777777" w:rsidR="004310EC" w:rsidRPr="00CD0862" w:rsidRDefault="004310EC" w:rsidP="003453D3">
                              <w:pPr>
                                <w:keepLines/>
                                <w:spacing w:after="0" w:line="240" w:lineRule="auto"/>
                                <w:rPr>
                                  <w:rFonts w:cs="Calibri"/>
                                  <w:sz w:val="20"/>
                                  <w:szCs w:val="20"/>
                                </w:rPr>
                              </w:pPr>
                              <w:r w:rsidRPr="00CD0862">
                                <w:rPr>
                                  <w:rFonts w:cs="Calibri"/>
                                  <w:sz w:val="20"/>
                                  <w:szCs w:val="20"/>
                                </w:rPr>
                                <w:t>2. Develop practical guidelines on the adoption of PFRS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16"/>
                        <wps:cNvSpPr txBox="1"/>
                        <wps:spPr>
                          <a:xfrm>
                            <a:off x="3468340" y="2867025"/>
                            <a:ext cx="3638550" cy="2276475"/>
                          </a:xfrm>
                          <a:prstGeom prst="rect">
                            <a:avLst/>
                          </a:prstGeom>
                          <a:solidFill>
                            <a:sysClr val="window" lastClr="FFFFFF"/>
                          </a:solidFill>
                          <a:ln w="6350">
                            <a:noFill/>
                          </a:ln>
                        </wps:spPr>
                        <wps:txbx>
                          <w:txbxContent>
                            <w:p w14:paraId="4B271816" w14:textId="61CC2233" w:rsidR="004310EC" w:rsidRPr="00CD0862" w:rsidRDefault="004310EC" w:rsidP="003453D3">
                              <w:pPr>
                                <w:keepLines/>
                                <w:spacing w:after="0" w:line="240" w:lineRule="auto"/>
                                <w:rPr>
                                  <w:rFonts w:cs="Calibri"/>
                                  <w:sz w:val="20"/>
                                  <w:szCs w:val="20"/>
                                </w:rPr>
                              </w:pPr>
                              <w:r w:rsidRPr="00CD0862">
                                <w:rPr>
                                  <w:rFonts w:cs="Calibri"/>
                                  <w:sz w:val="20"/>
                                  <w:szCs w:val="20"/>
                                </w:rPr>
                                <w:t>10. Consider admitting qualified foreign practitioners</w:t>
                              </w:r>
                              <w:r w:rsidR="00711E84">
                                <w:rPr>
                                  <w:rFonts w:cs="Calibri"/>
                                  <w:sz w:val="20"/>
                                  <w:szCs w:val="20"/>
                                </w:rPr>
                                <w:t xml:space="preserve"> </w:t>
                              </w:r>
                              <w:r w:rsidR="00711E84" w:rsidRPr="00711E84">
                                <w:rPr>
                                  <w:rFonts w:cs="Calibri"/>
                                  <w:sz w:val="20"/>
                                  <w:szCs w:val="20"/>
                                </w:rPr>
                                <w:t>subject to an examination related to tax and audit rules</w:t>
                              </w:r>
                            </w:p>
                            <w:p w14:paraId="35D3DB96" w14:textId="77777777" w:rsidR="004310EC" w:rsidRPr="00CD0862" w:rsidRDefault="004310EC" w:rsidP="003453D3">
                              <w:pPr>
                                <w:keepLines/>
                                <w:spacing w:after="0" w:line="240" w:lineRule="auto"/>
                                <w:rPr>
                                  <w:rFonts w:cs="Calibri"/>
                                  <w:sz w:val="20"/>
                                  <w:szCs w:val="20"/>
                                </w:rPr>
                              </w:pPr>
                              <w:r w:rsidRPr="00CD0862">
                                <w:rPr>
                                  <w:rFonts w:cs="Calibri"/>
                                  <w:sz w:val="20"/>
                                  <w:szCs w:val="20"/>
                                </w:rPr>
                                <w:t>11. Review PICPA governance rules with respect to tenure</w:t>
                              </w:r>
                            </w:p>
                            <w:p w14:paraId="1B9BC9EF" w14:textId="77777777" w:rsidR="004310EC" w:rsidRPr="00CD0862" w:rsidRDefault="004310EC" w:rsidP="003453D3">
                              <w:pPr>
                                <w:keepLines/>
                                <w:spacing w:after="0" w:line="240" w:lineRule="auto"/>
                                <w:rPr>
                                  <w:rFonts w:cs="Calibri"/>
                                  <w:sz w:val="20"/>
                                  <w:szCs w:val="20"/>
                                </w:rPr>
                              </w:pPr>
                              <w:r w:rsidRPr="00CD0862">
                                <w:rPr>
                                  <w:rFonts w:cs="Calibri"/>
                                  <w:sz w:val="20"/>
                                  <w:szCs w:val="20"/>
                                </w:rPr>
                                <w:t>12. Rationalize PICPA fee structure and value for membership</w:t>
                              </w:r>
                            </w:p>
                            <w:p w14:paraId="429E9164" w14:textId="77777777" w:rsidR="004310EC" w:rsidRPr="004310EC" w:rsidRDefault="004310EC" w:rsidP="003453D3">
                              <w:pPr>
                                <w:keepLines/>
                                <w:spacing w:after="0" w:line="240" w:lineRule="auto"/>
                                <w:rPr>
                                  <w:rFonts w:cs="Calibri"/>
                                  <w:b/>
                                  <w:sz w:val="20"/>
                                  <w:szCs w:val="20"/>
                                </w:rPr>
                              </w:pPr>
                              <w:r w:rsidRPr="004310EC">
                                <w:rPr>
                                  <w:rFonts w:cs="Calibri"/>
                                  <w:b/>
                                  <w:sz w:val="20"/>
                                  <w:szCs w:val="20"/>
                                </w:rPr>
                                <w:t>13. Consider including a PICPA</w:t>
                              </w:r>
                              <w:bookmarkStart w:id="48" w:name="_GoBack"/>
                              <w:bookmarkEnd w:id="48"/>
                              <w:r w:rsidRPr="004310EC">
                                <w:rPr>
                                  <w:rFonts w:cs="Calibri"/>
                                  <w:b/>
                                  <w:sz w:val="20"/>
                                  <w:szCs w:val="20"/>
                                </w:rPr>
                                <w:t xml:space="preserve"> membership tier for Accounting Technicians</w:t>
                              </w:r>
                            </w:p>
                            <w:p w14:paraId="583C92AD" w14:textId="77777777" w:rsidR="004310EC" w:rsidRPr="00CD0862" w:rsidRDefault="004310EC" w:rsidP="003453D3">
                              <w:pPr>
                                <w:keepLines/>
                                <w:spacing w:after="0" w:line="240" w:lineRule="auto"/>
                                <w:rPr>
                                  <w:rFonts w:cs="Calibri"/>
                                  <w:sz w:val="20"/>
                                  <w:szCs w:val="20"/>
                                </w:rPr>
                              </w:pPr>
                              <w:r w:rsidRPr="00CD0862">
                                <w:rPr>
                                  <w:rFonts w:cs="Calibri"/>
                                  <w:sz w:val="20"/>
                                  <w:szCs w:val="20"/>
                                </w:rPr>
                                <w:t>14. Evaluate the need for viable career development paths for women in the profession.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15"/>
                        <wps:cNvSpPr txBox="1"/>
                        <wps:spPr>
                          <a:xfrm>
                            <a:off x="1306165" y="2867025"/>
                            <a:ext cx="2103120" cy="790575"/>
                          </a:xfrm>
                          <a:prstGeom prst="rect">
                            <a:avLst/>
                          </a:prstGeom>
                          <a:solidFill>
                            <a:sysClr val="window" lastClr="FFFFFF"/>
                          </a:solidFill>
                          <a:ln w="6350">
                            <a:noFill/>
                          </a:ln>
                        </wps:spPr>
                        <wps:txbx>
                          <w:txbxContent>
                            <w:p w14:paraId="636D276A" w14:textId="77777777" w:rsidR="004310EC" w:rsidRPr="008602D8" w:rsidRDefault="004310EC" w:rsidP="003453D3">
                              <w:pPr>
                                <w:keepLines/>
                                <w:spacing w:after="0" w:line="240" w:lineRule="auto"/>
                                <w:rPr>
                                  <w:rFonts w:cs="Calibri"/>
                                  <w:b/>
                                  <w:sz w:val="20"/>
                                  <w:szCs w:val="20"/>
                                </w:rPr>
                              </w:pPr>
                              <w:r w:rsidRPr="00484744">
                                <w:rPr>
                                  <w:rFonts w:cs="Calibri"/>
                                  <w:b/>
                                  <w:sz w:val="20"/>
                                  <w:szCs w:val="20"/>
                                </w:rPr>
                                <w:t>6. Update the Accountancy Law to realign legislation with international good practice and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17"/>
                        <wps:cNvSpPr txBox="1"/>
                        <wps:spPr>
                          <a:xfrm>
                            <a:off x="3468340" y="5257800"/>
                            <a:ext cx="3648075" cy="752475"/>
                          </a:xfrm>
                          <a:prstGeom prst="rect">
                            <a:avLst/>
                          </a:prstGeom>
                          <a:solidFill>
                            <a:sysClr val="window" lastClr="FFFFFF"/>
                          </a:solidFill>
                          <a:ln w="6350">
                            <a:noFill/>
                          </a:ln>
                        </wps:spPr>
                        <wps:txbx>
                          <w:txbxContent>
                            <w:p w14:paraId="6D8E0803" w14:textId="77777777" w:rsidR="004310EC" w:rsidRPr="007F5CD0" w:rsidRDefault="004310EC" w:rsidP="003453D3">
                              <w:pPr>
                                <w:keepLines/>
                                <w:spacing w:after="0" w:line="240" w:lineRule="auto"/>
                                <w:rPr>
                                  <w:rFonts w:cs="Calibri"/>
                                  <w:sz w:val="20"/>
                                  <w:szCs w:val="20"/>
                                </w:rPr>
                              </w:pPr>
                              <w:r w:rsidRPr="007F5CD0">
                                <w:rPr>
                                  <w:rFonts w:cs="Calibri"/>
                                  <w:sz w:val="20"/>
                                  <w:szCs w:val="20"/>
                                </w:rPr>
                                <w:t>20. Strengthen capacity of low performing schools in CPA examinations</w:t>
                              </w:r>
                            </w:p>
                            <w:p w14:paraId="7CD65A9D" w14:textId="77777777" w:rsidR="004310EC" w:rsidRPr="00025825" w:rsidRDefault="004310EC" w:rsidP="003453D3">
                              <w:pPr>
                                <w:keepLines/>
                                <w:spacing w:after="0" w:line="240" w:lineRule="auto"/>
                                <w:rPr>
                                  <w:rFonts w:cs="Calibri"/>
                                  <w:b/>
                                  <w:sz w:val="20"/>
                                  <w:szCs w:val="20"/>
                                  <w:highlight w:val="yellow"/>
                                </w:rPr>
                              </w:pPr>
                              <w:r w:rsidRPr="00025825">
                                <w:rPr>
                                  <w:rFonts w:cs="Calibri"/>
                                  <w:b/>
                                  <w:sz w:val="20"/>
                                  <w:szCs w:val="20"/>
                                </w:rPr>
                                <w:t>21. Build SMP capacity to serve as trusted adviser for the MSME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23"/>
                        <wps:cNvSpPr txBox="1"/>
                        <wps:spPr>
                          <a:xfrm rot="16200000">
                            <a:off x="-403763" y="5519928"/>
                            <a:ext cx="877570" cy="237744"/>
                          </a:xfrm>
                          <a:prstGeom prst="rect">
                            <a:avLst/>
                          </a:prstGeom>
                          <a:solidFill>
                            <a:srgbClr val="5B9BD5">
                              <a:lumMod val="60000"/>
                              <a:lumOff val="40000"/>
                            </a:srgbClr>
                          </a:solidFill>
                          <a:ln w="6350">
                            <a:noFill/>
                          </a:ln>
                        </wps:spPr>
                        <wps:txbx>
                          <w:txbxContent>
                            <w:p w14:paraId="465F3F3B" w14:textId="77777777" w:rsidR="004310EC" w:rsidRPr="008602D8" w:rsidRDefault="004310EC" w:rsidP="003453D3">
                              <w:pPr>
                                <w:spacing w:after="0" w:line="240" w:lineRule="auto"/>
                                <w:jc w:val="center"/>
                                <w:rPr>
                                  <w:b/>
                                </w:rPr>
                              </w:pPr>
                              <w:r w:rsidRPr="00484744">
                                <w:rPr>
                                  <w:b/>
                                </w:rPr>
                                <w:t>Long</w:t>
                              </w:r>
                              <w:r w:rsidRPr="008602D8">
                                <w:rPr>
                                  <w:rFonts w:cs="Calibri"/>
                                  <w:b/>
                                </w:rPr>
                                <w:t xml:space="preserve"> term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3F617DE4" id="Group 41" o:spid="_x0000_s1027" style="position:absolute;margin-left:0;margin-top:-21.5pt;width:702.3pt;height:479.4pt;z-index:251658244;mso-position-horizontal-relative:margin;mso-width-relative:margin" coordorigin="-857" coordsize="89572,60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">
                <v:rect id="Rectangle 26" o:spid="_x0000_s1028" style="position:absolute;left:1536;top:52006;width:87141;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" fillcolor="#9dc3e6" stroked="f" strokeweight="1pt"/>
                <v:shape id="Text Box 5" o:spid="_x0000_s1029" type="#_x0000_t202" style="position:absolute;left:13061;width:5820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" fillcolor="#7f7f7f" stroked="f" strokeweight=".5pt">
                  <v:textbox inset="0,0,0,0">
                    <w:txbxContent>
                      <w:p w14:paraId="74623BAC" w14:textId="77777777" w:rsidR="004310EC" w:rsidRPr="000B59FF" w:rsidRDefault="004310EC" w:rsidP="003453D3">
                        <w:pPr>
                          <w:spacing w:before="20" w:after="0" w:line="240" w:lineRule="auto"/>
                          <w:jc w:val="center"/>
                          <w:rPr>
                            <w:color w:val="FFFFFF"/>
                            <w:sz w:val="20"/>
                            <w:szCs w:val="20"/>
                          </w:rPr>
                        </w:pPr>
                        <w:r w:rsidRPr="000B59FF">
                          <w:rPr>
                            <w:rFonts w:cs="Calibri"/>
                            <w:color w:val="FFFFFF"/>
                            <w:sz w:val="20"/>
                            <w:szCs w:val="20"/>
                          </w:rPr>
                          <w:t>Institutional framework</w:t>
                        </w:r>
                      </w:p>
                    </w:txbxContent>
                  </v:textbox>
                </v:shape>
                <v:rect id="Rectangle 24" o:spid="_x0000_s1030" style="position:absolute;left:1441;top:5810;width:87249;height:22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" fillcolor="#c5e0b4" stroked="f" strokeweight="1pt"/>
                <v:shape id="Text Box 19" o:spid="_x0000_s1031" type="#_x0000_t202" style="position:absolute;left:-10870;top:15835;width:22312;height:2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" fillcolor="#c5e0b4" stroked="f" strokeweight=".5pt">
                  <v:textbox inset="0,0,0,0">
                    <w:txbxContent>
                      <w:p w14:paraId="77983AB4" w14:textId="77777777" w:rsidR="004310EC" w:rsidRPr="008602D8" w:rsidRDefault="004310EC" w:rsidP="003453D3">
                        <w:pPr>
                          <w:spacing w:after="0" w:line="240" w:lineRule="auto"/>
                          <w:jc w:val="center"/>
                          <w:rPr>
                            <w:b/>
                          </w:rPr>
                        </w:pPr>
                        <w:r w:rsidRPr="00484744">
                          <w:rPr>
                            <w:rFonts w:cs="Calibri"/>
                            <w:b/>
                          </w:rPr>
                          <w:t>Short term</w:t>
                        </w:r>
                      </w:p>
                    </w:txbxContent>
                  </v:textbox>
                </v:shape>
                <v:rect id="Rectangle 25" o:spid="_x0000_s1032" style="position:absolute;left:1441;top:28098;width:87274;height:23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" fillcolor="#ffe699" stroked="f" strokeweight="1pt"/>
                <v:shape id="Text Box 22" o:spid="_x0000_s1033" type="#_x0000_t202" style="position:absolute;left:-11665;top:38919;width:23952;height:22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" fillcolor="#ffe699" stroked="f" strokeweight=".5pt">
                  <v:textbox inset="0,0,0,0">
                    <w:txbxContent>
                      <w:p w14:paraId="26110A19" w14:textId="77777777" w:rsidR="004310EC" w:rsidRPr="008602D8" w:rsidRDefault="004310EC" w:rsidP="003453D3">
                        <w:pPr>
                          <w:spacing w:after="0" w:line="240" w:lineRule="auto"/>
                          <w:jc w:val="center"/>
                          <w:rPr>
                            <w:b/>
                          </w:rPr>
                        </w:pPr>
                        <w:r w:rsidRPr="00484744">
                          <w:rPr>
                            <w:b/>
                          </w:rPr>
                          <w:t>Medium</w:t>
                        </w:r>
                        <w:r w:rsidRPr="008602D8">
                          <w:rPr>
                            <w:rFonts w:cs="Calibri"/>
                            <w:b/>
                          </w:rPr>
                          <w:t xml:space="preserve"> term</w:t>
                        </w:r>
                      </w:p>
                    </w:txbxContent>
                  </v:textbox>
                </v:shape>
                <v:line id="Straight Connector 36" o:spid="_x0000_s1034" style="position:absolute;visibility:visible;mso-wrap-style:square" from="7156,4000" to="7156,6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" strokecolor="#7f7f7f" strokeweight="6pt">
                  <v:stroke joinstyle="miter"/>
                </v:line>
                <v:line id="Straight Connector 37" o:spid="_x0000_s1035" style="position:absolute;visibility:visible;mso-wrap-style:square" from="23539,4000" to="23539,6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" strokecolor="#a6a6a6" strokeweight="6pt">
                  <v:stroke joinstyle="miter"/>
                </v:line>
                <v:line id="Straight Connector 38" o:spid="_x0000_s1036" style="position:absolute;visibility:visible;mso-wrap-style:square" from="53066,4000" to="53066,60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" strokecolor="#a6a6a6" strokeweight="6pt">
                  <v:stroke joinstyle="miter"/>
                </v:line>
                <v:line id="Straight Connector 39" o:spid="_x0000_s1037" style="position:absolute;visibility:visible;mso-wrap-style:square" from="79927,4000" to="79927,60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" strokecolor="#7f7f7f" strokeweight="6pt">
                  <v:stroke joinstyle="miter"/>
                </v:line>
                <v:shape id="Text Box 8" o:spid="_x0000_s1038" type="#_x0000_t202" style="position:absolute;left:13061;top:6381;width:21050;height:2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76BD1A8D"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1.</w:t>
                        </w:r>
                        <w:r w:rsidRPr="00025825">
                          <w:rPr>
                            <w:rFonts w:cs="Calibri"/>
                            <w:sz w:val="20"/>
                            <w:szCs w:val="20"/>
                          </w:rPr>
                          <w:t xml:space="preserve"> </w:t>
                        </w:r>
                        <w:r w:rsidRPr="0048571B">
                          <w:rPr>
                            <w:rFonts w:cs="Calibri"/>
                            <w:b/>
                            <w:sz w:val="20"/>
                            <w:szCs w:val="20"/>
                          </w:rPr>
                          <w:t>Develop a working group to review the legal framework for audit quality assurance</w:t>
                        </w:r>
                      </w:p>
                      <w:p w14:paraId="4FB07946"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2. Coordinate QA initiatives of various agencies, incorporating international good practices and principles</w:t>
                        </w:r>
                      </w:p>
                      <w:p w14:paraId="40295B8E"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3. Rationalize audit requirements especially for MSMEs</w:t>
                        </w:r>
                      </w:p>
                      <w:p w14:paraId="0DAA2A5C"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4. Review auditor accreditation requirements to enhance coordination</w:t>
                        </w:r>
                      </w:p>
                      <w:p w14:paraId="5427C1BE" w14:textId="77777777" w:rsidR="004310EC" w:rsidRPr="0048571B" w:rsidRDefault="004310EC" w:rsidP="003453D3">
                        <w:pPr>
                          <w:keepLines/>
                          <w:spacing w:after="0" w:line="240" w:lineRule="auto"/>
                          <w:rPr>
                            <w:rFonts w:cs="Calibri"/>
                            <w:b/>
                            <w:sz w:val="20"/>
                            <w:szCs w:val="20"/>
                          </w:rPr>
                        </w:pPr>
                        <w:r w:rsidRPr="0048571B">
                          <w:rPr>
                            <w:rFonts w:cs="Calibri"/>
                            <w:b/>
                            <w:sz w:val="20"/>
                            <w:szCs w:val="20"/>
                          </w:rPr>
                          <w:t>5. Review compilation requirements</w:t>
                        </w:r>
                      </w:p>
                    </w:txbxContent>
                  </v:textbox>
                </v:shape>
                <v:shape id="Text Box 13" o:spid="_x0000_s1039" type="#_x0000_t202" style="position:absolute;left:34683;top:6381;width:36385;height:2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" fillcolor="window" stroked="f" strokeweight=".5pt">
                  <v:textbox>
                    <w:txbxContent>
                      <w:p w14:paraId="14408A51" w14:textId="77777777" w:rsidR="004310EC" w:rsidRPr="00CD0862" w:rsidRDefault="004310EC" w:rsidP="003453D3">
                        <w:pPr>
                          <w:keepLines/>
                          <w:spacing w:after="0" w:line="240" w:lineRule="auto"/>
                          <w:rPr>
                            <w:rFonts w:cs="Calibri"/>
                            <w:sz w:val="20"/>
                            <w:szCs w:val="20"/>
                          </w:rPr>
                        </w:pPr>
                        <w:r w:rsidRPr="00CD0862">
                          <w:rPr>
                            <w:rFonts w:cs="Calibri"/>
                            <w:sz w:val="20"/>
                            <w:szCs w:val="20"/>
                          </w:rPr>
                          <w:t>1. Review funding arrangements of FRSC and AASC</w:t>
                        </w:r>
                      </w:p>
                      <w:p w14:paraId="0B06F54F" w14:textId="77777777" w:rsidR="004310EC" w:rsidRPr="00CD0862" w:rsidRDefault="004310EC" w:rsidP="003453D3">
                        <w:pPr>
                          <w:keepLines/>
                          <w:spacing w:after="0" w:line="240" w:lineRule="auto"/>
                          <w:rPr>
                            <w:rFonts w:cs="Calibri"/>
                            <w:sz w:val="20"/>
                            <w:szCs w:val="20"/>
                          </w:rPr>
                        </w:pPr>
                        <w:r w:rsidRPr="00CD0862">
                          <w:rPr>
                            <w:rFonts w:cs="Calibri"/>
                            <w:sz w:val="20"/>
                            <w:szCs w:val="20"/>
                          </w:rPr>
                          <w:t>2. Consider publication of PRC LID decisions on erring CPAs</w:t>
                        </w:r>
                      </w:p>
                      <w:p w14:paraId="24FD8DCD" w14:textId="77777777" w:rsidR="004310EC" w:rsidRPr="00CD0862" w:rsidRDefault="004310EC" w:rsidP="003453D3">
                        <w:pPr>
                          <w:keepLines/>
                          <w:spacing w:after="0" w:line="240" w:lineRule="auto"/>
                          <w:rPr>
                            <w:rFonts w:cs="Calibri"/>
                            <w:sz w:val="20"/>
                            <w:szCs w:val="20"/>
                          </w:rPr>
                        </w:pPr>
                        <w:r w:rsidRPr="00CD0862">
                          <w:rPr>
                            <w:rFonts w:cs="Calibri"/>
                            <w:sz w:val="20"/>
                            <w:szCs w:val="20"/>
                          </w:rPr>
                          <w:t>3. Review governance rules of BOA to ensure independence from the profession</w:t>
                        </w:r>
                      </w:p>
                      <w:p w14:paraId="2E35AA7F" w14:textId="77777777" w:rsidR="004310EC" w:rsidRPr="00CD0862" w:rsidRDefault="004310EC" w:rsidP="003453D3">
                        <w:pPr>
                          <w:keepLines/>
                          <w:spacing w:after="0" w:line="240" w:lineRule="auto"/>
                          <w:rPr>
                            <w:rFonts w:cs="Calibri"/>
                            <w:sz w:val="20"/>
                            <w:szCs w:val="20"/>
                          </w:rPr>
                        </w:pPr>
                        <w:r w:rsidRPr="00CD0862">
                          <w:rPr>
                            <w:rFonts w:cs="Calibri"/>
                            <w:sz w:val="20"/>
                            <w:szCs w:val="20"/>
                          </w:rPr>
                          <w:t>4. Overhaul exams to meet “sufficiency” requirements of IES 6</w:t>
                        </w:r>
                      </w:p>
                      <w:p w14:paraId="5BDA8661" w14:textId="77777777" w:rsidR="004310EC" w:rsidRPr="00CD0862" w:rsidRDefault="004310EC" w:rsidP="003453D3">
                        <w:pPr>
                          <w:keepLines/>
                          <w:spacing w:after="0" w:line="240" w:lineRule="auto"/>
                          <w:rPr>
                            <w:rFonts w:cs="Calibri"/>
                            <w:sz w:val="20"/>
                            <w:szCs w:val="20"/>
                          </w:rPr>
                        </w:pPr>
                        <w:r w:rsidRPr="00CD0862">
                          <w:rPr>
                            <w:rFonts w:cs="Calibri"/>
                            <w:sz w:val="20"/>
                            <w:szCs w:val="20"/>
                          </w:rPr>
                          <w:t>5. Ensure experience requirements to comply with IES 5 "Initial Professional Development - Practical experience" 2015</w:t>
                        </w:r>
                      </w:p>
                      <w:p w14:paraId="69621293" w14:textId="77777777" w:rsidR="004310EC" w:rsidRPr="00025825" w:rsidRDefault="004310EC" w:rsidP="003453D3">
                        <w:pPr>
                          <w:keepLines/>
                          <w:spacing w:after="0" w:line="240" w:lineRule="auto"/>
                          <w:rPr>
                            <w:rFonts w:cs="Calibri"/>
                            <w:b/>
                            <w:sz w:val="20"/>
                            <w:szCs w:val="20"/>
                          </w:rPr>
                        </w:pPr>
                        <w:r w:rsidRPr="00025825">
                          <w:rPr>
                            <w:rFonts w:cs="Calibri"/>
                            <w:b/>
                            <w:sz w:val="20"/>
                            <w:szCs w:val="20"/>
                          </w:rPr>
                          <w:t>6. Provide flexibility in attaining CPD units for practitioners</w:t>
                        </w:r>
                      </w:p>
                      <w:p w14:paraId="726F7B59" w14:textId="77777777" w:rsidR="004310EC" w:rsidRPr="00025825" w:rsidRDefault="004310EC" w:rsidP="003453D3">
                        <w:pPr>
                          <w:keepLines/>
                          <w:spacing w:after="0" w:line="240" w:lineRule="auto"/>
                          <w:rPr>
                            <w:rFonts w:cs="Calibri"/>
                            <w:b/>
                            <w:sz w:val="20"/>
                            <w:szCs w:val="20"/>
                          </w:rPr>
                        </w:pPr>
                        <w:r w:rsidRPr="00025825">
                          <w:rPr>
                            <w:rFonts w:cs="Calibri"/>
                            <w:b/>
                            <w:sz w:val="20"/>
                            <w:szCs w:val="20"/>
                          </w:rPr>
                          <w:t>7. Finalize the new national accounting curriculum</w:t>
                        </w:r>
                      </w:p>
                      <w:p w14:paraId="39DBFF64" w14:textId="77777777" w:rsidR="004310EC" w:rsidRPr="00025825" w:rsidRDefault="004310EC" w:rsidP="003453D3">
                        <w:pPr>
                          <w:keepLines/>
                          <w:spacing w:after="0" w:line="240" w:lineRule="auto"/>
                          <w:rPr>
                            <w:rFonts w:cs="Calibri"/>
                            <w:b/>
                            <w:sz w:val="20"/>
                            <w:szCs w:val="20"/>
                          </w:rPr>
                        </w:pPr>
                        <w:r w:rsidRPr="00025825">
                          <w:rPr>
                            <w:rFonts w:cs="Calibri"/>
                            <w:b/>
                            <w:sz w:val="20"/>
                            <w:szCs w:val="20"/>
                          </w:rPr>
                          <w:t>8. Strengthen institutional arrangement for training auditors outside the Metro Manila Region.</w:t>
                        </w:r>
                      </w:p>
                      <w:p w14:paraId="47E1751F" w14:textId="29ACE4C3" w:rsidR="004310EC" w:rsidRPr="00025825" w:rsidRDefault="004310EC" w:rsidP="003453D3">
                        <w:pPr>
                          <w:keepLines/>
                          <w:spacing w:after="0" w:line="240" w:lineRule="auto"/>
                          <w:rPr>
                            <w:rFonts w:cs="Calibri"/>
                            <w:b/>
                            <w:sz w:val="20"/>
                            <w:szCs w:val="20"/>
                          </w:rPr>
                        </w:pPr>
                        <w:r>
                          <w:rPr>
                            <w:rFonts w:cs="Calibri"/>
                            <w:b/>
                            <w:sz w:val="20"/>
                            <w:szCs w:val="20"/>
                          </w:rPr>
                          <w:t>9. Consider o</w:t>
                        </w:r>
                        <w:r w:rsidRPr="00025825">
                          <w:rPr>
                            <w:rFonts w:cs="Calibri"/>
                            <w:b/>
                            <w:sz w:val="20"/>
                            <w:szCs w:val="20"/>
                          </w:rPr>
                          <w:t xml:space="preserve">utsourcing audits of GOCCs to the profession </w:t>
                        </w:r>
                      </w:p>
                    </w:txbxContent>
                  </v:textbox>
                </v:shape>
                <v:shape id="Text Box 14" o:spid="_x0000_s1040" type="#_x0000_t202" style="position:absolute;left:71735;top:6381;width:16383;height:21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" fillcolor="window" stroked="f" strokeweight=".5pt">
                  <v:textbox>
                    <w:txbxContent>
                      <w:p w14:paraId="2F56FF47" w14:textId="2DA3A6BB" w:rsidR="004310EC" w:rsidRPr="00CD0862" w:rsidRDefault="004310EC" w:rsidP="003453D3">
                        <w:pPr>
                          <w:keepLines/>
                          <w:spacing w:after="0" w:line="240" w:lineRule="auto"/>
                          <w:rPr>
                            <w:rFonts w:cs="Calibri"/>
                            <w:b/>
                            <w:sz w:val="20"/>
                            <w:szCs w:val="20"/>
                          </w:rPr>
                        </w:pPr>
                        <w:r w:rsidRPr="00CD0862">
                          <w:rPr>
                            <w:rFonts w:cs="Calibri"/>
                            <w:b/>
                            <w:sz w:val="20"/>
                            <w:szCs w:val="20"/>
                          </w:rPr>
                          <w:t xml:space="preserve">1. Improve quality of audits for the </w:t>
                        </w:r>
                        <w:r>
                          <w:rPr>
                            <w:rFonts w:cs="Calibri"/>
                            <w:b/>
                            <w:sz w:val="20"/>
                            <w:szCs w:val="20"/>
                          </w:rPr>
                          <w:t>M</w:t>
                        </w:r>
                        <w:r w:rsidRPr="00CD0862">
                          <w:rPr>
                            <w:rFonts w:cs="Calibri"/>
                            <w:b/>
                            <w:sz w:val="20"/>
                            <w:szCs w:val="20"/>
                          </w:rPr>
                          <w:t>SME sector to provide reasonable assurance to the users of the financial statements</w:t>
                        </w:r>
                      </w:p>
                      <w:p w14:paraId="378C188A" w14:textId="77777777" w:rsidR="004310EC" w:rsidRPr="00484744" w:rsidRDefault="004310EC" w:rsidP="003453D3">
                        <w:pPr>
                          <w:keepLines/>
                          <w:spacing w:after="0" w:line="240" w:lineRule="auto"/>
                          <w:rPr>
                            <w:rFonts w:cs="Calibri"/>
                            <w:sz w:val="20"/>
                            <w:szCs w:val="20"/>
                          </w:rPr>
                        </w:pPr>
                        <w:r w:rsidRPr="00484744">
                          <w:rPr>
                            <w:rFonts w:cs="Calibri"/>
                            <w:sz w:val="20"/>
                            <w:szCs w:val="20"/>
                          </w:rPr>
                          <w:t>2. Further develop capacity to make judgments and estimates in compliance with a principles-based reporting framework</w:t>
                        </w:r>
                      </w:p>
                      <w:p w14:paraId="1496467E" w14:textId="77777777" w:rsidR="004310EC" w:rsidRPr="00CD0862" w:rsidRDefault="004310EC" w:rsidP="003453D3">
                        <w:pPr>
                          <w:keepLines/>
                          <w:spacing w:after="0" w:line="240" w:lineRule="auto"/>
                          <w:rPr>
                            <w:rFonts w:cs="Calibri"/>
                            <w:b/>
                            <w:sz w:val="20"/>
                            <w:szCs w:val="20"/>
                          </w:rPr>
                        </w:pPr>
                        <w:r>
                          <w:rPr>
                            <w:rFonts w:cs="Calibri"/>
                            <w:b/>
                            <w:sz w:val="20"/>
                            <w:szCs w:val="20"/>
                          </w:rPr>
                          <w:t>3. Establish IFRS</w:t>
                        </w:r>
                        <w:r w:rsidRPr="00D35419">
                          <w:rPr>
                            <w:rFonts w:cs="Calibri"/>
                            <w:b/>
                            <w:sz w:val="20"/>
                            <w:szCs w:val="20"/>
                          </w:rPr>
                          <w:t xml:space="preserve"> transition plan and training program </w:t>
                        </w:r>
                        <w:r>
                          <w:rPr>
                            <w:rFonts w:cs="Calibri"/>
                            <w:b/>
                            <w:sz w:val="20"/>
                            <w:szCs w:val="20"/>
                          </w:rPr>
                          <w:t>for GOCCs.</w:t>
                        </w:r>
                      </w:p>
                    </w:txbxContent>
                  </v:textbox>
                </v:shape>
                <v:shape id="Text Box 1" o:spid="_x0000_s1041" type="#_x0000_t202" style="position:absolute;left:1917;top:2000;width:1042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" fillcolor="#7f7f7f" stroked="f" strokeweight=".5pt">
                  <v:textbox>
                    <w:txbxContent>
                      <w:p w14:paraId="641B19E0"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A&amp;A standards</w:t>
                        </w:r>
                      </w:p>
                    </w:txbxContent>
                  </v:textbox>
                </v:shape>
                <v:shape id="Text Box 2" o:spid="_x0000_s1042" type="#_x0000_t202" style="position:absolute;left:13061;top:2000;width:21031;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" fillcolor="#a6a6a6" stroked="f" strokeweight=".5pt">
                  <v:textbox>
                    <w:txbxContent>
                      <w:p w14:paraId="7EBC98DD"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Financial reporting framework</w:t>
                        </w:r>
                      </w:p>
                    </w:txbxContent>
                  </v:textbox>
                </v:shape>
                <v:shape id="Text Box 3" o:spid="_x0000_s1043" type="#_x0000_t202" style="position:absolute;left:34873;top:2000;width:36394;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" fillcolor="#a6a6a6" stroked="f" strokeweight=".5pt">
                  <v:textbox>
                    <w:txbxContent>
                      <w:p w14:paraId="2441451B"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Institutional capacity</w:t>
                        </w:r>
                      </w:p>
                    </w:txbxContent>
                  </v:textbox>
                </v:shape>
                <v:shape id="Text Box 4" o:spid="_x0000_s1044" type="#_x0000_t202" style="position:absolute;left:71735;top:2000;width:16383;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" fillcolor="#7f7f7f" stroked="f" strokeweight=".5pt">
                  <v:textbox>
                    <w:txbxContent>
                      <w:p w14:paraId="7704E928" w14:textId="77777777" w:rsidR="004310EC" w:rsidRPr="000B59FF" w:rsidRDefault="004310EC" w:rsidP="003453D3">
                        <w:pPr>
                          <w:spacing w:after="0" w:line="240" w:lineRule="auto"/>
                          <w:jc w:val="center"/>
                          <w:rPr>
                            <w:color w:val="FFFFFF"/>
                            <w:sz w:val="20"/>
                            <w:szCs w:val="20"/>
                          </w:rPr>
                        </w:pPr>
                        <w:r w:rsidRPr="000B59FF">
                          <w:rPr>
                            <w:rFonts w:cs="Calibri"/>
                            <w:color w:val="FFFFFF"/>
                            <w:sz w:val="20"/>
                            <w:szCs w:val="20"/>
                          </w:rPr>
                          <w:t>Observed reporting practices and perceptions</w:t>
                        </w:r>
                      </w:p>
                    </w:txbxContent>
                  </v:textbox>
                </v:shape>
                <v:shape id="Text Box 6" o:spid="_x0000_s1045" type="#_x0000_t202" style="position:absolute;left:1917;top:6477;width:10382;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1271A742" w14:textId="77777777" w:rsidR="004310EC" w:rsidRPr="00CD0862" w:rsidRDefault="004310EC" w:rsidP="003453D3">
                        <w:pPr>
                          <w:keepLines/>
                          <w:spacing w:after="0" w:line="240" w:lineRule="auto"/>
                          <w:rPr>
                            <w:rFonts w:cs="Calibri"/>
                            <w:sz w:val="20"/>
                            <w:szCs w:val="20"/>
                          </w:rPr>
                        </w:pPr>
                        <w:r w:rsidRPr="00CD0862">
                          <w:rPr>
                            <w:rFonts w:cs="Calibri"/>
                            <w:sz w:val="20"/>
                            <w:szCs w:val="20"/>
                          </w:rPr>
                          <w:t xml:space="preserve">1. Develop road map to prepare for adoption of IFRS 9 and 15 </w:t>
                        </w:r>
                      </w:p>
                      <w:p w14:paraId="2D2A4F0B" w14:textId="77777777" w:rsidR="004310EC" w:rsidRPr="00CD0862" w:rsidRDefault="004310EC" w:rsidP="003453D3">
                        <w:pPr>
                          <w:keepLines/>
                          <w:spacing w:after="0" w:line="240" w:lineRule="auto"/>
                          <w:rPr>
                            <w:rFonts w:cs="Calibri"/>
                            <w:sz w:val="20"/>
                            <w:szCs w:val="20"/>
                          </w:rPr>
                        </w:pPr>
                        <w:r w:rsidRPr="00CD0862">
                          <w:rPr>
                            <w:rFonts w:cs="Calibri"/>
                            <w:sz w:val="20"/>
                            <w:szCs w:val="20"/>
                          </w:rPr>
                          <w:t>2. Develop practical guidelines on the adoption of PFRS 9</w:t>
                        </w:r>
                      </w:p>
                    </w:txbxContent>
                  </v:textbox>
                </v:shape>
                <v:shape id="Text Box 16" o:spid="_x0000_s1046" type="#_x0000_t202" style="position:absolute;left:34683;top:28670;width:36385;height:22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4B271816" w14:textId="61CC2233" w:rsidR="004310EC" w:rsidRPr="00CD0862" w:rsidRDefault="004310EC" w:rsidP="003453D3">
                        <w:pPr>
                          <w:keepLines/>
                          <w:spacing w:after="0" w:line="240" w:lineRule="auto"/>
                          <w:rPr>
                            <w:rFonts w:cs="Calibri"/>
                            <w:sz w:val="20"/>
                            <w:szCs w:val="20"/>
                          </w:rPr>
                        </w:pPr>
                        <w:r w:rsidRPr="00CD0862">
                          <w:rPr>
                            <w:rFonts w:cs="Calibri"/>
                            <w:sz w:val="20"/>
                            <w:szCs w:val="20"/>
                          </w:rPr>
                          <w:t>10. Consider admitting qualified foreign practitioners</w:t>
                        </w:r>
                        <w:r w:rsidR="00711E84">
                          <w:rPr>
                            <w:rFonts w:cs="Calibri"/>
                            <w:sz w:val="20"/>
                            <w:szCs w:val="20"/>
                          </w:rPr>
                          <w:t xml:space="preserve"> </w:t>
                        </w:r>
                        <w:r w:rsidR="00711E84" w:rsidRPr="00711E84">
                          <w:rPr>
                            <w:rFonts w:cs="Calibri"/>
                            <w:sz w:val="20"/>
                            <w:szCs w:val="20"/>
                          </w:rPr>
                          <w:t>subject to an examination related to tax and audit rules</w:t>
                        </w:r>
                      </w:p>
                      <w:p w14:paraId="35D3DB96" w14:textId="77777777" w:rsidR="004310EC" w:rsidRPr="00CD0862" w:rsidRDefault="004310EC" w:rsidP="003453D3">
                        <w:pPr>
                          <w:keepLines/>
                          <w:spacing w:after="0" w:line="240" w:lineRule="auto"/>
                          <w:rPr>
                            <w:rFonts w:cs="Calibri"/>
                            <w:sz w:val="20"/>
                            <w:szCs w:val="20"/>
                          </w:rPr>
                        </w:pPr>
                        <w:r w:rsidRPr="00CD0862">
                          <w:rPr>
                            <w:rFonts w:cs="Calibri"/>
                            <w:sz w:val="20"/>
                            <w:szCs w:val="20"/>
                          </w:rPr>
                          <w:t>11. Review PICPA governance rules with respect to tenure</w:t>
                        </w:r>
                      </w:p>
                      <w:p w14:paraId="1B9BC9EF" w14:textId="77777777" w:rsidR="004310EC" w:rsidRPr="00CD0862" w:rsidRDefault="004310EC" w:rsidP="003453D3">
                        <w:pPr>
                          <w:keepLines/>
                          <w:spacing w:after="0" w:line="240" w:lineRule="auto"/>
                          <w:rPr>
                            <w:rFonts w:cs="Calibri"/>
                            <w:sz w:val="20"/>
                            <w:szCs w:val="20"/>
                          </w:rPr>
                        </w:pPr>
                        <w:r w:rsidRPr="00CD0862">
                          <w:rPr>
                            <w:rFonts w:cs="Calibri"/>
                            <w:sz w:val="20"/>
                            <w:szCs w:val="20"/>
                          </w:rPr>
                          <w:t>12. Rationalize PICPA fee structure and value for membership</w:t>
                        </w:r>
                      </w:p>
                      <w:p w14:paraId="429E9164" w14:textId="77777777" w:rsidR="004310EC" w:rsidRPr="004310EC" w:rsidRDefault="004310EC" w:rsidP="003453D3">
                        <w:pPr>
                          <w:keepLines/>
                          <w:spacing w:after="0" w:line="240" w:lineRule="auto"/>
                          <w:rPr>
                            <w:rFonts w:cs="Calibri"/>
                            <w:b/>
                            <w:sz w:val="20"/>
                            <w:szCs w:val="20"/>
                          </w:rPr>
                        </w:pPr>
                        <w:r w:rsidRPr="004310EC">
                          <w:rPr>
                            <w:rFonts w:cs="Calibri"/>
                            <w:b/>
                            <w:sz w:val="20"/>
                            <w:szCs w:val="20"/>
                          </w:rPr>
                          <w:t>13. Consider including a PICPA</w:t>
                        </w:r>
                        <w:bookmarkStart w:id="49" w:name="_GoBack"/>
                        <w:bookmarkEnd w:id="49"/>
                        <w:r w:rsidRPr="004310EC">
                          <w:rPr>
                            <w:rFonts w:cs="Calibri"/>
                            <w:b/>
                            <w:sz w:val="20"/>
                            <w:szCs w:val="20"/>
                          </w:rPr>
                          <w:t xml:space="preserve"> membership tier for Accounting Technicians</w:t>
                        </w:r>
                      </w:p>
                      <w:p w14:paraId="583C92AD" w14:textId="77777777" w:rsidR="004310EC" w:rsidRPr="00CD0862" w:rsidRDefault="004310EC" w:rsidP="003453D3">
                        <w:pPr>
                          <w:keepLines/>
                          <w:spacing w:after="0" w:line="240" w:lineRule="auto"/>
                          <w:rPr>
                            <w:rFonts w:cs="Calibri"/>
                            <w:sz w:val="20"/>
                            <w:szCs w:val="20"/>
                          </w:rPr>
                        </w:pPr>
                        <w:r w:rsidRPr="00CD0862">
                          <w:rPr>
                            <w:rFonts w:cs="Calibri"/>
                            <w:sz w:val="20"/>
                            <w:szCs w:val="20"/>
                          </w:rPr>
                          <w:t>14. Evaluate the need for viable career development paths for women in the profession.</w:t>
                        </w:r>
                      </w:p>
                    </w:txbxContent>
                  </v:textbox>
                </v:shape>
                <v:shape id="Text Box 15" o:spid="_x0000_s1047" type="#_x0000_t202" style="position:absolute;left:13061;top:28670;width:21031;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1txQAAANsAAAAPAAAAZHJzL2Rvd25yZXYueG1sRI9Ba8JA&#10;FITvhf6H5RV6q5tWE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gse1txQAAANsAAAAP&#10;AAAAAAAAAAAAAAAAAAcCAABkcnMvZG93bnJldi54bWxQSwUGAAAAAAMAAwC3AAAA+QIAAAAA&#10;" fillcolor="window" stroked="f" strokeweight=".5pt">
                  <v:textbox>
                    <w:txbxContent>
                      <w:p w14:paraId="636D276A" w14:textId="77777777" w:rsidR="004310EC" w:rsidRPr="008602D8" w:rsidRDefault="004310EC" w:rsidP="003453D3">
                        <w:pPr>
                          <w:keepLines/>
                          <w:spacing w:after="0" w:line="240" w:lineRule="auto"/>
                          <w:rPr>
                            <w:rFonts w:cs="Calibri"/>
                            <w:b/>
                            <w:sz w:val="20"/>
                            <w:szCs w:val="20"/>
                          </w:rPr>
                        </w:pPr>
                        <w:r w:rsidRPr="00484744">
                          <w:rPr>
                            <w:rFonts w:cs="Calibri"/>
                            <w:b/>
                            <w:sz w:val="20"/>
                            <w:szCs w:val="20"/>
                          </w:rPr>
                          <w:t>6. Update the Accountancy Law to realign legislation with international good practice and principles</w:t>
                        </w:r>
                      </w:p>
                    </w:txbxContent>
                  </v:textbox>
                </v:shape>
                <v:shape id="Text Box 17" o:spid="_x0000_s1048" type="#_x0000_t202" style="position:absolute;left:34683;top:52578;width:36481;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6D8E0803" w14:textId="77777777" w:rsidR="004310EC" w:rsidRPr="007F5CD0" w:rsidRDefault="004310EC" w:rsidP="003453D3">
                        <w:pPr>
                          <w:keepLines/>
                          <w:spacing w:after="0" w:line="240" w:lineRule="auto"/>
                          <w:rPr>
                            <w:rFonts w:cs="Calibri"/>
                            <w:sz w:val="20"/>
                            <w:szCs w:val="20"/>
                          </w:rPr>
                        </w:pPr>
                        <w:r w:rsidRPr="007F5CD0">
                          <w:rPr>
                            <w:rFonts w:cs="Calibri"/>
                            <w:sz w:val="20"/>
                            <w:szCs w:val="20"/>
                          </w:rPr>
                          <w:t>20. Strengthen capacity of low performing schools in CPA examinations</w:t>
                        </w:r>
                      </w:p>
                      <w:p w14:paraId="7CD65A9D" w14:textId="77777777" w:rsidR="004310EC" w:rsidRPr="00025825" w:rsidRDefault="004310EC" w:rsidP="003453D3">
                        <w:pPr>
                          <w:keepLines/>
                          <w:spacing w:after="0" w:line="240" w:lineRule="auto"/>
                          <w:rPr>
                            <w:rFonts w:cs="Calibri"/>
                            <w:b/>
                            <w:sz w:val="20"/>
                            <w:szCs w:val="20"/>
                            <w:highlight w:val="yellow"/>
                          </w:rPr>
                        </w:pPr>
                        <w:r w:rsidRPr="00025825">
                          <w:rPr>
                            <w:rFonts w:cs="Calibri"/>
                            <w:b/>
                            <w:sz w:val="20"/>
                            <w:szCs w:val="20"/>
                          </w:rPr>
                          <w:t>21. Build SMP capacity to serve as trusted adviser for the MSME sector</w:t>
                        </w:r>
                      </w:p>
                    </w:txbxContent>
                  </v:textbox>
                </v:shape>
                <v:shape id="Text Box 23" o:spid="_x0000_s1049" type="#_x0000_t202" style="position:absolute;left:-4038;top:55200;width:8775;height:23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" fillcolor="#9dc3e6" stroked="f" strokeweight=".5pt">
                  <v:textbox inset="0,0,0,0">
                    <w:txbxContent>
                      <w:p w14:paraId="465F3F3B" w14:textId="77777777" w:rsidR="004310EC" w:rsidRPr="008602D8" w:rsidRDefault="004310EC" w:rsidP="003453D3">
                        <w:pPr>
                          <w:spacing w:after="0" w:line="240" w:lineRule="auto"/>
                          <w:jc w:val="center"/>
                          <w:rPr>
                            <w:b/>
                          </w:rPr>
                        </w:pPr>
                        <w:r w:rsidRPr="00484744">
                          <w:rPr>
                            <w:b/>
                          </w:rPr>
                          <w:t>Long</w:t>
                        </w:r>
                        <w:r w:rsidRPr="008602D8">
                          <w:rPr>
                            <w:rFonts w:cs="Calibri"/>
                            <w:b/>
                          </w:rPr>
                          <w:t xml:space="preserve"> term</w:t>
                        </w:r>
                      </w:p>
                    </w:txbxContent>
                  </v:textbox>
                </v:shape>
                <w10:wrap anchorx="margin"/>
              </v:group>
            </w:pict>
          </mc:Fallback>
        </mc:AlternateContent>
      </w:r>
    </w:p>
    <w:p w14:paraId="7B08348E" w14:textId="0402CD49" w:rsidR="00390404" w:rsidRPr="008F1E62" w:rsidRDefault="00390404" w:rsidP="00390404">
      <w:pPr>
        <w:pStyle w:val="Heading1"/>
        <w:spacing w:after="60" w:line="276" w:lineRule="auto"/>
        <w:jc w:val="center"/>
        <w:rPr>
          <w:rFonts w:ascii="Century Gothic" w:eastAsia="MS Gothic" w:hAnsi="Century Gothic" w:cstheme="minorBidi"/>
          <w:color w:val="00AB51"/>
          <w:kern w:val="32"/>
          <w:sz w:val="32"/>
          <w:szCs w:val="32"/>
          <w:lang w:val="en-US"/>
        </w:rPr>
      </w:pPr>
      <w:bookmarkStart w:id="50" w:name="_Toc499825587"/>
      <w:r>
        <w:rPr>
          <w:rFonts w:ascii="Century Gothic" w:eastAsia="MS Gothic" w:hAnsi="Century Gothic" w:cstheme="minorBidi"/>
          <w:caps w:val="0"/>
          <w:color w:val="00AB51"/>
          <w:kern w:val="32"/>
          <w:sz w:val="32"/>
          <w:szCs w:val="32"/>
          <w:lang w:val="en-US"/>
        </w:rPr>
        <w:t>ANNEX 1</w:t>
      </w:r>
      <w:r w:rsidRPr="008F1E62">
        <w:rPr>
          <w:rFonts w:ascii="Century Gothic" w:eastAsia="MS Gothic" w:hAnsi="Century Gothic" w:cstheme="minorBidi"/>
          <w:caps w:val="0"/>
          <w:color w:val="00AB51"/>
          <w:kern w:val="32"/>
          <w:sz w:val="32"/>
          <w:szCs w:val="32"/>
          <w:lang w:val="en-US"/>
        </w:rPr>
        <w:t xml:space="preserve">: </w:t>
      </w:r>
      <w:r w:rsidRPr="008F1E62">
        <w:rPr>
          <w:rFonts w:ascii="Century Gothic" w:eastAsia="MS Gothic" w:hAnsi="Century Gothic" w:cstheme="minorBidi"/>
          <w:color w:val="00AB51"/>
          <w:kern w:val="32"/>
          <w:sz w:val="32"/>
          <w:szCs w:val="32"/>
          <w:lang w:val="en-US"/>
        </w:rPr>
        <w:t>Summary of Progress on ROSC 2006 Recommendations</w:t>
      </w:r>
      <w:bookmarkEnd w:id="50"/>
    </w:p>
    <w:p w14:paraId="04D52606" w14:textId="77777777" w:rsidR="00390404" w:rsidRDefault="00390404" w:rsidP="00390404">
      <w:pPr>
        <w:spacing w:after="0"/>
      </w:pPr>
    </w:p>
    <w:tbl>
      <w:tblPr>
        <w:tblStyle w:val="TableGrid3"/>
        <w:tblW w:w="0" w:type="auto"/>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0A0" w:firstRow="1" w:lastRow="0" w:firstColumn="1" w:lastColumn="0" w:noHBand="0" w:noVBand="0"/>
      </w:tblPr>
      <w:tblGrid>
        <w:gridCol w:w="3060"/>
        <w:gridCol w:w="5966"/>
      </w:tblGrid>
      <w:tr w:rsidR="00390404" w:rsidRPr="00390404" w14:paraId="66A39AB7" w14:textId="77777777" w:rsidTr="00191DEC">
        <w:trPr>
          <w:trHeight w:val="305"/>
          <w:tblHeader/>
          <w:tblCellSpacing w:w="57" w:type="dxa"/>
        </w:trPr>
        <w:tc>
          <w:tcPr>
            <w:tcW w:w="2889" w:type="dxa"/>
            <w:shd w:val="clear" w:color="auto" w:fill="4472C4"/>
            <w:tcMar>
              <w:top w:w="43" w:type="dxa"/>
              <w:left w:w="115" w:type="dxa"/>
              <w:bottom w:w="43" w:type="dxa"/>
              <w:right w:w="115" w:type="dxa"/>
            </w:tcMar>
            <w:vAlign w:val="center"/>
          </w:tcPr>
          <w:p w14:paraId="0020602B" w14:textId="77777777" w:rsidR="00390404" w:rsidRPr="00390404" w:rsidRDefault="00390404" w:rsidP="00191DEC">
            <w:pPr>
              <w:spacing w:after="0"/>
              <w:jc w:val="center"/>
              <w:rPr>
                <w:b/>
                <w:color w:val="FFFFFF" w:themeColor="background1"/>
                <w:sz w:val="20"/>
                <w:szCs w:val="20"/>
              </w:rPr>
            </w:pPr>
            <w:r w:rsidRPr="00390404">
              <w:rPr>
                <w:b/>
                <w:color w:val="FFFFFF" w:themeColor="background1"/>
                <w:sz w:val="20"/>
                <w:szCs w:val="20"/>
              </w:rPr>
              <w:t>2006 Recommendation</w:t>
            </w:r>
          </w:p>
        </w:tc>
        <w:tc>
          <w:tcPr>
            <w:tcW w:w="5795" w:type="dxa"/>
            <w:shd w:val="clear" w:color="auto" w:fill="4472C4"/>
            <w:tcMar>
              <w:top w:w="43" w:type="dxa"/>
              <w:left w:w="115" w:type="dxa"/>
              <w:bottom w:w="43" w:type="dxa"/>
              <w:right w:w="115" w:type="dxa"/>
            </w:tcMar>
            <w:vAlign w:val="center"/>
          </w:tcPr>
          <w:p w14:paraId="7515F6A2" w14:textId="77777777" w:rsidR="00390404" w:rsidRPr="00390404" w:rsidRDefault="00390404" w:rsidP="00191DEC">
            <w:pPr>
              <w:spacing w:after="0"/>
              <w:jc w:val="center"/>
              <w:rPr>
                <w:b/>
                <w:color w:val="FFFFFF" w:themeColor="background1"/>
                <w:sz w:val="20"/>
                <w:szCs w:val="20"/>
              </w:rPr>
            </w:pPr>
            <w:r w:rsidRPr="00390404">
              <w:rPr>
                <w:b/>
                <w:color w:val="FFFFFF" w:themeColor="background1"/>
                <w:sz w:val="20"/>
                <w:szCs w:val="20"/>
              </w:rPr>
              <w:t>Key developments since 2006</w:t>
            </w:r>
          </w:p>
        </w:tc>
      </w:tr>
      <w:tr w:rsidR="00390404" w:rsidRPr="00390404" w14:paraId="38D42CFF" w14:textId="77777777" w:rsidTr="00191DEC">
        <w:trPr>
          <w:trHeight w:val="42"/>
          <w:tblCellSpacing w:w="57" w:type="dxa"/>
        </w:trPr>
        <w:tc>
          <w:tcPr>
            <w:tcW w:w="8798" w:type="dxa"/>
            <w:gridSpan w:val="2"/>
            <w:shd w:val="clear" w:color="auto" w:fill="8C8D90"/>
            <w:tcMar>
              <w:top w:w="43" w:type="dxa"/>
              <w:left w:w="115" w:type="dxa"/>
              <w:bottom w:w="43" w:type="dxa"/>
              <w:right w:w="115" w:type="dxa"/>
            </w:tcMar>
          </w:tcPr>
          <w:p w14:paraId="2D733C11" w14:textId="77777777" w:rsidR="00390404" w:rsidRPr="00390404" w:rsidRDefault="00390404" w:rsidP="00191DEC">
            <w:pPr>
              <w:spacing w:after="0"/>
              <w:jc w:val="center"/>
              <w:rPr>
                <w:b/>
                <w:color w:val="FFFFFF" w:themeColor="background1"/>
                <w:sz w:val="20"/>
                <w:szCs w:val="20"/>
              </w:rPr>
            </w:pPr>
            <w:r w:rsidRPr="00390404">
              <w:rPr>
                <w:b/>
                <w:color w:val="FFFFFF" w:themeColor="background1"/>
                <w:sz w:val="20"/>
                <w:szCs w:val="20"/>
              </w:rPr>
              <w:t>Quality Assurance Review</w:t>
            </w:r>
          </w:p>
        </w:tc>
      </w:tr>
      <w:tr w:rsidR="00390404" w:rsidRPr="00390404" w14:paraId="16129CC8" w14:textId="77777777" w:rsidTr="00191DEC">
        <w:trPr>
          <w:trHeight w:val="42"/>
          <w:tblCellSpacing w:w="57" w:type="dxa"/>
        </w:trPr>
        <w:tc>
          <w:tcPr>
            <w:tcW w:w="2889" w:type="dxa"/>
            <w:shd w:val="clear" w:color="auto" w:fill="E7E6E6" w:themeFill="background2"/>
            <w:tcMar>
              <w:top w:w="43" w:type="dxa"/>
              <w:left w:w="115" w:type="dxa"/>
              <w:bottom w:w="43" w:type="dxa"/>
              <w:right w:w="115" w:type="dxa"/>
            </w:tcMar>
            <w:vAlign w:val="center"/>
          </w:tcPr>
          <w:p w14:paraId="3ECEFDCA" w14:textId="13700A94" w:rsidR="00390404" w:rsidRPr="00390404" w:rsidRDefault="00390404" w:rsidP="00191DEC">
            <w:pPr>
              <w:autoSpaceDE w:val="0"/>
              <w:autoSpaceDN w:val="0"/>
              <w:adjustRightInd w:val="0"/>
              <w:spacing w:after="0"/>
              <w:jc w:val="left"/>
              <w:rPr>
                <w:rFonts w:eastAsia="Times New Roman" w:cstheme="majorBidi"/>
                <w:sz w:val="20"/>
                <w:szCs w:val="20"/>
              </w:rPr>
            </w:pPr>
            <w:r w:rsidRPr="00390404">
              <w:rPr>
                <w:bCs/>
                <w:iCs/>
                <w:sz w:val="20"/>
                <w:szCs w:val="20"/>
              </w:rPr>
              <w:t xml:space="preserve">Establish an oversight body to coordinate the quality control programs of the various Stakeholders (SEC, BSP, </w:t>
            </w:r>
            <w:r w:rsidR="00356110">
              <w:rPr>
                <w:bCs/>
                <w:iCs/>
                <w:sz w:val="20"/>
                <w:szCs w:val="20"/>
              </w:rPr>
              <w:t>IC</w:t>
            </w:r>
            <w:r w:rsidRPr="00390404">
              <w:rPr>
                <w:bCs/>
                <w:iCs/>
                <w:sz w:val="20"/>
                <w:szCs w:val="20"/>
              </w:rPr>
              <w:t xml:space="preserve">, BOA and PICPA) and provide appropriate transparency in carrying out the quality control function. </w:t>
            </w:r>
            <w:r w:rsidRPr="00390404">
              <w:rPr>
                <w:sz w:val="20"/>
                <w:szCs w:val="20"/>
              </w:rPr>
              <w:t xml:space="preserve"> The oversight body would establish among others, the objectives and policies to be </w:t>
            </w:r>
            <w:r w:rsidRPr="00390404">
              <w:rPr>
                <w:bCs/>
                <w:sz w:val="20"/>
                <w:szCs w:val="20"/>
              </w:rPr>
              <w:t>covered</w:t>
            </w:r>
            <w:r w:rsidRPr="00390404">
              <w:rPr>
                <w:sz w:val="20"/>
                <w:szCs w:val="20"/>
              </w:rPr>
              <w:t xml:space="preserve"> by quality control review and the nature and extent of work to be done.  </w:t>
            </w:r>
          </w:p>
        </w:tc>
        <w:tc>
          <w:tcPr>
            <w:tcW w:w="5795" w:type="dxa"/>
            <w:shd w:val="clear" w:color="auto" w:fill="E7E6E6" w:themeFill="background2"/>
            <w:tcMar>
              <w:top w:w="43" w:type="dxa"/>
              <w:left w:w="115" w:type="dxa"/>
              <w:bottom w:w="43" w:type="dxa"/>
              <w:right w:w="115" w:type="dxa"/>
            </w:tcMar>
          </w:tcPr>
          <w:p w14:paraId="25EB0F58" w14:textId="150BACFE" w:rsidR="00390404" w:rsidRPr="00390404" w:rsidRDefault="00390404" w:rsidP="00FF7A94">
            <w:pPr>
              <w:pStyle w:val="ListParagraph"/>
              <w:numPr>
                <w:ilvl w:val="0"/>
                <w:numId w:val="15"/>
              </w:numPr>
              <w:autoSpaceDE w:val="0"/>
              <w:autoSpaceDN w:val="0"/>
              <w:adjustRightInd w:val="0"/>
              <w:spacing w:before="0" w:beforeAutospacing="0" w:afterAutospacing="0" w:line="276" w:lineRule="auto"/>
              <w:ind w:left="288" w:hanging="288"/>
              <w:rPr>
                <w:rFonts w:asciiTheme="minorHAnsi" w:eastAsia="SimSun" w:hAnsiTheme="minorHAnsi" w:cs="Times New Roman"/>
                <w:sz w:val="20"/>
                <w:szCs w:val="20"/>
              </w:rPr>
            </w:pPr>
            <w:r w:rsidRPr="00390404">
              <w:rPr>
                <w:rFonts w:asciiTheme="minorHAnsi" w:eastAsia="SimSun" w:hAnsiTheme="minorHAnsi" w:cs="Times New Roman"/>
                <w:bCs/>
                <w:sz w:val="20"/>
                <w:szCs w:val="20"/>
              </w:rPr>
              <w:t>The Council</w:t>
            </w:r>
            <w:r w:rsidRPr="00390404">
              <w:rPr>
                <w:rFonts w:asciiTheme="minorHAnsi" w:eastAsia="SimSun" w:hAnsiTheme="minorHAnsi" w:cs="Times New Roman"/>
                <w:sz w:val="20"/>
                <w:szCs w:val="20"/>
              </w:rPr>
              <w:t xml:space="preserve"> for Accreditation and Quality Control of Practicing CPAs (“Council”) was created under a Memorandum of Agreement (MOA) executed on August 12, 2009 by BOA, SEC, BSP and the IC,</w:t>
            </w:r>
            <w:r w:rsidRPr="00390404">
              <w:rPr>
                <w:rFonts w:asciiTheme="minorHAnsi" w:eastAsia="SimSun" w:hAnsiTheme="minorHAnsi" w:cs="Times New Roman"/>
                <w:bCs/>
                <w:sz w:val="20"/>
                <w:szCs w:val="20"/>
              </w:rPr>
              <w:t xml:space="preserve"> to act as a technical working group of the Financial Sector Forum and its member-agencies. </w:t>
            </w:r>
          </w:p>
          <w:p w14:paraId="45B85818" w14:textId="77777777" w:rsidR="00390404" w:rsidRPr="00390404" w:rsidRDefault="00390404" w:rsidP="00FF7A94">
            <w:pPr>
              <w:pStyle w:val="ListParagraph"/>
              <w:numPr>
                <w:ilvl w:val="0"/>
                <w:numId w:val="15"/>
              </w:numPr>
              <w:autoSpaceDE w:val="0"/>
              <w:autoSpaceDN w:val="0"/>
              <w:adjustRightInd w:val="0"/>
              <w:spacing w:before="0" w:beforeAutospacing="0" w:afterAutospacing="0" w:line="276" w:lineRule="auto"/>
              <w:ind w:left="288" w:hanging="288"/>
              <w:rPr>
                <w:rFonts w:ascii="Calibri" w:eastAsia="SimSun" w:hAnsi="Calibri" w:cs="Times New Roman"/>
                <w:sz w:val="20"/>
                <w:szCs w:val="20"/>
              </w:rPr>
            </w:pPr>
            <w:r w:rsidRPr="00390404">
              <w:rPr>
                <w:rFonts w:ascii="Calibri" w:hAnsi="Calibri"/>
                <w:bCs/>
                <w:sz w:val="20"/>
                <w:szCs w:val="20"/>
              </w:rPr>
              <w:t>The primary objective of the Council is to promote the reliability and integrity of financial statements of entities under regulation and supervision of Financial Sector Forum member-agencies by providing advisory assistance in the areas of accreditation/selection of external auditors and adherence to quality control standards in the conduct of audit.</w:t>
            </w:r>
          </w:p>
          <w:p w14:paraId="4C18623E" w14:textId="77777777" w:rsidR="00390404" w:rsidRPr="00390404" w:rsidRDefault="00390404" w:rsidP="00FF7A94">
            <w:pPr>
              <w:pStyle w:val="ListParagraph"/>
              <w:numPr>
                <w:ilvl w:val="0"/>
                <w:numId w:val="15"/>
              </w:numPr>
              <w:autoSpaceDE w:val="0"/>
              <w:autoSpaceDN w:val="0"/>
              <w:adjustRightInd w:val="0"/>
              <w:spacing w:before="0" w:beforeAutospacing="0" w:after="0" w:afterAutospacing="0" w:line="276" w:lineRule="auto"/>
              <w:ind w:left="288" w:hanging="288"/>
              <w:rPr>
                <w:rFonts w:ascii="Calibri" w:eastAsia="SimSun" w:hAnsi="Calibri" w:cs="Times New Roman"/>
                <w:sz w:val="20"/>
                <w:szCs w:val="20"/>
              </w:rPr>
            </w:pPr>
            <w:r w:rsidRPr="00390404">
              <w:rPr>
                <w:rFonts w:ascii="Calibri" w:hAnsi="Calibri"/>
                <w:bCs/>
                <w:sz w:val="20"/>
                <w:szCs w:val="20"/>
              </w:rPr>
              <w:t>Various quality assurance inspection program i</w:t>
            </w:r>
            <w:r w:rsidRPr="00390404">
              <w:rPr>
                <w:rFonts w:asciiTheme="minorHAnsi" w:eastAsia="SimSun" w:hAnsiTheme="minorHAnsi" w:cs="Times New Roman"/>
                <w:sz w:val="20"/>
                <w:szCs w:val="20"/>
              </w:rPr>
              <w:t>nitiatives are underway but efforts are fragmented and currently inadequate.</w:t>
            </w:r>
          </w:p>
          <w:p w14:paraId="5E7DAFFA" w14:textId="77777777" w:rsidR="00390404" w:rsidRPr="00390404" w:rsidRDefault="00390404" w:rsidP="00FF7A94">
            <w:pPr>
              <w:pStyle w:val="ListParagraph"/>
              <w:numPr>
                <w:ilvl w:val="1"/>
                <w:numId w:val="19"/>
              </w:numPr>
              <w:autoSpaceDE w:val="0"/>
              <w:autoSpaceDN w:val="0"/>
              <w:adjustRightInd w:val="0"/>
              <w:spacing w:before="0" w:beforeAutospacing="0" w:after="0" w:afterAutospacing="0" w:line="276" w:lineRule="auto"/>
              <w:ind w:left="648"/>
              <w:rPr>
                <w:rFonts w:ascii="Calibri" w:eastAsia="SimSun" w:hAnsi="Calibri" w:cs="Times New Roman"/>
                <w:sz w:val="20"/>
                <w:szCs w:val="20"/>
              </w:rPr>
            </w:pPr>
            <w:r w:rsidRPr="00390404">
              <w:rPr>
                <w:rFonts w:ascii="Calibri" w:eastAsia="SimSun" w:hAnsi="Calibri" w:cs="Times New Roman"/>
                <w:sz w:val="20"/>
                <w:szCs w:val="20"/>
              </w:rPr>
              <w:t>A Quality Assurance Review Department (QARD) and Quality Assurance Review Executive Committee (QAREC) were created by the BOA in 2009 and approved by the Professional Regulation Commission.  The QAREC was granted full power and authority to set policies and supervise the operations of the QARD, which would carry out the activities of the Quality Assurance Review Program (QARP).  However, the QARP has not been implemented and the QAREC is not operational.</w:t>
            </w:r>
          </w:p>
          <w:p w14:paraId="16D4E04A" w14:textId="77777777" w:rsidR="00390404" w:rsidRPr="00390404" w:rsidRDefault="00390404" w:rsidP="00FF7A94">
            <w:pPr>
              <w:pStyle w:val="ListParagraph"/>
              <w:numPr>
                <w:ilvl w:val="1"/>
                <w:numId w:val="19"/>
              </w:numPr>
              <w:autoSpaceDE w:val="0"/>
              <w:autoSpaceDN w:val="0"/>
              <w:adjustRightInd w:val="0"/>
              <w:spacing w:before="0" w:beforeAutospacing="0" w:after="0" w:afterAutospacing="0" w:line="276" w:lineRule="auto"/>
              <w:ind w:left="648"/>
              <w:rPr>
                <w:rFonts w:ascii="Calibri" w:eastAsia="SimSun" w:hAnsi="Calibri" w:cs="Times New Roman"/>
                <w:sz w:val="20"/>
                <w:szCs w:val="20"/>
              </w:rPr>
            </w:pPr>
            <w:r w:rsidRPr="00390404">
              <w:rPr>
                <w:rFonts w:ascii="Calibri" w:eastAsia="SimSun" w:hAnsi="Calibri" w:cs="Times New Roman"/>
                <w:sz w:val="20"/>
                <w:szCs w:val="20"/>
              </w:rPr>
              <w:t xml:space="preserve">PICPA has created a Quality Control Board </w:t>
            </w:r>
          </w:p>
          <w:p w14:paraId="7FAD41E2" w14:textId="77777777" w:rsidR="00390404" w:rsidRPr="00390404" w:rsidRDefault="00390404" w:rsidP="00FF7A94">
            <w:pPr>
              <w:pStyle w:val="ListParagraph"/>
              <w:numPr>
                <w:ilvl w:val="1"/>
                <w:numId w:val="19"/>
              </w:numPr>
              <w:autoSpaceDE w:val="0"/>
              <w:autoSpaceDN w:val="0"/>
              <w:adjustRightInd w:val="0"/>
              <w:spacing w:before="0" w:beforeAutospacing="0" w:after="0" w:afterAutospacing="0" w:line="276" w:lineRule="auto"/>
              <w:ind w:left="648"/>
              <w:rPr>
                <w:rFonts w:eastAsia="SimSun" w:cs="Times New Roman"/>
                <w:sz w:val="20"/>
                <w:szCs w:val="20"/>
              </w:rPr>
            </w:pPr>
            <w:r w:rsidRPr="00390404">
              <w:rPr>
                <w:rFonts w:ascii="Calibri" w:eastAsia="SimSun" w:hAnsi="Calibri" w:cs="Times New Roman"/>
                <w:sz w:val="20"/>
                <w:szCs w:val="20"/>
              </w:rPr>
              <w:t>PICPA has started a Voluntary Quality Assurance Review Program</w:t>
            </w:r>
          </w:p>
          <w:p w14:paraId="34C5747D" w14:textId="77777777" w:rsidR="00390404" w:rsidRPr="00390404" w:rsidRDefault="00390404" w:rsidP="00FF7A94">
            <w:pPr>
              <w:pStyle w:val="ListParagraph"/>
              <w:numPr>
                <w:ilvl w:val="1"/>
                <w:numId w:val="19"/>
              </w:numPr>
              <w:autoSpaceDE w:val="0"/>
              <w:autoSpaceDN w:val="0"/>
              <w:adjustRightInd w:val="0"/>
              <w:spacing w:before="0" w:beforeAutospacing="0" w:after="0" w:afterAutospacing="0" w:line="276" w:lineRule="auto"/>
              <w:ind w:left="648"/>
              <w:rPr>
                <w:rFonts w:ascii="Calibri" w:eastAsia="SimSun" w:hAnsi="Calibri" w:cs="Times New Roman"/>
                <w:sz w:val="20"/>
                <w:szCs w:val="20"/>
              </w:rPr>
            </w:pPr>
            <w:r w:rsidRPr="00390404">
              <w:rPr>
                <w:rFonts w:ascii="Calibri" w:eastAsia="SimSun" w:hAnsi="Calibri" w:cs="Times New Roman"/>
                <w:sz w:val="20"/>
                <w:szCs w:val="20"/>
              </w:rPr>
              <w:t>SEC is in the process of establishing the SEC Oversight Assurance Review (SOAR) program covering listed enterprises</w:t>
            </w:r>
          </w:p>
        </w:tc>
      </w:tr>
      <w:tr w:rsidR="00390404" w:rsidRPr="00390404" w14:paraId="2FBDCCCD" w14:textId="77777777" w:rsidTr="00191DEC">
        <w:trPr>
          <w:cantSplit/>
          <w:trHeight w:val="260"/>
          <w:tblCellSpacing w:w="57" w:type="dxa"/>
        </w:trPr>
        <w:tc>
          <w:tcPr>
            <w:tcW w:w="2889" w:type="dxa"/>
            <w:shd w:val="clear" w:color="auto" w:fill="E7E6E6" w:themeFill="background2"/>
            <w:tcMar>
              <w:top w:w="43" w:type="dxa"/>
              <w:left w:w="115" w:type="dxa"/>
              <w:bottom w:w="43" w:type="dxa"/>
              <w:right w:w="115" w:type="dxa"/>
            </w:tcMar>
          </w:tcPr>
          <w:p w14:paraId="63154F10" w14:textId="77777777" w:rsidR="00390404" w:rsidRPr="00390404" w:rsidRDefault="00390404" w:rsidP="00191DEC">
            <w:pPr>
              <w:autoSpaceDE w:val="0"/>
              <w:autoSpaceDN w:val="0"/>
              <w:adjustRightInd w:val="0"/>
              <w:spacing w:after="0"/>
              <w:jc w:val="left"/>
              <w:rPr>
                <w:bCs/>
                <w:iCs/>
                <w:sz w:val="20"/>
                <w:szCs w:val="20"/>
              </w:rPr>
            </w:pPr>
            <w:r w:rsidRPr="00390404">
              <w:rPr>
                <w:bCs/>
                <w:iCs/>
                <w:sz w:val="20"/>
                <w:szCs w:val="20"/>
              </w:rPr>
              <w:t>Set up quality control review teams of full time qualified professionals who report directly to the oversight body.  The oversight body should be able to recruit qualified personnel with commensurate compensation.</w:t>
            </w:r>
          </w:p>
        </w:tc>
        <w:tc>
          <w:tcPr>
            <w:tcW w:w="5795" w:type="dxa"/>
            <w:shd w:val="clear" w:color="auto" w:fill="E7E6E6" w:themeFill="background2"/>
            <w:tcMar>
              <w:top w:w="43" w:type="dxa"/>
              <w:left w:w="115" w:type="dxa"/>
              <w:bottom w:w="43" w:type="dxa"/>
              <w:right w:w="115" w:type="dxa"/>
            </w:tcMar>
            <w:vAlign w:val="center"/>
          </w:tcPr>
          <w:p w14:paraId="438711AC" w14:textId="77777777" w:rsidR="00390404" w:rsidRPr="00390404" w:rsidRDefault="00390404" w:rsidP="00191DEC">
            <w:pPr>
              <w:autoSpaceDE w:val="0"/>
              <w:autoSpaceDN w:val="0"/>
              <w:adjustRightInd w:val="0"/>
              <w:jc w:val="left"/>
              <w:rPr>
                <w:rFonts w:asciiTheme="minorHAnsi" w:hAnsiTheme="minorHAnsi"/>
                <w:sz w:val="20"/>
                <w:szCs w:val="20"/>
              </w:rPr>
            </w:pPr>
            <w:r w:rsidRPr="00390404">
              <w:rPr>
                <w:rFonts w:asciiTheme="minorHAnsi" w:hAnsiTheme="minorHAnsi"/>
                <w:sz w:val="20"/>
                <w:szCs w:val="20"/>
              </w:rPr>
              <w:t>Limited progress to date.  Although several discrete initiatives are underway, each would be led by a separate agency and the teams are not expected to report directly to the oversight body.  It is not known yet whether teams will be adequately qualified or compensated.</w:t>
            </w:r>
          </w:p>
        </w:tc>
      </w:tr>
      <w:tr w:rsidR="00390404" w:rsidRPr="00390404" w14:paraId="159DE4CE" w14:textId="77777777" w:rsidTr="00191DEC">
        <w:trPr>
          <w:trHeight w:val="260"/>
          <w:tblCellSpacing w:w="57" w:type="dxa"/>
        </w:trPr>
        <w:tc>
          <w:tcPr>
            <w:tcW w:w="2889" w:type="dxa"/>
            <w:shd w:val="clear" w:color="auto" w:fill="E7E6E6" w:themeFill="background2"/>
            <w:tcMar>
              <w:top w:w="43" w:type="dxa"/>
              <w:left w:w="115" w:type="dxa"/>
              <w:bottom w:w="43" w:type="dxa"/>
              <w:right w:w="115" w:type="dxa"/>
            </w:tcMar>
          </w:tcPr>
          <w:p w14:paraId="1F669BBB" w14:textId="77777777" w:rsidR="00390404" w:rsidRPr="00390404" w:rsidRDefault="00390404" w:rsidP="00191DEC">
            <w:pPr>
              <w:autoSpaceDE w:val="0"/>
              <w:autoSpaceDN w:val="0"/>
              <w:adjustRightInd w:val="0"/>
              <w:spacing w:after="0"/>
              <w:jc w:val="left"/>
              <w:rPr>
                <w:sz w:val="20"/>
                <w:szCs w:val="20"/>
              </w:rPr>
            </w:pPr>
            <w:r w:rsidRPr="00390404">
              <w:rPr>
                <w:bCs/>
                <w:iCs/>
                <w:sz w:val="20"/>
                <w:szCs w:val="20"/>
              </w:rPr>
              <w:t xml:space="preserve">Design </w:t>
            </w:r>
            <w:r w:rsidRPr="00390404">
              <w:rPr>
                <w:bCs/>
                <w:sz w:val="20"/>
                <w:szCs w:val="20"/>
              </w:rPr>
              <w:t>quality</w:t>
            </w:r>
            <w:r w:rsidRPr="00390404">
              <w:rPr>
                <w:bCs/>
                <w:iCs/>
                <w:sz w:val="20"/>
                <w:szCs w:val="20"/>
              </w:rPr>
              <w:t xml:space="preserve"> control procedures appropriate to audit firms to be reviewed. </w:t>
            </w:r>
          </w:p>
        </w:tc>
        <w:tc>
          <w:tcPr>
            <w:tcW w:w="5795" w:type="dxa"/>
            <w:shd w:val="clear" w:color="auto" w:fill="E7E6E6" w:themeFill="background2"/>
            <w:tcMar>
              <w:top w:w="43" w:type="dxa"/>
              <w:left w:w="115" w:type="dxa"/>
              <w:bottom w:w="43" w:type="dxa"/>
              <w:right w:w="115" w:type="dxa"/>
            </w:tcMar>
            <w:vAlign w:val="center"/>
          </w:tcPr>
          <w:p w14:paraId="3E7124CF" w14:textId="77777777" w:rsidR="00390404" w:rsidRPr="00390404" w:rsidRDefault="00390404" w:rsidP="00191DEC">
            <w:pPr>
              <w:autoSpaceDE w:val="0"/>
              <w:autoSpaceDN w:val="0"/>
              <w:adjustRightInd w:val="0"/>
              <w:jc w:val="left"/>
              <w:rPr>
                <w:sz w:val="20"/>
                <w:szCs w:val="20"/>
              </w:rPr>
            </w:pPr>
            <w:r w:rsidRPr="00390404">
              <w:rPr>
                <w:rFonts w:asciiTheme="minorHAnsi" w:hAnsiTheme="minorHAnsi"/>
                <w:bCs/>
                <w:sz w:val="20"/>
                <w:szCs w:val="20"/>
              </w:rPr>
              <w:t>Some progress has been made, but a mandatory quality assurance inspection program is not yet operational.</w:t>
            </w:r>
          </w:p>
        </w:tc>
      </w:tr>
      <w:tr w:rsidR="00390404" w:rsidRPr="00390404" w14:paraId="197A2A81" w14:textId="77777777" w:rsidTr="00191DEC">
        <w:trPr>
          <w:trHeight w:val="305"/>
          <w:tblCellSpacing w:w="57" w:type="dxa"/>
        </w:trPr>
        <w:tc>
          <w:tcPr>
            <w:tcW w:w="8798" w:type="dxa"/>
            <w:gridSpan w:val="2"/>
            <w:shd w:val="clear" w:color="auto" w:fill="8C8D90"/>
            <w:tcMar>
              <w:top w:w="43" w:type="dxa"/>
              <w:left w:w="115" w:type="dxa"/>
              <w:bottom w:w="43" w:type="dxa"/>
              <w:right w:w="115" w:type="dxa"/>
            </w:tcMar>
            <w:vAlign w:val="center"/>
          </w:tcPr>
          <w:p w14:paraId="655F70E0" w14:textId="77777777" w:rsidR="00390404" w:rsidRPr="00390404" w:rsidRDefault="00390404" w:rsidP="00191DEC">
            <w:pPr>
              <w:spacing w:after="0"/>
              <w:jc w:val="center"/>
              <w:rPr>
                <w:b/>
                <w:color w:val="FFFFFF" w:themeColor="background1"/>
                <w:sz w:val="20"/>
                <w:szCs w:val="20"/>
              </w:rPr>
            </w:pPr>
            <w:r w:rsidRPr="00390404">
              <w:rPr>
                <w:b/>
                <w:color w:val="FFFFFF" w:themeColor="background1"/>
                <w:sz w:val="20"/>
                <w:szCs w:val="20"/>
              </w:rPr>
              <w:t>Continuing Professional Education</w:t>
            </w:r>
          </w:p>
        </w:tc>
      </w:tr>
      <w:tr w:rsidR="00390404" w:rsidRPr="00390404" w14:paraId="5DF7A51D" w14:textId="77777777" w:rsidTr="00191DEC">
        <w:trPr>
          <w:trHeight w:val="20"/>
          <w:tblCellSpacing w:w="57" w:type="dxa"/>
        </w:trPr>
        <w:tc>
          <w:tcPr>
            <w:tcW w:w="2889" w:type="dxa"/>
            <w:vMerge w:val="restart"/>
            <w:shd w:val="clear" w:color="auto" w:fill="E7E6E6" w:themeFill="background2"/>
            <w:tcMar>
              <w:top w:w="43" w:type="dxa"/>
              <w:left w:w="115" w:type="dxa"/>
              <w:bottom w:w="43" w:type="dxa"/>
              <w:right w:w="115" w:type="dxa"/>
            </w:tcMar>
            <w:vAlign w:val="center"/>
          </w:tcPr>
          <w:p w14:paraId="7EBD4444" w14:textId="77777777" w:rsidR="00390404" w:rsidRPr="00390404" w:rsidRDefault="00390404" w:rsidP="00191DEC">
            <w:pPr>
              <w:autoSpaceDE w:val="0"/>
              <w:autoSpaceDN w:val="0"/>
              <w:adjustRightInd w:val="0"/>
              <w:spacing w:after="0"/>
              <w:jc w:val="left"/>
              <w:rPr>
                <w:sz w:val="20"/>
                <w:szCs w:val="20"/>
              </w:rPr>
            </w:pPr>
            <w:r w:rsidRPr="00390404">
              <w:rPr>
                <w:sz w:val="20"/>
                <w:szCs w:val="20"/>
              </w:rPr>
              <w:t xml:space="preserve">Require continuing professional education and create a CPE Council as </w:t>
            </w:r>
            <w:r w:rsidRPr="00390404">
              <w:rPr>
                <w:bCs/>
                <w:sz w:val="20"/>
                <w:szCs w:val="20"/>
              </w:rPr>
              <w:t>required</w:t>
            </w:r>
            <w:r w:rsidRPr="00390404">
              <w:rPr>
                <w:sz w:val="20"/>
                <w:szCs w:val="20"/>
              </w:rPr>
              <w:t xml:space="preserve"> by the Accountancy Act of 2004</w:t>
            </w:r>
          </w:p>
        </w:tc>
        <w:tc>
          <w:tcPr>
            <w:tcW w:w="5795" w:type="dxa"/>
            <w:shd w:val="clear" w:color="auto" w:fill="E7E6E6" w:themeFill="background2"/>
            <w:tcMar>
              <w:top w:w="43" w:type="dxa"/>
              <w:left w:w="115" w:type="dxa"/>
              <w:bottom w:w="43" w:type="dxa"/>
              <w:right w:w="115" w:type="dxa"/>
            </w:tcMar>
            <w:vAlign w:val="center"/>
          </w:tcPr>
          <w:p w14:paraId="3DF0E7C1" w14:textId="77777777" w:rsidR="00390404" w:rsidRPr="00390404" w:rsidRDefault="00390404" w:rsidP="00191DEC">
            <w:pPr>
              <w:autoSpaceDE w:val="0"/>
              <w:autoSpaceDN w:val="0"/>
              <w:adjustRightInd w:val="0"/>
              <w:spacing w:after="0"/>
              <w:jc w:val="left"/>
              <w:rPr>
                <w:rFonts w:asciiTheme="minorHAnsi" w:hAnsiTheme="minorHAnsi"/>
                <w:bCs/>
                <w:sz w:val="20"/>
                <w:szCs w:val="20"/>
              </w:rPr>
            </w:pPr>
            <w:r w:rsidRPr="00390404">
              <w:rPr>
                <w:rFonts w:asciiTheme="minorHAnsi" w:hAnsiTheme="minorHAnsi"/>
                <w:bCs/>
                <w:sz w:val="20"/>
                <w:szCs w:val="20"/>
              </w:rPr>
              <w:t>Professional Regulation Commission issued Memorandum Order requiring minimum number of CPE credits before license renewal</w:t>
            </w:r>
          </w:p>
        </w:tc>
      </w:tr>
      <w:tr w:rsidR="00390404" w:rsidRPr="00390404" w14:paraId="6E44D054" w14:textId="77777777" w:rsidTr="00191DEC">
        <w:trPr>
          <w:trHeight w:val="20"/>
          <w:tblCellSpacing w:w="57" w:type="dxa"/>
        </w:trPr>
        <w:tc>
          <w:tcPr>
            <w:tcW w:w="2889" w:type="dxa"/>
            <w:vMerge/>
            <w:shd w:val="clear" w:color="auto" w:fill="E7E6E6" w:themeFill="background2"/>
            <w:tcMar>
              <w:top w:w="43" w:type="dxa"/>
              <w:left w:w="115" w:type="dxa"/>
              <w:bottom w:w="43" w:type="dxa"/>
              <w:right w:w="115" w:type="dxa"/>
            </w:tcMar>
          </w:tcPr>
          <w:p w14:paraId="008626C0" w14:textId="77777777" w:rsidR="00390404" w:rsidRPr="00390404" w:rsidRDefault="00390404" w:rsidP="00191DEC">
            <w:pPr>
              <w:autoSpaceDE w:val="0"/>
              <w:autoSpaceDN w:val="0"/>
              <w:adjustRightInd w:val="0"/>
              <w:spacing w:after="0"/>
              <w:jc w:val="left"/>
              <w:rPr>
                <w:sz w:val="20"/>
                <w:szCs w:val="20"/>
              </w:rPr>
            </w:pPr>
          </w:p>
        </w:tc>
        <w:tc>
          <w:tcPr>
            <w:tcW w:w="5795" w:type="dxa"/>
            <w:shd w:val="clear" w:color="auto" w:fill="E7E6E6" w:themeFill="background2"/>
            <w:tcMar>
              <w:top w:w="43" w:type="dxa"/>
              <w:left w:w="115" w:type="dxa"/>
              <w:bottom w:w="43" w:type="dxa"/>
              <w:right w:w="115" w:type="dxa"/>
            </w:tcMar>
            <w:vAlign w:val="center"/>
          </w:tcPr>
          <w:p w14:paraId="358945BA" w14:textId="77777777" w:rsidR="00390404" w:rsidRPr="00390404" w:rsidRDefault="00390404" w:rsidP="00191DEC">
            <w:pPr>
              <w:autoSpaceDE w:val="0"/>
              <w:autoSpaceDN w:val="0"/>
              <w:adjustRightInd w:val="0"/>
              <w:spacing w:after="0"/>
              <w:jc w:val="left"/>
              <w:rPr>
                <w:rFonts w:asciiTheme="minorHAnsi" w:hAnsiTheme="minorHAnsi"/>
                <w:bCs/>
                <w:sz w:val="20"/>
                <w:szCs w:val="20"/>
              </w:rPr>
            </w:pPr>
            <w:r w:rsidRPr="00390404">
              <w:rPr>
                <w:rFonts w:asciiTheme="minorHAnsi" w:hAnsiTheme="minorHAnsi"/>
                <w:bCs/>
                <w:sz w:val="20"/>
                <w:szCs w:val="20"/>
              </w:rPr>
              <w:t>PICPA was designated to create a CPE Council to take charge of the establishment of CPE requirements</w:t>
            </w:r>
          </w:p>
        </w:tc>
      </w:tr>
      <w:tr w:rsidR="00390404" w:rsidRPr="00390404" w14:paraId="4E10780A" w14:textId="77777777" w:rsidTr="00191DEC">
        <w:trPr>
          <w:trHeight w:val="260"/>
          <w:tblCellSpacing w:w="57" w:type="dxa"/>
        </w:trPr>
        <w:tc>
          <w:tcPr>
            <w:tcW w:w="8798" w:type="dxa"/>
            <w:gridSpan w:val="2"/>
            <w:shd w:val="clear" w:color="auto" w:fill="8C8D90"/>
            <w:tcMar>
              <w:top w:w="43" w:type="dxa"/>
              <w:left w:w="115" w:type="dxa"/>
              <w:bottom w:w="43" w:type="dxa"/>
              <w:right w:w="115" w:type="dxa"/>
            </w:tcMar>
          </w:tcPr>
          <w:p w14:paraId="60F91110" w14:textId="77777777" w:rsidR="00390404" w:rsidRPr="00390404" w:rsidRDefault="00390404" w:rsidP="00191DEC">
            <w:pPr>
              <w:spacing w:after="0"/>
              <w:jc w:val="center"/>
              <w:rPr>
                <w:b/>
                <w:color w:val="FFFFFF" w:themeColor="background1"/>
                <w:sz w:val="20"/>
                <w:szCs w:val="20"/>
              </w:rPr>
            </w:pPr>
            <w:r w:rsidRPr="00390404">
              <w:rPr>
                <w:b/>
                <w:color w:val="FFFFFF" w:themeColor="background1"/>
                <w:sz w:val="20"/>
                <w:szCs w:val="20"/>
              </w:rPr>
              <w:t>Overall Education and Training</w:t>
            </w:r>
          </w:p>
        </w:tc>
      </w:tr>
      <w:tr w:rsidR="00390404" w:rsidRPr="00390404" w14:paraId="085671B0" w14:textId="77777777" w:rsidTr="00191DEC">
        <w:trPr>
          <w:trHeight w:val="242"/>
          <w:tblCellSpacing w:w="57" w:type="dxa"/>
        </w:trPr>
        <w:tc>
          <w:tcPr>
            <w:tcW w:w="2889" w:type="dxa"/>
            <w:shd w:val="clear" w:color="auto" w:fill="E7E6E6" w:themeFill="background2"/>
            <w:tcMar>
              <w:top w:w="43" w:type="dxa"/>
              <w:left w:w="115" w:type="dxa"/>
              <w:bottom w:w="43" w:type="dxa"/>
              <w:right w:w="115" w:type="dxa"/>
            </w:tcMar>
          </w:tcPr>
          <w:p w14:paraId="68DA00AE" w14:textId="77777777" w:rsidR="00390404" w:rsidRPr="00390404" w:rsidRDefault="00390404" w:rsidP="00191DEC">
            <w:pPr>
              <w:autoSpaceDE w:val="0"/>
              <w:autoSpaceDN w:val="0"/>
              <w:adjustRightInd w:val="0"/>
              <w:spacing w:after="0"/>
              <w:jc w:val="left"/>
              <w:rPr>
                <w:sz w:val="20"/>
                <w:szCs w:val="20"/>
              </w:rPr>
            </w:pPr>
            <w:r w:rsidRPr="00390404">
              <w:rPr>
                <w:bCs/>
                <w:iCs/>
                <w:sz w:val="20"/>
                <w:szCs w:val="20"/>
              </w:rPr>
              <w:t>T</w:t>
            </w:r>
            <w:r w:rsidRPr="00390404">
              <w:rPr>
                <w:sz w:val="20"/>
                <w:szCs w:val="20"/>
              </w:rPr>
              <w:t>raining on preparing IFRS/</w:t>
            </w:r>
            <w:r w:rsidRPr="00390404">
              <w:rPr>
                <w:bCs/>
                <w:sz w:val="20"/>
                <w:szCs w:val="20"/>
              </w:rPr>
              <w:t>IAS</w:t>
            </w:r>
            <w:r w:rsidRPr="00390404">
              <w:rPr>
                <w:sz w:val="20"/>
                <w:szCs w:val="20"/>
              </w:rPr>
              <w:t>-based financial statements for various stakeholders.</w:t>
            </w:r>
          </w:p>
        </w:tc>
        <w:tc>
          <w:tcPr>
            <w:tcW w:w="5795" w:type="dxa"/>
            <w:shd w:val="clear" w:color="auto" w:fill="E7E6E6" w:themeFill="background2"/>
            <w:tcMar>
              <w:top w:w="43" w:type="dxa"/>
              <w:left w:w="115" w:type="dxa"/>
              <w:bottom w:w="43" w:type="dxa"/>
              <w:right w:w="115" w:type="dxa"/>
            </w:tcMar>
            <w:vAlign w:val="center"/>
          </w:tcPr>
          <w:p w14:paraId="0E590661" w14:textId="77777777" w:rsidR="00390404" w:rsidRPr="00390404" w:rsidRDefault="00390404" w:rsidP="00191DEC">
            <w:pPr>
              <w:autoSpaceDE w:val="0"/>
              <w:autoSpaceDN w:val="0"/>
              <w:adjustRightInd w:val="0"/>
              <w:jc w:val="left"/>
              <w:rPr>
                <w:rFonts w:asciiTheme="minorHAnsi" w:hAnsiTheme="minorHAnsi"/>
                <w:bCs/>
                <w:sz w:val="20"/>
                <w:szCs w:val="20"/>
              </w:rPr>
            </w:pPr>
            <w:r w:rsidRPr="00390404">
              <w:rPr>
                <w:rFonts w:asciiTheme="minorHAnsi" w:hAnsiTheme="minorHAnsi"/>
                <w:bCs/>
                <w:sz w:val="20"/>
                <w:szCs w:val="20"/>
              </w:rPr>
              <w:t>IFRS/IAS was fully adopted in 2005. Trainings and the required literature are available to all practitioners</w:t>
            </w:r>
          </w:p>
        </w:tc>
      </w:tr>
      <w:tr w:rsidR="00390404" w:rsidRPr="00390404" w14:paraId="6F94E963" w14:textId="77777777" w:rsidTr="00191DEC">
        <w:trPr>
          <w:trHeight w:val="242"/>
          <w:tblCellSpacing w:w="57" w:type="dxa"/>
        </w:trPr>
        <w:tc>
          <w:tcPr>
            <w:tcW w:w="8798" w:type="dxa"/>
            <w:gridSpan w:val="2"/>
            <w:shd w:val="clear" w:color="auto" w:fill="8C8D90"/>
            <w:tcMar>
              <w:top w:w="43" w:type="dxa"/>
              <w:left w:w="115" w:type="dxa"/>
              <w:bottom w:w="43" w:type="dxa"/>
              <w:right w:w="115" w:type="dxa"/>
            </w:tcMar>
          </w:tcPr>
          <w:p w14:paraId="7754141F" w14:textId="77777777" w:rsidR="00390404" w:rsidRPr="00390404" w:rsidRDefault="00390404" w:rsidP="00191DEC">
            <w:pPr>
              <w:spacing w:after="0"/>
              <w:jc w:val="center"/>
              <w:rPr>
                <w:b/>
                <w:color w:val="FFFFFF" w:themeColor="background1"/>
                <w:sz w:val="20"/>
                <w:szCs w:val="20"/>
              </w:rPr>
            </w:pPr>
            <w:r w:rsidRPr="00390404">
              <w:rPr>
                <w:b/>
                <w:color w:val="FFFFFF" w:themeColor="background1"/>
                <w:sz w:val="20"/>
                <w:szCs w:val="20"/>
              </w:rPr>
              <w:t>Reporting Framework</w:t>
            </w:r>
          </w:p>
        </w:tc>
      </w:tr>
      <w:tr w:rsidR="00390404" w:rsidRPr="00390404" w14:paraId="34D32660" w14:textId="77777777" w:rsidTr="00191DEC">
        <w:trPr>
          <w:trHeight w:val="242"/>
          <w:tblCellSpacing w:w="57" w:type="dxa"/>
        </w:trPr>
        <w:tc>
          <w:tcPr>
            <w:tcW w:w="2889" w:type="dxa"/>
            <w:shd w:val="clear" w:color="auto" w:fill="E7E6E6" w:themeFill="background2"/>
            <w:tcMar>
              <w:top w:w="43" w:type="dxa"/>
              <w:left w:w="115" w:type="dxa"/>
              <w:bottom w:w="43" w:type="dxa"/>
              <w:right w:w="115" w:type="dxa"/>
            </w:tcMar>
          </w:tcPr>
          <w:p w14:paraId="3ECA6C2F" w14:textId="77777777" w:rsidR="00390404" w:rsidRPr="00390404" w:rsidRDefault="00390404" w:rsidP="00191DEC">
            <w:pPr>
              <w:autoSpaceDE w:val="0"/>
              <w:autoSpaceDN w:val="0"/>
              <w:adjustRightInd w:val="0"/>
              <w:spacing w:after="0"/>
              <w:jc w:val="left"/>
              <w:rPr>
                <w:sz w:val="20"/>
                <w:szCs w:val="20"/>
              </w:rPr>
            </w:pPr>
            <w:r w:rsidRPr="00390404">
              <w:rPr>
                <w:bCs/>
                <w:sz w:val="20"/>
                <w:szCs w:val="20"/>
              </w:rPr>
              <w:t xml:space="preserve">Rationalize audit requirements for small companies. </w:t>
            </w:r>
            <w:r w:rsidRPr="00390404">
              <w:rPr>
                <w:sz w:val="20"/>
                <w:szCs w:val="20"/>
              </w:rPr>
              <w:t xml:space="preserve">The present thresholds that require submission of audited financial statements were set many years ago and are no longer realistic. </w:t>
            </w:r>
          </w:p>
        </w:tc>
        <w:tc>
          <w:tcPr>
            <w:tcW w:w="5795" w:type="dxa"/>
            <w:shd w:val="clear" w:color="auto" w:fill="E7E6E6" w:themeFill="background2"/>
            <w:tcMar>
              <w:top w:w="43" w:type="dxa"/>
              <w:left w:w="115" w:type="dxa"/>
              <w:bottom w:w="43" w:type="dxa"/>
              <w:right w:w="115" w:type="dxa"/>
            </w:tcMar>
            <w:vAlign w:val="center"/>
          </w:tcPr>
          <w:p w14:paraId="76A50C3B" w14:textId="77777777" w:rsidR="00390404" w:rsidRPr="00390404" w:rsidRDefault="00390404" w:rsidP="00191DEC">
            <w:pPr>
              <w:autoSpaceDE w:val="0"/>
              <w:autoSpaceDN w:val="0"/>
              <w:adjustRightInd w:val="0"/>
              <w:jc w:val="left"/>
              <w:rPr>
                <w:sz w:val="20"/>
                <w:szCs w:val="20"/>
              </w:rPr>
            </w:pPr>
            <w:r w:rsidRPr="00390404">
              <w:rPr>
                <w:rFonts w:asciiTheme="minorHAnsi" w:hAnsiTheme="minorHAnsi"/>
                <w:bCs/>
                <w:sz w:val="20"/>
                <w:szCs w:val="20"/>
              </w:rPr>
              <w:t>No changes to date.  However, the DOF is in the process of proposing changes to existing governing laws in coordination with SEC and BIR.</w:t>
            </w:r>
          </w:p>
        </w:tc>
      </w:tr>
    </w:tbl>
    <w:p w14:paraId="2373FCEE" w14:textId="77777777" w:rsidR="00390404" w:rsidRPr="008F1E62" w:rsidRDefault="00390404" w:rsidP="00390404">
      <w:pPr>
        <w:spacing w:after="160" w:line="259" w:lineRule="auto"/>
        <w:jc w:val="left"/>
        <w:rPr>
          <w:rFonts w:ascii="Century Gothic" w:eastAsia="MS Gothic" w:hAnsi="Century Gothic"/>
          <w:b/>
          <w:bCs/>
          <w:color w:val="00AB51"/>
          <w:kern w:val="32"/>
          <w:sz w:val="2"/>
          <w:szCs w:val="2"/>
        </w:rPr>
      </w:pPr>
      <w:r w:rsidRPr="008F1E62">
        <w:rPr>
          <w:rFonts w:ascii="Century Gothic" w:eastAsia="MS Gothic" w:hAnsi="Century Gothic"/>
          <w:caps/>
          <w:color w:val="00AB51"/>
          <w:kern w:val="32"/>
          <w:sz w:val="2"/>
          <w:szCs w:val="2"/>
        </w:rPr>
        <w:br w:type="page"/>
      </w:r>
    </w:p>
    <w:p w14:paraId="7DD68E51" w14:textId="77777777" w:rsidR="00390404" w:rsidRDefault="00390404" w:rsidP="00F76E53">
      <w:pPr>
        <w:pStyle w:val="Heading1"/>
        <w:spacing w:after="60" w:line="276" w:lineRule="auto"/>
        <w:jc w:val="center"/>
        <w:rPr>
          <w:rFonts w:ascii="Century Gothic" w:eastAsia="MS Gothic" w:hAnsi="Century Gothic" w:cstheme="minorBidi"/>
          <w:caps w:val="0"/>
          <w:color w:val="00AB51"/>
          <w:kern w:val="32"/>
          <w:sz w:val="32"/>
          <w:szCs w:val="32"/>
          <w:lang w:val="en-US"/>
        </w:rPr>
        <w:sectPr w:rsidR="00390404" w:rsidSect="0002662F">
          <w:footerReference w:type="default" r:id="rId31"/>
          <w:type w:val="nextColumn"/>
          <w:pgSz w:w="11906" w:h="16838" w:code="9"/>
          <w:pgMar w:top="1440" w:right="1440" w:bottom="1440" w:left="1440" w:header="720" w:footer="720" w:gutter="0"/>
          <w:cols w:space="720"/>
          <w:docGrid w:linePitch="360"/>
        </w:sectPr>
      </w:pPr>
    </w:p>
    <w:p w14:paraId="14AAF03B" w14:textId="77AEEE92" w:rsidR="00F76E53" w:rsidRPr="008F1E62" w:rsidRDefault="00F76E53" w:rsidP="000D13F6">
      <w:pPr>
        <w:pStyle w:val="Heading1"/>
        <w:spacing w:after="400" w:line="276" w:lineRule="auto"/>
        <w:jc w:val="center"/>
        <w:rPr>
          <w:rFonts w:ascii="Century Gothic" w:eastAsia="MS Gothic" w:hAnsi="Century Gothic" w:cstheme="minorBidi"/>
          <w:color w:val="00AB51"/>
          <w:kern w:val="32"/>
          <w:sz w:val="32"/>
          <w:szCs w:val="32"/>
          <w:lang w:val="en-US"/>
        </w:rPr>
      </w:pPr>
      <w:bookmarkStart w:id="51" w:name="_Toc499825588"/>
      <w:r w:rsidRPr="008F1E62">
        <w:rPr>
          <w:rFonts w:ascii="Century Gothic" w:eastAsia="MS Gothic" w:hAnsi="Century Gothic" w:cstheme="minorBidi"/>
          <w:caps w:val="0"/>
          <w:color w:val="00AB51"/>
          <w:kern w:val="32"/>
          <w:sz w:val="32"/>
          <w:szCs w:val="32"/>
          <w:lang w:val="en-US"/>
        </w:rPr>
        <w:t xml:space="preserve">ANNEX </w:t>
      </w:r>
      <w:r w:rsidR="00390404">
        <w:rPr>
          <w:rFonts w:ascii="Century Gothic" w:eastAsia="MS Gothic" w:hAnsi="Century Gothic" w:cstheme="minorBidi"/>
          <w:caps w:val="0"/>
          <w:color w:val="00AB51"/>
          <w:kern w:val="32"/>
          <w:sz w:val="32"/>
          <w:szCs w:val="32"/>
          <w:lang w:val="en-US"/>
        </w:rPr>
        <w:t>2</w:t>
      </w:r>
      <w:r w:rsidRPr="008F1E62">
        <w:rPr>
          <w:rFonts w:ascii="Century Gothic" w:eastAsia="MS Gothic" w:hAnsi="Century Gothic" w:cstheme="minorBidi"/>
          <w:caps w:val="0"/>
          <w:color w:val="00AB51"/>
          <w:kern w:val="32"/>
          <w:sz w:val="32"/>
          <w:szCs w:val="32"/>
          <w:lang w:val="en-US"/>
        </w:rPr>
        <w:t xml:space="preserve">: </w:t>
      </w:r>
      <w:r w:rsidRPr="008F1E62">
        <w:rPr>
          <w:rFonts w:ascii="Century Gothic" w:eastAsia="MS Gothic" w:hAnsi="Century Gothic" w:cstheme="minorBidi"/>
          <w:color w:val="00AB51"/>
          <w:kern w:val="32"/>
          <w:sz w:val="32"/>
          <w:szCs w:val="32"/>
          <w:lang w:val="en-US"/>
        </w:rPr>
        <w:t xml:space="preserve">Independent Audit </w:t>
      </w:r>
      <w:r w:rsidR="00C75303" w:rsidRPr="008F1E62">
        <w:rPr>
          <w:rFonts w:ascii="Century Gothic" w:eastAsia="MS Gothic" w:hAnsi="Century Gothic" w:cstheme="minorBidi"/>
          <w:color w:val="00AB51"/>
          <w:kern w:val="32"/>
          <w:sz w:val="32"/>
          <w:szCs w:val="32"/>
          <w:lang w:val="en-US"/>
        </w:rPr>
        <w:t xml:space="preserve">Oversight Structures within </w:t>
      </w:r>
      <w:r w:rsidRPr="008F1E62">
        <w:rPr>
          <w:rFonts w:ascii="Century Gothic" w:eastAsia="MS Gothic" w:hAnsi="Century Gothic" w:cstheme="minorBidi"/>
          <w:color w:val="00AB51"/>
          <w:kern w:val="32"/>
          <w:sz w:val="32"/>
          <w:szCs w:val="32"/>
          <w:lang w:val="en-US"/>
        </w:rPr>
        <w:t>ASEAN</w:t>
      </w:r>
      <w:bookmarkEnd w:id="51"/>
    </w:p>
    <w:tbl>
      <w:tblPr>
        <w:tblW w:w="13940" w:type="dxa"/>
        <w:jc w:val="center"/>
        <w:tblBorders>
          <w:top w:val="single" w:sz="4" w:space="0" w:color="8C8D90"/>
          <w:bottom w:val="single" w:sz="4" w:space="0" w:color="8C8D90"/>
          <w:insideH w:val="single" w:sz="4" w:space="0" w:color="8C8D90"/>
          <w:insideV w:val="single" w:sz="4" w:space="0" w:color="8C8D90"/>
        </w:tblBorders>
        <w:tblLayout w:type="fixed"/>
        <w:tblCellMar>
          <w:top w:w="43" w:type="dxa"/>
          <w:left w:w="115" w:type="dxa"/>
          <w:bottom w:w="43" w:type="dxa"/>
          <w:right w:w="115" w:type="dxa"/>
        </w:tblCellMar>
        <w:tblLook w:val="04A0" w:firstRow="1" w:lastRow="0" w:firstColumn="1" w:lastColumn="0" w:noHBand="0" w:noVBand="1"/>
      </w:tblPr>
      <w:tblGrid>
        <w:gridCol w:w="2790"/>
        <w:gridCol w:w="3690"/>
        <w:gridCol w:w="3240"/>
        <w:gridCol w:w="4220"/>
      </w:tblGrid>
      <w:tr w:rsidR="00F76E53" w:rsidRPr="00B47648" w14:paraId="0490CF1B" w14:textId="77777777" w:rsidTr="00CE6908">
        <w:trPr>
          <w:cantSplit/>
          <w:trHeight w:val="288"/>
          <w:tblHeader/>
          <w:jc w:val="center"/>
        </w:trPr>
        <w:tc>
          <w:tcPr>
            <w:tcW w:w="2790" w:type="dxa"/>
            <w:tcBorders>
              <w:top w:val="nil"/>
              <w:bottom w:val="nil"/>
              <w:right w:val="single" w:sz="4" w:space="0" w:color="FFFFFF" w:themeColor="background1"/>
            </w:tcBorders>
            <w:shd w:val="clear" w:color="auto" w:fill="4472C4"/>
            <w:tcMar>
              <w:top w:w="43" w:type="dxa"/>
              <w:left w:w="115" w:type="dxa"/>
              <w:bottom w:w="43" w:type="dxa"/>
              <w:right w:w="115" w:type="dxa"/>
            </w:tcMar>
            <w:hideMark/>
          </w:tcPr>
          <w:p w14:paraId="22190BFE" w14:textId="77777777" w:rsidR="00F76E53" w:rsidRPr="00B47648" w:rsidRDefault="00F76E53" w:rsidP="00DD5BB1">
            <w:pPr>
              <w:spacing w:after="0"/>
              <w:jc w:val="center"/>
              <w:rPr>
                <w:rFonts w:eastAsia="Times New Roman" w:cs="Calibri"/>
                <w:b/>
                <w:bCs/>
                <w:color w:val="FFFFFF" w:themeColor="background1"/>
                <w:sz w:val="20"/>
                <w:szCs w:val="20"/>
                <w:lang w:bidi="th-TH"/>
              </w:rPr>
            </w:pPr>
            <w:r w:rsidRPr="00B47648">
              <w:rPr>
                <w:rFonts w:eastAsia="Times New Roman" w:cs="Calibri"/>
                <w:b/>
                <w:bCs/>
                <w:color w:val="FFFFFF" w:themeColor="background1"/>
                <w:sz w:val="20"/>
                <w:szCs w:val="20"/>
                <w:lang w:bidi="th-TH"/>
              </w:rPr>
              <w:t>Indonesia</w:t>
            </w:r>
          </w:p>
        </w:tc>
        <w:tc>
          <w:tcPr>
            <w:tcW w:w="3690" w:type="dxa"/>
            <w:tcBorders>
              <w:top w:val="nil"/>
              <w:left w:val="single" w:sz="4" w:space="0" w:color="FFFFFF" w:themeColor="background1"/>
              <w:bottom w:val="nil"/>
              <w:right w:val="single" w:sz="4" w:space="0" w:color="FFFFFF" w:themeColor="background1"/>
            </w:tcBorders>
            <w:shd w:val="clear" w:color="auto" w:fill="4472C4"/>
            <w:tcMar>
              <w:top w:w="43" w:type="dxa"/>
              <w:left w:w="115" w:type="dxa"/>
              <w:bottom w:w="43" w:type="dxa"/>
              <w:right w:w="115" w:type="dxa"/>
            </w:tcMar>
            <w:hideMark/>
          </w:tcPr>
          <w:p w14:paraId="35EDC4D9" w14:textId="77777777" w:rsidR="00F76E53" w:rsidRPr="00B47648" w:rsidRDefault="00F76E53" w:rsidP="00DD5BB1">
            <w:pPr>
              <w:spacing w:after="0"/>
              <w:jc w:val="center"/>
              <w:rPr>
                <w:rFonts w:eastAsia="Times New Roman" w:cs="Calibri"/>
                <w:b/>
                <w:bCs/>
                <w:color w:val="FFFFFF" w:themeColor="background1"/>
                <w:sz w:val="20"/>
                <w:szCs w:val="20"/>
                <w:lang w:bidi="th-TH"/>
              </w:rPr>
            </w:pPr>
            <w:r w:rsidRPr="00B47648">
              <w:rPr>
                <w:rFonts w:eastAsia="Times New Roman" w:cs="Calibri"/>
                <w:b/>
                <w:bCs/>
                <w:color w:val="FFFFFF" w:themeColor="background1"/>
                <w:sz w:val="20"/>
                <w:szCs w:val="20"/>
                <w:lang w:bidi="th-TH"/>
              </w:rPr>
              <w:t>Malaysia</w:t>
            </w:r>
          </w:p>
        </w:tc>
        <w:tc>
          <w:tcPr>
            <w:tcW w:w="3240" w:type="dxa"/>
            <w:tcBorders>
              <w:top w:val="nil"/>
              <w:left w:val="single" w:sz="4" w:space="0" w:color="FFFFFF" w:themeColor="background1"/>
              <w:bottom w:val="nil"/>
              <w:right w:val="single" w:sz="4" w:space="0" w:color="FFFFFF" w:themeColor="background1"/>
            </w:tcBorders>
            <w:shd w:val="clear" w:color="auto" w:fill="4472C4"/>
            <w:tcMar>
              <w:top w:w="43" w:type="dxa"/>
              <w:left w:w="115" w:type="dxa"/>
              <w:bottom w:w="43" w:type="dxa"/>
              <w:right w:w="115" w:type="dxa"/>
            </w:tcMar>
            <w:hideMark/>
          </w:tcPr>
          <w:p w14:paraId="7DA58DCC" w14:textId="77777777" w:rsidR="00F76E53" w:rsidRPr="00B47648" w:rsidRDefault="00F76E53" w:rsidP="00DD5BB1">
            <w:pPr>
              <w:spacing w:after="0"/>
              <w:jc w:val="center"/>
              <w:rPr>
                <w:rFonts w:eastAsia="Times New Roman" w:cs="Calibri"/>
                <w:b/>
                <w:bCs/>
                <w:color w:val="FFFFFF" w:themeColor="background1"/>
                <w:sz w:val="20"/>
                <w:szCs w:val="20"/>
                <w:lang w:bidi="th-TH"/>
              </w:rPr>
            </w:pPr>
            <w:r w:rsidRPr="00B47648">
              <w:rPr>
                <w:rFonts w:eastAsia="Times New Roman" w:cs="Calibri"/>
                <w:b/>
                <w:bCs/>
                <w:color w:val="FFFFFF" w:themeColor="background1"/>
                <w:sz w:val="20"/>
                <w:szCs w:val="20"/>
                <w:lang w:bidi="th-TH"/>
              </w:rPr>
              <w:t>Singapore</w:t>
            </w:r>
          </w:p>
        </w:tc>
        <w:tc>
          <w:tcPr>
            <w:tcW w:w="4220" w:type="dxa"/>
            <w:tcBorders>
              <w:top w:val="nil"/>
              <w:left w:val="single" w:sz="4" w:space="0" w:color="FFFFFF" w:themeColor="background1"/>
              <w:bottom w:val="nil"/>
            </w:tcBorders>
            <w:shd w:val="clear" w:color="auto" w:fill="4472C4"/>
            <w:tcMar>
              <w:top w:w="43" w:type="dxa"/>
              <w:left w:w="115" w:type="dxa"/>
              <w:bottom w:w="43" w:type="dxa"/>
              <w:right w:w="115" w:type="dxa"/>
            </w:tcMar>
            <w:hideMark/>
          </w:tcPr>
          <w:p w14:paraId="533DCA90" w14:textId="77777777" w:rsidR="00F76E53" w:rsidRPr="00B47648" w:rsidRDefault="00F76E53" w:rsidP="00DD5BB1">
            <w:pPr>
              <w:spacing w:after="0"/>
              <w:jc w:val="center"/>
              <w:rPr>
                <w:rFonts w:eastAsia="Times New Roman" w:cs="Calibri"/>
                <w:b/>
                <w:bCs/>
                <w:color w:val="FFFFFF" w:themeColor="background1"/>
                <w:sz w:val="20"/>
                <w:szCs w:val="20"/>
                <w:lang w:bidi="th-TH"/>
              </w:rPr>
            </w:pPr>
            <w:r w:rsidRPr="00B47648">
              <w:rPr>
                <w:rFonts w:eastAsia="Times New Roman" w:cs="Calibri"/>
                <w:b/>
                <w:bCs/>
                <w:color w:val="FFFFFF" w:themeColor="background1"/>
                <w:sz w:val="20"/>
                <w:szCs w:val="20"/>
                <w:lang w:bidi="th-TH"/>
              </w:rPr>
              <w:t>Thailand</w:t>
            </w:r>
          </w:p>
        </w:tc>
      </w:tr>
      <w:tr w:rsidR="00F76E53" w:rsidRPr="00B47648" w14:paraId="5D73FC06" w14:textId="77777777" w:rsidTr="00B47648">
        <w:trPr>
          <w:cantSplit/>
          <w:trHeight w:val="75"/>
          <w:jc w:val="center"/>
        </w:trPr>
        <w:tc>
          <w:tcPr>
            <w:tcW w:w="13940" w:type="dxa"/>
            <w:gridSpan w:val="4"/>
            <w:tcBorders>
              <w:top w:val="nil"/>
            </w:tcBorders>
            <w:shd w:val="clear" w:color="auto" w:fill="8C8D90"/>
            <w:tcMar>
              <w:top w:w="43" w:type="dxa"/>
              <w:left w:w="115" w:type="dxa"/>
              <w:bottom w:w="43" w:type="dxa"/>
              <w:right w:w="115" w:type="dxa"/>
            </w:tcMar>
          </w:tcPr>
          <w:p w14:paraId="4265FBA7" w14:textId="77777777" w:rsidR="00F76E53" w:rsidRPr="00B47648" w:rsidRDefault="00F76E53" w:rsidP="00DD5BB1">
            <w:pPr>
              <w:spacing w:after="0"/>
              <w:jc w:val="center"/>
              <w:rPr>
                <w:rFonts w:eastAsia="Times New Roman" w:cstheme="minorHAnsi"/>
                <w:color w:val="FFFFFF" w:themeColor="background1"/>
                <w:sz w:val="20"/>
                <w:szCs w:val="20"/>
                <w:lang w:bidi="th-TH"/>
              </w:rPr>
            </w:pPr>
            <w:r w:rsidRPr="00B47648">
              <w:rPr>
                <w:rFonts w:eastAsia="Times New Roman" w:cstheme="minorHAnsi"/>
                <w:b/>
                <w:color w:val="FFFFFF" w:themeColor="background1"/>
                <w:sz w:val="20"/>
                <w:szCs w:val="20"/>
                <w:lang w:bidi="th-TH"/>
              </w:rPr>
              <w:t>Name of Independent Oversight Body</w:t>
            </w:r>
          </w:p>
        </w:tc>
      </w:tr>
      <w:tr w:rsidR="00F76E53" w:rsidRPr="00B47648" w14:paraId="21B1EBB0" w14:textId="77777777" w:rsidTr="00CE6908">
        <w:trPr>
          <w:cantSplit/>
          <w:trHeight w:val="864"/>
          <w:jc w:val="center"/>
        </w:trPr>
        <w:tc>
          <w:tcPr>
            <w:tcW w:w="2790" w:type="dxa"/>
            <w:tcMar>
              <w:top w:w="43" w:type="dxa"/>
              <w:left w:w="115" w:type="dxa"/>
              <w:bottom w:w="43" w:type="dxa"/>
              <w:right w:w="115" w:type="dxa"/>
            </w:tcMar>
            <w:vAlign w:val="center"/>
            <w:hideMark/>
          </w:tcPr>
          <w:p w14:paraId="45986186" w14:textId="09642ED6" w:rsidR="00F76E53" w:rsidRPr="00B47648" w:rsidRDefault="00F76E53" w:rsidP="0019100E">
            <w:pPr>
              <w:spacing w:after="0"/>
              <w:jc w:val="center"/>
              <w:rPr>
                <w:rFonts w:eastAsia="Times New Roman" w:cstheme="minorHAnsi"/>
                <w:sz w:val="20"/>
                <w:szCs w:val="20"/>
                <w:lang w:bidi="th-TH"/>
              </w:rPr>
            </w:pPr>
            <w:r w:rsidRPr="00B47648">
              <w:rPr>
                <w:rFonts w:eastAsia="Times New Roman" w:cstheme="minorHAnsi"/>
                <w:color w:val="000000"/>
                <w:sz w:val="20"/>
                <w:szCs w:val="20"/>
                <w:lang w:bidi="th-TH"/>
              </w:rPr>
              <w:t xml:space="preserve">Pusat </w:t>
            </w:r>
            <w:proofErr w:type="spellStart"/>
            <w:r w:rsidRPr="00B47648">
              <w:rPr>
                <w:rFonts w:eastAsia="Times New Roman" w:cstheme="minorHAnsi"/>
                <w:color w:val="000000"/>
                <w:sz w:val="20"/>
                <w:szCs w:val="20"/>
                <w:lang w:bidi="th-TH"/>
              </w:rPr>
              <w:t>Pembinaan</w:t>
            </w:r>
            <w:proofErr w:type="spellEnd"/>
            <w:r w:rsidRPr="00B47648">
              <w:rPr>
                <w:rFonts w:eastAsia="Times New Roman" w:cstheme="minorHAnsi"/>
                <w:color w:val="000000"/>
                <w:sz w:val="20"/>
                <w:szCs w:val="20"/>
                <w:lang w:bidi="th-TH"/>
              </w:rPr>
              <w:t xml:space="preserve"> </w:t>
            </w:r>
            <w:proofErr w:type="spellStart"/>
            <w:r w:rsidRPr="00B47648">
              <w:rPr>
                <w:rFonts w:eastAsia="Times New Roman" w:cstheme="minorHAnsi"/>
                <w:color w:val="000000"/>
                <w:sz w:val="20"/>
                <w:szCs w:val="20"/>
                <w:lang w:bidi="th-TH"/>
              </w:rPr>
              <w:t>Profesi</w:t>
            </w:r>
            <w:proofErr w:type="spellEnd"/>
            <w:r w:rsidRPr="00B47648">
              <w:rPr>
                <w:rFonts w:eastAsia="Times New Roman" w:cstheme="minorHAnsi"/>
                <w:color w:val="000000"/>
                <w:sz w:val="20"/>
                <w:szCs w:val="20"/>
                <w:lang w:bidi="th-TH"/>
              </w:rPr>
              <w:t xml:space="preserve"> </w:t>
            </w:r>
            <w:proofErr w:type="spellStart"/>
            <w:r w:rsidRPr="00B47648">
              <w:rPr>
                <w:rFonts w:eastAsia="Times New Roman" w:cstheme="minorHAnsi"/>
                <w:color w:val="000000"/>
                <w:sz w:val="20"/>
                <w:szCs w:val="20"/>
                <w:lang w:bidi="th-TH"/>
              </w:rPr>
              <w:t>Keuangan</w:t>
            </w:r>
            <w:proofErr w:type="spellEnd"/>
            <w:r w:rsidRPr="00B47648">
              <w:rPr>
                <w:rFonts w:eastAsia="Times New Roman" w:cstheme="minorHAnsi"/>
                <w:color w:val="000000"/>
                <w:sz w:val="20"/>
                <w:szCs w:val="20"/>
                <w:lang w:bidi="th-TH"/>
              </w:rPr>
              <w:t xml:space="preserve"> </w:t>
            </w:r>
            <w:r w:rsidRPr="00B47648">
              <w:rPr>
                <w:rFonts w:eastAsia="Times New Roman" w:cstheme="minorHAnsi"/>
                <w:color w:val="000000"/>
                <w:sz w:val="20"/>
                <w:szCs w:val="20"/>
                <w:cs/>
                <w:lang w:bidi="th-TH"/>
              </w:rPr>
              <w:t xml:space="preserve">/ </w:t>
            </w:r>
            <w:r w:rsidRPr="00B47648">
              <w:rPr>
                <w:rFonts w:eastAsia="Times New Roman" w:cstheme="minorHAnsi"/>
                <w:color w:val="000000"/>
                <w:sz w:val="20"/>
                <w:szCs w:val="20"/>
                <w:lang w:bidi="th-TH"/>
              </w:rPr>
              <w:t>Finance Professions Supervisory Centre</w:t>
            </w:r>
          </w:p>
        </w:tc>
        <w:tc>
          <w:tcPr>
            <w:tcW w:w="3690" w:type="dxa"/>
            <w:tcMar>
              <w:top w:w="43" w:type="dxa"/>
              <w:left w:w="115" w:type="dxa"/>
              <w:bottom w:w="43" w:type="dxa"/>
              <w:right w:w="115" w:type="dxa"/>
            </w:tcMar>
            <w:vAlign w:val="center"/>
            <w:hideMark/>
          </w:tcPr>
          <w:p w14:paraId="01E22860" w14:textId="77777777" w:rsidR="00F76E53" w:rsidRPr="00B47648" w:rsidRDefault="00B02006" w:rsidP="0019100E">
            <w:pPr>
              <w:spacing w:after="0"/>
              <w:jc w:val="center"/>
              <w:rPr>
                <w:rFonts w:eastAsia="Times New Roman" w:cstheme="minorHAnsi"/>
                <w:sz w:val="20"/>
                <w:szCs w:val="20"/>
                <w:lang w:bidi="th-TH"/>
              </w:rPr>
            </w:pPr>
            <w:r w:rsidRPr="00B47648">
              <w:rPr>
                <w:rFonts w:eastAsia="Times New Roman" w:cstheme="minorHAnsi"/>
                <w:sz w:val="20"/>
                <w:szCs w:val="20"/>
                <w:lang w:bidi="th-TH"/>
              </w:rPr>
              <w:t>Audit Oversight Board</w:t>
            </w:r>
          </w:p>
        </w:tc>
        <w:tc>
          <w:tcPr>
            <w:tcW w:w="3240" w:type="dxa"/>
            <w:tcMar>
              <w:top w:w="43" w:type="dxa"/>
              <w:left w:w="115" w:type="dxa"/>
              <w:bottom w:w="43" w:type="dxa"/>
              <w:right w:w="115" w:type="dxa"/>
            </w:tcMar>
            <w:vAlign w:val="center"/>
            <w:hideMark/>
          </w:tcPr>
          <w:p w14:paraId="5C33A46B" w14:textId="77777777" w:rsidR="00F76E53" w:rsidRPr="00B47648" w:rsidRDefault="00F76E53" w:rsidP="0019100E">
            <w:pPr>
              <w:spacing w:after="0"/>
              <w:jc w:val="center"/>
              <w:rPr>
                <w:rFonts w:eastAsia="Times New Roman" w:cstheme="minorHAnsi"/>
                <w:sz w:val="20"/>
                <w:szCs w:val="20"/>
                <w:lang w:bidi="th-TH"/>
              </w:rPr>
            </w:pPr>
            <w:r w:rsidRPr="00B47648">
              <w:rPr>
                <w:rFonts w:eastAsia="Times New Roman" w:cstheme="minorHAnsi"/>
                <w:sz w:val="20"/>
                <w:szCs w:val="20"/>
                <w:lang w:bidi="th-TH"/>
              </w:rPr>
              <w:t>Accounting and Corporate Regulatory Authority (ACRA)</w:t>
            </w:r>
          </w:p>
        </w:tc>
        <w:tc>
          <w:tcPr>
            <w:tcW w:w="4220" w:type="dxa"/>
            <w:tcMar>
              <w:top w:w="43" w:type="dxa"/>
              <w:left w:w="115" w:type="dxa"/>
              <w:bottom w:w="43" w:type="dxa"/>
              <w:right w:w="115" w:type="dxa"/>
            </w:tcMar>
            <w:vAlign w:val="center"/>
            <w:hideMark/>
          </w:tcPr>
          <w:p w14:paraId="443789E5" w14:textId="77777777" w:rsidR="00F76E53" w:rsidRPr="00B47648" w:rsidRDefault="00F76E53" w:rsidP="0019100E">
            <w:pPr>
              <w:spacing w:before="100" w:beforeAutospacing="1" w:after="100" w:afterAutospacing="1"/>
              <w:jc w:val="center"/>
              <w:rPr>
                <w:rFonts w:eastAsia="Times New Roman" w:cstheme="minorHAnsi"/>
                <w:sz w:val="20"/>
                <w:szCs w:val="20"/>
                <w:lang w:bidi="th-TH"/>
              </w:rPr>
            </w:pPr>
            <w:r w:rsidRPr="00B47648">
              <w:rPr>
                <w:rFonts w:eastAsia="Times New Roman" w:cstheme="minorHAnsi"/>
                <w:sz w:val="20"/>
                <w:szCs w:val="20"/>
                <w:lang w:bidi="th-TH"/>
              </w:rPr>
              <w:t>SEC</w:t>
            </w:r>
          </w:p>
        </w:tc>
      </w:tr>
      <w:tr w:rsidR="00F76E53" w:rsidRPr="00B47648" w14:paraId="6AC3ED7F" w14:textId="77777777" w:rsidTr="00B47648">
        <w:trPr>
          <w:cantSplit/>
          <w:trHeight w:val="75"/>
          <w:jc w:val="center"/>
        </w:trPr>
        <w:tc>
          <w:tcPr>
            <w:tcW w:w="13940" w:type="dxa"/>
            <w:gridSpan w:val="4"/>
            <w:shd w:val="clear" w:color="auto" w:fill="8C8D90"/>
            <w:tcMar>
              <w:top w:w="43" w:type="dxa"/>
              <w:left w:w="115" w:type="dxa"/>
              <w:bottom w:w="43" w:type="dxa"/>
              <w:right w:w="115" w:type="dxa"/>
            </w:tcMar>
          </w:tcPr>
          <w:p w14:paraId="41AB7C14" w14:textId="77777777" w:rsidR="00F76E53" w:rsidRPr="00B47648" w:rsidRDefault="00F76E53" w:rsidP="00DD5BB1">
            <w:pPr>
              <w:spacing w:after="0"/>
              <w:jc w:val="center"/>
              <w:rPr>
                <w:rFonts w:cstheme="minorHAnsi"/>
                <w:color w:val="FFFFFF" w:themeColor="background1"/>
                <w:sz w:val="20"/>
                <w:szCs w:val="20"/>
                <w:lang w:bidi="th-TH"/>
              </w:rPr>
            </w:pPr>
            <w:r w:rsidRPr="00B47648">
              <w:rPr>
                <w:rFonts w:cstheme="minorHAnsi"/>
                <w:b/>
                <w:color w:val="FFFFFF" w:themeColor="background1"/>
                <w:sz w:val="20"/>
                <w:szCs w:val="20"/>
                <w:lang w:bidi="th-TH"/>
              </w:rPr>
              <w:t>Governing Legislation</w:t>
            </w:r>
          </w:p>
        </w:tc>
      </w:tr>
      <w:tr w:rsidR="0019100E" w:rsidRPr="00B47648" w14:paraId="27B08F4F" w14:textId="77777777" w:rsidTr="00CE6908">
        <w:trPr>
          <w:cantSplit/>
          <w:trHeight w:val="153"/>
          <w:jc w:val="center"/>
        </w:trPr>
        <w:tc>
          <w:tcPr>
            <w:tcW w:w="2790" w:type="dxa"/>
            <w:shd w:val="clear" w:color="auto" w:fill="E7E6E6" w:themeFill="background2"/>
            <w:tcMar>
              <w:top w:w="43" w:type="dxa"/>
              <w:left w:w="115" w:type="dxa"/>
              <w:bottom w:w="43" w:type="dxa"/>
              <w:right w:w="115" w:type="dxa"/>
            </w:tcMar>
            <w:vAlign w:val="center"/>
            <w:hideMark/>
          </w:tcPr>
          <w:p w14:paraId="01A1E3EB" w14:textId="77D4BF6D" w:rsidR="0019100E" w:rsidRPr="00B47648" w:rsidRDefault="0019100E" w:rsidP="0019100E">
            <w:pPr>
              <w:keepLines/>
              <w:spacing w:after="0"/>
              <w:jc w:val="center"/>
              <w:rPr>
                <w:rFonts w:eastAsia="Times New Roman" w:cstheme="minorHAnsi"/>
                <w:sz w:val="20"/>
                <w:szCs w:val="20"/>
                <w:lang w:bidi="th-TH"/>
              </w:rPr>
            </w:pPr>
            <w:r w:rsidRPr="00B47648">
              <w:rPr>
                <w:rFonts w:eastAsia="Times New Roman" w:cstheme="minorHAnsi"/>
                <w:sz w:val="20"/>
                <w:szCs w:val="20"/>
                <w:lang w:bidi="th-TH"/>
              </w:rPr>
              <w:t xml:space="preserve">Law Number 5, Year 2011 </w:t>
            </w:r>
            <w:r w:rsidRPr="00B47648">
              <w:rPr>
                <w:rFonts w:eastAsia="Times New Roman" w:cs="Times New Roman"/>
                <w:color w:val="000000"/>
                <w:sz w:val="20"/>
                <w:szCs w:val="20"/>
              </w:rPr>
              <w:t>Concerning</w:t>
            </w:r>
            <w:r w:rsidRPr="00B47648">
              <w:rPr>
                <w:rFonts w:eastAsia="Times New Roman" w:cstheme="minorHAnsi"/>
                <w:sz w:val="20"/>
                <w:szCs w:val="20"/>
                <w:lang w:bidi="th-TH"/>
              </w:rPr>
              <w:t xml:space="preserve"> Public Accountant;</w:t>
            </w:r>
          </w:p>
        </w:tc>
        <w:tc>
          <w:tcPr>
            <w:tcW w:w="3690" w:type="dxa"/>
            <w:vMerge w:val="restart"/>
            <w:shd w:val="clear" w:color="auto" w:fill="E7E6E6" w:themeFill="background2"/>
            <w:tcMar>
              <w:top w:w="43" w:type="dxa"/>
              <w:left w:w="115" w:type="dxa"/>
              <w:bottom w:w="43" w:type="dxa"/>
              <w:right w:w="115" w:type="dxa"/>
            </w:tcMar>
            <w:vAlign w:val="center"/>
          </w:tcPr>
          <w:p w14:paraId="3AB15004" w14:textId="77777777" w:rsidR="0019100E" w:rsidRPr="00B47648" w:rsidRDefault="0019100E" w:rsidP="0019100E">
            <w:pPr>
              <w:keepLines/>
              <w:spacing w:after="0"/>
              <w:jc w:val="center"/>
              <w:rPr>
                <w:rFonts w:cstheme="minorHAnsi"/>
                <w:sz w:val="20"/>
                <w:szCs w:val="20"/>
                <w:lang w:bidi="th-TH"/>
              </w:rPr>
            </w:pPr>
            <w:r w:rsidRPr="00B47648">
              <w:rPr>
                <w:rFonts w:eastAsia="Times New Roman" w:cs="Times New Roman"/>
                <w:color w:val="000000"/>
                <w:sz w:val="20"/>
                <w:szCs w:val="20"/>
              </w:rPr>
              <w:t>Securities</w:t>
            </w:r>
            <w:r w:rsidRPr="00B47648">
              <w:rPr>
                <w:rFonts w:cstheme="minorHAnsi"/>
                <w:sz w:val="20"/>
                <w:szCs w:val="20"/>
                <w:lang w:bidi="th-TH"/>
              </w:rPr>
              <w:t xml:space="preserve"> Commission Malaysia Act 1993</w:t>
            </w:r>
          </w:p>
        </w:tc>
        <w:tc>
          <w:tcPr>
            <w:tcW w:w="3240" w:type="dxa"/>
            <w:vMerge w:val="restart"/>
            <w:shd w:val="clear" w:color="auto" w:fill="E7E6E6" w:themeFill="background2"/>
            <w:tcMar>
              <w:top w:w="43" w:type="dxa"/>
              <w:left w:w="115" w:type="dxa"/>
              <w:bottom w:w="43" w:type="dxa"/>
              <w:right w:w="115" w:type="dxa"/>
            </w:tcMar>
            <w:vAlign w:val="center"/>
          </w:tcPr>
          <w:p w14:paraId="18C82EBE" w14:textId="199A305E" w:rsidR="0019100E" w:rsidRPr="00B47648" w:rsidRDefault="0019100E" w:rsidP="0019100E">
            <w:pPr>
              <w:keepLines/>
              <w:spacing w:after="0"/>
              <w:jc w:val="center"/>
              <w:rPr>
                <w:rFonts w:cstheme="minorHAnsi"/>
                <w:color w:val="000000"/>
                <w:sz w:val="20"/>
                <w:szCs w:val="20"/>
                <w:lang w:bidi="th-TH"/>
              </w:rPr>
            </w:pPr>
            <w:r w:rsidRPr="00B47648">
              <w:rPr>
                <w:rFonts w:cstheme="minorHAnsi"/>
                <w:color w:val="000000"/>
                <w:sz w:val="20"/>
                <w:szCs w:val="20"/>
                <w:lang w:bidi="th-TH"/>
              </w:rPr>
              <w:t xml:space="preserve">Accounting and Corporate </w:t>
            </w:r>
            <w:r w:rsidRPr="00B47648">
              <w:rPr>
                <w:rFonts w:eastAsia="Times New Roman" w:cs="Times New Roman"/>
                <w:color w:val="000000"/>
                <w:sz w:val="20"/>
                <w:szCs w:val="20"/>
              </w:rPr>
              <w:t>Regulatory</w:t>
            </w:r>
            <w:r w:rsidRPr="00B47648">
              <w:rPr>
                <w:rFonts w:cstheme="minorHAnsi"/>
                <w:color w:val="000000"/>
                <w:sz w:val="20"/>
                <w:szCs w:val="20"/>
                <w:lang w:bidi="th-TH"/>
              </w:rPr>
              <w:t xml:space="preserve"> Authority Act</w:t>
            </w:r>
            <w:r w:rsidRPr="00B47648">
              <w:rPr>
                <w:rFonts w:cs="Cordia New"/>
                <w:color w:val="000000"/>
                <w:sz w:val="20"/>
                <w:szCs w:val="20"/>
                <w:cs/>
                <w:lang w:bidi="th-TH"/>
              </w:rPr>
              <w:t xml:space="preserve"> </w:t>
            </w:r>
            <w:r w:rsidRPr="00B47648">
              <w:rPr>
                <w:rFonts w:cstheme="minorHAnsi"/>
                <w:color w:val="000000"/>
                <w:sz w:val="20"/>
                <w:szCs w:val="20"/>
                <w:lang w:bidi="th-TH"/>
              </w:rPr>
              <w:t>establishes ACRA’s functions and powers.</w:t>
            </w:r>
          </w:p>
        </w:tc>
        <w:tc>
          <w:tcPr>
            <w:tcW w:w="4220" w:type="dxa"/>
            <w:vMerge w:val="restart"/>
            <w:shd w:val="clear" w:color="auto" w:fill="E7E6E6" w:themeFill="background2"/>
            <w:tcMar>
              <w:top w:w="43" w:type="dxa"/>
              <w:left w:w="115" w:type="dxa"/>
              <w:bottom w:w="43" w:type="dxa"/>
              <w:right w:w="115" w:type="dxa"/>
            </w:tcMar>
            <w:vAlign w:val="center"/>
            <w:hideMark/>
          </w:tcPr>
          <w:p w14:paraId="52B5E8CB" w14:textId="77777777" w:rsidR="0019100E" w:rsidRPr="00B47648" w:rsidRDefault="0019100E" w:rsidP="0019100E">
            <w:pPr>
              <w:keepLines/>
              <w:spacing w:after="0"/>
              <w:jc w:val="center"/>
              <w:rPr>
                <w:rFonts w:cstheme="minorHAnsi"/>
                <w:sz w:val="20"/>
                <w:szCs w:val="20"/>
                <w:lang w:bidi="th-TH"/>
              </w:rPr>
            </w:pPr>
            <w:r w:rsidRPr="00B47648">
              <w:rPr>
                <w:rFonts w:eastAsia="Times New Roman" w:cs="Times New Roman"/>
                <w:color w:val="000000"/>
                <w:sz w:val="20"/>
                <w:szCs w:val="20"/>
              </w:rPr>
              <w:t>Securities</w:t>
            </w:r>
            <w:r w:rsidRPr="00B47648">
              <w:rPr>
                <w:rFonts w:cstheme="minorHAnsi"/>
                <w:sz w:val="20"/>
                <w:szCs w:val="20"/>
                <w:lang w:bidi="th-TH"/>
              </w:rPr>
              <w:t xml:space="preserve"> and Exchange Act B</w:t>
            </w:r>
            <w:r w:rsidRPr="00B47648">
              <w:rPr>
                <w:rFonts w:cstheme="minorHAnsi"/>
                <w:sz w:val="20"/>
                <w:szCs w:val="20"/>
                <w:cs/>
                <w:lang w:bidi="th-TH"/>
              </w:rPr>
              <w:t>.</w:t>
            </w:r>
            <w:r w:rsidRPr="00B47648">
              <w:rPr>
                <w:rFonts w:cstheme="minorHAnsi"/>
                <w:sz w:val="20"/>
                <w:szCs w:val="20"/>
                <w:lang w:bidi="th-TH"/>
              </w:rPr>
              <w:t>E</w:t>
            </w:r>
            <w:r w:rsidRPr="00B47648">
              <w:rPr>
                <w:rFonts w:cstheme="minorHAnsi"/>
                <w:sz w:val="20"/>
                <w:szCs w:val="20"/>
                <w:cs/>
                <w:lang w:bidi="th-TH"/>
              </w:rPr>
              <w:t xml:space="preserve">. </w:t>
            </w:r>
            <w:r w:rsidRPr="00B47648">
              <w:rPr>
                <w:rFonts w:cstheme="minorHAnsi"/>
                <w:sz w:val="20"/>
                <w:szCs w:val="20"/>
                <w:lang w:bidi="th-TH"/>
              </w:rPr>
              <w:t xml:space="preserve">2535 </w:t>
            </w:r>
            <w:r w:rsidRPr="00B47648">
              <w:rPr>
                <w:rFonts w:cstheme="minorHAnsi"/>
                <w:sz w:val="20"/>
                <w:szCs w:val="20"/>
                <w:cs/>
                <w:lang w:bidi="th-TH"/>
              </w:rPr>
              <w:t>(</w:t>
            </w:r>
            <w:r w:rsidRPr="00B47648">
              <w:rPr>
                <w:rFonts w:cstheme="minorHAnsi"/>
                <w:sz w:val="20"/>
                <w:szCs w:val="20"/>
                <w:lang w:bidi="th-TH"/>
              </w:rPr>
              <w:t>1992</w:t>
            </w:r>
            <w:r w:rsidRPr="00B47648">
              <w:rPr>
                <w:rFonts w:cstheme="minorHAnsi"/>
                <w:sz w:val="20"/>
                <w:szCs w:val="20"/>
                <w:cs/>
                <w:lang w:bidi="th-TH"/>
              </w:rPr>
              <w:t>)</w:t>
            </w:r>
          </w:p>
        </w:tc>
      </w:tr>
      <w:tr w:rsidR="0019100E" w:rsidRPr="00B47648" w14:paraId="03240E32" w14:textId="77777777" w:rsidTr="00CE6908">
        <w:trPr>
          <w:cantSplit/>
          <w:trHeight w:val="666"/>
          <w:jc w:val="center"/>
        </w:trPr>
        <w:tc>
          <w:tcPr>
            <w:tcW w:w="2790" w:type="dxa"/>
            <w:vMerge w:val="restart"/>
            <w:shd w:val="clear" w:color="auto" w:fill="E7E6E6" w:themeFill="background2"/>
            <w:tcMar>
              <w:top w:w="43" w:type="dxa"/>
              <w:left w:w="115" w:type="dxa"/>
              <w:bottom w:w="43" w:type="dxa"/>
              <w:right w:w="115" w:type="dxa"/>
            </w:tcMar>
            <w:vAlign w:val="center"/>
          </w:tcPr>
          <w:p w14:paraId="367D8B76" w14:textId="4F449107" w:rsidR="0019100E" w:rsidRPr="00B47648" w:rsidRDefault="0019100E" w:rsidP="0019100E">
            <w:pPr>
              <w:keepLines/>
              <w:spacing w:after="0"/>
              <w:jc w:val="center"/>
              <w:rPr>
                <w:rFonts w:eastAsia="Times New Roman" w:cstheme="minorHAnsi"/>
                <w:sz w:val="20"/>
                <w:szCs w:val="20"/>
                <w:lang w:bidi="th-TH"/>
              </w:rPr>
            </w:pPr>
            <w:r w:rsidRPr="00B47648">
              <w:rPr>
                <w:rFonts w:eastAsia="Times New Roman" w:cstheme="minorHAnsi"/>
                <w:sz w:val="20"/>
                <w:szCs w:val="20"/>
                <w:lang w:bidi="th-TH"/>
              </w:rPr>
              <w:t xml:space="preserve">Government Regulation </w:t>
            </w:r>
            <w:r w:rsidRPr="00B47648">
              <w:rPr>
                <w:rFonts w:eastAsia="Times New Roman" w:cs="Times New Roman"/>
                <w:color w:val="000000"/>
                <w:sz w:val="20"/>
                <w:szCs w:val="20"/>
              </w:rPr>
              <w:t>Number</w:t>
            </w:r>
            <w:r w:rsidRPr="00B47648">
              <w:rPr>
                <w:rFonts w:eastAsia="Times New Roman" w:cstheme="minorHAnsi"/>
                <w:sz w:val="20"/>
                <w:szCs w:val="20"/>
                <w:lang w:bidi="th-TH"/>
              </w:rPr>
              <w:t xml:space="preserve"> 20 Year 2015 Concerning Public Accountant Practices;</w:t>
            </w:r>
          </w:p>
        </w:tc>
        <w:tc>
          <w:tcPr>
            <w:tcW w:w="3690" w:type="dxa"/>
            <w:vMerge/>
            <w:shd w:val="clear" w:color="auto" w:fill="E7E6E6" w:themeFill="background2"/>
            <w:tcMar>
              <w:top w:w="43" w:type="dxa"/>
              <w:left w:w="115" w:type="dxa"/>
              <w:bottom w:w="43" w:type="dxa"/>
              <w:right w:w="115" w:type="dxa"/>
            </w:tcMar>
            <w:vAlign w:val="center"/>
          </w:tcPr>
          <w:p w14:paraId="095C0935" w14:textId="77777777" w:rsidR="0019100E" w:rsidRPr="00B47648" w:rsidRDefault="0019100E" w:rsidP="0019100E">
            <w:pPr>
              <w:keepLines/>
              <w:spacing w:after="0"/>
              <w:jc w:val="center"/>
              <w:rPr>
                <w:rFonts w:eastAsia="Times New Roman" w:cs="Times New Roman"/>
                <w:color w:val="000000"/>
                <w:sz w:val="20"/>
                <w:szCs w:val="20"/>
              </w:rPr>
            </w:pPr>
          </w:p>
        </w:tc>
        <w:tc>
          <w:tcPr>
            <w:tcW w:w="3240" w:type="dxa"/>
            <w:vMerge/>
            <w:shd w:val="clear" w:color="auto" w:fill="E7E6E6" w:themeFill="background2"/>
            <w:tcMar>
              <w:top w:w="43" w:type="dxa"/>
              <w:left w:w="115" w:type="dxa"/>
              <w:bottom w:w="43" w:type="dxa"/>
              <w:right w:w="115" w:type="dxa"/>
            </w:tcMar>
            <w:vAlign w:val="center"/>
          </w:tcPr>
          <w:p w14:paraId="2AD9F9D7" w14:textId="7FEC53B1" w:rsidR="0019100E" w:rsidRPr="00B47648" w:rsidRDefault="0019100E" w:rsidP="0019100E">
            <w:pPr>
              <w:keepLines/>
              <w:spacing w:after="0"/>
              <w:jc w:val="center"/>
              <w:rPr>
                <w:rFonts w:cstheme="minorHAnsi"/>
                <w:color w:val="000000"/>
                <w:sz w:val="20"/>
                <w:szCs w:val="20"/>
                <w:lang w:bidi="th-TH"/>
              </w:rPr>
            </w:pPr>
          </w:p>
        </w:tc>
        <w:tc>
          <w:tcPr>
            <w:tcW w:w="4220" w:type="dxa"/>
            <w:vMerge/>
            <w:shd w:val="clear" w:color="auto" w:fill="E7E6E6" w:themeFill="background2"/>
            <w:tcMar>
              <w:top w:w="43" w:type="dxa"/>
              <w:left w:w="115" w:type="dxa"/>
              <w:bottom w:w="43" w:type="dxa"/>
              <w:right w:w="115" w:type="dxa"/>
            </w:tcMar>
          </w:tcPr>
          <w:p w14:paraId="075280CE" w14:textId="77777777" w:rsidR="0019100E" w:rsidRPr="00B47648" w:rsidRDefault="0019100E" w:rsidP="00FF7A94">
            <w:pPr>
              <w:keepLines/>
              <w:numPr>
                <w:ilvl w:val="0"/>
                <w:numId w:val="14"/>
              </w:numPr>
              <w:spacing w:after="0"/>
              <w:ind w:left="360"/>
              <w:jc w:val="left"/>
              <w:rPr>
                <w:rFonts w:eastAsia="Times New Roman" w:cs="Times New Roman"/>
                <w:color w:val="000000"/>
                <w:sz w:val="20"/>
                <w:szCs w:val="20"/>
              </w:rPr>
            </w:pPr>
          </w:p>
        </w:tc>
      </w:tr>
      <w:tr w:rsidR="0019100E" w:rsidRPr="00B47648" w14:paraId="1633C61A" w14:textId="77777777" w:rsidTr="00CE6908">
        <w:trPr>
          <w:cantSplit/>
          <w:trHeight w:val="337"/>
          <w:jc w:val="center"/>
        </w:trPr>
        <w:tc>
          <w:tcPr>
            <w:tcW w:w="2790" w:type="dxa"/>
            <w:vMerge/>
            <w:shd w:val="clear" w:color="auto" w:fill="E7E6E6" w:themeFill="background2"/>
            <w:tcMar>
              <w:top w:w="43" w:type="dxa"/>
              <w:left w:w="115" w:type="dxa"/>
              <w:bottom w:w="43" w:type="dxa"/>
              <w:right w:w="115" w:type="dxa"/>
            </w:tcMar>
            <w:vAlign w:val="center"/>
          </w:tcPr>
          <w:p w14:paraId="604628A3" w14:textId="77777777" w:rsidR="0019100E" w:rsidRPr="00B47648" w:rsidRDefault="0019100E" w:rsidP="0019100E">
            <w:pPr>
              <w:keepLines/>
              <w:spacing w:after="0"/>
              <w:jc w:val="center"/>
              <w:rPr>
                <w:rFonts w:eastAsia="Times New Roman" w:cstheme="minorHAnsi"/>
                <w:sz w:val="20"/>
                <w:szCs w:val="20"/>
                <w:lang w:bidi="th-TH"/>
              </w:rPr>
            </w:pPr>
          </w:p>
        </w:tc>
        <w:tc>
          <w:tcPr>
            <w:tcW w:w="3690" w:type="dxa"/>
            <w:vMerge/>
            <w:shd w:val="clear" w:color="auto" w:fill="E7E6E6" w:themeFill="background2"/>
            <w:tcMar>
              <w:top w:w="43" w:type="dxa"/>
              <w:left w:w="115" w:type="dxa"/>
              <w:bottom w:w="43" w:type="dxa"/>
              <w:right w:w="115" w:type="dxa"/>
            </w:tcMar>
            <w:vAlign w:val="center"/>
          </w:tcPr>
          <w:p w14:paraId="7E91EC6C" w14:textId="77777777" w:rsidR="0019100E" w:rsidRPr="00B47648" w:rsidRDefault="0019100E" w:rsidP="0019100E">
            <w:pPr>
              <w:keepLines/>
              <w:spacing w:after="0"/>
              <w:jc w:val="center"/>
              <w:rPr>
                <w:rFonts w:eastAsia="Times New Roman" w:cs="Times New Roman"/>
                <w:color w:val="000000"/>
                <w:sz w:val="20"/>
                <w:szCs w:val="20"/>
              </w:rPr>
            </w:pPr>
          </w:p>
        </w:tc>
        <w:tc>
          <w:tcPr>
            <w:tcW w:w="3240" w:type="dxa"/>
            <w:vMerge w:val="restart"/>
            <w:shd w:val="clear" w:color="auto" w:fill="E7E6E6" w:themeFill="background2"/>
            <w:tcMar>
              <w:top w:w="43" w:type="dxa"/>
              <w:left w:w="115" w:type="dxa"/>
              <w:bottom w:w="43" w:type="dxa"/>
              <w:right w:w="115" w:type="dxa"/>
            </w:tcMar>
            <w:vAlign w:val="center"/>
          </w:tcPr>
          <w:p w14:paraId="3F27EB10" w14:textId="71A5A346" w:rsidR="0019100E" w:rsidRPr="00B47648" w:rsidRDefault="0019100E" w:rsidP="0019100E">
            <w:pPr>
              <w:keepLines/>
              <w:spacing w:after="0"/>
              <w:jc w:val="center"/>
              <w:rPr>
                <w:rFonts w:cstheme="minorHAnsi"/>
                <w:color w:val="000000"/>
                <w:sz w:val="20"/>
                <w:szCs w:val="20"/>
                <w:lang w:bidi="th-TH"/>
              </w:rPr>
            </w:pPr>
            <w:r w:rsidRPr="00B47648">
              <w:rPr>
                <w:rFonts w:eastAsia="Times New Roman" w:cs="Times New Roman"/>
                <w:color w:val="000000"/>
                <w:sz w:val="20"/>
                <w:szCs w:val="20"/>
              </w:rPr>
              <w:t>Accountants</w:t>
            </w:r>
            <w:r w:rsidRPr="00B47648">
              <w:rPr>
                <w:rFonts w:cstheme="minorHAnsi"/>
                <w:color w:val="000000"/>
                <w:sz w:val="20"/>
                <w:szCs w:val="20"/>
                <w:lang w:bidi="th-TH"/>
              </w:rPr>
              <w:t xml:space="preserve"> Act and its subsidiary legislations sets out the laws and regulations concerning public accountants and public accounting entities.</w:t>
            </w:r>
          </w:p>
        </w:tc>
        <w:tc>
          <w:tcPr>
            <w:tcW w:w="4220" w:type="dxa"/>
            <w:vMerge/>
            <w:shd w:val="clear" w:color="auto" w:fill="E7E6E6" w:themeFill="background2"/>
            <w:tcMar>
              <w:top w:w="43" w:type="dxa"/>
              <w:left w:w="115" w:type="dxa"/>
              <w:bottom w:w="43" w:type="dxa"/>
              <w:right w:w="115" w:type="dxa"/>
            </w:tcMar>
          </w:tcPr>
          <w:p w14:paraId="79719A27" w14:textId="77777777" w:rsidR="0019100E" w:rsidRPr="00B47648" w:rsidRDefault="0019100E" w:rsidP="00FF7A94">
            <w:pPr>
              <w:keepLines/>
              <w:numPr>
                <w:ilvl w:val="0"/>
                <w:numId w:val="14"/>
              </w:numPr>
              <w:spacing w:after="0"/>
              <w:ind w:left="360"/>
              <w:jc w:val="left"/>
              <w:rPr>
                <w:rFonts w:eastAsia="Times New Roman" w:cs="Times New Roman"/>
                <w:color w:val="000000"/>
                <w:sz w:val="20"/>
                <w:szCs w:val="20"/>
              </w:rPr>
            </w:pPr>
          </w:p>
        </w:tc>
      </w:tr>
      <w:tr w:rsidR="0019100E" w:rsidRPr="00B47648" w14:paraId="360C45A6" w14:textId="77777777" w:rsidTr="00CE6908">
        <w:trPr>
          <w:cantSplit/>
          <w:trHeight w:val="45"/>
          <w:jc w:val="center"/>
        </w:trPr>
        <w:tc>
          <w:tcPr>
            <w:tcW w:w="2790" w:type="dxa"/>
            <w:shd w:val="clear" w:color="auto" w:fill="E7E6E6" w:themeFill="background2"/>
            <w:tcMar>
              <w:top w:w="43" w:type="dxa"/>
              <w:left w:w="115" w:type="dxa"/>
              <w:bottom w:w="43" w:type="dxa"/>
              <w:right w:w="115" w:type="dxa"/>
            </w:tcMar>
            <w:vAlign w:val="center"/>
          </w:tcPr>
          <w:p w14:paraId="19413FDA" w14:textId="27EB6B20" w:rsidR="0019100E" w:rsidRPr="00B47648" w:rsidRDefault="0019100E" w:rsidP="0019100E">
            <w:pPr>
              <w:keepLines/>
              <w:spacing w:after="0"/>
              <w:jc w:val="center"/>
              <w:rPr>
                <w:rFonts w:eastAsia="Times New Roman" w:cstheme="minorHAnsi"/>
                <w:sz w:val="20"/>
                <w:szCs w:val="20"/>
                <w:lang w:bidi="th-TH"/>
              </w:rPr>
            </w:pPr>
            <w:r w:rsidRPr="00B47648">
              <w:rPr>
                <w:rFonts w:eastAsia="Times New Roman" w:cstheme="minorHAnsi"/>
                <w:sz w:val="20"/>
                <w:szCs w:val="20"/>
                <w:lang w:bidi="th-TH"/>
              </w:rPr>
              <w:t xml:space="preserve">Finance Minister Regulation Number </w:t>
            </w:r>
            <w:r w:rsidRPr="00B47648">
              <w:rPr>
                <w:rFonts w:eastAsia="Times New Roman" w:cs="Times New Roman"/>
                <w:color w:val="000000"/>
                <w:sz w:val="20"/>
                <w:szCs w:val="20"/>
              </w:rPr>
              <w:t>17</w:t>
            </w:r>
            <w:r w:rsidRPr="00B47648">
              <w:rPr>
                <w:rFonts w:eastAsia="Times New Roman" w:cstheme="minorHAnsi"/>
                <w:sz w:val="20"/>
                <w:szCs w:val="20"/>
                <w:lang w:bidi="th-TH"/>
              </w:rPr>
              <w:t>/PMK.01/2008 Concerning Public Accountant Services.</w:t>
            </w:r>
          </w:p>
        </w:tc>
        <w:tc>
          <w:tcPr>
            <w:tcW w:w="3690" w:type="dxa"/>
            <w:vMerge/>
            <w:shd w:val="clear" w:color="auto" w:fill="E7E6E6" w:themeFill="background2"/>
            <w:tcMar>
              <w:top w:w="43" w:type="dxa"/>
              <w:left w:w="115" w:type="dxa"/>
              <w:bottom w:w="43" w:type="dxa"/>
              <w:right w:w="115" w:type="dxa"/>
            </w:tcMar>
          </w:tcPr>
          <w:p w14:paraId="773B3DB3" w14:textId="77777777" w:rsidR="0019100E" w:rsidRPr="00B47648" w:rsidRDefault="0019100E" w:rsidP="00DD5BB1">
            <w:pPr>
              <w:keepLines/>
              <w:spacing w:after="0"/>
              <w:jc w:val="left"/>
              <w:rPr>
                <w:rFonts w:eastAsia="Times New Roman" w:cs="Times New Roman"/>
                <w:color w:val="000000"/>
                <w:sz w:val="20"/>
                <w:szCs w:val="20"/>
              </w:rPr>
            </w:pPr>
          </w:p>
        </w:tc>
        <w:tc>
          <w:tcPr>
            <w:tcW w:w="3240" w:type="dxa"/>
            <w:vMerge/>
            <w:shd w:val="clear" w:color="auto" w:fill="E7E6E6" w:themeFill="background2"/>
            <w:tcMar>
              <w:top w:w="43" w:type="dxa"/>
              <w:left w:w="115" w:type="dxa"/>
              <w:bottom w:w="43" w:type="dxa"/>
              <w:right w:w="115" w:type="dxa"/>
            </w:tcMar>
          </w:tcPr>
          <w:p w14:paraId="36BAF304" w14:textId="1FCC62ED" w:rsidR="0019100E" w:rsidRPr="00B47648" w:rsidRDefault="0019100E" w:rsidP="0019100E">
            <w:pPr>
              <w:keepLines/>
              <w:spacing w:after="0"/>
              <w:jc w:val="left"/>
              <w:rPr>
                <w:rFonts w:cstheme="minorHAnsi"/>
                <w:color w:val="000000"/>
                <w:sz w:val="20"/>
                <w:szCs w:val="20"/>
                <w:lang w:bidi="th-TH"/>
              </w:rPr>
            </w:pPr>
          </w:p>
        </w:tc>
        <w:tc>
          <w:tcPr>
            <w:tcW w:w="4220" w:type="dxa"/>
            <w:vMerge/>
            <w:shd w:val="clear" w:color="auto" w:fill="E7E6E6" w:themeFill="background2"/>
            <w:tcMar>
              <w:top w:w="43" w:type="dxa"/>
              <w:left w:w="115" w:type="dxa"/>
              <w:bottom w:w="43" w:type="dxa"/>
              <w:right w:w="115" w:type="dxa"/>
            </w:tcMar>
          </w:tcPr>
          <w:p w14:paraId="3D09A503" w14:textId="77777777" w:rsidR="0019100E" w:rsidRPr="00B47648" w:rsidRDefault="0019100E" w:rsidP="00FF7A94">
            <w:pPr>
              <w:keepLines/>
              <w:numPr>
                <w:ilvl w:val="0"/>
                <w:numId w:val="14"/>
              </w:numPr>
              <w:spacing w:after="0"/>
              <w:ind w:left="360"/>
              <w:jc w:val="left"/>
              <w:rPr>
                <w:rFonts w:eastAsia="Times New Roman" w:cs="Times New Roman"/>
                <w:color w:val="000000"/>
                <w:sz w:val="20"/>
                <w:szCs w:val="20"/>
              </w:rPr>
            </w:pPr>
          </w:p>
        </w:tc>
      </w:tr>
      <w:tr w:rsidR="00F76E53" w:rsidRPr="00B47648" w14:paraId="5138F922" w14:textId="77777777" w:rsidTr="00B47648">
        <w:trPr>
          <w:cantSplit/>
          <w:trHeight w:val="75"/>
          <w:jc w:val="center"/>
        </w:trPr>
        <w:tc>
          <w:tcPr>
            <w:tcW w:w="13940" w:type="dxa"/>
            <w:gridSpan w:val="4"/>
            <w:shd w:val="clear" w:color="auto" w:fill="8C8D90"/>
            <w:noWrap/>
            <w:tcMar>
              <w:top w:w="43" w:type="dxa"/>
              <w:left w:w="115" w:type="dxa"/>
              <w:bottom w:w="43" w:type="dxa"/>
              <w:right w:w="115" w:type="dxa"/>
            </w:tcMar>
          </w:tcPr>
          <w:p w14:paraId="3B76A231" w14:textId="77777777" w:rsidR="00F76E53" w:rsidRPr="00B47648" w:rsidRDefault="00F76E53" w:rsidP="00DD5BB1">
            <w:pPr>
              <w:keepNext/>
              <w:spacing w:after="0"/>
              <w:jc w:val="center"/>
              <w:rPr>
                <w:rFonts w:eastAsia="Times New Roman" w:cstheme="minorHAnsi"/>
                <w:color w:val="FFFFFF" w:themeColor="background1"/>
                <w:sz w:val="20"/>
                <w:szCs w:val="20"/>
                <w:lang w:bidi="th-TH"/>
              </w:rPr>
            </w:pPr>
            <w:r w:rsidRPr="00B47648">
              <w:rPr>
                <w:rFonts w:eastAsia="Times New Roman" w:cstheme="minorHAnsi"/>
                <w:b/>
                <w:color w:val="FFFFFF" w:themeColor="background1"/>
                <w:sz w:val="20"/>
                <w:szCs w:val="20"/>
                <w:lang w:bidi="th-TH"/>
              </w:rPr>
              <w:t>Is the oversight body housed or supported by another government entity or have a parent ministry?</w:t>
            </w:r>
          </w:p>
        </w:tc>
      </w:tr>
      <w:tr w:rsidR="00F76E53" w:rsidRPr="00B47648" w14:paraId="26859DF2" w14:textId="77777777" w:rsidTr="00CE6908">
        <w:trPr>
          <w:cantSplit/>
          <w:trHeight w:val="864"/>
          <w:jc w:val="center"/>
        </w:trPr>
        <w:tc>
          <w:tcPr>
            <w:tcW w:w="2790" w:type="dxa"/>
            <w:noWrap/>
            <w:tcMar>
              <w:top w:w="43" w:type="dxa"/>
              <w:left w:w="115" w:type="dxa"/>
              <w:bottom w:w="43" w:type="dxa"/>
              <w:right w:w="115" w:type="dxa"/>
            </w:tcMar>
            <w:vAlign w:val="center"/>
            <w:hideMark/>
          </w:tcPr>
          <w:p w14:paraId="11BA6432" w14:textId="77777777" w:rsidR="00F76E53" w:rsidRPr="00B47648" w:rsidRDefault="00F76E53" w:rsidP="00524D82">
            <w:pPr>
              <w:spacing w:after="0"/>
              <w:jc w:val="center"/>
              <w:rPr>
                <w:rFonts w:eastAsia="Times New Roman" w:cstheme="minorHAnsi"/>
                <w:sz w:val="20"/>
                <w:szCs w:val="20"/>
                <w:lang w:bidi="th-TH"/>
              </w:rPr>
            </w:pPr>
            <w:r w:rsidRPr="00B47648">
              <w:rPr>
                <w:rFonts w:eastAsia="Times New Roman" w:cstheme="minorHAnsi"/>
                <w:color w:val="000000"/>
                <w:sz w:val="20"/>
                <w:szCs w:val="20"/>
                <w:lang w:bidi="th-TH"/>
              </w:rPr>
              <w:t>Ministry of Finance</w:t>
            </w:r>
          </w:p>
        </w:tc>
        <w:tc>
          <w:tcPr>
            <w:tcW w:w="3690" w:type="dxa"/>
            <w:tcMar>
              <w:top w:w="43" w:type="dxa"/>
              <w:left w:w="115" w:type="dxa"/>
              <w:bottom w:w="43" w:type="dxa"/>
              <w:right w:w="115" w:type="dxa"/>
            </w:tcMar>
            <w:vAlign w:val="center"/>
            <w:hideMark/>
          </w:tcPr>
          <w:p w14:paraId="36A299A6" w14:textId="71DEAEF3" w:rsidR="00F76E53" w:rsidRPr="00B47648" w:rsidRDefault="00F76E53" w:rsidP="00524D82">
            <w:pPr>
              <w:spacing w:after="0"/>
              <w:jc w:val="center"/>
              <w:rPr>
                <w:rFonts w:eastAsia="Times New Roman" w:cstheme="minorHAnsi"/>
                <w:sz w:val="20"/>
                <w:szCs w:val="20"/>
                <w:lang w:bidi="th-TH"/>
              </w:rPr>
            </w:pPr>
            <w:r w:rsidRPr="00B47648">
              <w:rPr>
                <w:rFonts w:eastAsia="Times New Roman" w:cstheme="minorHAnsi"/>
                <w:sz w:val="20"/>
                <w:szCs w:val="20"/>
                <w:lang w:bidi="th-TH"/>
              </w:rPr>
              <w:t>Securities Commission Malaysia</w:t>
            </w:r>
          </w:p>
        </w:tc>
        <w:tc>
          <w:tcPr>
            <w:tcW w:w="3240" w:type="dxa"/>
            <w:tcMar>
              <w:top w:w="43" w:type="dxa"/>
              <w:left w:w="115" w:type="dxa"/>
              <w:bottom w:w="43" w:type="dxa"/>
              <w:right w:w="115" w:type="dxa"/>
            </w:tcMar>
            <w:vAlign w:val="center"/>
            <w:hideMark/>
          </w:tcPr>
          <w:p w14:paraId="16ED33B9" w14:textId="77777777" w:rsidR="00F76E53" w:rsidRPr="00B47648" w:rsidRDefault="00F76E53" w:rsidP="00524D82">
            <w:pPr>
              <w:spacing w:after="0"/>
              <w:jc w:val="center"/>
              <w:rPr>
                <w:rFonts w:eastAsia="Times New Roman" w:cstheme="minorHAnsi"/>
                <w:sz w:val="20"/>
                <w:szCs w:val="20"/>
                <w:lang w:bidi="th-TH"/>
              </w:rPr>
            </w:pPr>
            <w:r w:rsidRPr="00B47648">
              <w:rPr>
                <w:rFonts w:eastAsia="Times New Roman" w:cstheme="minorHAnsi"/>
                <w:sz w:val="20"/>
                <w:szCs w:val="20"/>
                <w:lang w:bidi="th-TH"/>
              </w:rPr>
              <w:t>Ministry of Finance</w:t>
            </w:r>
          </w:p>
        </w:tc>
        <w:tc>
          <w:tcPr>
            <w:tcW w:w="4220" w:type="dxa"/>
            <w:noWrap/>
            <w:tcMar>
              <w:top w:w="43" w:type="dxa"/>
              <w:left w:w="115" w:type="dxa"/>
              <w:bottom w:w="43" w:type="dxa"/>
              <w:right w:w="115" w:type="dxa"/>
            </w:tcMar>
            <w:vAlign w:val="center"/>
            <w:hideMark/>
          </w:tcPr>
          <w:p w14:paraId="24E5FF73" w14:textId="77777777" w:rsidR="00F76E53" w:rsidRPr="00B47648" w:rsidRDefault="00F76E53" w:rsidP="00524D82">
            <w:pPr>
              <w:keepNext/>
              <w:spacing w:after="0"/>
              <w:jc w:val="center"/>
              <w:rPr>
                <w:rFonts w:eastAsia="Times New Roman" w:cstheme="minorHAnsi"/>
                <w:sz w:val="20"/>
                <w:szCs w:val="20"/>
                <w:lang w:bidi="th-TH"/>
              </w:rPr>
            </w:pPr>
            <w:r w:rsidRPr="00B47648">
              <w:rPr>
                <w:rFonts w:eastAsia="Times New Roman" w:cstheme="minorHAnsi"/>
                <w:sz w:val="20"/>
                <w:szCs w:val="20"/>
                <w:lang w:bidi="th-TH"/>
              </w:rPr>
              <w:t xml:space="preserve">No. The oversight body is </w:t>
            </w:r>
            <w:r w:rsidRPr="00B47648">
              <w:rPr>
                <w:rFonts w:eastAsia="Times New Roman" w:cstheme="minorHAnsi"/>
                <w:sz w:val="20"/>
                <w:szCs w:val="20"/>
                <w:lang w:bidi="th-TH"/>
              </w:rPr>
              <w:br/>
              <w:t>the SEC Thailand, which is an independent organization</w:t>
            </w:r>
            <w:r w:rsidRPr="00B47648">
              <w:rPr>
                <w:rFonts w:eastAsia="Times New Roman" w:cstheme="minorHAnsi"/>
                <w:sz w:val="20"/>
                <w:szCs w:val="20"/>
                <w:cs/>
                <w:lang w:bidi="th-TH"/>
              </w:rPr>
              <w:t>.</w:t>
            </w:r>
          </w:p>
        </w:tc>
      </w:tr>
      <w:tr w:rsidR="00F76E53" w:rsidRPr="00B47648" w14:paraId="4815E5DA" w14:textId="77777777" w:rsidTr="00B47648">
        <w:trPr>
          <w:cantSplit/>
          <w:trHeight w:val="75"/>
          <w:jc w:val="center"/>
        </w:trPr>
        <w:tc>
          <w:tcPr>
            <w:tcW w:w="13940" w:type="dxa"/>
            <w:gridSpan w:val="4"/>
            <w:shd w:val="clear" w:color="auto" w:fill="8C8D90"/>
            <w:tcMar>
              <w:top w:w="43" w:type="dxa"/>
              <w:left w:w="115" w:type="dxa"/>
              <w:bottom w:w="43" w:type="dxa"/>
              <w:right w:w="115" w:type="dxa"/>
            </w:tcMar>
          </w:tcPr>
          <w:p w14:paraId="6F09051C" w14:textId="77777777" w:rsidR="00F76E53" w:rsidRPr="00B47648" w:rsidRDefault="00F76E53" w:rsidP="00DD5BB1">
            <w:pPr>
              <w:spacing w:after="0"/>
              <w:jc w:val="center"/>
              <w:rPr>
                <w:rFonts w:eastAsia="Times New Roman" w:cstheme="minorHAnsi"/>
                <w:color w:val="FFFFFF" w:themeColor="background1"/>
                <w:sz w:val="20"/>
                <w:szCs w:val="20"/>
                <w:lang w:bidi="th-TH"/>
              </w:rPr>
            </w:pPr>
            <w:r w:rsidRPr="00B47648">
              <w:rPr>
                <w:rFonts w:eastAsia="Times New Roman" w:cstheme="minorHAnsi"/>
                <w:b/>
                <w:color w:val="FFFFFF" w:themeColor="background1"/>
                <w:sz w:val="20"/>
                <w:szCs w:val="20"/>
                <w:lang w:bidi="th-TH"/>
              </w:rPr>
              <w:t>How</w:t>
            </w:r>
            <w:r w:rsidRPr="00B47648">
              <w:rPr>
                <w:rFonts w:eastAsia="Times New Roman" w:cstheme="minorHAnsi"/>
                <w:b/>
                <w:color w:val="FFFFFF" w:themeColor="background1"/>
                <w:sz w:val="20"/>
                <w:szCs w:val="20"/>
                <w:cs/>
                <w:lang w:bidi="th-TH"/>
              </w:rPr>
              <w:t>/</w:t>
            </w:r>
            <w:r w:rsidRPr="00B47648">
              <w:rPr>
                <w:rFonts w:eastAsia="Times New Roman" w:cstheme="minorHAnsi"/>
                <w:b/>
                <w:color w:val="FFFFFF" w:themeColor="background1"/>
                <w:sz w:val="20"/>
                <w:szCs w:val="20"/>
                <w:lang w:bidi="th-TH"/>
              </w:rPr>
              <w:t>by whom are board members appointed?</w:t>
            </w:r>
          </w:p>
        </w:tc>
      </w:tr>
      <w:tr w:rsidR="00F76E53" w:rsidRPr="00B47648" w14:paraId="08B5731D" w14:textId="77777777" w:rsidTr="00CE6908">
        <w:trPr>
          <w:cantSplit/>
          <w:trHeight w:val="576"/>
          <w:jc w:val="center"/>
        </w:trPr>
        <w:tc>
          <w:tcPr>
            <w:tcW w:w="2790" w:type="dxa"/>
            <w:shd w:val="clear" w:color="auto" w:fill="E7E6E6" w:themeFill="background2"/>
            <w:tcMar>
              <w:top w:w="43" w:type="dxa"/>
              <w:left w:w="115" w:type="dxa"/>
              <w:bottom w:w="43" w:type="dxa"/>
              <w:right w:w="115" w:type="dxa"/>
            </w:tcMar>
            <w:vAlign w:val="center"/>
            <w:hideMark/>
          </w:tcPr>
          <w:p w14:paraId="0B1FBE94" w14:textId="77777777" w:rsidR="00F76E53" w:rsidRPr="00B47648" w:rsidRDefault="00F76E53" w:rsidP="00524D82">
            <w:pPr>
              <w:spacing w:after="0"/>
              <w:jc w:val="center"/>
              <w:rPr>
                <w:rFonts w:eastAsia="Times New Roman" w:cstheme="minorHAnsi"/>
                <w:sz w:val="20"/>
                <w:szCs w:val="20"/>
                <w:lang w:bidi="th-TH"/>
              </w:rPr>
            </w:pPr>
            <w:r w:rsidRPr="00B47648">
              <w:rPr>
                <w:rFonts w:eastAsia="Times New Roman" w:cstheme="minorHAnsi"/>
                <w:color w:val="000000"/>
                <w:sz w:val="20"/>
                <w:szCs w:val="20"/>
                <w:lang w:bidi="th-TH"/>
              </w:rPr>
              <w:t>Ministry of Finance</w:t>
            </w:r>
          </w:p>
        </w:tc>
        <w:tc>
          <w:tcPr>
            <w:tcW w:w="3690" w:type="dxa"/>
            <w:shd w:val="clear" w:color="auto" w:fill="E7E6E6" w:themeFill="background2"/>
            <w:tcMar>
              <w:top w:w="43" w:type="dxa"/>
              <w:left w:w="115" w:type="dxa"/>
              <w:bottom w:w="43" w:type="dxa"/>
              <w:right w:w="115" w:type="dxa"/>
            </w:tcMar>
            <w:vAlign w:val="center"/>
            <w:hideMark/>
          </w:tcPr>
          <w:p w14:paraId="5BDEFA32" w14:textId="77777777" w:rsidR="00F76E53" w:rsidRPr="00B47648" w:rsidRDefault="00F76E53" w:rsidP="00524D82">
            <w:pPr>
              <w:spacing w:after="0"/>
              <w:jc w:val="center"/>
              <w:rPr>
                <w:rFonts w:eastAsia="Times New Roman" w:cstheme="minorHAnsi"/>
                <w:sz w:val="20"/>
                <w:szCs w:val="20"/>
                <w:lang w:bidi="th-TH"/>
              </w:rPr>
            </w:pPr>
            <w:r w:rsidRPr="00B47648">
              <w:rPr>
                <w:rFonts w:eastAsia="Times New Roman" w:cstheme="minorHAnsi"/>
                <w:sz w:val="20"/>
                <w:szCs w:val="20"/>
                <w:lang w:bidi="th-TH"/>
              </w:rPr>
              <w:t xml:space="preserve">Board members are appointed by the Board of </w:t>
            </w:r>
            <w:r w:rsidR="005D3109" w:rsidRPr="00B47648">
              <w:rPr>
                <w:rFonts w:eastAsia="Times New Roman" w:cstheme="minorHAnsi"/>
                <w:sz w:val="20"/>
                <w:szCs w:val="20"/>
                <w:lang w:bidi="th-TH"/>
              </w:rPr>
              <w:t>Securities Commission</w:t>
            </w:r>
            <w:r w:rsidRPr="00B47648">
              <w:rPr>
                <w:rFonts w:eastAsia="Times New Roman" w:cstheme="minorHAnsi"/>
                <w:sz w:val="20"/>
                <w:szCs w:val="20"/>
                <w:cs/>
                <w:lang w:bidi="th-TH"/>
              </w:rPr>
              <w:t>.</w:t>
            </w:r>
          </w:p>
        </w:tc>
        <w:tc>
          <w:tcPr>
            <w:tcW w:w="3240" w:type="dxa"/>
            <w:shd w:val="clear" w:color="auto" w:fill="E7E6E6" w:themeFill="background2"/>
            <w:tcMar>
              <w:top w:w="43" w:type="dxa"/>
              <w:left w:w="115" w:type="dxa"/>
              <w:bottom w:w="43" w:type="dxa"/>
              <w:right w:w="115" w:type="dxa"/>
            </w:tcMar>
            <w:vAlign w:val="center"/>
            <w:hideMark/>
          </w:tcPr>
          <w:p w14:paraId="1431467B" w14:textId="77777777" w:rsidR="00F76E53" w:rsidRPr="00B47648" w:rsidRDefault="00F76E53" w:rsidP="00524D82">
            <w:pPr>
              <w:spacing w:after="0"/>
              <w:jc w:val="center"/>
              <w:rPr>
                <w:rFonts w:eastAsia="Times New Roman" w:cstheme="minorHAnsi"/>
                <w:sz w:val="20"/>
                <w:szCs w:val="20"/>
                <w:lang w:bidi="th-TH"/>
              </w:rPr>
            </w:pPr>
            <w:r w:rsidRPr="00B47648">
              <w:rPr>
                <w:rFonts w:eastAsia="Times New Roman" w:cstheme="minorHAnsi"/>
                <w:sz w:val="20"/>
                <w:szCs w:val="20"/>
                <w:lang w:bidi="th-TH"/>
              </w:rPr>
              <w:t>Ministry of Finance</w:t>
            </w:r>
          </w:p>
        </w:tc>
        <w:tc>
          <w:tcPr>
            <w:tcW w:w="4220" w:type="dxa"/>
            <w:shd w:val="clear" w:color="auto" w:fill="E7E6E6" w:themeFill="background2"/>
            <w:tcMar>
              <w:top w:w="43" w:type="dxa"/>
              <w:left w:w="115" w:type="dxa"/>
              <w:bottom w:w="43" w:type="dxa"/>
              <w:right w:w="115" w:type="dxa"/>
            </w:tcMar>
            <w:vAlign w:val="center"/>
            <w:hideMark/>
          </w:tcPr>
          <w:p w14:paraId="416988E4" w14:textId="23B63DCD" w:rsidR="00F76E53" w:rsidRPr="00B47648" w:rsidRDefault="00F76E53" w:rsidP="00524D82">
            <w:pPr>
              <w:spacing w:before="100" w:beforeAutospacing="1" w:after="100" w:afterAutospacing="1"/>
              <w:jc w:val="center"/>
              <w:rPr>
                <w:rFonts w:eastAsia="Times New Roman" w:cstheme="minorHAnsi"/>
                <w:sz w:val="20"/>
                <w:szCs w:val="20"/>
                <w:lang w:bidi="th-TH"/>
              </w:rPr>
            </w:pPr>
            <w:r w:rsidRPr="00B47648">
              <w:rPr>
                <w:rFonts w:eastAsia="Times New Roman" w:cstheme="minorHAnsi"/>
                <w:sz w:val="20"/>
                <w:szCs w:val="20"/>
                <w:lang w:bidi="th-TH"/>
              </w:rPr>
              <w:t>Members of the SEC Board and the Capital Market Supervision Board are either specified by positions, mostly from governmental agencies, or nominated by the Selection Committee</w:t>
            </w:r>
            <w:r w:rsidRPr="00B47648">
              <w:rPr>
                <w:rFonts w:eastAsia="Times New Roman" w:cstheme="minorHAnsi"/>
                <w:sz w:val="20"/>
                <w:szCs w:val="20"/>
                <w:cs/>
                <w:lang w:bidi="th-TH"/>
              </w:rPr>
              <w:t>.</w:t>
            </w:r>
          </w:p>
        </w:tc>
      </w:tr>
      <w:tr w:rsidR="00F76E53" w:rsidRPr="00B47648" w14:paraId="13BDB0BC" w14:textId="77777777" w:rsidTr="00B47648">
        <w:trPr>
          <w:cantSplit/>
          <w:trHeight w:val="75"/>
          <w:jc w:val="center"/>
        </w:trPr>
        <w:tc>
          <w:tcPr>
            <w:tcW w:w="13940" w:type="dxa"/>
            <w:gridSpan w:val="4"/>
            <w:shd w:val="clear" w:color="auto" w:fill="8C8D90"/>
            <w:tcMar>
              <w:top w:w="43" w:type="dxa"/>
              <w:left w:w="115" w:type="dxa"/>
              <w:bottom w:w="43" w:type="dxa"/>
              <w:right w:w="115" w:type="dxa"/>
            </w:tcMar>
          </w:tcPr>
          <w:p w14:paraId="340DE2AC" w14:textId="77777777" w:rsidR="00F76E53" w:rsidRPr="00B47648" w:rsidRDefault="00F76E53" w:rsidP="00DD5BB1">
            <w:pPr>
              <w:spacing w:after="0"/>
              <w:jc w:val="center"/>
              <w:rPr>
                <w:rFonts w:eastAsia="Times New Roman" w:cstheme="minorHAnsi"/>
                <w:color w:val="FFFFFF" w:themeColor="background1"/>
                <w:sz w:val="20"/>
                <w:szCs w:val="20"/>
                <w:lang w:bidi="th-TH"/>
              </w:rPr>
            </w:pPr>
            <w:r w:rsidRPr="00B47648">
              <w:rPr>
                <w:rFonts w:eastAsia="Times New Roman" w:cstheme="minorHAnsi"/>
                <w:b/>
                <w:color w:val="FFFFFF" w:themeColor="background1"/>
                <w:sz w:val="20"/>
                <w:szCs w:val="20"/>
                <w:lang w:bidi="th-TH"/>
              </w:rPr>
              <w:t>Funding source of oversight body</w:t>
            </w:r>
          </w:p>
        </w:tc>
      </w:tr>
      <w:tr w:rsidR="00F76E53" w:rsidRPr="00B47648" w14:paraId="32BBB729" w14:textId="77777777" w:rsidTr="00CE6908">
        <w:trPr>
          <w:cantSplit/>
          <w:trHeight w:val="32"/>
          <w:jc w:val="center"/>
        </w:trPr>
        <w:tc>
          <w:tcPr>
            <w:tcW w:w="2790" w:type="dxa"/>
            <w:tcMar>
              <w:top w:w="43" w:type="dxa"/>
              <w:left w:w="115" w:type="dxa"/>
              <w:bottom w:w="43" w:type="dxa"/>
              <w:right w:w="115" w:type="dxa"/>
            </w:tcMar>
            <w:vAlign w:val="center"/>
            <w:hideMark/>
          </w:tcPr>
          <w:p w14:paraId="6F31E460" w14:textId="77777777" w:rsidR="00F76E53" w:rsidRPr="00B47648" w:rsidRDefault="00F76E53" w:rsidP="00D625B9">
            <w:pPr>
              <w:spacing w:after="0"/>
              <w:jc w:val="center"/>
              <w:rPr>
                <w:rFonts w:eastAsia="Times New Roman" w:cstheme="minorHAnsi"/>
                <w:color w:val="000000"/>
                <w:sz w:val="20"/>
                <w:szCs w:val="20"/>
                <w:lang w:bidi="th-TH"/>
              </w:rPr>
            </w:pPr>
            <w:r w:rsidRPr="00B47648">
              <w:rPr>
                <w:rFonts w:eastAsia="Times New Roman" w:cstheme="minorHAnsi"/>
                <w:color w:val="000000"/>
                <w:sz w:val="20"/>
                <w:szCs w:val="20"/>
                <w:lang w:bidi="th-TH"/>
              </w:rPr>
              <w:t>State Budget</w:t>
            </w:r>
          </w:p>
          <w:p w14:paraId="68132D09" w14:textId="77777777" w:rsidR="00F76E53" w:rsidRPr="00B47648" w:rsidRDefault="00F76E53" w:rsidP="00D625B9">
            <w:pPr>
              <w:spacing w:after="0"/>
              <w:jc w:val="center"/>
              <w:rPr>
                <w:rFonts w:eastAsia="Times New Roman" w:cstheme="minorHAnsi"/>
                <w:sz w:val="20"/>
                <w:szCs w:val="20"/>
                <w:lang w:bidi="th-TH"/>
              </w:rPr>
            </w:pPr>
          </w:p>
        </w:tc>
        <w:tc>
          <w:tcPr>
            <w:tcW w:w="3690" w:type="dxa"/>
            <w:tcMar>
              <w:top w:w="43" w:type="dxa"/>
              <w:left w:w="115" w:type="dxa"/>
              <w:bottom w:w="43" w:type="dxa"/>
              <w:right w:w="115" w:type="dxa"/>
            </w:tcMar>
            <w:hideMark/>
          </w:tcPr>
          <w:p w14:paraId="42B39D58" w14:textId="16555874" w:rsidR="00F76E53" w:rsidRPr="00B47648" w:rsidRDefault="00F76E53" w:rsidP="00DD5BB1">
            <w:pPr>
              <w:spacing w:after="0"/>
              <w:jc w:val="left"/>
              <w:rPr>
                <w:rFonts w:eastAsia="Times New Roman" w:cs="Cordia New"/>
                <w:sz w:val="20"/>
                <w:szCs w:val="20"/>
                <w:lang w:bidi="th-TH"/>
              </w:rPr>
            </w:pPr>
            <w:r w:rsidRPr="00B47648">
              <w:rPr>
                <w:rFonts w:eastAsia="Times New Roman" w:cstheme="minorHAnsi"/>
                <w:sz w:val="20"/>
                <w:szCs w:val="20"/>
                <w:lang w:bidi="th-TH"/>
              </w:rPr>
              <w:t xml:space="preserve">The </w:t>
            </w:r>
            <w:r w:rsidR="00B02006" w:rsidRPr="00B47648">
              <w:rPr>
                <w:rFonts w:eastAsia="Times New Roman" w:cstheme="minorHAnsi"/>
                <w:sz w:val="20"/>
                <w:szCs w:val="20"/>
                <w:lang w:bidi="th-TH"/>
              </w:rPr>
              <w:t>Audit Oversight Board</w:t>
            </w:r>
            <w:r w:rsidRPr="00B47648">
              <w:rPr>
                <w:rFonts w:eastAsia="Times New Roman" w:cstheme="minorHAnsi"/>
                <w:sz w:val="20"/>
                <w:szCs w:val="20"/>
                <w:lang w:bidi="th-TH"/>
              </w:rPr>
              <w:t xml:space="preserve"> collects the following fees</w:t>
            </w:r>
            <w:r w:rsidR="00B54685" w:rsidRPr="00B47648">
              <w:rPr>
                <w:rFonts w:eastAsia="Times New Roman" w:cstheme="minorHAnsi"/>
                <w:sz w:val="20"/>
                <w:szCs w:val="20"/>
                <w:cs/>
                <w:lang w:bidi="th-TH"/>
              </w:rPr>
              <w:t>:</w:t>
            </w:r>
          </w:p>
          <w:p w14:paraId="7FA80218" w14:textId="77777777" w:rsidR="00F76E53" w:rsidRPr="00B47648" w:rsidRDefault="00F76E53" w:rsidP="00FF7A94">
            <w:pPr>
              <w:keepLines/>
              <w:numPr>
                <w:ilvl w:val="0"/>
                <w:numId w:val="14"/>
              </w:numPr>
              <w:spacing w:after="0"/>
              <w:ind w:left="288" w:hanging="288"/>
              <w:jc w:val="left"/>
              <w:rPr>
                <w:rFonts w:eastAsia="Times New Roman" w:cstheme="minorHAnsi"/>
                <w:sz w:val="20"/>
                <w:szCs w:val="20"/>
                <w:lang w:bidi="th-TH"/>
              </w:rPr>
            </w:pPr>
            <w:r w:rsidRPr="00B47648">
              <w:rPr>
                <w:rFonts w:eastAsia="Times New Roman" w:cstheme="minorHAnsi"/>
                <w:sz w:val="20"/>
                <w:szCs w:val="20"/>
                <w:lang w:bidi="th-TH"/>
              </w:rPr>
              <w:t>5,000</w:t>
            </w:r>
            <w:r w:rsidR="005F72F1" w:rsidRPr="00B47648">
              <w:rPr>
                <w:rFonts w:eastAsia="Times New Roman" w:cstheme="minorHAnsi"/>
                <w:sz w:val="20"/>
                <w:szCs w:val="20"/>
                <w:lang w:bidi="th-TH"/>
              </w:rPr>
              <w:t xml:space="preserve"> Malaysian </w:t>
            </w:r>
            <w:proofErr w:type="gramStart"/>
            <w:r w:rsidR="005F72F1" w:rsidRPr="00B47648">
              <w:rPr>
                <w:rFonts w:eastAsia="Times New Roman" w:cstheme="minorHAnsi"/>
                <w:sz w:val="20"/>
                <w:szCs w:val="20"/>
                <w:lang w:bidi="th-TH"/>
              </w:rPr>
              <w:t>ringgit</w:t>
            </w:r>
            <w:proofErr w:type="gramEnd"/>
            <w:r w:rsidRPr="00B47648">
              <w:rPr>
                <w:rFonts w:eastAsia="Times New Roman" w:cstheme="minorHAnsi"/>
                <w:sz w:val="20"/>
                <w:szCs w:val="20"/>
                <w:lang w:bidi="th-TH"/>
              </w:rPr>
              <w:t xml:space="preserve"> for registration of an individual auditor as a registered auditor </w:t>
            </w:r>
          </w:p>
          <w:p w14:paraId="6B655DB5" w14:textId="77777777" w:rsidR="00F76E53" w:rsidRPr="00B47648" w:rsidRDefault="00F76E53" w:rsidP="00FF7A94">
            <w:pPr>
              <w:keepLines/>
              <w:numPr>
                <w:ilvl w:val="0"/>
                <w:numId w:val="14"/>
              </w:numPr>
              <w:spacing w:after="0"/>
              <w:ind w:left="288" w:hanging="288"/>
              <w:jc w:val="left"/>
              <w:rPr>
                <w:rFonts w:eastAsia="Times New Roman" w:cstheme="minorHAnsi"/>
                <w:sz w:val="20"/>
                <w:szCs w:val="20"/>
                <w:lang w:bidi="th-TH"/>
              </w:rPr>
            </w:pPr>
            <w:r w:rsidRPr="00B47648">
              <w:rPr>
                <w:rFonts w:eastAsia="Times New Roman" w:cstheme="minorHAnsi"/>
                <w:sz w:val="20"/>
                <w:szCs w:val="20"/>
                <w:lang w:bidi="th-TH"/>
              </w:rPr>
              <w:t xml:space="preserve">5,000 </w:t>
            </w:r>
            <w:r w:rsidR="008A1D28" w:rsidRPr="00B47648">
              <w:rPr>
                <w:rFonts w:eastAsia="Times New Roman" w:cstheme="minorHAnsi"/>
                <w:sz w:val="20"/>
                <w:szCs w:val="20"/>
                <w:lang w:bidi="th-TH"/>
              </w:rPr>
              <w:t xml:space="preserve">Malaysian </w:t>
            </w:r>
            <w:proofErr w:type="gramStart"/>
            <w:r w:rsidR="008A1D28" w:rsidRPr="00B47648">
              <w:rPr>
                <w:rFonts w:eastAsia="Times New Roman" w:cstheme="minorHAnsi"/>
                <w:sz w:val="20"/>
                <w:szCs w:val="20"/>
                <w:lang w:bidi="th-TH"/>
              </w:rPr>
              <w:t>ringgit</w:t>
            </w:r>
            <w:proofErr w:type="gramEnd"/>
            <w:r w:rsidR="008A1D28" w:rsidRPr="00B47648">
              <w:rPr>
                <w:rFonts w:eastAsia="Times New Roman" w:cstheme="minorHAnsi"/>
                <w:sz w:val="20"/>
                <w:szCs w:val="20"/>
                <w:lang w:bidi="th-TH"/>
              </w:rPr>
              <w:t xml:space="preserve"> for an </w:t>
            </w:r>
            <w:r w:rsidRPr="00B47648">
              <w:rPr>
                <w:rFonts w:eastAsia="Times New Roman" w:cstheme="minorHAnsi"/>
                <w:sz w:val="20"/>
                <w:szCs w:val="20"/>
                <w:lang w:bidi="th-TH"/>
              </w:rPr>
              <w:t xml:space="preserve">existing registered </w:t>
            </w:r>
            <w:r w:rsidRPr="00B47648">
              <w:rPr>
                <w:rFonts w:eastAsia="Times New Roman" w:cs="Times New Roman"/>
                <w:color w:val="000000"/>
                <w:sz w:val="20"/>
                <w:szCs w:val="20"/>
              </w:rPr>
              <w:t>individual</w:t>
            </w:r>
            <w:r w:rsidRPr="00B47648">
              <w:rPr>
                <w:rFonts w:eastAsia="Times New Roman" w:cstheme="minorHAnsi"/>
                <w:sz w:val="20"/>
                <w:szCs w:val="20"/>
                <w:lang w:bidi="th-TH"/>
              </w:rPr>
              <w:t xml:space="preserve"> auditor who wish to continue to be registered with </w:t>
            </w:r>
            <w:r w:rsidR="00B02006" w:rsidRPr="00B47648">
              <w:rPr>
                <w:rFonts w:eastAsia="Times New Roman" w:cstheme="minorHAnsi"/>
                <w:sz w:val="20"/>
                <w:szCs w:val="20"/>
                <w:lang w:bidi="th-TH"/>
              </w:rPr>
              <w:t xml:space="preserve">Audit Oversight </w:t>
            </w:r>
            <w:proofErr w:type="spellStart"/>
            <w:r w:rsidR="00B02006" w:rsidRPr="00B47648">
              <w:rPr>
                <w:rFonts w:eastAsia="Times New Roman" w:cstheme="minorHAnsi"/>
                <w:sz w:val="20"/>
                <w:szCs w:val="20"/>
                <w:lang w:bidi="th-TH"/>
              </w:rPr>
              <w:t>Board</w:t>
            </w:r>
            <w:r w:rsidRPr="00B47648">
              <w:rPr>
                <w:rFonts w:eastAsia="Times New Roman" w:cstheme="minorHAnsi"/>
                <w:sz w:val="20"/>
                <w:szCs w:val="20"/>
                <w:lang w:bidi="th-TH"/>
              </w:rPr>
              <w:t>in</w:t>
            </w:r>
            <w:proofErr w:type="spellEnd"/>
            <w:r w:rsidRPr="00B47648">
              <w:rPr>
                <w:rFonts w:eastAsia="Times New Roman" w:cstheme="minorHAnsi"/>
                <w:sz w:val="20"/>
                <w:szCs w:val="20"/>
                <w:lang w:bidi="th-TH"/>
              </w:rPr>
              <w:t xml:space="preserve"> the current year</w:t>
            </w:r>
          </w:p>
          <w:p w14:paraId="2AC8E6DC" w14:textId="77777777" w:rsidR="00F76E53" w:rsidRPr="00B47648" w:rsidRDefault="00F76E53" w:rsidP="00FF7A94">
            <w:pPr>
              <w:keepLines/>
              <w:numPr>
                <w:ilvl w:val="0"/>
                <w:numId w:val="14"/>
              </w:numPr>
              <w:spacing w:after="0"/>
              <w:ind w:left="288" w:hanging="288"/>
              <w:jc w:val="left"/>
              <w:rPr>
                <w:rFonts w:eastAsia="Times New Roman" w:cstheme="minorHAnsi"/>
                <w:sz w:val="20"/>
                <w:szCs w:val="20"/>
                <w:lang w:bidi="th-TH"/>
              </w:rPr>
            </w:pPr>
            <w:r w:rsidRPr="00B47648">
              <w:rPr>
                <w:rFonts w:eastAsia="Times New Roman" w:cstheme="minorHAnsi"/>
                <w:sz w:val="20"/>
                <w:szCs w:val="20"/>
                <w:lang w:bidi="th-TH"/>
              </w:rPr>
              <w:t xml:space="preserve">5,000 </w:t>
            </w:r>
            <w:r w:rsidR="008A1D28" w:rsidRPr="00B47648">
              <w:rPr>
                <w:rFonts w:eastAsia="Times New Roman" w:cstheme="minorHAnsi"/>
                <w:sz w:val="20"/>
                <w:szCs w:val="20"/>
                <w:lang w:bidi="th-TH"/>
              </w:rPr>
              <w:t xml:space="preserve">Malaysian </w:t>
            </w:r>
            <w:proofErr w:type="gramStart"/>
            <w:r w:rsidR="008A1D28" w:rsidRPr="00B47648">
              <w:rPr>
                <w:rFonts w:eastAsia="Times New Roman" w:cstheme="minorHAnsi"/>
                <w:sz w:val="20"/>
                <w:szCs w:val="20"/>
                <w:lang w:bidi="th-TH"/>
              </w:rPr>
              <w:t>ringgit</w:t>
            </w:r>
            <w:proofErr w:type="gramEnd"/>
            <w:r w:rsidR="008A1D28" w:rsidRPr="00B47648">
              <w:rPr>
                <w:rFonts w:eastAsia="Times New Roman" w:cstheme="minorHAnsi"/>
                <w:sz w:val="20"/>
                <w:szCs w:val="20"/>
                <w:lang w:bidi="th-TH"/>
              </w:rPr>
              <w:t xml:space="preserve"> for the </w:t>
            </w:r>
            <w:r w:rsidRPr="00B47648">
              <w:rPr>
                <w:rFonts w:eastAsia="Times New Roman" w:cstheme="minorHAnsi"/>
                <w:sz w:val="20"/>
                <w:szCs w:val="20"/>
                <w:lang w:bidi="th-TH"/>
              </w:rPr>
              <w:t xml:space="preserve">application for </w:t>
            </w:r>
            <w:r w:rsidRPr="00B47648">
              <w:rPr>
                <w:rFonts w:eastAsia="Times New Roman" w:cs="Times New Roman"/>
                <w:color w:val="000000"/>
                <w:sz w:val="20"/>
                <w:szCs w:val="20"/>
              </w:rPr>
              <w:t>recognition</w:t>
            </w:r>
            <w:r w:rsidRPr="00B47648">
              <w:rPr>
                <w:rFonts w:eastAsia="Times New Roman" w:cstheme="minorHAnsi"/>
                <w:sz w:val="20"/>
                <w:szCs w:val="20"/>
                <w:lang w:bidi="th-TH"/>
              </w:rPr>
              <w:t xml:space="preserve"> of a foreign audit firm as a recognized auditor</w:t>
            </w:r>
          </w:p>
          <w:p w14:paraId="784D545E" w14:textId="77777777" w:rsidR="00F76E53" w:rsidRPr="00B47648" w:rsidRDefault="00F76E53" w:rsidP="00DD5BB1">
            <w:pPr>
              <w:spacing w:after="0"/>
              <w:jc w:val="left"/>
              <w:rPr>
                <w:rFonts w:eastAsia="Times New Roman" w:cstheme="minorHAnsi"/>
                <w:sz w:val="20"/>
                <w:szCs w:val="20"/>
                <w:lang w:bidi="th-TH"/>
              </w:rPr>
            </w:pPr>
          </w:p>
          <w:p w14:paraId="49AAA12B" w14:textId="77777777" w:rsidR="00F76E53" w:rsidRPr="00B47648" w:rsidRDefault="00F76E53" w:rsidP="00DD5BB1">
            <w:pPr>
              <w:spacing w:after="0"/>
              <w:jc w:val="left"/>
              <w:rPr>
                <w:rFonts w:eastAsia="Times New Roman" w:cstheme="minorHAnsi"/>
                <w:sz w:val="20"/>
                <w:szCs w:val="20"/>
                <w:lang w:bidi="th-TH"/>
              </w:rPr>
            </w:pPr>
            <w:r w:rsidRPr="00B47648">
              <w:rPr>
                <w:rFonts w:eastAsia="Times New Roman" w:cstheme="minorHAnsi"/>
                <w:sz w:val="20"/>
                <w:szCs w:val="20"/>
                <w:lang w:bidi="th-TH"/>
              </w:rPr>
              <w:t xml:space="preserve">Capital expenditure and all other operational costs of </w:t>
            </w:r>
            <w:r w:rsidR="00B02006" w:rsidRPr="00B47648">
              <w:rPr>
                <w:rFonts w:eastAsia="Times New Roman" w:cstheme="minorHAnsi"/>
                <w:sz w:val="20"/>
                <w:szCs w:val="20"/>
                <w:lang w:bidi="th-TH"/>
              </w:rPr>
              <w:t>Audit Oversight Board</w:t>
            </w:r>
            <w:r w:rsidRPr="00B47648">
              <w:rPr>
                <w:rFonts w:eastAsia="Times New Roman" w:cstheme="minorHAnsi"/>
                <w:sz w:val="20"/>
                <w:szCs w:val="20"/>
                <w:lang w:bidi="th-TH"/>
              </w:rPr>
              <w:t xml:space="preserve"> including the cost of inspections are funded by the SC</w:t>
            </w:r>
            <w:r w:rsidRPr="00B47648">
              <w:rPr>
                <w:rFonts w:eastAsia="Times New Roman" w:cstheme="minorHAnsi"/>
                <w:sz w:val="20"/>
                <w:szCs w:val="20"/>
                <w:cs/>
                <w:lang w:bidi="th-TH"/>
              </w:rPr>
              <w:t>.</w:t>
            </w:r>
          </w:p>
        </w:tc>
        <w:tc>
          <w:tcPr>
            <w:tcW w:w="3240" w:type="dxa"/>
            <w:tcMar>
              <w:top w:w="43" w:type="dxa"/>
              <w:left w:w="115" w:type="dxa"/>
              <w:bottom w:w="43" w:type="dxa"/>
              <w:right w:w="115" w:type="dxa"/>
            </w:tcMar>
            <w:vAlign w:val="center"/>
            <w:hideMark/>
          </w:tcPr>
          <w:p w14:paraId="31F5D4C0" w14:textId="77777777" w:rsidR="00F76E53" w:rsidRPr="00B47648" w:rsidRDefault="00F76E53" w:rsidP="00B54685">
            <w:pPr>
              <w:spacing w:after="0"/>
              <w:jc w:val="center"/>
              <w:rPr>
                <w:rFonts w:eastAsia="Times New Roman" w:cstheme="minorHAnsi"/>
                <w:sz w:val="20"/>
                <w:szCs w:val="20"/>
                <w:lang w:bidi="th-TH"/>
              </w:rPr>
            </w:pPr>
            <w:r w:rsidRPr="00B47648">
              <w:rPr>
                <w:rFonts w:eastAsia="Times New Roman" w:cstheme="minorHAnsi"/>
                <w:sz w:val="20"/>
                <w:szCs w:val="20"/>
                <w:lang w:bidi="th-TH"/>
              </w:rPr>
              <w:t xml:space="preserve">Statutory fees payable under the Acts administered by ACRA </w:t>
            </w:r>
            <w:r w:rsidRPr="00B47648">
              <w:rPr>
                <w:rFonts w:eastAsia="Times New Roman" w:cstheme="minorHAnsi"/>
                <w:sz w:val="20"/>
                <w:szCs w:val="20"/>
                <w:cs/>
                <w:lang w:bidi="th-TH"/>
              </w:rPr>
              <w:t>(</w:t>
            </w:r>
            <w:r w:rsidRPr="00B47648">
              <w:rPr>
                <w:rFonts w:eastAsia="Times New Roman" w:cstheme="minorHAnsi"/>
                <w:sz w:val="20"/>
                <w:szCs w:val="20"/>
                <w:lang w:bidi="th-TH"/>
              </w:rPr>
              <w:t>including filing and registration fees for business entities and from provision of information services related to such entities</w:t>
            </w:r>
            <w:r w:rsidRPr="00B47648">
              <w:rPr>
                <w:rFonts w:eastAsia="Times New Roman" w:cstheme="minorHAnsi"/>
                <w:sz w:val="20"/>
                <w:szCs w:val="20"/>
                <w:cs/>
                <w:lang w:bidi="th-TH"/>
              </w:rPr>
              <w:t>)</w:t>
            </w:r>
          </w:p>
        </w:tc>
        <w:tc>
          <w:tcPr>
            <w:tcW w:w="4220" w:type="dxa"/>
            <w:tcMar>
              <w:top w:w="43" w:type="dxa"/>
              <w:left w:w="115" w:type="dxa"/>
              <w:bottom w:w="43" w:type="dxa"/>
              <w:right w:w="115" w:type="dxa"/>
            </w:tcMar>
            <w:vAlign w:val="center"/>
            <w:hideMark/>
          </w:tcPr>
          <w:p w14:paraId="3EEF9354" w14:textId="77777777" w:rsidR="00F76E53" w:rsidRPr="00B47648" w:rsidRDefault="00F76E53" w:rsidP="00B54685">
            <w:pPr>
              <w:jc w:val="center"/>
              <w:rPr>
                <w:rFonts w:eastAsia="Times New Roman" w:cstheme="minorHAnsi"/>
                <w:sz w:val="20"/>
                <w:szCs w:val="20"/>
                <w:lang w:bidi="th-TH"/>
              </w:rPr>
            </w:pPr>
            <w:r w:rsidRPr="00B47648">
              <w:rPr>
                <w:rFonts w:eastAsia="Times New Roman" w:cstheme="minorHAnsi"/>
                <w:sz w:val="20"/>
                <w:szCs w:val="20"/>
                <w:lang w:bidi="th-TH"/>
              </w:rPr>
              <w:t>The SEC start</w:t>
            </w:r>
            <w:r w:rsidRPr="00B47648">
              <w:rPr>
                <w:rFonts w:eastAsia="Times New Roman" w:cstheme="minorHAnsi"/>
                <w:sz w:val="20"/>
                <w:szCs w:val="20"/>
                <w:cs/>
                <w:lang w:bidi="th-TH"/>
              </w:rPr>
              <w:t>-</w:t>
            </w:r>
            <w:r w:rsidRPr="00B47648">
              <w:rPr>
                <w:rFonts w:eastAsia="Times New Roman" w:cstheme="minorHAnsi"/>
                <w:sz w:val="20"/>
                <w:szCs w:val="20"/>
                <w:lang w:bidi="th-TH"/>
              </w:rPr>
              <w:t xml:space="preserve">up fund </w:t>
            </w:r>
            <w:r w:rsidR="000B64FB" w:rsidRPr="00B47648">
              <w:rPr>
                <w:rFonts w:eastAsia="Times New Roman" w:cstheme="minorHAnsi"/>
                <w:sz w:val="20"/>
                <w:szCs w:val="20"/>
                <w:lang w:bidi="th-TH"/>
              </w:rPr>
              <w:t xml:space="preserve">was provided by </w:t>
            </w:r>
            <w:r w:rsidRPr="00B47648">
              <w:rPr>
                <w:rFonts w:eastAsia="Times New Roman" w:cstheme="minorHAnsi"/>
                <w:sz w:val="20"/>
                <w:szCs w:val="20"/>
                <w:lang w:bidi="th-TH"/>
              </w:rPr>
              <w:t>the Ministry of Finance and the Bank of Thailand</w:t>
            </w:r>
            <w:r w:rsidRPr="00B47648">
              <w:rPr>
                <w:rFonts w:eastAsia="Times New Roman" w:cstheme="minorHAnsi"/>
                <w:sz w:val="20"/>
                <w:szCs w:val="20"/>
                <w:cs/>
                <w:lang w:bidi="th-TH"/>
              </w:rPr>
              <w:t>.</w:t>
            </w:r>
          </w:p>
          <w:p w14:paraId="07F3E598" w14:textId="446F080C" w:rsidR="00F76E53" w:rsidRPr="00B47648" w:rsidRDefault="00F76E53" w:rsidP="00B54685">
            <w:pPr>
              <w:jc w:val="center"/>
              <w:rPr>
                <w:rFonts w:eastAsia="Times New Roman" w:cstheme="minorHAnsi"/>
                <w:sz w:val="20"/>
                <w:szCs w:val="20"/>
                <w:lang w:bidi="th-TH"/>
              </w:rPr>
            </w:pPr>
            <w:r w:rsidRPr="00B47648">
              <w:rPr>
                <w:rFonts w:eastAsia="Times New Roman" w:cstheme="minorHAnsi"/>
                <w:sz w:val="20"/>
                <w:szCs w:val="20"/>
                <w:lang w:bidi="th-TH"/>
              </w:rPr>
              <w:t>Ongoing operations are funded through a levy on market participants, mainly the Stock Exchange of Thailand, listed companies, market intermediaries i</w:t>
            </w:r>
            <w:r w:rsidRPr="00B47648">
              <w:rPr>
                <w:rFonts w:eastAsia="Times New Roman" w:cstheme="minorHAnsi"/>
                <w:sz w:val="20"/>
                <w:szCs w:val="20"/>
                <w:cs/>
                <w:lang w:bidi="th-TH"/>
              </w:rPr>
              <w:t>.</w:t>
            </w:r>
            <w:r w:rsidRPr="00B47648">
              <w:rPr>
                <w:rFonts w:eastAsia="Times New Roman" w:cstheme="minorHAnsi"/>
                <w:sz w:val="20"/>
                <w:szCs w:val="20"/>
                <w:lang w:bidi="th-TH"/>
              </w:rPr>
              <w:t>e</w:t>
            </w:r>
            <w:r w:rsidRPr="00B47648">
              <w:rPr>
                <w:rFonts w:eastAsia="Times New Roman" w:cstheme="minorHAnsi"/>
                <w:sz w:val="20"/>
                <w:szCs w:val="20"/>
                <w:cs/>
                <w:lang w:bidi="th-TH"/>
              </w:rPr>
              <w:t>.</w:t>
            </w:r>
            <w:r w:rsidR="00524D82" w:rsidRPr="00B47648">
              <w:rPr>
                <w:rFonts w:eastAsia="Times New Roman" w:cs="Cordia New"/>
                <w:sz w:val="20"/>
                <w:szCs w:val="20"/>
                <w:cs/>
                <w:lang w:bidi="th-TH"/>
              </w:rPr>
              <w:t xml:space="preserve"> </w:t>
            </w:r>
            <w:proofErr w:type="gramStart"/>
            <w:r w:rsidRPr="00B47648">
              <w:rPr>
                <w:rFonts w:eastAsia="Times New Roman" w:cstheme="minorHAnsi"/>
                <w:sz w:val="20"/>
                <w:szCs w:val="20"/>
                <w:lang w:bidi="th-TH"/>
              </w:rPr>
              <w:t>brokers</w:t>
            </w:r>
            <w:proofErr w:type="gramEnd"/>
            <w:r w:rsidR="00D77706" w:rsidRPr="00B47648">
              <w:rPr>
                <w:rFonts w:eastAsia="Times New Roman" w:cstheme="minorHAnsi"/>
                <w:sz w:val="20"/>
                <w:szCs w:val="20"/>
                <w:lang w:bidi="th-TH"/>
              </w:rPr>
              <w:t xml:space="preserve"> and</w:t>
            </w:r>
            <w:r w:rsidRPr="00B47648">
              <w:rPr>
                <w:rFonts w:eastAsia="Times New Roman" w:cstheme="minorHAnsi"/>
                <w:sz w:val="20"/>
                <w:szCs w:val="20"/>
                <w:lang w:bidi="th-TH"/>
              </w:rPr>
              <w:t xml:space="preserve"> dealers, and asset management companies</w:t>
            </w:r>
            <w:r w:rsidRPr="00B47648">
              <w:rPr>
                <w:rFonts w:eastAsia="Times New Roman" w:cstheme="minorHAnsi"/>
                <w:sz w:val="20"/>
                <w:szCs w:val="20"/>
                <w:cs/>
                <w:lang w:bidi="th-TH"/>
              </w:rPr>
              <w:t>.</w:t>
            </w:r>
          </w:p>
        </w:tc>
      </w:tr>
      <w:tr w:rsidR="00F76E53" w:rsidRPr="00B47648" w14:paraId="34D40EE7" w14:textId="77777777" w:rsidTr="00B47648">
        <w:trPr>
          <w:cantSplit/>
          <w:trHeight w:val="75"/>
          <w:jc w:val="center"/>
        </w:trPr>
        <w:tc>
          <w:tcPr>
            <w:tcW w:w="13940" w:type="dxa"/>
            <w:gridSpan w:val="4"/>
            <w:shd w:val="clear" w:color="auto" w:fill="8C8D90"/>
            <w:tcMar>
              <w:top w:w="43" w:type="dxa"/>
              <w:left w:w="115" w:type="dxa"/>
              <w:bottom w:w="43" w:type="dxa"/>
              <w:right w:w="115" w:type="dxa"/>
            </w:tcMar>
          </w:tcPr>
          <w:p w14:paraId="666E698C" w14:textId="77777777" w:rsidR="00F76E53" w:rsidRPr="00B47648" w:rsidRDefault="00F76E53" w:rsidP="00B129F3">
            <w:pPr>
              <w:keepNext/>
              <w:keepLines/>
              <w:spacing w:after="0"/>
              <w:jc w:val="center"/>
              <w:rPr>
                <w:rFonts w:eastAsia="Times New Roman" w:cstheme="minorHAnsi"/>
                <w:color w:val="FFFFFF" w:themeColor="background1"/>
                <w:sz w:val="20"/>
                <w:szCs w:val="20"/>
                <w:lang w:bidi="th-TH"/>
              </w:rPr>
            </w:pPr>
            <w:r w:rsidRPr="00B47648">
              <w:rPr>
                <w:rFonts w:eastAsia="Times New Roman" w:cstheme="minorHAnsi"/>
                <w:b/>
                <w:color w:val="FFFFFF" w:themeColor="background1"/>
                <w:sz w:val="20"/>
                <w:szCs w:val="20"/>
                <w:lang w:bidi="th-TH"/>
              </w:rPr>
              <w:t xml:space="preserve">Scope of coverage of inspections </w:t>
            </w:r>
            <w:r w:rsidRPr="00B47648">
              <w:rPr>
                <w:rFonts w:eastAsia="Times New Roman" w:cstheme="minorHAnsi"/>
                <w:b/>
                <w:color w:val="FFFFFF" w:themeColor="background1"/>
                <w:sz w:val="20"/>
                <w:szCs w:val="20"/>
                <w:cs/>
                <w:lang w:bidi="th-TH"/>
              </w:rPr>
              <w:t>(</w:t>
            </w:r>
            <w:r w:rsidRPr="00B47648">
              <w:rPr>
                <w:rFonts w:eastAsia="Times New Roman" w:cstheme="minorHAnsi"/>
                <w:b/>
                <w:color w:val="FFFFFF" w:themeColor="background1"/>
                <w:sz w:val="20"/>
                <w:szCs w:val="20"/>
                <w:lang w:bidi="th-TH"/>
              </w:rPr>
              <w:t>auditors of PIEs only, all auditors, other</w:t>
            </w:r>
            <w:r w:rsidRPr="00B47648">
              <w:rPr>
                <w:rFonts w:eastAsia="Times New Roman" w:cstheme="minorHAnsi"/>
                <w:b/>
                <w:color w:val="FFFFFF" w:themeColor="background1"/>
                <w:sz w:val="20"/>
                <w:szCs w:val="20"/>
                <w:cs/>
                <w:lang w:bidi="th-TH"/>
              </w:rPr>
              <w:t>)</w:t>
            </w:r>
          </w:p>
        </w:tc>
      </w:tr>
      <w:tr w:rsidR="00F76E53" w:rsidRPr="00B47648" w14:paraId="24AFA13F" w14:textId="77777777" w:rsidTr="00CE6908">
        <w:trPr>
          <w:cantSplit/>
          <w:trHeight w:val="576"/>
          <w:jc w:val="center"/>
        </w:trPr>
        <w:tc>
          <w:tcPr>
            <w:tcW w:w="2790" w:type="dxa"/>
            <w:shd w:val="clear" w:color="auto" w:fill="E7E6E6" w:themeFill="background2"/>
            <w:tcMar>
              <w:top w:w="43" w:type="dxa"/>
              <w:left w:w="115" w:type="dxa"/>
              <w:bottom w:w="43" w:type="dxa"/>
              <w:right w:w="115" w:type="dxa"/>
            </w:tcMar>
            <w:vAlign w:val="center"/>
            <w:hideMark/>
          </w:tcPr>
          <w:p w14:paraId="464C951A" w14:textId="77777777" w:rsidR="00F76E53" w:rsidRPr="00B47648" w:rsidRDefault="00F76E53" w:rsidP="00B54685">
            <w:pPr>
              <w:spacing w:after="0"/>
              <w:jc w:val="center"/>
              <w:rPr>
                <w:rFonts w:eastAsia="Times New Roman" w:cstheme="minorHAnsi"/>
                <w:sz w:val="20"/>
                <w:szCs w:val="20"/>
                <w:lang w:bidi="th-TH"/>
              </w:rPr>
            </w:pPr>
            <w:r w:rsidRPr="00B47648">
              <w:rPr>
                <w:rFonts w:eastAsia="Times New Roman" w:cstheme="minorHAnsi"/>
                <w:sz w:val="20"/>
                <w:szCs w:val="20"/>
                <w:lang w:bidi="th-TH"/>
              </w:rPr>
              <w:t>All</w:t>
            </w:r>
          </w:p>
        </w:tc>
        <w:tc>
          <w:tcPr>
            <w:tcW w:w="3690" w:type="dxa"/>
            <w:shd w:val="clear" w:color="auto" w:fill="E7E6E6" w:themeFill="background2"/>
            <w:tcMar>
              <w:top w:w="43" w:type="dxa"/>
              <w:left w:w="115" w:type="dxa"/>
              <w:bottom w:w="43" w:type="dxa"/>
              <w:right w:w="115" w:type="dxa"/>
            </w:tcMar>
            <w:vAlign w:val="center"/>
            <w:hideMark/>
          </w:tcPr>
          <w:p w14:paraId="0300D07A" w14:textId="77777777" w:rsidR="00F76E53" w:rsidRPr="00B47648" w:rsidRDefault="00F76E53" w:rsidP="00B54685">
            <w:pPr>
              <w:spacing w:after="0"/>
              <w:jc w:val="center"/>
              <w:rPr>
                <w:rFonts w:eastAsia="Times New Roman" w:cstheme="minorHAnsi"/>
                <w:sz w:val="20"/>
                <w:szCs w:val="20"/>
                <w:lang w:bidi="th-TH"/>
              </w:rPr>
            </w:pPr>
            <w:r w:rsidRPr="00B47648">
              <w:rPr>
                <w:rFonts w:eastAsia="Times New Roman" w:cstheme="minorHAnsi"/>
                <w:sz w:val="20"/>
                <w:szCs w:val="20"/>
                <w:lang w:bidi="th-TH"/>
              </w:rPr>
              <w:t>Auditors of PIEs and schedule funds</w:t>
            </w:r>
          </w:p>
        </w:tc>
        <w:tc>
          <w:tcPr>
            <w:tcW w:w="3240" w:type="dxa"/>
            <w:shd w:val="clear" w:color="auto" w:fill="E7E6E6" w:themeFill="background2"/>
            <w:tcMar>
              <w:top w:w="43" w:type="dxa"/>
              <w:left w:w="115" w:type="dxa"/>
              <w:bottom w:w="43" w:type="dxa"/>
              <w:right w:w="115" w:type="dxa"/>
            </w:tcMar>
            <w:vAlign w:val="center"/>
            <w:hideMark/>
          </w:tcPr>
          <w:p w14:paraId="514A9D7A" w14:textId="77777777" w:rsidR="00F76E53" w:rsidRPr="00B47648" w:rsidRDefault="00F76E53" w:rsidP="00B129F3">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All</w:t>
            </w:r>
          </w:p>
        </w:tc>
        <w:tc>
          <w:tcPr>
            <w:tcW w:w="4220" w:type="dxa"/>
            <w:shd w:val="clear" w:color="auto" w:fill="E7E6E6" w:themeFill="background2"/>
            <w:tcMar>
              <w:top w:w="43" w:type="dxa"/>
              <w:left w:w="115" w:type="dxa"/>
              <w:bottom w:w="43" w:type="dxa"/>
              <w:right w:w="115" w:type="dxa"/>
            </w:tcMar>
            <w:vAlign w:val="center"/>
            <w:hideMark/>
          </w:tcPr>
          <w:p w14:paraId="36884443" w14:textId="77777777" w:rsidR="00F76E53" w:rsidRPr="00B47648" w:rsidRDefault="00F76E53" w:rsidP="00B129F3">
            <w:pPr>
              <w:keepNext/>
              <w:keepLines/>
              <w:spacing w:before="100" w:beforeAutospacing="1" w:after="100" w:afterAutospacing="1"/>
              <w:jc w:val="center"/>
              <w:rPr>
                <w:rFonts w:eastAsia="Times New Roman" w:cstheme="minorHAnsi"/>
                <w:sz w:val="20"/>
                <w:szCs w:val="20"/>
                <w:cs/>
                <w:lang w:bidi="th-TH"/>
              </w:rPr>
            </w:pPr>
            <w:r w:rsidRPr="00B47648">
              <w:rPr>
                <w:rFonts w:eastAsia="Times New Roman" w:cstheme="minorHAnsi"/>
                <w:sz w:val="20"/>
                <w:szCs w:val="20"/>
                <w:lang w:bidi="th-TH"/>
              </w:rPr>
              <w:t xml:space="preserve">Auditors of securities issuers and entities under SEC supervision </w:t>
            </w:r>
            <w:r w:rsidRPr="00B47648">
              <w:rPr>
                <w:rFonts w:eastAsia="Times New Roman" w:cstheme="minorHAnsi"/>
                <w:sz w:val="20"/>
                <w:szCs w:val="20"/>
                <w:cs/>
                <w:lang w:bidi="th-TH"/>
              </w:rPr>
              <w:t>(</w:t>
            </w:r>
            <w:r w:rsidRPr="00B47648">
              <w:rPr>
                <w:rFonts w:eastAsia="Times New Roman" w:cstheme="minorHAnsi"/>
                <w:sz w:val="20"/>
                <w:szCs w:val="20"/>
                <w:lang w:bidi="th-TH"/>
              </w:rPr>
              <w:t>listed companies, market intermediaries, asset management companies</w:t>
            </w:r>
            <w:r w:rsidR="00D77706" w:rsidRPr="00B47648">
              <w:rPr>
                <w:rFonts w:eastAsia="Times New Roman" w:cstheme="minorHAnsi"/>
                <w:sz w:val="20"/>
                <w:szCs w:val="20"/>
                <w:lang w:bidi="th-TH"/>
              </w:rPr>
              <w:t>,</w:t>
            </w:r>
            <w:r w:rsidRPr="00B47648">
              <w:rPr>
                <w:rFonts w:eastAsia="Times New Roman" w:cstheme="minorHAnsi"/>
                <w:sz w:val="20"/>
                <w:szCs w:val="20"/>
                <w:lang w:bidi="th-TH"/>
              </w:rPr>
              <w:t xml:space="preserve"> and collective investment schemes</w:t>
            </w:r>
            <w:r w:rsidRPr="00B47648">
              <w:rPr>
                <w:rFonts w:eastAsia="Times New Roman" w:cstheme="minorHAnsi"/>
                <w:sz w:val="20"/>
                <w:szCs w:val="20"/>
                <w:cs/>
                <w:lang w:bidi="th-TH"/>
              </w:rPr>
              <w:t>)</w:t>
            </w:r>
          </w:p>
        </w:tc>
      </w:tr>
      <w:tr w:rsidR="00F76E53" w:rsidRPr="00B47648" w14:paraId="56A70BC3" w14:textId="77777777" w:rsidTr="0002662F">
        <w:trPr>
          <w:trHeight w:val="75"/>
          <w:jc w:val="center"/>
        </w:trPr>
        <w:tc>
          <w:tcPr>
            <w:tcW w:w="13940" w:type="dxa"/>
            <w:gridSpan w:val="4"/>
            <w:shd w:val="clear" w:color="auto" w:fill="8C8D90"/>
            <w:tcMar>
              <w:top w:w="43" w:type="dxa"/>
              <w:left w:w="115" w:type="dxa"/>
              <w:bottom w:w="43" w:type="dxa"/>
              <w:right w:w="115" w:type="dxa"/>
            </w:tcMar>
          </w:tcPr>
          <w:p w14:paraId="00C9BEBD" w14:textId="77777777" w:rsidR="00F76E53" w:rsidRPr="00B47648" w:rsidRDefault="00F76E53" w:rsidP="000D13F6">
            <w:pPr>
              <w:keepNext/>
              <w:keepLines/>
              <w:spacing w:after="0"/>
              <w:jc w:val="center"/>
              <w:rPr>
                <w:rFonts w:eastAsia="Times New Roman" w:cstheme="minorHAnsi"/>
                <w:color w:val="FFFFFF" w:themeColor="background1"/>
                <w:sz w:val="20"/>
                <w:szCs w:val="20"/>
                <w:lang w:bidi="th-TH"/>
              </w:rPr>
            </w:pPr>
            <w:r w:rsidRPr="00B47648">
              <w:rPr>
                <w:rFonts w:eastAsia="Times New Roman" w:cstheme="minorHAnsi"/>
                <w:b/>
                <w:color w:val="FFFFFF" w:themeColor="background1"/>
                <w:sz w:val="20"/>
                <w:szCs w:val="20"/>
                <w:lang w:bidi="th-TH"/>
              </w:rPr>
              <w:t>Are inspections of non</w:t>
            </w:r>
            <w:r w:rsidRPr="00B47648">
              <w:rPr>
                <w:rFonts w:eastAsia="Times New Roman" w:cstheme="minorHAnsi"/>
                <w:b/>
                <w:color w:val="FFFFFF" w:themeColor="background1"/>
                <w:sz w:val="20"/>
                <w:szCs w:val="20"/>
                <w:cs/>
                <w:lang w:bidi="th-TH"/>
              </w:rPr>
              <w:t>-</w:t>
            </w:r>
            <w:r w:rsidRPr="00B47648">
              <w:rPr>
                <w:rFonts w:eastAsia="Times New Roman" w:cstheme="minorHAnsi"/>
                <w:b/>
                <w:color w:val="FFFFFF" w:themeColor="background1"/>
                <w:sz w:val="20"/>
                <w:szCs w:val="20"/>
                <w:lang w:bidi="th-TH"/>
              </w:rPr>
              <w:t>PIE auditors completed by another entity? If so, please specify</w:t>
            </w:r>
            <w:r w:rsidRPr="00B47648">
              <w:rPr>
                <w:rFonts w:eastAsia="Times New Roman" w:cstheme="minorHAnsi"/>
                <w:b/>
                <w:color w:val="FFFFFF" w:themeColor="background1"/>
                <w:sz w:val="20"/>
                <w:szCs w:val="20"/>
                <w:cs/>
                <w:lang w:bidi="th-TH"/>
              </w:rPr>
              <w:t>.</w:t>
            </w:r>
          </w:p>
        </w:tc>
      </w:tr>
      <w:tr w:rsidR="00F76E53" w:rsidRPr="00B47648" w14:paraId="6A1B28F2" w14:textId="77777777" w:rsidTr="00CE6908">
        <w:trPr>
          <w:trHeight w:val="576"/>
          <w:jc w:val="center"/>
        </w:trPr>
        <w:tc>
          <w:tcPr>
            <w:tcW w:w="2790" w:type="dxa"/>
            <w:tcMar>
              <w:top w:w="43" w:type="dxa"/>
              <w:left w:w="115" w:type="dxa"/>
              <w:bottom w:w="43" w:type="dxa"/>
              <w:right w:w="115" w:type="dxa"/>
            </w:tcMar>
            <w:vAlign w:val="center"/>
            <w:hideMark/>
          </w:tcPr>
          <w:p w14:paraId="617B0D08" w14:textId="77777777" w:rsidR="00F76E53" w:rsidRPr="00B47648" w:rsidRDefault="00F76E53" w:rsidP="000D13F6">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No</w:t>
            </w:r>
          </w:p>
        </w:tc>
        <w:tc>
          <w:tcPr>
            <w:tcW w:w="3690" w:type="dxa"/>
            <w:tcMar>
              <w:top w:w="43" w:type="dxa"/>
              <w:left w:w="115" w:type="dxa"/>
              <w:bottom w:w="43" w:type="dxa"/>
              <w:right w:w="115" w:type="dxa"/>
            </w:tcMar>
            <w:vAlign w:val="center"/>
            <w:hideMark/>
          </w:tcPr>
          <w:p w14:paraId="48AFE55D" w14:textId="642F70CC" w:rsidR="00F76E53" w:rsidRPr="00B47648" w:rsidRDefault="00F76E53" w:rsidP="000D13F6">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Yes</w:t>
            </w:r>
          </w:p>
          <w:p w14:paraId="1EFF0B7C" w14:textId="77777777" w:rsidR="00F76E53" w:rsidRPr="00B47648" w:rsidRDefault="00F76E53" w:rsidP="000D13F6">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The Malaysian Institute of Accountants is responsible for surveillance and enforcement of auditors carrying out audits of non</w:t>
            </w:r>
            <w:r w:rsidRPr="00B47648">
              <w:rPr>
                <w:rFonts w:eastAsia="Times New Roman" w:cstheme="minorHAnsi"/>
                <w:sz w:val="20"/>
                <w:szCs w:val="20"/>
                <w:cs/>
                <w:lang w:bidi="th-TH"/>
              </w:rPr>
              <w:t>-</w:t>
            </w:r>
            <w:r w:rsidRPr="00B47648">
              <w:rPr>
                <w:rFonts w:eastAsia="Times New Roman" w:cstheme="minorHAnsi"/>
                <w:sz w:val="20"/>
                <w:szCs w:val="20"/>
                <w:lang w:bidi="th-TH"/>
              </w:rPr>
              <w:t>public interest entities through its Practice Review Program</w:t>
            </w:r>
            <w:r w:rsidRPr="00B47648">
              <w:rPr>
                <w:rFonts w:eastAsia="Times New Roman" w:cstheme="minorHAnsi"/>
                <w:sz w:val="20"/>
                <w:szCs w:val="20"/>
                <w:cs/>
                <w:lang w:bidi="th-TH"/>
              </w:rPr>
              <w:t>.</w:t>
            </w:r>
          </w:p>
        </w:tc>
        <w:tc>
          <w:tcPr>
            <w:tcW w:w="3240" w:type="dxa"/>
            <w:tcMar>
              <w:top w:w="43" w:type="dxa"/>
              <w:left w:w="115" w:type="dxa"/>
              <w:bottom w:w="43" w:type="dxa"/>
              <w:right w:w="115" w:type="dxa"/>
            </w:tcMar>
            <w:vAlign w:val="center"/>
            <w:hideMark/>
          </w:tcPr>
          <w:p w14:paraId="396860B3" w14:textId="0B073E1F" w:rsidR="00F76E53" w:rsidRPr="00B47648" w:rsidRDefault="00F76E53" w:rsidP="000D13F6">
            <w:pPr>
              <w:keepNext/>
              <w:keepLines/>
              <w:spacing w:after="0"/>
              <w:jc w:val="center"/>
              <w:rPr>
                <w:rFonts w:eastAsia="Times New Roman" w:cs="Cordia New"/>
                <w:sz w:val="20"/>
                <w:szCs w:val="20"/>
                <w:cs/>
                <w:lang w:bidi="th-TH"/>
              </w:rPr>
            </w:pPr>
            <w:r w:rsidRPr="00B47648">
              <w:rPr>
                <w:rFonts w:eastAsia="Times New Roman" w:cstheme="minorHAnsi"/>
                <w:sz w:val="20"/>
                <w:szCs w:val="20"/>
                <w:lang w:bidi="th-TH"/>
              </w:rPr>
              <w:t>Yes</w:t>
            </w:r>
          </w:p>
          <w:p w14:paraId="745285E5" w14:textId="2FE6CFFA" w:rsidR="00F76E53" w:rsidRPr="00B47648" w:rsidRDefault="00F76E53" w:rsidP="000D13F6">
            <w:pPr>
              <w:keepNext/>
              <w:keepLines/>
              <w:spacing w:after="0"/>
              <w:jc w:val="center"/>
              <w:rPr>
                <w:rFonts w:eastAsia="Times New Roman" w:cstheme="minorHAnsi"/>
                <w:strike/>
                <w:sz w:val="20"/>
                <w:szCs w:val="20"/>
                <w:lang w:bidi="th-TH"/>
              </w:rPr>
            </w:pPr>
            <w:r w:rsidRPr="00B47648">
              <w:rPr>
                <w:rFonts w:eastAsia="Times New Roman" w:cstheme="minorHAnsi"/>
                <w:sz w:val="20"/>
                <w:szCs w:val="20"/>
                <w:lang w:bidi="th-TH"/>
              </w:rPr>
              <w:t xml:space="preserve">They are performed by inspectors from the national professional body </w:t>
            </w:r>
            <w:r w:rsidRPr="00B47648">
              <w:rPr>
                <w:rFonts w:eastAsia="Times New Roman" w:cstheme="minorHAnsi"/>
                <w:sz w:val="20"/>
                <w:szCs w:val="20"/>
                <w:cs/>
                <w:lang w:bidi="th-TH"/>
              </w:rPr>
              <w:t>(</w:t>
            </w:r>
            <w:r w:rsidRPr="00B47648">
              <w:rPr>
                <w:rFonts w:eastAsia="Times New Roman" w:cstheme="minorHAnsi"/>
                <w:sz w:val="20"/>
                <w:szCs w:val="20"/>
                <w:lang w:bidi="th-TH"/>
              </w:rPr>
              <w:t>the Institute of Singapore Chartered Accountants</w:t>
            </w:r>
            <w:r w:rsidRPr="00B47648">
              <w:rPr>
                <w:rFonts w:eastAsia="Times New Roman" w:cstheme="minorHAnsi"/>
                <w:sz w:val="20"/>
                <w:szCs w:val="20"/>
                <w:cs/>
                <w:lang w:bidi="th-TH"/>
              </w:rPr>
              <w:t xml:space="preserve">) </w:t>
            </w:r>
            <w:r w:rsidRPr="00B47648">
              <w:rPr>
                <w:rFonts w:eastAsia="Times New Roman" w:cstheme="minorHAnsi"/>
                <w:sz w:val="20"/>
                <w:szCs w:val="20"/>
                <w:lang w:bidi="th-TH"/>
              </w:rPr>
              <w:t>with oversight by ACRA to ensure the same benchmark of compliance with auditing standards is maintained across all inspections</w:t>
            </w:r>
            <w:r w:rsidRPr="00B47648">
              <w:rPr>
                <w:rFonts w:eastAsia="Times New Roman" w:cstheme="minorHAnsi"/>
                <w:sz w:val="20"/>
                <w:szCs w:val="20"/>
                <w:cs/>
                <w:lang w:bidi="th-TH"/>
              </w:rPr>
              <w:t>.</w:t>
            </w:r>
          </w:p>
        </w:tc>
        <w:tc>
          <w:tcPr>
            <w:tcW w:w="4220" w:type="dxa"/>
            <w:tcMar>
              <w:top w:w="43" w:type="dxa"/>
              <w:left w:w="115" w:type="dxa"/>
              <w:bottom w:w="43" w:type="dxa"/>
              <w:right w:w="115" w:type="dxa"/>
            </w:tcMar>
            <w:vAlign w:val="center"/>
            <w:hideMark/>
          </w:tcPr>
          <w:p w14:paraId="1CE79E5A" w14:textId="44C583CF" w:rsidR="00F76E53" w:rsidRPr="00B47648" w:rsidRDefault="00F76E53" w:rsidP="000D13F6">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Yes</w:t>
            </w:r>
          </w:p>
          <w:p w14:paraId="7CB2956B" w14:textId="77777777" w:rsidR="00F76E53" w:rsidRPr="00B47648" w:rsidRDefault="00F76E53" w:rsidP="000D13F6">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The Federation of Accounting Professions is responsible for the oversight of auditors of non</w:t>
            </w:r>
            <w:r w:rsidRPr="00B47648">
              <w:rPr>
                <w:rFonts w:eastAsia="Times New Roman" w:cstheme="minorHAnsi"/>
                <w:sz w:val="20"/>
                <w:szCs w:val="20"/>
                <w:cs/>
                <w:lang w:bidi="th-TH"/>
              </w:rPr>
              <w:t>-</w:t>
            </w:r>
            <w:r w:rsidRPr="00B47648">
              <w:rPr>
                <w:rFonts w:eastAsia="Times New Roman" w:cstheme="minorHAnsi"/>
                <w:sz w:val="20"/>
                <w:szCs w:val="20"/>
                <w:lang w:bidi="th-TH"/>
              </w:rPr>
              <w:t>listed companies</w:t>
            </w:r>
            <w:r w:rsidRPr="00B47648">
              <w:rPr>
                <w:rFonts w:eastAsia="Times New Roman" w:cstheme="minorHAnsi"/>
                <w:sz w:val="20"/>
                <w:szCs w:val="20"/>
                <w:cs/>
                <w:lang w:bidi="th-TH"/>
              </w:rPr>
              <w:t>.</w:t>
            </w:r>
          </w:p>
        </w:tc>
      </w:tr>
      <w:tr w:rsidR="00F76E53" w:rsidRPr="00B47648" w14:paraId="00456870" w14:textId="77777777" w:rsidTr="00B47648">
        <w:trPr>
          <w:cantSplit/>
          <w:trHeight w:val="288"/>
          <w:jc w:val="center"/>
        </w:trPr>
        <w:tc>
          <w:tcPr>
            <w:tcW w:w="13940" w:type="dxa"/>
            <w:gridSpan w:val="4"/>
            <w:shd w:val="clear" w:color="auto" w:fill="8C8D90"/>
            <w:tcMar>
              <w:top w:w="43" w:type="dxa"/>
              <w:left w:w="115" w:type="dxa"/>
              <w:bottom w:w="43" w:type="dxa"/>
              <w:right w:w="115" w:type="dxa"/>
            </w:tcMar>
          </w:tcPr>
          <w:p w14:paraId="2EFECE84" w14:textId="77777777" w:rsidR="00F76E53" w:rsidRPr="00B47648" w:rsidRDefault="00F76E53" w:rsidP="00DD5BB1">
            <w:pPr>
              <w:spacing w:after="0"/>
              <w:jc w:val="center"/>
              <w:rPr>
                <w:rFonts w:eastAsia="Times New Roman" w:cs="Cordia New"/>
                <w:color w:val="FFFFFF" w:themeColor="background1"/>
                <w:sz w:val="20"/>
                <w:szCs w:val="20"/>
                <w:lang w:bidi="th-TH"/>
              </w:rPr>
            </w:pPr>
            <w:r w:rsidRPr="00B47648">
              <w:rPr>
                <w:rFonts w:eastAsia="Times New Roman" w:cstheme="minorHAnsi"/>
                <w:b/>
                <w:color w:val="FFFFFF" w:themeColor="background1"/>
                <w:sz w:val="20"/>
                <w:szCs w:val="20"/>
                <w:lang w:bidi="th-TH"/>
              </w:rPr>
              <w:t>Qualifications of Head of Oversight Body</w:t>
            </w:r>
          </w:p>
        </w:tc>
      </w:tr>
      <w:tr w:rsidR="00F76E53" w:rsidRPr="00B47648" w14:paraId="424E6DA4" w14:textId="77777777" w:rsidTr="00CE6908">
        <w:trPr>
          <w:cantSplit/>
          <w:trHeight w:val="288"/>
          <w:jc w:val="center"/>
        </w:trPr>
        <w:tc>
          <w:tcPr>
            <w:tcW w:w="2790" w:type="dxa"/>
            <w:shd w:val="clear" w:color="auto" w:fill="E7E6E6" w:themeFill="background2"/>
            <w:tcMar>
              <w:top w:w="43" w:type="dxa"/>
              <w:left w:w="115" w:type="dxa"/>
              <w:bottom w:w="43" w:type="dxa"/>
              <w:right w:w="115" w:type="dxa"/>
            </w:tcMar>
            <w:vAlign w:val="center"/>
            <w:hideMark/>
          </w:tcPr>
          <w:p w14:paraId="01C432EF" w14:textId="77777777" w:rsidR="00F76E53" w:rsidRPr="00B47648" w:rsidRDefault="00526ACD" w:rsidP="00B54685">
            <w:pPr>
              <w:spacing w:after="0"/>
              <w:jc w:val="center"/>
              <w:rPr>
                <w:rFonts w:eastAsia="Times New Roman" w:cstheme="minorHAnsi"/>
                <w:sz w:val="20"/>
                <w:szCs w:val="20"/>
                <w:lang w:bidi="th-TH"/>
              </w:rPr>
            </w:pPr>
            <w:r w:rsidRPr="00B47648">
              <w:rPr>
                <w:rFonts w:eastAsia="Times New Roman" w:cstheme="minorHAnsi"/>
                <w:color w:val="000000"/>
                <w:sz w:val="20"/>
                <w:szCs w:val="20"/>
                <w:lang w:bidi="th-TH"/>
              </w:rPr>
              <w:t>Ministry of Finance Official</w:t>
            </w:r>
          </w:p>
        </w:tc>
        <w:tc>
          <w:tcPr>
            <w:tcW w:w="3690" w:type="dxa"/>
            <w:shd w:val="clear" w:color="auto" w:fill="E7E6E6" w:themeFill="background2"/>
            <w:tcMar>
              <w:top w:w="43" w:type="dxa"/>
              <w:left w:w="115" w:type="dxa"/>
              <w:bottom w:w="43" w:type="dxa"/>
              <w:right w:w="115" w:type="dxa"/>
            </w:tcMar>
            <w:vAlign w:val="center"/>
            <w:hideMark/>
          </w:tcPr>
          <w:p w14:paraId="5EE2AEAD" w14:textId="77777777" w:rsidR="00F76E53" w:rsidRPr="00B47648" w:rsidRDefault="00F76E53" w:rsidP="00B54685">
            <w:pPr>
              <w:spacing w:after="0"/>
              <w:jc w:val="center"/>
              <w:rPr>
                <w:rFonts w:eastAsia="Times New Roman" w:cstheme="minorHAnsi"/>
                <w:color w:val="000000"/>
                <w:sz w:val="20"/>
                <w:szCs w:val="20"/>
                <w:lang w:bidi="th-TH"/>
              </w:rPr>
            </w:pPr>
            <w:r w:rsidRPr="00B47648">
              <w:rPr>
                <w:rFonts w:eastAsia="Times New Roman" w:cstheme="minorHAnsi"/>
                <w:color w:val="000000"/>
                <w:sz w:val="20"/>
                <w:szCs w:val="20"/>
                <w:lang w:bidi="th-TH"/>
              </w:rPr>
              <w:t xml:space="preserve">Former partner or principal of Big </w:t>
            </w:r>
            <w:r w:rsidR="00FF69EC" w:rsidRPr="00B47648">
              <w:rPr>
                <w:rFonts w:eastAsia="Times New Roman" w:cstheme="minorHAnsi"/>
                <w:color w:val="000000"/>
                <w:sz w:val="20"/>
                <w:szCs w:val="20"/>
                <w:lang w:bidi="th-TH"/>
              </w:rPr>
              <w:t xml:space="preserve">Four </w:t>
            </w:r>
            <w:r w:rsidRPr="00B47648">
              <w:rPr>
                <w:rFonts w:eastAsia="Times New Roman" w:cstheme="minorHAnsi"/>
                <w:color w:val="000000"/>
                <w:sz w:val="20"/>
                <w:szCs w:val="20"/>
                <w:lang w:bidi="th-TH"/>
              </w:rPr>
              <w:t>or international network firm</w:t>
            </w:r>
          </w:p>
        </w:tc>
        <w:tc>
          <w:tcPr>
            <w:tcW w:w="3240" w:type="dxa"/>
            <w:shd w:val="clear" w:color="auto" w:fill="E7E6E6" w:themeFill="background2"/>
            <w:tcMar>
              <w:top w:w="43" w:type="dxa"/>
              <w:left w:w="115" w:type="dxa"/>
              <w:bottom w:w="43" w:type="dxa"/>
              <w:right w:w="115" w:type="dxa"/>
            </w:tcMar>
            <w:vAlign w:val="center"/>
            <w:hideMark/>
          </w:tcPr>
          <w:p w14:paraId="3953FF60" w14:textId="77777777" w:rsidR="00F76E53" w:rsidRPr="00B47648" w:rsidRDefault="00526ACD" w:rsidP="00B54685">
            <w:pPr>
              <w:spacing w:after="0"/>
              <w:jc w:val="center"/>
              <w:rPr>
                <w:rFonts w:eastAsia="Times New Roman" w:cstheme="minorHAnsi"/>
                <w:sz w:val="20"/>
                <w:szCs w:val="20"/>
                <w:lang w:bidi="th-TH"/>
              </w:rPr>
            </w:pPr>
            <w:r w:rsidRPr="00B47648">
              <w:rPr>
                <w:rFonts w:eastAsia="Times New Roman" w:cstheme="minorHAnsi"/>
                <w:sz w:val="20"/>
                <w:szCs w:val="20"/>
                <w:lang w:bidi="th-TH"/>
              </w:rPr>
              <w:t xml:space="preserve">Former principal or senior manager of Big </w:t>
            </w:r>
            <w:r w:rsidR="00FF69EC" w:rsidRPr="00B47648">
              <w:rPr>
                <w:rFonts w:eastAsia="Times New Roman" w:cstheme="minorHAnsi"/>
                <w:sz w:val="20"/>
                <w:szCs w:val="20"/>
                <w:lang w:bidi="th-TH"/>
              </w:rPr>
              <w:t xml:space="preserve">Four </w:t>
            </w:r>
            <w:r w:rsidRPr="00B47648">
              <w:rPr>
                <w:rFonts w:eastAsia="Times New Roman" w:cstheme="minorHAnsi"/>
                <w:sz w:val="20"/>
                <w:szCs w:val="20"/>
                <w:lang w:bidi="th-TH"/>
              </w:rPr>
              <w:t>or international network firm</w:t>
            </w:r>
          </w:p>
        </w:tc>
        <w:tc>
          <w:tcPr>
            <w:tcW w:w="4220" w:type="dxa"/>
            <w:shd w:val="clear" w:color="auto" w:fill="E7E6E6" w:themeFill="background2"/>
            <w:tcMar>
              <w:top w:w="43" w:type="dxa"/>
              <w:left w:w="115" w:type="dxa"/>
              <w:bottom w:w="43" w:type="dxa"/>
              <w:right w:w="115" w:type="dxa"/>
            </w:tcMar>
            <w:vAlign w:val="center"/>
            <w:hideMark/>
          </w:tcPr>
          <w:p w14:paraId="6678C5F0" w14:textId="77777777" w:rsidR="00F76E53" w:rsidRPr="00B47648" w:rsidRDefault="00F76E53" w:rsidP="00B54685">
            <w:pPr>
              <w:spacing w:after="0"/>
              <w:jc w:val="center"/>
              <w:rPr>
                <w:rFonts w:eastAsia="Times New Roman" w:cstheme="minorHAnsi"/>
                <w:sz w:val="20"/>
                <w:szCs w:val="20"/>
                <w:lang w:bidi="th-TH"/>
              </w:rPr>
            </w:pPr>
            <w:r w:rsidRPr="00B47648">
              <w:rPr>
                <w:rFonts w:eastAsia="Times New Roman" w:cstheme="minorHAnsi"/>
                <w:sz w:val="20"/>
                <w:szCs w:val="20"/>
                <w:lang w:bidi="th-TH"/>
              </w:rPr>
              <w:t>Head of the oversight body is the Secretary</w:t>
            </w:r>
            <w:r w:rsidRPr="00B47648">
              <w:rPr>
                <w:rFonts w:eastAsia="Times New Roman" w:cstheme="minorHAnsi"/>
                <w:sz w:val="20"/>
                <w:szCs w:val="20"/>
                <w:cs/>
                <w:lang w:bidi="th-TH"/>
              </w:rPr>
              <w:t>-</w:t>
            </w:r>
            <w:r w:rsidRPr="00B47648">
              <w:rPr>
                <w:rFonts w:eastAsia="Times New Roman" w:cstheme="minorHAnsi"/>
                <w:sz w:val="20"/>
                <w:szCs w:val="20"/>
                <w:lang w:bidi="th-TH"/>
              </w:rPr>
              <w:t xml:space="preserve">General of the SEC </w:t>
            </w:r>
            <w:r w:rsidRPr="00B47648">
              <w:rPr>
                <w:rFonts w:eastAsia="Times New Roman" w:cstheme="minorHAnsi"/>
                <w:sz w:val="20"/>
                <w:szCs w:val="20"/>
                <w:cs/>
                <w:lang w:bidi="th-TH"/>
              </w:rPr>
              <w:t>(</w:t>
            </w:r>
            <w:r w:rsidRPr="00B47648">
              <w:rPr>
                <w:rFonts w:eastAsia="Times New Roman" w:cstheme="minorHAnsi"/>
                <w:sz w:val="20"/>
                <w:szCs w:val="20"/>
                <w:lang w:bidi="th-TH"/>
              </w:rPr>
              <w:t>law</w:t>
            </w:r>
            <w:r w:rsidRPr="00B47648">
              <w:rPr>
                <w:rFonts w:eastAsia="Times New Roman" w:cstheme="minorHAnsi"/>
                <w:sz w:val="20"/>
                <w:szCs w:val="20"/>
                <w:cs/>
                <w:lang w:bidi="th-TH"/>
              </w:rPr>
              <w:t>-</w:t>
            </w:r>
            <w:r w:rsidRPr="00B47648">
              <w:rPr>
                <w:rFonts w:eastAsia="Times New Roman" w:cstheme="minorHAnsi"/>
                <w:sz w:val="20"/>
                <w:szCs w:val="20"/>
                <w:lang w:bidi="th-TH"/>
              </w:rPr>
              <w:t>related background</w:t>
            </w:r>
            <w:r w:rsidRPr="00B47648">
              <w:rPr>
                <w:rFonts w:eastAsia="Times New Roman" w:cstheme="minorHAnsi"/>
                <w:sz w:val="20"/>
                <w:szCs w:val="20"/>
                <w:cs/>
                <w:lang w:bidi="th-TH"/>
              </w:rPr>
              <w:t>).</w:t>
            </w:r>
          </w:p>
        </w:tc>
      </w:tr>
      <w:tr w:rsidR="00F76E53" w:rsidRPr="00B47648" w14:paraId="4E99CC6C" w14:textId="77777777" w:rsidTr="00B47648">
        <w:trPr>
          <w:cantSplit/>
          <w:trHeight w:val="288"/>
          <w:jc w:val="center"/>
        </w:trPr>
        <w:tc>
          <w:tcPr>
            <w:tcW w:w="13940" w:type="dxa"/>
            <w:gridSpan w:val="4"/>
            <w:shd w:val="clear" w:color="auto" w:fill="8C8D90"/>
            <w:tcMar>
              <w:top w:w="43" w:type="dxa"/>
              <w:left w:w="115" w:type="dxa"/>
              <w:bottom w:w="43" w:type="dxa"/>
              <w:right w:w="115" w:type="dxa"/>
            </w:tcMar>
          </w:tcPr>
          <w:p w14:paraId="55D1042B" w14:textId="77777777" w:rsidR="00F76E53" w:rsidRPr="00B47648" w:rsidRDefault="00F76E53" w:rsidP="00B54685">
            <w:pPr>
              <w:keepNext/>
              <w:keepLines/>
              <w:spacing w:after="0"/>
              <w:jc w:val="center"/>
              <w:rPr>
                <w:rFonts w:eastAsia="Times New Roman" w:cs="Cordia New"/>
                <w:sz w:val="20"/>
                <w:szCs w:val="20"/>
                <w:lang w:bidi="th-TH"/>
              </w:rPr>
            </w:pPr>
            <w:r w:rsidRPr="00B47648">
              <w:rPr>
                <w:rFonts w:eastAsia="Times New Roman" w:cstheme="minorHAnsi"/>
                <w:b/>
                <w:color w:val="FFFFFF" w:themeColor="background1"/>
                <w:sz w:val="20"/>
                <w:szCs w:val="20"/>
                <w:lang w:bidi="th-TH"/>
              </w:rPr>
              <w:t>Qualifications of Inspectors</w:t>
            </w:r>
          </w:p>
        </w:tc>
      </w:tr>
      <w:tr w:rsidR="00F76E53" w:rsidRPr="00B47648" w14:paraId="785315E4" w14:textId="77777777" w:rsidTr="00CE6908">
        <w:trPr>
          <w:cantSplit/>
          <w:trHeight w:val="288"/>
          <w:jc w:val="center"/>
        </w:trPr>
        <w:tc>
          <w:tcPr>
            <w:tcW w:w="2790" w:type="dxa"/>
            <w:tcMar>
              <w:top w:w="43" w:type="dxa"/>
              <w:left w:w="115" w:type="dxa"/>
              <w:bottom w:w="43" w:type="dxa"/>
              <w:right w:w="115" w:type="dxa"/>
            </w:tcMar>
            <w:vAlign w:val="center"/>
            <w:hideMark/>
          </w:tcPr>
          <w:p w14:paraId="7D442D2A" w14:textId="77777777" w:rsidR="00F76E53" w:rsidRPr="00B47648" w:rsidRDefault="00F76E53" w:rsidP="00B54685">
            <w:pPr>
              <w:spacing w:after="0"/>
              <w:jc w:val="center"/>
              <w:rPr>
                <w:rFonts w:eastAsia="Times New Roman" w:cstheme="minorHAnsi"/>
                <w:sz w:val="20"/>
                <w:szCs w:val="20"/>
                <w:lang w:bidi="th-TH"/>
              </w:rPr>
            </w:pPr>
            <w:r w:rsidRPr="00B47648">
              <w:rPr>
                <w:rFonts w:eastAsia="Times New Roman" w:cstheme="minorHAnsi"/>
                <w:color w:val="000000"/>
                <w:sz w:val="20"/>
                <w:szCs w:val="20"/>
                <w:lang w:bidi="th-TH"/>
              </w:rPr>
              <w:t>Most Inspectors passed Indonesian CPA examination and some Inspectors acquired other certifications from Indonesian Institute of Accountants</w:t>
            </w:r>
            <w:r w:rsidRPr="00B47648">
              <w:rPr>
                <w:rFonts w:eastAsia="Times New Roman" w:cstheme="minorHAnsi"/>
                <w:color w:val="000000"/>
                <w:sz w:val="20"/>
                <w:szCs w:val="20"/>
                <w:cs/>
                <w:lang w:bidi="th-TH"/>
              </w:rPr>
              <w:t>.</w:t>
            </w:r>
          </w:p>
        </w:tc>
        <w:tc>
          <w:tcPr>
            <w:tcW w:w="3690" w:type="dxa"/>
            <w:tcMar>
              <w:top w:w="43" w:type="dxa"/>
              <w:left w:w="115" w:type="dxa"/>
              <w:bottom w:w="43" w:type="dxa"/>
              <w:right w:w="115" w:type="dxa"/>
            </w:tcMar>
            <w:vAlign w:val="center"/>
            <w:hideMark/>
          </w:tcPr>
          <w:p w14:paraId="3B858D9C" w14:textId="767681FA" w:rsidR="00F76E53" w:rsidRPr="00B47648" w:rsidRDefault="00F76E53" w:rsidP="00B54685">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Various inspectors are professionally qualified and have several years of audit experience</w:t>
            </w:r>
          </w:p>
        </w:tc>
        <w:tc>
          <w:tcPr>
            <w:tcW w:w="3240" w:type="dxa"/>
            <w:tcMar>
              <w:top w:w="43" w:type="dxa"/>
              <w:left w:w="115" w:type="dxa"/>
              <w:bottom w:w="43" w:type="dxa"/>
              <w:right w:w="115" w:type="dxa"/>
            </w:tcMar>
            <w:vAlign w:val="center"/>
            <w:hideMark/>
          </w:tcPr>
          <w:p w14:paraId="0D965C23" w14:textId="77777777" w:rsidR="00F76E53" w:rsidRPr="00B47648" w:rsidRDefault="00F76E53" w:rsidP="00B54685">
            <w:pPr>
              <w:keepNext/>
              <w:keepLines/>
              <w:spacing w:after="0"/>
              <w:jc w:val="center"/>
              <w:rPr>
                <w:rFonts w:eastAsia="Times New Roman" w:cstheme="minorHAnsi"/>
                <w:sz w:val="20"/>
                <w:szCs w:val="20"/>
                <w:lang w:bidi="th-TH"/>
              </w:rPr>
            </w:pPr>
            <w:r w:rsidRPr="00B47648">
              <w:rPr>
                <w:rFonts w:eastAsia="Times New Roman" w:cstheme="minorHAnsi"/>
                <w:color w:val="000000"/>
                <w:sz w:val="20"/>
                <w:szCs w:val="20"/>
                <w:lang w:bidi="th-TH"/>
              </w:rPr>
              <w:t xml:space="preserve">Former principal or senior manager of Big </w:t>
            </w:r>
            <w:r w:rsidR="00FF69EC" w:rsidRPr="00B47648">
              <w:rPr>
                <w:rFonts w:eastAsia="Times New Roman" w:cstheme="minorHAnsi"/>
                <w:color w:val="000000"/>
                <w:sz w:val="20"/>
                <w:szCs w:val="20"/>
                <w:lang w:bidi="th-TH"/>
              </w:rPr>
              <w:t xml:space="preserve">Four </w:t>
            </w:r>
            <w:r w:rsidRPr="00B47648">
              <w:rPr>
                <w:rFonts w:eastAsia="Times New Roman" w:cstheme="minorHAnsi"/>
                <w:color w:val="000000"/>
                <w:sz w:val="20"/>
                <w:szCs w:val="20"/>
                <w:lang w:bidi="th-TH"/>
              </w:rPr>
              <w:t>or international network firm</w:t>
            </w:r>
          </w:p>
        </w:tc>
        <w:tc>
          <w:tcPr>
            <w:tcW w:w="4220" w:type="dxa"/>
            <w:tcMar>
              <w:top w:w="43" w:type="dxa"/>
              <w:left w:w="115" w:type="dxa"/>
              <w:bottom w:w="43" w:type="dxa"/>
              <w:right w:w="115" w:type="dxa"/>
            </w:tcMar>
            <w:vAlign w:val="center"/>
            <w:hideMark/>
          </w:tcPr>
          <w:p w14:paraId="5C59629C" w14:textId="3B655C7D" w:rsidR="00F76E53" w:rsidRPr="00B47648" w:rsidRDefault="00F76E53" w:rsidP="00B54685">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All inspectors are CPAs and have</w:t>
            </w:r>
          </w:p>
          <w:p w14:paraId="6C28E7D7" w14:textId="77777777" w:rsidR="00F76E53" w:rsidRPr="00B47648" w:rsidRDefault="00F76E53" w:rsidP="00B54685">
            <w:pPr>
              <w:keepNext/>
              <w:keepLines/>
              <w:spacing w:after="0"/>
              <w:jc w:val="center"/>
              <w:rPr>
                <w:rFonts w:eastAsia="Times New Roman" w:cstheme="minorHAnsi"/>
                <w:sz w:val="20"/>
                <w:szCs w:val="20"/>
                <w:lang w:bidi="th-TH"/>
              </w:rPr>
            </w:pPr>
            <w:r w:rsidRPr="00B47648">
              <w:rPr>
                <w:rFonts w:eastAsia="Times New Roman" w:cstheme="minorHAnsi"/>
                <w:sz w:val="20"/>
                <w:szCs w:val="20"/>
                <w:lang w:bidi="th-TH"/>
              </w:rPr>
              <w:t>several years of audit experience in the Big</w:t>
            </w:r>
            <w:r w:rsidR="00FF69EC" w:rsidRPr="00B47648">
              <w:rPr>
                <w:sz w:val="20"/>
                <w:szCs w:val="20"/>
              </w:rPr>
              <w:t xml:space="preserve"> </w:t>
            </w:r>
            <w:r w:rsidR="00FF69EC" w:rsidRPr="00B47648">
              <w:rPr>
                <w:rFonts w:eastAsia="Times New Roman" w:cstheme="minorHAnsi"/>
                <w:sz w:val="20"/>
                <w:szCs w:val="20"/>
                <w:lang w:bidi="th-TH"/>
              </w:rPr>
              <w:t xml:space="preserve">Four </w:t>
            </w:r>
            <w:r w:rsidRPr="00B47648">
              <w:rPr>
                <w:rFonts w:eastAsia="Times New Roman" w:cstheme="minorHAnsi"/>
                <w:sz w:val="20"/>
                <w:szCs w:val="20"/>
                <w:lang w:bidi="th-TH"/>
              </w:rPr>
              <w:t>firms</w:t>
            </w:r>
            <w:r w:rsidRPr="00B47648">
              <w:rPr>
                <w:rFonts w:eastAsia="Times New Roman" w:cstheme="minorHAnsi"/>
                <w:sz w:val="20"/>
                <w:szCs w:val="20"/>
                <w:cs/>
                <w:lang w:bidi="th-TH"/>
              </w:rPr>
              <w:t>.</w:t>
            </w:r>
            <w:r w:rsidRPr="00B47648">
              <w:rPr>
                <w:rFonts w:eastAsia="Times New Roman" w:cstheme="minorHAnsi"/>
                <w:sz w:val="20"/>
                <w:szCs w:val="20"/>
                <w:lang w:bidi="th-TH"/>
              </w:rPr>
              <w:t xml:space="preserve"> In addition, the audit inspection teams also normally seek advice from the SEC advisor who is a former partner and CEO of the Big</w:t>
            </w:r>
            <w:r w:rsidR="00FF69EC" w:rsidRPr="00B47648">
              <w:rPr>
                <w:rFonts w:eastAsia="Times New Roman" w:cstheme="minorHAnsi"/>
                <w:sz w:val="20"/>
                <w:szCs w:val="20"/>
                <w:lang w:bidi="th-TH"/>
              </w:rPr>
              <w:t xml:space="preserve"> Four </w:t>
            </w:r>
            <w:r w:rsidRPr="00B47648">
              <w:rPr>
                <w:rFonts w:eastAsia="Times New Roman" w:cstheme="minorHAnsi"/>
                <w:sz w:val="20"/>
                <w:szCs w:val="20"/>
                <w:lang w:bidi="th-TH"/>
              </w:rPr>
              <w:t>firm</w:t>
            </w:r>
            <w:r w:rsidRPr="00B47648">
              <w:rPr>
                <w:rFonts w:eastAsia="Times New Roman" w:cstheme="minorHAnsi"/>
                <w:sz w:val="20"/>
                <w:szCs w:val="20"/>
                <w:cs/>
                <w:lang w:bidi="th-TH"/>
              </w:rPr>
              <w:t>.</w:t>
            </w:r>
          </w:p>
        </w:tc>
      </w:tr>
      <w:tr w:rsidR="00F76E53" w:rsidRPr="00B47648" w14:paraId="77E18E8B" w14:textId="77777777" w:rsidTr="00373DF7">
        <w:trPr>
          <w:cantSplit/>
          <w:trHeight w:val="288"/>
          <w:jc w:val="center"/>
        </w:trPr>
        <w:tc>
          <w:tcPr>
            <w:tcW w:w="13940" w:type="dxa"/>
            <w:gridSpan w:val="4"/>
            <w:tcBorders>
              <w:bottom w:val="single" w:sz="4" w:space="0" w:color="8C8D90"/>
            </w:tcBorders>
            <w:shd w:val="clear" w:color="auto" w:fill="8C8D90"/>
            <w:tcMar>
              <w:top w:w="43" w:type="dxa"/>
              <w:left w:w="115" w:type="dxa"/>
              <w:bottom w:w="43" w:type="dxa"/>
              <w:right w:w="115" w:type="dxa"/>
            </w:tcMar>
          </w:tcPr>
          <w:p w14:paraId="267BD686" w14:textId="77777777" w:rsidR="00F76E53" w:rsidRPr="00B47648" w:rsidRDefault="00F76E53" w:rsidP="00DD5BB1">
            <w:pPr>
              <w:spacing w:after="0"/>
              <w:jc w:val="center"/>
              <w:rPr>
                <w:rFonts w:eastAsia="Times New Roman" w:cstheme="minorHAnsi"/>
                <w:sz w:val="20"/>
                <w:szCs w:val="20"/>
                <w:lang w:bidi="th-TH"/>
              </w:rPr>
            </w:pPr>
            <w:r w:rsidRPr="00B47648">
              <w:rPr>
                <w:rFonts w:eastAsia="Times New Roman" w:cstheme="minorHAnsi"/>
                <w:b/>
                <w:color w:val="FFFFFF" w:themeColor="background1"/>
                <w:sz w:val="20"/>
                <w:szCs w:val="20"/>
                <w:lang w:bidi="th-TH"/>
              </w:rPr>
              <w:t>Are inspectors subject to civil service pay scales?</w:t>
            </w:r>
          </w:p>
        </w:tc>
      </w:tr>
      <w:tr w:rsidR="00F76E53" w:rsidRPr="00B47648" w14:paraId="02306DF8" w14:textId="77777777" w:rsidTr="00373DF7">
        <w:trPr>
          <w:cantSplit/>
          <w:trHeight w:val="288"/>
          <w:jc w:val="center"/>
        </w:trPr>
        <w:tc>
          <w:tcPr>
            <w:tcW w:w="2790" w:type="dxa"/>
            <w:tcBorders>
              <w:bottom w:val="single" w:sz="4" w:space="0" w:color="4472C4"/>
            </w:tcBorders>
            <w:shd w:val="clear" w:color="auto" w:fill="E7E6E6" w:themeFill="background2"/>
            <w:tcMar>
              <w:top w:w="43" w:type="dxa"/>
              <w:left w:w="115" w:type="dxa"/>
              <w:bottom w:w="43" w:type="dxa"/>
              <w:right w:w="115" w:type="dxa"/>
            </w:tcMar>
            <w:hideMark/>
          </w:tcPr>
          <w:p w14:paraId="23266FB8" w14:textId="77777777" w:rsidR="00F76E53" w:rsidRPr="00B47648" w:rsidRDefault="00F76E53" w:rsidP="00DD5BB1">
            <w:pPr>
              <w:spacing w:after="0"/>
              <w:jc w:val="center"/>
              <w:rPr>
                <w:rFonts w:eastAsia="Times New Roman" w:cstheme="minorHAnsi"/>
                <w:sz w:val="20"/>
                <w:szCs w:val="20"/>
                <w:lang w:bidi="th-TH"/>
              </w:rPr>
            </w:pPr>
            <w:r w:rsidRPr="00B47648">
              <w:rPr>
                <w:rFonts w:eastAsia="Times New Roman" w:cstheme="minorHAnsi"/>
                <w:sz w:val="20"/>
                <w:szCs w:val="20"/>
                <w:lang w:bidi="th-TH"/>
              </w:rPr>
              <w:t>Yes</w:t>
            </w:r>
          </w:p>
        </w:tc>
        <w:tc>
          <w:tcPr>
            <w:tcW w:w="3690" w:type="dxa"/>
            <w:tcBorders>
              <w:bottom w:val="single" w:sz="4" w:space="0" w:color="4472C4"/>
            </w:tcBorders>
            <w:shd w:val="clear" w:color="auto" w:fill="E7E6E6" w:themeFill="background2"/>
            <w:tcMar>
              <w:top w:w="43" w:type="dxa"/>
              <w:left w:w="115" w:type="dxa"/>
              <w:bottom w:w="43" w:type="dxa"/>
              <w:right w:w="115" w:type="dxa"/>
            </w:tcMar>
            <w:hideMark/>
          </w:tcPr>
          <w:p w14:paraId="1498BE30" w14:textId="77777777" w:rsidR="00F76E53" w:rsidRPr="00B47648" w:rsidRDefault="00F76E53" w:rsidP="00DD5BB1">
            <w:pPr>
              <w:spacing w:after="0"/>
              <w:jc w:val="center"/>
              <w:rPr>
                <w:rFonts w:eastAsia="Times New Roman" w:cstheme="minorHAnsi"/>
                <w:sz w:val="20"/>
                <w:szCs w:val="20"/>
                <w:lang w:bidi="th-TH"/>
              </w:rPr>
            </w:pPr>
            <w:r w:rsidRPr="00B47648">
              <w:rPr>
                <w:rFonts w:eastAsia="Times New Roman" w:cstheme="minorHAnsi"/>
                <w:sz w:val="20"/>
                <w:szCs w:val="20"/>
                <w:lang w:bidi="th-TH"/>
              </w:rPr>
              <w:t>No</w:t>
            </w:r>
          </w:p>
        </w:tc>
        <w:tc>
          <w:tcPr>
            <w:tcW w:w="3240" w:type="dxa"/>
            <w:tcBorders>
              <w:bottom w:val="single" w:sz="4" w:space="0" w:color="4472C4"/>
            </w:tcBorders>
            <w:shd w:val="clear" w:color="auto" w:fill="E7E6E6" w:themeFill="background2"/>
            <w:tcMar>
              <w:top w:w="43" w:type="dxa"/>
              <w:left w:w="115" w:type="dxa"/>
              <w:bottom w:w="43" w:type="dxa"/>
              <w:right w:w="115" w:type="dxa"/>
            </w:tcMar>
            <w:hideMark/>
          </w:tcPr>
          <w:p w14:paraId="42C4F0D5" w14:textId="77777777" w:rsidR="00F76E53" w:rsidRPr="00B47648" w:rsidRDefault="00F76E53" w:rsidP="00DD5BB1">
            <w:pPr>
              <w:spacing w:after="0"/>
              <w:jc w:val="center"/>
              <w:rPr>
                <w:rFonts w:eastAsia="Times New Roman" w:cstheme="minorHAnsi"/>
                <w:sz w:val="20"/>
                <w:szCs w:val="20"/>
                <w:lang w:bidi="th-TH"/>
              </w:rPr>
            </w:pPr>
            <w:r w:rsidRPr="00B47648">
              <w:rPr>
                <w:rFonts w:eastAsia="Times New Roman" w:cstheme="minorHAnsi"/>
                <w:sz w:val="20"/>
                <w:szCs w:val="20"/>
                <w:lang w:bidi="th-TH"/>
              </w:rPr>
              <w:t>Yes</w:t>
            </w:r>
          </w:p>
        </w:tc>
        <w:tc>
          <w:tcPr>
            <w:tcW w:w="4220" w:type="dxa"/>
            <w:tcBorders>
              <w:bottom w:val="single" w:sz="4" w:space="0" w:color="4472C4"/>
            </w:tcBorders>
            <w:shd w:val="clear" w:color="auto" w:fill="E7E6E6" w:themeFill="background2"/>
            <w:tcMar>
              <w:top w:w="43" w:type="dxa"/>
              <w:left w:w="115" w:type="dxa"/>
              <w:bottom w:w="43" w:type="dxa"/>
              <w:right w:w="115" w:type="dxa"/>
            </w:tcMar>
            <w:hideMark/>
          </w:tcPr>
          <w:p w14:paraId="1857FA77" w14:textId="77777777" w:rsidR="00F76E53" w:rsidRPr="00B47648" w:rsidRDefault="00F76E53" w:rsidP="00DD5BB1">
            <w:pPr>
              <w:spacing w:after="0"/>
              <w:jc w:val="center"/>
              <w:rPr>
                <w:rFonts w:eastAsia="Times New Roman" w:cstheme="minorHAnsi"/>
                <w:sz w:val="20"/>
                <w:szCs w:val="20"/>
                <w:lang w:bidi="th-TH"/>
              </w:rPr>
            </w:pPr>
            <w:r w:rsidRPr="00B47648">
              <w:rPr>
                <w:rFonts w:eastAsia="Times New Roman" w:cstheme="minorHAnsi"/>
                <w:sz w:val="20"/>
                <w:szCs w:val="20"/>
                <w:lang w:bidi="th-TH"/>
              </w:rPr>
              <w:t>No</w:t>
            </w:r>
          </w:p>
        </w:tc>
      </w:tr>
    </w:tbl>
    <w:p w14:paraId="16F76231" w14:textId="77777777" w:rsidR="00F76E53" w:rsidRPr="008F1E62" w:rsidRDefault="00F76E53" w:rsidP="00F76E53">
      <w:pPr>
        <w:spacing w:after="0" w:line="240" w:lineRule="auto"/>
        <w:jc w:val="left"/>
        <w:rPr>
          <w:rFonts w:eastAsia="Times New Roman" w:cstheme="minorHAnsi"/>
          <w:sz w:val="20"/>
          <w:szCs w:val="20"/>
          <w:lang w:bidi="th-TH"/>
        </w:rPr>
      </w:pPr>
    </w:p>
    <w:p w14:paraId="2B7EB3E4" w14:textId="77777777" w:rsidR="00F76E53" w:rsidRPr="008F1E62" w:rsidRDefault="00F76E53" w:rsidP="00F76E53">
      <w:pPr>
        <w:spacing w:after="0" w:line="240" w:lineRule="auto"/>
        <w:jc w:val="left"/>
        <w:rPr>
          <w:rFonts w:eastAsia="Times New Roman" w:cstheme="minorHAnsi"/>
          <w:sz w:val="20"/>
          <w:szCs w:val="20"/>
          <w:cs/>
          <w:lang w:bidi="th-TH"/>
        </w:rPr>
      </w:pPr>
    </w:p>
    <w:p w14:paraId="36C80440" w14:textId="77777777" w:rsidR="00F76E53" w:rsidRPr="008F1E62" w:rsidRDefault="00F76E53" w:rsidP="00F76E53">
      <w:pPr>
        <w:spacing w:after="0" w:line="240" w:lineRule="auto"/>
        <w:jc w:val="left"/>
        <w:rPr>
          <w:rFonts w:eastAsia="Times New Roman" w:cstheme="minorHAnsi"/>
          <w:sz w:val="20"/>
          <w:szCs w:val="20"/>
          <w:cs/>
          <w:lang w:bidi="th-TH"/>
        </w:rPr>
      </w:pPr>
    </w:p>
    <w:p w14:paraId="0C6FED58" w14:textId="77777777" w:rsidR="001247F2" w:rsidRDefault="001247F2" w:rsidP="00F76E53">
      <w:pPr>
        <w:spacing w:after="0" w:line="240" w:lineRule="auto"/>
        <w:jc w:val="left"/>
        <w:rPr>
          <w:rFonts w:eastAsia="Times New Roman" w:cstheme="minorHAnsi"/>
          <w:sz w:val="20"/>
          <w:szCs w:val="20"/>
          <w:lang w:bidi="th-TH"/>
        </w:rPr>
        <w:sectPr w:rsidR="001247F2" w:rsidSect="0002662F">
          <w:footerReference w:type="default" r:id="rId32"/>
          <w:type w:val="nextColumn"/>
          <w:pgSz w:w="16838" w:h="11906" w:orient="landscape" w:code="9"/>
          <w:pgMar w:top="1440" w:right="1440" w:bottom="1440" w:left="1440" w:header="720" w:footer="720" w:gutter="0"/>
          <w:cols w:space="720"/>
          <w:docGrid w:linePitch="360"/>
        </w:sectPr>
      </w:pPr>
    </w:p>
    <w:p w14:paraId="3EACA491" w14:textId="77777777" w:rsidR="00F76E53" w:rsidRPr="008F1E62" w:rsidRDefault="00F76E53" w:rsidP="00F76E53">
      <w:pPr>
        <w:pStyle w:val="Heading1"/>
        <w:spacing w:after="60" w:line="276" w:lineRule="auto"/>
        <w:jc w:val="center"/>
        <w:rPr>
          <w:rFonts w:ascii="Century Gothic" w:eastAsia="MS Gothic" w:hAnsi="Century Gothic" w:cstheme="minorBidi"/>
          <w:caps w:val="0"/>
          <w:color w:val="00AB51"/>
          <w:kern w:val="32"/>
          <w:sz w:val="32"/>
          <w:szCs w:val="32"/>
          <w:lang w:val="en-US"/>
        </w:rPr>
      </w:pPr>
      <w:bookmarkStart w:id="52" w:name="_ANNEX_4:_ICAP"/>
      <w:bookmarkStart w:id="53" w:name="_Toc477201848"/>
      <w:bookmarkStart w:id="54" w:name="_Toc499825589"/>
      <w:bookmarkEnd w:id="52"/>
      <w:r w:rsidRPr="008F1E62">
        <w:rPr>
          <w:rFonts w:ascii="Century Gothic" w:eastAsia="MS Gothic" w:hAnsi="Century Gothic" w:cstheme="minorBidi"/>
          <w:caps w:val="0"/>
          <w:color w:val="00AB51"/>
          <w:kern w:val="32"/>
          <w:sz w:val="32"/>
          <w:szCs w:val="32"/>
          <w:lang w:val="en-US"/>
        </w:rPr>
        <w:t xml:space="preserve">ANNEX 3: </w:t>
      </w:r>
      <w:r w:rsidRPr="008F1E62">
        <w:rPr>
          <w:rFonts w:ascii="Century Gothic" w:eastAsia="MS Gothic" w:hAnsi="Century Gothic" w:cstheme="minorBidi"/>
          <w:color w:val="00AB51"/>
          <w:kern w:val="32"/>
          <w:sz w:val="32"/>
          <w:szCs w:val="32"/>
          <w:lang w:val="en-US"/>
        </w:rPr>
        <w:t>Significant Factors for the Efficient Functioning of Audit Oversight</w:t>
      </w:r>
      <w:bookmarkEnd w:id="53"/>
      <w:bookmarkEnd w:id="54"/>
    </w:p>
    <w:p w14:paraId="003232C9" w14:textId="77777777" w:rsidR="00F76E53" w:rsidRPr="008F1E62" w:rsidRDefault="00F76E53" w:rsidP="001D3A14">
      <w:pPr>
        <w:pStyle w:val="Heading2"/>
        <w:spacing w:before="500"/>
      </w:pPr>
      <w:bookmarkStart w:id="55" w:name="_Toc484289022"/>
      <w:bookmarkStart w:id="56" w:name="_Toc484289245"/>
      <w:bookmarkStart w:id="57" w:name="_Toc499825590"/>
      <w:r w:rsidRPr="008F1E62">
        <w:t>IFIAR Core Principles for Independent Audit Regulators</w:t>
      </w:r>
      <w:bookmarkEnd w:id="55"/>
      <w:bookmarkEnd w:id="56"/>
      <w:bookmarkEnd w:id="57"/>
      <w:r w:rsidRPr="008F1E62" w:rsidDel="00560CF8">
        <w:t xml:space="preserve"> </w:t>
      </w:r>
    </w:p>
    <w:tbl>
      <w:tblPr>
        <w:tblStyle w:val="TableGrid"/>
        <w:tblW w:w="5064" w:type="pct"/>
        <w:jc w:val="center"/>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43" w:type="dxa"/>
          <w:left w:w="115" w:type="dxa"/>
          <w:bottom w:w="43" w:type="dxa"/>
          <w:right w:w="115" w:type="dxa"/>
        </w:tblCellMar>
        <w:tblLook w:val="04A0" w:firstRow="1" w:lastRow="0" w:firstColumn="1" w:lastColumn="0" w:noHBand="0" w:noVBand="1"/>
      </w:tblPr>
      <w:tblGrid>
        <w:gridCol w:w="1915"/>
        <w:gridCol w:w="7227"/>
      </w:tblGrid>
      <w:tr w:rsidR="00F76E53" w:rsidRPr="005845A7" w14:paraId="5F722058" w14:textId="77777777" w:rsidTr="005845A7">
        <w:trPr>
          <w:tblHeader/>
          <w:tblCellSpacing w:w="57" w:type="dxa"/>
          <w:jc w:val="center"/>
        </w:trPr>
        <w:tc>
          <w:tcPr>
            <w:tcW w:w="1744" w:type="dxa"/>
            <w:shd w:val="clear" w:color="auto" w:fill="8C8D90"/>
          </w:tcPr>
          <w:p w14:paraId="20D2EFE9" w14:textId="77777777" w:rsidR="00F76E53" w:rsidRPr="005845A7" w:rsidRDefault="00F76E53" w:rsidP="00DD5BB1">
            <w:pPr>
              <w:spacing w:after="0"/>
              <w:jc w:val="center"/>
              <w:rPr>
                <w:rFonts w:eastAsia="Times New Roman" w:cs="Times New Roman"/>
                <w:b/>
                <w:color w:val="FFFFFF" w:themeColor="background1"/>
                <w:sz w:val="20"/>
                <w:szCs w:val="24"/>
              </w:rPr>
            </w:pPr>
            <w:r w:rsidRPr="005845A7">
              <w:rPr>
                <w:rFonts w:eastAsia="Times New Roman" w:cs="Times New Roman"/>
                <w:b/>
                <w:color w:val="FFFFFF" w:themeColor="background1"/>
                <w:sz w:val="20"/>
                <w:szCs w:val="24"/>
              </w:rPr>
              <w:t>Key Areas</w:t>
            </w:r>
          </w:p>
        </w:tc>
        <w:tc>
          <w:tcPr>
            <w:tcW w:w="7055" w:type="dxa"/>
            <w:shd w:val="clear" w:color="auto" w:fill="8C8D90"/>
          </w:tcPr>
          <w:p w14:paraId="574A7B89" w14:textId="77777777" w:rsidR="00F76E53" w:rsidRPr="005845A7" w:rsidRDefault="00F76E53" w:rsidP="00DD5BB1">
            <w:pPr>
              <w:spacing w:after="0"/>
              <w:jc w:val="center"/>
              <w:rPr>
                <w:rFonts w:eastAsia="Times New Roman" w:cs="Times New Roman"/>
                <w:b/>
                <w:color w:val="FFFFFF" w:themeColor="background1"/>
                <w:sz w:val="20"/>
                <w:szCs w:val="24"/>
              </w:rPr>
            </w:pPr>
            <w:r w:rsidRPr="005845A7">
              <w:rPr>
                <w:rFonts w:eastAsia="Times New Roman" w:cs="Times New Roman"/>
                <w:b/>
                <w:color w:val="FFFFFF" w:themeColor="background1"/>
                <w:sz w:val="20"/>
                <w:szCs w:val="24"/>
              </w:rPr>
              <w:t>IFIAR Principle / Best practice for successful public oversight</w:t>
            </w:r>
          </w:p>
        </w:tc>
      </w:tr>
      <w:tr w:rsidR="00F76E53" w:rsidRPr="005845A7" w14:paraId="62934D8B" w14:textId="77777777" w:rsidTr="001D3A14">
        <w:trPr>
          <w:trHeight w:val="638"/>
          <w:tblCellSpacing w:w="57" w:type="dxa"/>
          <w:jc w:val="center"/>
        </w:trPr>
        <w:tc>
          <w:tcPr>
            <w:tcW w:w="1744" w:type="dxa"/>
            <w:vMerge w:val="restart"/>
            <w:shd w:val="clear" w:color="auto" w:fill="C6E8D7"/>
            <w:vAlign w:val="center"/>
          </w:tcPr>
          <w:p w14:paraId="62CDA065" w14:textId="3C8F71C7" w:rsidR="00F76E53" w:rsidRPr="005845A7" w:rsidRDefault="00F76E53" w:rsidP="001F70A5">
            <w:pPr>
              <w:jc w:val="left"/>
              <w:rPr>
                <w:b/>
                <w:sz w:val="20"/>
                <w:szCs w:val="24"/>
              </w:rPr>
            </w:pPr>
            <w:r w:rsidRPr="005845A7">
              <w:rPr>
                <w:b/>
                <w:sz w:val="20"/>
                <w:szCs w:val="24"/>
              </w:rPr>
              <w:t>Structure</w:t>
            </w:r>
          </w:p>
        </w:tc>
        <w:tc>
          <w:tcPr>
            <w:tcW w:w="7055" w:type="dxa"/>
            <w:shd w:val="clear" w:color="auto" w:fill="C6E8D7"/>
            <w:vAlign w:val="center"/>
          </w:tcPr>
          <w:p w14:paraId="058F393B" w14:textId="77777777" w:rsidR="00F76E53" w:rsidRPr="005845A7" w:rsidRDefault="00F76E53" w:rsidP="001F70A5">
            <w:pPr>
              <w:spacing w:after="0"/>
              <w:jc w:val="left"/>
              <w:rPr>
                <w:b/>
                <w:sz w:val="20"/>
                <w:szCs w:val="24"/>
              </w:rPr>
            </w:pPr>
            <w:r w:rsidRPr="005845A7">
              <w:rPr>
                <w:b/>
                <w:sz w:val="20"/>
                <w:szCs w:val="24"/>
              </w:rPr>
              <w:t xml:space="preserve">Principle 1: </w:t>
            </w:r>
            <w:r w:rsidRPr="005845A7">
              <w:rPr>
                <w:sz w:val="20"/>
                <w:szCs w:val="24"/>
              </w:rPr>
              <w:t xml:space="preserve">The responsibilities and powers of audit regulators should serve the </w:t>
            </w:r>
            <w:r w:rsidRPr="005845A7">
              <w:rPr>
                <w:rFonts w:eastAsia="Times New Roman" w:cs="Times New Roman"/>
                <w:color w:val="000000"/>
                <w:sz w:val="20"/>
                <w:szCs w:val="24"/>
              </w:rPr>
              <w:t>public</w:t>
            </w:r>
            <w:r w:rsidRPr="005845A7">
              <w:rPr>
                <w:sz w:val="20"/>
                <w:szCs w:val="24"/>
              </w:rPr>
              <w:t xml:space="preserve"> interest and be clearly and objectively stated in legislation.</w:t>
            </w:r>
          </w:p>
        </w:tc>
      </w:tr>
      <w:tr w:rsidR="00F76E53" w:rsidRPr="005845A7" w14:paraId="3E47880E" w14:textId="77777777" w:rsidTr="001D3A14">
        <w:trPr>
          <w:trHeight w:val="233"/>
          <w:tblCellSpacing w:w="57" w:type="dxa"/>
          <w:jc w:val="center"/>
        </w:trPr>
        <w:tc>
          <w:tcPr>
            <w:tcW w:w="1744" w:type="dxa"/>
            <w:vMerge/>
            <w:shd w:val="clear" w:color="auto" w:fill="C6E8D7"/>
            <w:vAlign w:val="center"/>
          </w:tcPr>
          <w:p w14:paraId="4812C7C7" w14:textId="77777777" w:rsidR="00F76E53" w:rsidRPr="005845A7" w:rsidRDefault="00F76E53" w:rsidP="001F70A5">
            <w:pPr>
              <w:jc w:val="left"/>
              <w:rPr>
                <w:b/>
                <w:sz w:val="20"/>
                <w:szCs w:val="24"/>
              </w:rPr>
            </w:pPr>
          </w:p>
        </w:tc>
        <w:tc>
          <w:tcPr>
            <w:tcW w:w="7055" w:type="dxa"/>
            <w:shd w:val="clear" w:color="auto" w:fill="C6E8D7"/>
            <w:vAlign w:val="center"/>
          </w:tcPr>
          <w:p w14:paraId="138707EB" w14:textId="77777777" w:rsidR="00F76E53" w:rsidRPr="005845A7" w:rsidRDefault="00F76E53" w:rsidP="001F70A5">
            <w:pPr>
              <w:spacing w:after="0"/>
              <w:jc w:val="left"/>
              <w:rPr>
                <w:b/>
                <w:sz w:val="20"/>
                <w:szCs w:val="24"/>
              </w:rPr>
            </w:pPr>
            <w:r w:rsidRPr="005845A7">
              <w:rPr>
                <w:b/>
                <w:sz w:val="20"/>
                <w:szCs w:val="24"/>
              </w:rPr>
              <w:t xml:space="preserve">Principle 2: </w:t>
            </w:r>
            <w:r w:rsidRPr="005845A7">
              <w:rPr>
                <w:sz w:val="20"/>
                <w:szCs w:val="24"/>
              </w:rPr>
              <w:t xml:space="preserve">Audit </w:t>
            </w:r>
            <w:r w:rsidRPr="005845A7">
              <w:rPr>
                <w:rFonts w:eastAsia="Times New Roman" w:cs="Times New Roman"/>
                <w:color w:val="000000"/>
                <w:sz w:val="20"/>
                <w:szCs w:val="24"/>
              </w:rPr>
              <w:t>regulators</w:t>
            </w:r>
            <w:r w:rsidRPr="005845A7">
              <w:rPr>
                <w:sz w:val="20"/>
                <w:szCs w:val="24"/>
              </w:rPr>
              <w:t xml:space="preserve"> should be operationally independent.</w:t>
            </w:r>
          </w:p>
        </w:tc>
      </w:tr>
      <w:tr w:rsidR="00F76E53" w:rsidRPr="005845A7" w14:paraId="50EF321C" w14:textId="77777777" w:rsidTr="001D3A14">
        <w:trPr>
          <w:trHeight w:val="233"/>
          <w:tblCellSpacing w:w="57" w:type="dxa"/>
          <w:jc w:val="center"/>
        </w:trPr>
        <w:tc>
          <w:tcPr>
            <w:tcW w:w="1744" w:type="dxa"/>
            <w:vMerge/>
            <w:shd w:val="clear" w:color="auto" w:fill="C6E8D7"/>
            <w:vAlign w:val="center"/>
          </w:tcPr>
          <w:p w14:paraId="593B5814" w14:textId="77777777" w:rsidR="00F76E53" w:rsidRPr="005845A7" w:rsidRDefault="00F76E53" w:rsidP="001F70A5">
            <w:pPr>
              <w:jc w:val="left"/>
              <w:rPr>
                <w:b/>
                <w:sz w:val="20"/>
                <w:szCs w:val="24"/>
              </w:rPr>
            </w:pPr>
          </w:p>
        </w:tc>
        <w:tc>
          <w:tcPr>
            <w:tcW w:w="7055" w:type="dxa"/>
            <w:shd w:val="clear" w:color="auto" w:fill="C6E8D7"/>
            <w:vAlign w:val="center"/>
          </w:tcPr>
          <w:p w14:paraId="54AECCAF" w14:textId="77777777" w:rsidR="00F76E53" w:rsidRPr="005845A7" w:rsidRDefault="00F76E53" w:rsidP="001F70A5">
            <w:pPr>
              <w:spacing w:after="0"/>
              <w:jc w:val="left"/>
              <w:rPr>
                <w:b/>
                <w:sz w:val="20"/>
                <w:szCs w:val="24"/>
              </w:rPr>
            </w:pPr>
            <w:r w:rsidRPr="005845A7">
              <w:rPr>
                <w:b/>
                <w:sz w:val="20"/>
                <w:szCs w:val="24"/>
              </w:rPr>
              <w:t xml:space="preserve">Principle 3: </w:t>
            </w:r>
            <w:r w:rsidRPr="005845A7">
              <w:rPr>
                <w:sz w:val="20"/>
                <w:szCs w:val="24"/>
              </w:rPr>
              <w:t xml:space="preserve">Audit </w:t>
            </w:r>
            <w:r w:rsidRPr="005845A7">
              <w:rPr>
                <w:rFonts w:eastAsia="Times New Roman" w:cs="Times New Roman"/>
                <w:color w:val="000000"/>
                <w:sz w:val="20"/>
                <w:szCs w:val="24"/>
              </w:rPr>
              <w:t>regulators</w:t>
            </w:r>
            <w:r w:rsidRPr="005845A7">
              <w:rPr>
                <w:sz w:val="20"/>
                <w:szCs w:val="24"/>
              </w:rPr>
              <w:t xml:space="preserve"> should be transparent and accountable.</w:t>
            </w:r>
          </w:p>
        </w:tc>
      </w:tr>
      <w:tr w:rsidR="00F76E53" w:rsidRPr="005845A7" w14:paraId="4AFD3FF8" w14:textId="77777777" w:rsidTr="001D3A14">
        <w:trPr>
          <w:tblCellSpacing w:w="57" w:type="dxa"/>
          <w:jc w:val="center"/>
        </w:trPr>
        <w:tc>
          <w:tcPr>
            <w:tcW w:w="1744" w:type="dxa"/>
            <w:vMerge w:val="restart"/>
            <w:shd w:val="clear" w:color="auto" w:fill="C6E8D7"/>
            <w:vAlign w:val="center"/>
          </w:tcPr>
          <w:p w14:paraId="03624287" w14:textId="77777777" w:rsidR="00F76E53" w:rsidRPr="005845A7" w:rsidRDefault="00F76E53" w:rsidP="001F70A5">
            <w:pPr>
              <w:jc w:val="left"/>
              <w:rPr>
                <w:b/>
                <w:sz w:val="20"/>
                <w:szCs w:val="24"/>
              </w:rPr>
            </w:pPr>
            <w:r w:rsidRPr="005845A7">
              <w:rPr>
                <w:b/>
                <w:sz w:val="20"/>
                <w:szCs w:val="24"/>
              </w:rPr>
              <w:t>Operations</w:t>
            </w:r>
          </w:p>
        </w:tc>
        <w:tc>
          <w:tcPr>
            <w:tcW w:w="7055" w:type="dxa"/>
            <w:shd w:val="clear" w:color="auto" w:fill="C6E8D7"/>
            <w:vAlign w:val="center"/>
          </w:tcPr>
          <w:p w14:paraId="6B9EED29" w14:textId="77777777" w:rsidR="00F76E53" w:rsidRPr="005845A7" w:rsidRDefault="00F76E53" w:rsidP="001F70A5">
            <w:pPr>
              <w:spacing w:after="0"/>
              <w:jc w:val="left"/>
              <w:rPr>
                <w:sz w:val="20"/>
                <w:szCs w:val="24"/>
              </w:rPr>
            </w:pPr>
            <w:r w:rsidRPr="005845A7">
              <w:rPr>
                <w:b/>
                <w:sz w:val="20"/>
                <w:szCs w:val="24"/>
              </w:rPr>
              <w:t xml:space="preserve">Principle 4: </w:t>
            </w:r>
            <w:r w:rsidRPr="005845A7">
              <w:rPr>
                <w:sz w:val="20"/>
                <w:szCs w:val="24"/>
              </w:rPr>
              <w:t xml:space="preserve">Audit regulators should have comprehensive enforcement powers which include the capability to ensure that their inspection findings </w:t>
            </w:r>
            <w:r w:rsidRPr="005845A7">
              <w:rPr>
                <w:rFonts w:eastAsia="Times New Roman" w:cs="Times New Roman"/>
                <w:color w:val="000000"/>
                <w:sz w:val="20"/>
                <w:szCs w:val="24"/>
              </w:rPr>
              <w:t>or</w:t>
            </w:r>
            <w:r w:rsidRPr="005845A7">
              <w:rPr>
                <w:sz w:val="20"/>
                <w:szCs w:val="24"/>
              </w:rPr>
              <w:t xml:space="preserve"> recommendations are appropriately addressed; these enforcement powers should include the ability to impose a range of sanctions including, for example, fines and the removal of an audit license and/or registration.</w:t>
            </w:r>
          </w:p>
        </w:tc>
      </w:tr>
      <w:tr w:rsidR="00F76E53" w:rsidRPr="005845A7" w14:paraId="52B1CF4E" w14:textId="77777777" w:rsidTr="001D3A14">
        <w:trPr>
          <w:tblCellSpacing w:w="57" w:type="dxa"/>
          <w:jc w:val="center"/>
        </w:trPr>
        <w:tc>
          <w:tcPr>
            <w:tcW w:w="1744" w:type="dxa"/>
            <w:vMerge/>
            <w:shd w:val="clear" w:color="auto" w:fill="C6E8D7"/>
            <w:vAlign w:val="center"/>
          </w:tcPr>
          <w:p w14:paraId="708BF385" w14:textId="77777777" w:rsidR="00F76E53" w:rsidRPr="005845A7" w:rsidRDefault="00F76E53" w:rsidP="001F70A5">
            <w:pPr>
              <w:jc w:val="left"/>
              <w:rPr>
                <w:b/>
                <w:sz w:val="20"/>
                <w:szCs w:val="24"/>
                <w:highlight w:val="yellow"/>
              </w:rPr>
            </w:pPr>
          </w:p>
        </w:tc>
        <w:tc>
          <w:tcPr>
            <w:tcW w:w="7055" w:type="dxa"/>
            <w:shd w:val="clear" w:color="auto" w:fill="C6E8D7"/>
            <w:vAlign w:val="center"/>
          </w:tcPr>
          <w:p w14:paraId="440A1AC5" w14:textId="77777777" w:rsidR="00F76E53" w:rsidRPr="005845A7" w:rsidRDefault="00F76E53" w:rsidP="001F70A5">
            <w:pPr>
              <w:spacing w:after="0"/>
              <w:jc w:val="left"/>
              <w:rPr>
                <w:b/>
                <w:sz w:val="20"/>
                <w:szCs w:val="24"/>
              </w:rPr>
            </w:pPr>
            <w:r w:rsidRPr="005845A7">
              <w:rPr>
                <w:b/>
                <w:sz w:val="20"/>
                <w:szCs w:val="24"/>
              </w:rPr>
              <w:t xml:space="preserve">Principle 5: </w:t>
            </w:r>
            <w:r w:rsidRPr="005845A7">
              <w:rPr>
                <w:sz w:val="20"/>
                <w:szCs w:val="24"/>
              </w:rPr>
              <w:t xml:space="preserve">Audit regulators should ensure that their staff is independent from the </w:t>
            </w:r>
            <w:r w:rsidRPr="005845A7">
              <w:rPr>
                <w:rFonts w:eastAsia="Times New Roman" w:cs="Times New Roman"/>
                <w:color w:val="000000"/>
                <w:sz w:val="20"/>
                <w:szCs w:val="24"/>
              </w:rPr>
              <w:t>profession</w:t>
            </w:r>
            <w:r w:rsidRPr="005845A7">
              <w:rPr>
                <w:sz w:val="20"/>
                <w:szCs w:val="24"/>
              </w:rPr>
              <w:t xml:space="preserve"> and should have sufficient staff of appropriate competence.</w:t>
            </w:r>
          </w:p>
        </w:tc>
      </w:tr>
      <w:tr w:rsidR="00F76E53" w:rsidRPr="005845A7" w14:paraId="7B9ECCF3" w14:textId="77777777" w:rsidTr="001D3A14">
        <w:trPr>
          <w:tblCellSpacing w:w="57" w:type="dxa"/>
          <w:jc w:val="center"/>
        </w:trPr>
        <w:tc>
          <w:tcPr>
            <w:tcW w:w="1744" w:type="dxa"/>
            <w:vMerge/>
            <w:shd w:val="clear" w:color="auto" w:fill="C6E8D7"/>
            <w:vAlign w:val="center"/>
          </w:tcPr>
          <w:p w14:paraId="0A6AD814" w14:textId="77777777" w:rsidR="00F76E53" w:rsidRPr="005845A7" w:rsidRDefault="00F76E53" w:rsidP="001F70A5">
            <w:pPr>
              <w:jc w:val="left"/>
              <w:rPr>
                <w:b/>
                <w:sz w:val="20"/>
                <w:szCs w:val="24"/>
                <w:highlight w:val="yellow"/>
              </w:rPr>
            </w:pPr>
          </w:p>
        </w:tc>
        <w:tc>
          <w:tcPr>
            <w:tcW w:w="7055" w:type="dxa"/>
            <w:shd w:val="clear" w:color="auto" w:fill="C6E8D7"/>
            <w:vAlign w:val="center"/>
          </w:tcPr>
          <w:p w14:paraId="3FF02A98" w14:textId="77777777" w:rsidR="00F76E53" w:rsidRPr="005845A7" w:rsidRDefault="00F76E53" w:rsidP="001F70A5">
            <w:pPr>
              <w:spacing w:after="0"/>
              <w:jc w:val="left"/>
              <w:rPr>
                <w:b/>
                <w:sz w:val="20"/>
                <w:szCs w:val="24"/>
              </w:rPr>
            </w:pPr>
            <w:r w:rsidRPr="005845A7">
              <w:rPr>
                <w:b/>
                <w:sz w:val="20"/>
                <w:szCs w:val="24"/>
              </w:rPr>
              <w:t xml:space="preserve">Principle 6: </w:t>
            </w:r>
            <w:r w:rsidRPr="005845A7">
              <w:rPr>
                <w:sz w:val="20"/>
                <w:szCs w:val="24"/>
              </w:rPr>
              <w:t xml:space="preserve">Audit regulators should be objective, free from conflicts of interest, and maintain </w:t>
            </w:r>
            <w:r w:rsidRPr="005845A7">
              <w:rPr>
                <w:rFonts w:eastAsia="Times New Roman" w:cs="Times New Roman"/>
                <w:color w:val="000000"/>
                <w:sz w:val="20"/>
                <w:szCs w:val="24"/>
              </w:rPr>
              <w:t>appropriate</w:t>
            </w:r>
            <w:r w:rsidRPr="005845A7">
              <w:rPr>
                <w:sz w:val="20"/>
                <w:szCs w:val="24"/>
              </w:rPr>
              <w:t xml:space="preserve"> confidentiality arrangements.</w:t>
            </w:r>
          </w:p>
        </w:tc>
      </w:tr>
      <w:tr w:rsidR="00F76E53" w:rsidRPr="005845A7" w14:paraId="6E1AD6F2" w14:textId="77777777" w:rsidTr="001D3A14">
        <w:trPr>
          <w:trHeight w:val="620"/>
          <w:tblCellSpacing w:w="57" w:type="dxa"/>
          <w:jc w:val="center"/>
        </w:trPr>
        <w:tc>
          <w:tcPr>
            <w:tcW w:w="1744" w:type="dxa"/>
            <w:vMerge/>
            <w:shd w:val="clear" w:color="auto" w:fill="C6E8D7"/>
            <w:vAlign w:val="center"/>
          </w:tcPr>
          <w:p w14:paraId="16298E46" w14:textId="77777777" w:rsidR="00F76E53" w:rsidRPr="005845A7" w:rsidRDefault="00F76E53" w:rsidP="001F70A5">
            <w:pPr>
              <w:jc w:val="left"/>
              <w:rPr>
                <w:b/>
                <w:sz w:val="20"/>
                <w:szCs w:val="24"/>
                <w:highlight w:val="yellow"/>
              </w:rPr>
            </w:pPr>
          </w:p>
        </w:tc>
        <w:tc>
          <w:tcPr>
            <w:tcW w:w="7055" w:type="dxa"/>
            <w:shd w:val="clear" w:color="auto" w:fill="C6E8D7"/>
            <w:vAlign w:val="center"/>
          </w:tcPr>
          <w:p w14:paraId="5343E0FB" w14:textId="77777777" w:rsidR="00F76E53" w:rsidRPr="005845A7" w:rsidRDefault="00F76E53" w:rsidP="001F70A5">
            <w:pPr>
              <w:spacing w:after="0"/>
              <w:jc w:val="left"/>
              <w:rPr>
                <w:b/>
                <w:sz w:val="20"/>
                <w:szCs w:val="24"/>
              </w:rPr>
            </w:pPr>
            <w:r w:rsidRPr="005845A7">
              <w:rPr>
                <w:b/>
                <w:sz w:val="20"/>
                <w:szCs w:val="24"/>
              </w:rPr>
              <w:t xml:space="preserve">Principle 7: </w:t>
            </w:r>
            <w:r w:rsidRPr="005845A7">
              <w:rPr>
                <w:sz w:val="20"/>
                <w:szCs w:val="24"/>
              </w:rPr>
              <w:t xml:space="preserve">Audit regulators should make appropriate arrangements for cooperation with other </w:t>
            </w:r>
            <w:r w:rsidRPr="005845A7">
              <w:rPr>
                <w:rFonts w:eastAsia="Times New Roman" w:cs="Times New Roman"/>
                <w:color w:val="000000"/>
                <w:sz w:val="20"/>
                <w:szCs w:val="24"/>
              </w:rPr>
              <w:t>audit</w:t>
            </w:r>
            <w:r w:rsidRPr="005845A7">
              <w:rPr>
                <w:sz w:val="20"/>
                <w:szCs w:val="24"/>
              </w:rPr>
              <w:t xml:space="preserve"> regulators and, where relevant, other third parties.</w:t>
            </w:r>
          </w:p>
        </w:tc>
      </w:tr>
      <w:tr w:rsidR="00F76E53" w:rsidRPr="005845A7" w14:paraId="7358AE62" w14:textId="77777777" w:rsidTr="001D3A14">
        <w:trPr>
          <w:tblCellSpacing w:w="57" w:type="dxa"/>
          <w:jc w:val="center"/>
        </w:trPr>
        <w:tc>
          <w:tcPr>
            <w:tcW w:w="1744" w:type="dxa"/>
            <w:vMerge w:val="restart"/>
            <w:shd w:val="clear" w:color="auto" w:fill="C6E8D7"/>
            <w:vAlign w:val="center"/>
          </w:tcPr>
          <w:p w14:paraId="16B4F2FC" w14:textId="77777777" w:rsidR="00F76E53" w:rsidRPr="005845A7" w:rsidRDefault="00F76E53" w:rsidP="001F70A5">
            <w:pPr>
              <w:jc w:val="left"/>
              <w:rPr>
                <w:b/>
                <w:sz w:val="20"/>
                <w:szCs w:val="24"/>
                <w:highlight w:val="yellow"/>
              </w:rPr>
            </w:pPr>
            <w:r w:rsidRPr="005845A7">
              <w:rPr>
                <w:b/>
                <w:sz w:val="20"/>
                <w:szCs w:val="24"/>
              </w:rPr>
              <w:t>Principles for Inspections</w:t>
            </w:r>
          </w:p>
        </w:tc>
        <w:tc>
          <w:tcPr>
            <w:tcW w:w="7055" w:type="dxa"/>
            <w:shd w:val="clear" w:color="auto" w:fill="C6E8D7"/>
            <w:vAlign w:val="center"/>
          </w:tcPr>
          <w:p w14:paraId="36DA64C5" w14:textId="77777777" w:rsidR="00F76E53" w:rsidRPr="005845A7" w:rsidRDefault="00F76E53" w:rsidP="001F70A5">
            <w:pPr>
              <w:spacing w:after="0"/>
              <w:jc w:val="left"/>
              <w:rPr>
                <w:b/>
                <w:sz w:val="20"/>
                <w:szCs w:val="24"/>
              </w:rPr>
            </w:pPr>
            <w:r w:rsidRPr="005845A7">
              <w:rPr>
                <w:b/>
                <w:sz w:val="20"/>
                <w:szCs w:val="24"/>
              </w:rPr>
              <w:t xml:space="preserve">Principle 8: </w:t>
            </w:r>
            <w:r w:rsidRPr="005845A7">
              <w:rPr>
                <w:sz w:val="20"/>
                <w:szCs w:val="24"/>
              </w:rPr>
              <w:t xml:space="preserve">Audit regulators should as a minimum, conduct recurring inspections of audit firms undertaking audits of public interest entities </w:t>
            </w:r>
            <w:proofErr w:type="gramStart"/>
            <w:r w:rsidRPr="005845A7">
              <w:rPr>
                <w:sz w:val="20"/>
                <w:szCs w:val="24"/>
              </w:rPr>
              <w:t>in order to</w:t>
            </w:r>
            <w:proofErr w:type="gramEnd"/>
            <w:r w:rsidRPr="005845A7">
              <w:rPr>
                <w:sz w:val="20"/>
                <w:szCs w:val="24"/>
              </w:rPr>
              <w:t xml:space="preserve"> assess compliance with applicable professional standards, independence requirements and other laws, rules</w:t>
            </w:r>
            <w:r w:rsidR="00A969BD" w:rsidRPr="005845A7">
              <w:rPr>
                <w:sz w:val="20"/>
                <w:szCs w:val="24"/>
              </w:rPr>
              <w:t>,</w:t>
            </w:r>
            <w:r w:rsidRPr="005845A7">
              <w:rPr>
                <w:sz w:val="20"/>
                <w:szCs w:val="24"/>
              </w:rPr>
              <w:t xml:space="preserve"> and regulations.</w:t>
            </w:r>
          </w:p>
        </w:tc>
      </w:tr>
      <w:tr w:rsidR="00F76E53" w:rsidRPr="005845A7" w14:paraId="44D3DEEB" w14:textId="77777777" w:rsidTr="001D3A14">
        <w:trPr>
          <w:tblCellSpacing w:w="57" w:type="dxa"/>
          <w:jc w:val="center"/>
        </w:trPr>
        <w:tc>
          <w:tcPr>
            <w:tcW w:w="1744" w:type="dxa"/>
            <w:vMerge/>
            <w:shd w:val="clear" w:color="auto" w:fill="C6E8D7"/>
            <w:vAlign w:val="center"/>
          </w:tcPr>
          <w:p w14:paraId="2C26D71F" w14:textId="77777777" w:rsidR="00F76E53" w:rsidRPr="005845A7" w:rsidRDefault="00F76E53" w:rsidP="001F70A5">
            <w:pPr>
              <w:jc w:val="left"/>
              <w:rPr>
                <w:b/>
                <w:sz w:val="20"/>
                <w:szCs w:val="24"/>
                <w:highlight w:val="yellow"/>
              </w:rPr>
            </w:pPr>
          </w:p>
        </w:tc>
        <w:tc>
          <w:tcPr>
            <w:tcW w:w="7055" w:type="dxa"/>
            <w:shd w:val="clear" w:color="auto" w:fill="C6E8D7"/>
            <w:vAlign w:val="center"/>
          </w:tcPr>
          <w:p w14:paraId="69177AEE" w14:textId="77777777" w:rsidR="00F76E53" w:rsidRPr="005845A7" w:rsidRDefault="00F76E53" w:rsidP="001F70A5">
            <w:pPr>
              <w:spacing w:after="0"/>
              <w:jc w:val="left"/>
              <w:rPr>
                <w:b/>
                <w:sz w:val="20"/>
                <w:szCs w:val="24"/>
              </w:rPr>
            </w:pPr>
            <w:r w:rsidRPr="005845A7">
              <w:rPr>
                <w:b/>
                <w:sz w:val="20"/>
                <w:szCs w:val="24"/>
              </w:rPr>
              <w:t xml:space="preserve">Principle 9: </w:t>
            </w:r>
            <w:r w:rsidRPr="005845A7">
              <w:rPr>
                <w:sz w:val="20"/>
                <w:szCs w:val="24"/>
              </w:rPr>
              <w:t xml:space="preserve">Audit regulators should ensure that a risk‐based inspections program is in </w:t>
            </w:r>
            <w:r w:rsidRPr="005845A7">
              <w:rPr>
                <w:rFonts w:eastAsia="Times New Roman" w:cs="Times New Roman"/>
                <w:color w:val="000000"/>
                <w:sz w:val="20"/>
                <w:szCs w:val="24"/>
              </w:rPr>
              <w:t>place</w:t>
            </w:r>
            <w:r w:rsidRPr="005845A7">
              <w:rPr>
                <w:sz w:val="20"/>
                <w:szCs w:val="24"/>
              </w:rPr>
              <w:t>.</w:t>
            </w:r>
          </w:p>
        </w:tc>
      </w:tr>
      <w:tr w:rsidR="00F76E53" w:rsidRPr="005845A7" w14:paraId="667B9A6C" w14:textId="77777777" w:rsidTr="001D3A14">
        <w:trPr>
          <w:tblCellSpacing w:w="57" w:type="dxa"/>
          <w:jc w:val="center"/>
        </w:trPr>
        <w:tc>
          <w:tcPr>
            <w:tcW w:w="1744" w:type="dxa"/>
            <w:vMerge/>
            <w:shd w:val="clear" w:color="auto" w:fill="auto"/>
          </w:tcPr>
          <w:p w14:paraId="0F1BAAC6" w14:textId="77777777" w:rsidR="00F76E53" w:rsidRPr="005845A7" w:rsidRDefault="00F76E53" w:rsidP="00DD5BB1">
            <w:pPr>
              <w:jc w:val="left"/>
              <w:rPr>
                <w:b/>
                <w:sz w:val="20"/>
                <w:szCs w:val="24"/>
                <w:highlight w:val="yellow"/>
              </w:rPr>
            </w:pPr>
          </w:p>
        </w:tc>
        <w:tc>
          <w:tcPr>
            <w:tcW w:w="7055" w:type="dxa"/>
            <w:shd w:val="clear" w:color="auto" w:fill="C6E8D7"/>
          </w:tcPr>
          <w:p w14:paraId="337339C2" w14:textId="77777777" w:rsidR="00F76E53" w:rsidRPr="005845A7" w:rsidRDefault="00F76E53" w:rsidP="00DD5BB1">
            <w:pPr>
              <w:spacing w:after="0"/>
              <w:jc w:val="left"/>
              <w:rPr>
                <w:b/>
                <w:sz w:val="20"/>
                <w:szCs w:val="24"/>
              </w:rPr>
            </w:pPr>
            <w:r w:rsidRPr="005845A7">
              <w:rPr>
                <w:b/>
                <w:sz w:val="20"/>
                <w:szCs w:val="24"/>
              </w:rPr>
              <w:t xml:space="preserve">Principle 10: </w:t>
            </w:r>
            <w:r w:rsidRPr="005845A7">
              <w:rPr>
                <w:sz w:val="20"/>
                <w:szCs w:val="24"/>
              </w:rPr>
              <w:t xml:space="preserve">Audit regulators should ensure that inspections include effective procedures for </w:t>
            </w:r>
            <w:r w:rsidRPr="005845A7">
              <w:rPr>
                <w:rFonts w:eastAsia="Times New Roman" w:cs="Times New Roman"/>
                <w:color w:val="000000"/>
                <w:sz w:val="20"/>
                <w:szCs w:val="24"/>
              </w:rPr>
              <w:t>both</w:t>
            </w:r>
            <w:r w:rsidRPr="005845A7">
              <w:rPr>
                <w:sz w:val="20"/>
                <w:szCs w:val="24"/>
              </w:rPr>
              <w:t xml:space="preserve"> firm wide and file reviews.</w:t>
            </w:r>
          </w:p>
        </w:tc>
      </w:tr>
      <w:tr w:rsidR="00F76E53" w:rsidRPr="005845A7" w14:paraId="7EF4D786" w14:textId="77777777" w:rsidTr="001D3A14">
        <w:trPr>
          <w:tblCellSpacing w:w="57" w:type="dxa"/>
          <w:jc w:val="center"/>
        </w:trPr>
        <w:tc>
          <w:tcPr>
            <w:tcW w:w="1744" w:type="dxa"/>
            <w:vMerge/>
            <w:shd w:val="clear" w:color="auto" w:fill="auto"/>
          </w:tcPr>
          <w:p w14:paraId="2EDFFDFF" w14:textId="77777777" w:rsidR="00F76E53" w:rsidRPr="005845A7" w:rsidRDefault="00F76E53" w:rsidP="00DD5BB1">
            <w:pPr>
              <w:jc w:val="left"/>
              <w:rPr>
                <w:b/>
                <w:sz w:val="20"/>
                <w:szCs w:val="24"/>
                <w:highlight w:val="yellow"/>
              </w:rPr>
            </w:pPr>
          </w:p>
        </w:tc>
        <w:tc>
          <w:tcPr>
            <w:tcW w:w="7055" w:type="dxa"/>
            <w:shd w:val="clear" w:color="auto" w:fill="C6E8D7"/>
          </w:tcPr>
          <w:p w14:paraId="621FF487" w14:textId="77777777" w:rsidR="00F76E53" w:rsidRPr="005845A7" w:rsidRDefault="00F76E53" w:rsidP="00DD5BB1">
            <w:pPr>
              <w:spacing w:after="0"/>
              <w:jc w:val="left"/>
              <w:rPr>
                <w:b/>
                <w:sz w:val="20"/>
                <w:szCs w:val="24"/>
              </w:rPr>
            </w:pPr>
            <w:r w:rsidRPr="005845A7">
              <w:rPr>
                <w:b/>
                <w:sz w:val="20"/>
                <w:szCs w:val="24"/>
              </w:rPr>
              <w:t xml:space="preserve">Principle 11: </w:t>
            </w:r>
            <w:r w:rsidRPr="005845A7">
              <w:rPr>
                <w:sz w:val="20"/>
                <w:szCs w:val="24"/>
              </w:rPr>
              <w:t>Audit regulators should have a mechanism for reporting inspections findings to the audit firm and ensuring remediation of findings with the audit firm.</w:t>
            </w:r>
          </w:p>
        </w:tc>
      </w:tr>
      <w:tr w:rsidR="00F76E53" w:rsidRPr="005845A7" w14:paraId="409A6AD1" w14:textId="77777777" w:rsidTr="001D3A14">
        <w:trPr>
          <w:tblCellSpacing w:w="57" w:type="dxa"/>
          <w:jc w:val="center"/>
        </w:trPr>
        <w:tc>
          <w:tcPr>
            <w:tcW w:w="1744" w:type="dxa"/>
            <w:shd w:val="clear" w:color="auto" w:fill="C6E8D7"/>
            <w:vAlign w:val="center"/>
          </w:tcPr>
          <w:p w14:paraId="11FD32E2" w14:textId="77777777" w:rsidR="00F76E53" w:rsidRPr="005845A7" w:rsidRDefault="00F76E53" w:rsidP="001F70A5">
            <w:pPr>
              <w:spacing w:after="0"/>
              <w:jc w:val="left"/>
              <w:rPr>
                <w:b/>
                <w:color w:val="000000" w:themeColor="text1"/>
                <w:sz w:val="20"/>
                <w:szCs w:val="24"/>
              </w:rPr>
            </w:pPr>
            <w:r w:rsidRPr="005845A7">
              <w:rPr>
                <w:b/>
                <w:color w:val="000000" w:themeColor="text1"/>
                <w:sz w:val="20"/>
                <w:szCs w:val="24"/>
              </w:rPr>
              <w:t xml:space="preserve">Adequate legal framework and authority to supervise the </w:t>
            </w:r>
            <w:r w:rsidRPr="005845A7">
              <w:rPr>
                <w:b/>
                <w:sz w:val="20"/>
                <w:szCs w:val="24"/>
              </w:rPr>
              <w:t>profession</w:t>
            </w:r>
          </w:p>
        </w:tc>
        <w:tc>
          <w:tcPr>
            <w:tcW w:w="7055" w:type="dxa"/>
            <w:shd w:val="clear" w:color="auto" w:fill="C6E8D7"/>
          </w:tcPr>
          <w:p w14:paraId="3995BDAD" w14:textId="77777777" w:rsidR="00F76E53" w:rsidRPr="005845A7" w:rsidRDefault="00F76E53" w:rsidP="00DD5BB1">
            <w:pPr>
              <w:spacing w:after="0"/>
              <w:jc w:val="left"/>
              <w:rPr>
                <w:b/>
                <w:sz w:val="20"/>
                <w:szCs w:val="24"/>
              </w:rPr>
            </w:pPr>
            <w:r w:rsidRPr="005845A7">
              <w:rPr>
                <w:sz w:val="20"/>
                <w:szCs w:val="24"/>
              </w:rPr>
              <w:t xml:space="preserve">The public oversight body should have sufficient legal authority and specific legal powers to oversee the audit profession to help assure audit quality, particularly for the highest risk audits.  The framework should ensure that the oversight body is fully independent from the profession, </w:t>
            </w:r>
            <w:r w:rsidR="00831DD4" w:rsidRPr="005845A7">
              <w:rPr>
                <w:sz w:val="20"/>
                <w:szCs w:val="24"/>
              </w:rPr>
              <w:t xml:space="preserve">is </w:t>
            </w:r>
            <w:r w:rsidRPr="005845A7">
              <w:rPr>
                <w:sz w:val="20"/>
                <w:szCs w:val="24"/>
              </w:rPr>
              <w:t xml:space="preserve">transparent, and acts in the public interest.  </w:t>
            </w:r>
          </w:p>
        </w:tc>
      </w:tr>
      <w:tr w:rsidR="00F76E53" w:rsidRPr="005845A7" w14:paraId="38228CDC" w14:textId="77777777" w:rsidTr="001D3A14">
        <w:trPr>
          <w:tblCellSpacing w:w="57" w:type="dxa"/>
          <w:jc w:val="center"/>
        </w:trPr>
        <w:tc>
          <w:tcPr>
            <w:tcW w:w="1744" w:type="dxa"/>
            <w:shd w:val="clear" w:color="auto" w:fill="C6E8D7"/>
            <w:vAlign w:val="center"/>
          </w:tcPr>
          <w:p w14:paraId="7F00AD03" w14:textId="77777777" w:rsidR="00F76E53" w:rsidRPr="005845A7" w:rsidRDefault="00F76E53" w:rsidP="001F70A5">
            <w:pPr>
              <w:jc w:val="left"/>
              <w:rPr>
                <w:b/>
                <w:color w:val="000000" w:themeColor="text1"/>
                <w:sz w:val="20"/>
                <w:szCs w:val="24"/>
              </w:rPr>
            </w:pPr>
            <w:r w:rsidRPr="005845A7">
              <w:rPr>
                <w:b/>
                <w:color w:val="000000" w:themeColor="text1"/>
                <w:sz w:val="20"/>
                <w:szCs w:val="24"/>
              </w:rPr>
              <w:t>Sustainable Funding Model</w:t>
            </w:r>
          </w:p>
        </w:tc>
        <w:tc>
          <w:tcPr>
            <w:tcW w:w="7055" w:type="dxa"/>
            <w:shd w:val="clear" w:color="auto" w:fill="C6E8D7"/>
          </w:tcPr>
          <w:p w14:paraId="57FA4B2B" w14:textId="77777777" w:rsidR="00F76E53" w:rsidRPr="005845A7" w:rsidRDefault="00F76E53" w:rsidP="00DD5BB1">
            <w:pPr>
              <w:spacing w:after="0"/>
              <w:jc w:val="left"/>
              <w:rPr>
                <w:sz w:val="20"/>
                <w:szCs w:val="24"/>
                <w:highlight w:val="yellow"/>
              </w:rPr>
            </w:pPr>
            <w:r w:rsidRPr="005845A7">
              <w:rPr>
                <w:sz w:val="20"/>
                <w:szCs w:val="24"/>
              </w:rPr>
              <w:t xml:space="preserve">To adequately address the risk of PIE audits, the </w:t>
            </w:r>
            <w:r w:rsidR="00333BB1" w:rsidRPr="005845A7">
              <w:rPr>
                <w:sz w:val="20"/>
                <w:szCs w:val="24"/>
              </w:rPr>
              <w:t xml:space="preserve">public oversight body </w:t>
            </w:r>
            <w:r w:rsidRPr="005845A7">
              <w:rPr>
                <w:sz w:val="20"/>
                <w:szCs w:val="24"/>
              </w:rPr>
              <w:t xml:space="preserve">must be able to pay salaries sufficient to attract and retain inspectors with substantial audit experience (a minimum of about six years and attainment of senior </w:t>
            </w:r>
            <w:r w:rsidRPr="005845A7">
              <w:rPr>
                <w:rFonts w:eastAsia="Times New Roman" w:cs="Times New Roman"/>
                <w:color w:val="000000"/>
                <w:sz w:val="20"/>
                <w:szCs w:val="24"/>
              </w:rPr>
              <w:t>manager</w:t>
            </w:r>
            <w:r w:rsidRPr="005845A7">
              <w:rPr>
                <w:sz w:val="20"/>
                <w:szCs w:val="24"/>
              </w:rPr>
              <w:t xml:space="preserve"> level) as auditors with international network firms or their equivalents. The commission may be able to offer some compensating benefits (such as more reasonable working hours) to allow for somewhat lower pay scales than in private audit practice, but salaries cannot be significantly lower that quality inspections becomes an unattractive career choice for talented and experienced auditors.  Ordinary civil service pay scales are often too low to attract and retain </w:t>
            </w:r>
            <w:proofErr w:type="gramStart"/>
            <w:r w:rsidRPr="005845A7">
              <w:rPr>
                <w:sz w:val="20"/>
                <w:szCs w:val="24"/>
              </w:rPr>
              <w:t>a sufficient number of</w:t>
            </w:r>
            <w:proofErr w:type="gramEnd"/>
            <w:r w:rsidRPr="005845A7">
              <w:rPr>
                <w:sz w:val="20"/>
                <w:szCs w:val="24"/>
              </w:rPr>
              <w:t xml:space="preserve"> inspectors with the right experience, competence, and motivation.</w:t>
            </w:r>
          </w:p>
        </w:tc>
      </w:tr>
      <w:tr w:rsidR="00F76E53" w:rsidRPr="005845A7" w14:paraId="7BD22664" w14:textId="77777777" w:rsidTr="001D3A14">
        <w:trPr>
          <w:tblCellSpacing w:w="57" w:type="dxa"/>
          <w:jc w:val="center"/>
        </w:trPr>
        <w:tc>
          <w:tcPr>
            <w:tcW w:w="1744" w:type="dxa"/>
            <w:shd w:val="clear" w:color="auto" w:fill="C6E8D7"/>
            <w:vAlign w:val="center"/>
          </w:tcPr>
          <w:p w14:paraId="20829E67" w14:textId="77777777" w:rsidR="00F76E53" w:rsidRPr="005845A7" w:rsidRDefault="00F76E53" w:rsidP="001F70A5">
            <w:pPr>
              <w:jc w:val="left"/>
              <w:rPr>
                <w:b/>
                <w:color w:val="000000" w:themeColor="text1"/>
                <w:sz w:val="20"/>
                <w:szCs w:val="24"/>
              </w:rPr>
            </w:pPr>
            <w:r w:rsidRPr="005845A7">
              <w:rPr>
                <w:b/>
                <w:color w:val="000000" w:themeColor="text1"/>
                <w:sz w:val="20"/>
                <w:szCs w:val="24"/>
              </w:rPr>
              <w:t>Adequate staffing</w:t>
            </w:r>
          </w:p>
        </w:tc>
        <w:tc>
          <w:tcPr>
            <w:tcW w:w="7055" w:type="dxa"/>
            <w:shd w:val="clear" w:color="auto" w:fill="C6E8D7"/>
          </w:tcPr>
          <w:p w14:paraId="4E039E06" w14:textId="77777777" w:rsidR="00F76E53" w:rsidRPr="005845A7" w:rsidRDefault="00F76E53" w:rsidP="00DD5BB1">
            <w:pPr>
              <w:spacing w:after="0"/>
              <w:jc w:val="left"/>
              <w:rPr>
                <w:sz w:val="20"/>
                <w:szCs w:val="24"/>
                <w:highlight w:val="yellow"/>
              </w:rPr>
            </w:pPr>
            <w:r w:rsidRPr="005845A7">
              <w:rPr>
                <w:sz w:val="20"/>
                <w:szCs w:val="24"/>
              </w:rPr>
              <w:t xml:space="preserve">If the </w:t>
            </w:r>
            <w:r w:rsidR="00831DD4" w:rsidRPr="005845A7">
              <w:rPr>
                <w:sz w:val="20"/>
                <w:szCs w:val="24"/>
              </w:rPr>
              <w:t xml:space="preserve">public oversight body </w:t>
            </w:r>
            <w:r w:rsidRPr="005845A7">
              <w:rPr>
                <w:sz w:val="20"/>
                <w:szCs w:val="24"/>
              </w:rPr>
              <w:t xml:space="preserve">is to conduct audit quality assurance inspections and impose discipline for auditors of PIEs, it must be staffed with sophisticated and experienced personnel with the required </w:t>
            </w:r>
            <w:r w:rsidRPr="005845A7">
              <w:rPr>
                <w:rFonts w:eastAsia="Times New Roman" w:cs="Times New Roman"/>
                <w:color w:val="000000"/>
                <w:sz w:val="20"/>
                <w:szCs w:val="24"/>
              </w:rPr>
              <w:t>expertise</w:t>
            </w:r>
            <w:r w:rsidRPr="005845A7">
              <w:rPr>
                <w:sz w:val="20"/>
                <w:szCs w:val="24"/>
              </w:rPr>
              <w:t xml:space="preserve"> to conduct audit quality assurance reviews of banks, insurance companies, and other specialized entities.  </w:t>
            </w:r>
          </w:p>
        </w:tc>
      </w:tr>
    </w:tbl>
    <w:p w14:paraId="4817BED7" w14:textId="77777777" w:rsidR="00F76E53" w:rsidRPr="008F1E62" w:rsidRDefault="00F76E53" w:rsidP="00BE4B6C">
      <w:pPr>
        <w:pStyle w:val="Heading2"/>
      </w:pPr>
      <w:bookmarkStart w:id="58" w:name="_Toc484289023"/>
      <w:bookmarkStart w:id="59" w:name="_Toc484289246"/>
      <w:bookmarkStart w:id="60" w:name="_Toc499825591"/>
      <w:r w:rsidRPr="008F1E62">
        <w:t>International Professional Requirements of IFAC</w:t>
      </w:r>
      <w:bookmarkEnd w:id="58"/>
      <w:bookmarkEnd w:id="59"/>
      <w:bookmarkEnd w:id="60"/>
    </w:p>
    <w:p w14:paraId="52012954" w14:textId="77777777" w:rsidR="00F76E53" w:rsidRPr="008F1E62" w:rsidRDefault="00F76E53" w:rsidP="00F76E53">
      <w:pPr>
        <w:autoSpaceDE w:val="0"/>
        <w:autoSpaceDN w:val="0"/>
        <w:adjustRightInd w:val="0"/>
        <w:rPr>
          <w:rFonts w:ascii="Calibri" w:hAnsi="Calibri" w:cs="Calibri"/>
        </w:rPr>
      </w:pPr>
      <w:r w:rsidRPr="008F1E62">
        <w:rPr>
          <w:rFonts w:ascii="Calibri" w:hAnsi="Calibri" w:cs="Calibri"/>
        </w:rPr>
        <w:t xml:space="preserve">IFAC has issued seven (7) Statement of Membership Obligations (SMOs), which are meant to assist members like PICPA in ensuring high quality performance by professional accountants. They cover the member body’s obligations to support the work of IFAC, the work of the </w:t>
      </w:r>
      <w:r w:rsidR="005B59CD">
        <w:rPr>
          <w:rFonts w:ascii="Calibri" w:hAnsi="Calibri" w:cs="Calibri"/>
        </w:rPr>
        <w:t>IASB</w:t>
      </w:r>
      <w:r w:rsidRPr="008F1E62">
        <w:rPr>
          <w:rFonts w:ascii="Calibri" w:hAnsi="Calibri" w:cs="Calibri"/>
        </w:rPr>
        <w:t>, and obligations regarding quality assurance, investigations</w:t>
      </w:r>
      <w:r w:rsidR="00D55131">
        <w:rPr>
          <w:rFonts w:ascii="Calibri" w:hAnsi="Calibri" w:cs="Calibri"/>
        </w:rPr>
        <w:t>,</w:t>
      </w:r>
      <w:r w:rsidRPr="008F1E62">
        <w:rPr>
          <w:rFonts w:ascii="Calibri" w:hAnsi="Calibri" w:cs="Calibri"/>
        </w:rPr>
        <w:t xml:space="preserve"> and discipline.</w:t>
      </w:r>
    </w:p>
    <w:p w14:paraId="119B5296" w14:textId="77777777" w:rsidR="00F76E53" w:rsidRPr="008F1E62" w:rsidRDefault="00F76E53" w:rsidP="00F76E53">
      <w:pPr>
        <w:autoSpaceDE w:val="0"/>
        <w:autoSpaceDN w:val="0"/>
        <w:adjustRightInd w:val="0"/>
        <w:rPr>
          <w:rFonts w:ascii="Calibri" w:hAnsi="Calibri" w:cs="Calibri"/>
        </w:rPr>
      </w:pPr>
      <w:r w:rsidRPr="008F1E62">
        <w:rPr>
          <w:rFonts w:ascii="Calibri" w:hAnsi="Calibri" w:cs="Calibri"/>
        </w:rPr>
        <w:t>SMO 1 covers the subject Quality Assurance. This subject is addressed at three levels - the engagement level, the firm level</w:t>
      </w:r>
      <w:r w:rsidR="00D55131">
        <w:rPr>
          <w:rFonts w:ascii="Calibri" w:hAnsi="Calibri" w:cs="Calibri"/>
        </w:rPr>
        <w:t>,</w:t>
      </w:r>
      <w:r w:rsidRPr="008F1E62">
        <w:rPr>
          <w:rFonts w:ascii="Calibri" w:hAnsi="Calibri" w:cs="Calibri"/>
        </w:rPr>
        <w:t xml:space="preserve"> and the member body level.   SMO 1 requires a member body to ensure a mandatory quality assurance review program is in place for those of its members performing audits.</w:t>
      </w:r>
    </w:p>
    <w:p w14:paraId="0EBBFA85" w14:textId="77777777" w:rsidR="00F76E53" w:rsidRPr="008F1E62" w:rsidRDefault="00F76E53" w:rsidP="00F76E53">
      <w:pPr>
        <w:autoSpaceDE w:val="0"/>
        <w:autoSpaceDN w:val="0"/>
        <w:adjustRightInd w:val="0"/>
        <w:rPr>
          <w:rFonts w:ascii="Calibri" w:hAnsi="Calibri" w:cs="Calibri"/>
        </w:rPr>
      </w:pPr>
      <w:r w:rsidRPr="008F1E62">
        <w:rPr>
          <w:rFonts w:ascii="Calibri" w:hAnsi="Calibri" w:cs="Calibri"/>
        </w:rPr>
        <w:t>SMO 1 includes guidance on the design of the QAR system, the review cycle, QAR team composition and procedures, reporting, corrective</w:t>
      </w:r>
      <w:r w:rsidR="00D55131">
        <w:rPr>
          <w:rFonts w:ascii="Calibri" w:hAnsi="Calibri" w:cs="Calibri"/>
        </w:rPr>
        <w:t>,</w:t>
      </w:r>
      <w:r w:rsidRPr="008F1E62">
        <w:rPr>
          <w:rFonts w:ascii="Calibri" w:hAnsi="Calibri" w:cs="Calibri"/>
        </w:rPr>
        <w:t xml:space="preserve"> and disciplinary actions, consideration of public oversight, and review of implementation and effectiveness.</w:t>
      </w:r>
    </w:p>
    <w:p w14:paraId="5C86725E" w14:textId="77777777" w:rsidR="00F76E53" w:rsidRPr="008F1E62" w:rsidRDefault="00F76E53" w:rsidP="00F76E53">
      <w:pPr>
        <w:widowControl w:val="0"/>
        <w:autoSpaceDE w:val="0"/>
        <w:autoSpaceDN w:val="0"/>
        <w:adjustRightInd w:val="0"/>
        <w:rPr>
          <w:rFonts w:ascii="Calibri" w:hAnsi="Calibri" w:cs="Calibri"/>
        </w:rPr>
      </w:pPr>
      <w:r w:rsidRPr="008F1E62">
        <w:rPr>
          <w:rFonts w:ascii="Calibri" w:hAnsi="Calibri" w:cs="Calibri"/>
        </w:rPr>
        <w:t>Where government, regulators</w:t>
      </w:r>
      <w:r w:rsidR="008169FB">
        <w:rPr>
          <w:rFonts w:ascii="Calibri" w:hAnsi="Calibri" w:cs="Calibri"/>
        </w:rPr>
        <w:t>,</w:t>
      </w:r>
      <w:r w:rsidRPr="008F1E62">
        <w:rPr>
          <w:rFonts w:ascii="Calibri" w:hAnsi="Calibri" w:cs="Calibri"/>
        </w:rPr>
        <w:t xml:space="preserve"> or other appointed authorities perform any of the quality control functions, member bodies should (a) use their best efforts to encourage those responsible for those functions to follow the SMO in implementing them, and (b) assist them in that implementation where appropriate. Additionally, government may delegate the responsibility for quality assurance to the member body even if this may be mandated to be done by other regulatory authorities.</w:t>
      </w:r>
    </w:p>
    <w:p w14:paraId="2CDE66E0" w14:textId="77777777" w:rsidR="00F76E53" w:rsidRPr="008F1E62" w:rsidRDefault="00F76E53" w:rsidP="00F76E53">
      <w:pPr>
        <w:pStyle w:val="Body"/>
        <w:spacing w:line="360" w:lineRule="auto"/>
        <w:jc w:val="both"/>
        <w:rPr>
          <w:rFonts w:hAnsi="Times New Roman" w:cs="Times New Roman"/>
          <w:sz w:val="22"/>
          <w:szCs w:val="22"/>
        </w:rPr>
      </w:pPr>
    </w:p>
    <w:p w14:paraId="6B1D7A56" w14:textId="77777777" w:rsidR="00F76E53" w:rsidRPr="008F1E62" w:rsidRDefault="00F76E53" w:rsidP="00F76E53">
      <w:pPr>
        <w:pStyle w:val="Body"/>
        <w:spacing w:line="360" w:lineRule="auto"/>
        <w:jc w:val="both"/>
        <w:rPr>
          <w:rFonts w:hAnsi="Times New Roman" w:cs="Times New Roman"/>
        </w:rPr>
      </w:pPr>
    </w:p>
    <w:p w14:paraId="64EB22B6" w14:textId="77777777" w:rsidR="00F76E53" w:rsidRPr="008F1E62" w:rsidRDefault="00F76E53" w:rsidP="00F76E53">
      <w:pPr>
        <w:spacing w:after="0" w:line="240" w:lineRule="auto"/>
        <w:rPr>
          <w:sz w:val="18"/>
          <w:szCs w:val="18"/>
        </w:rPr>
      </w:pPr>
    </w:p>
    <w:p w14:paraId="2B9F887E" w14:textId="77777777" w:rsidR="00F76E53" w:rsidRPr="008F1E62" w:rsidRDefault="00F76E53" w:rsidP="00F76E53">
      <w:pPr>
        <w:spacing w:after="0" w:line="240" w:lineRule="auto"/>
        <w:rPr>
          <w:sz w:val="18"/>
          <w:szCs w:val="18"/>
        </w:rPr>
      </w:pPr>
    </w:p>
    <w:p w14:paraId="22442497" w14:textId="77777777" w:rsidR="00F76E53" w:rsidRPr="008F1E62" w:rsidRDefault="00F76E53" w:rsidP="00F76E53">
      <w:pPr>
        <w:spacing w:after="0" w:line="240" w:lineRule="auto"/>
        <w:rPr>
          <w:sz w:val="18"/>
          <w:szCs w:val="18"/>
        </w:rPr>
      </w:pPr>
    </w:p>
    <w:p w14:paraId="2B3C6E07" w14:textId="77777777" w:rsidR="00F76E53" w:rsidRPr="008F1E62" w:rsidRDefault="00F76E53" w:rsidP="00F76E53">
      <w:pPr>
        <w:rPr>
          <w:rFonts w:cstheme="minorHAnsi"/>
          <w:color w:val="FF0000"/>
          <w:sz w:val="18"/>
          <w:szCs w:val="18"/>
          <w:u w:val="single"/>
          <w:shd w:val="clear" w:color="auto" w:fill="FFFFFF"/>
        </w:rPr>
      </w:pPr>
      <w:r w:rsidRPr="008F1E62">
        <w:rPr>
          <w:rFonts w:cstheme="minorHAnsi"/>
          <w:color w:val="FF0000"/>
          <w:sz w:val="18"/>
          <w:szCs w:val="18"/>
          <w:u w:val="single"/>
          <w:shd w:val="clear" w:color="auto" w:fill="FFFFFF"/>
        </w:rPr>
        <w:br w:type="page"/>
      </w:r>
    </w:p>
    <w:p w14:paraId="4855CCB9" w14:textId="77777777" w:rsidR="00F76E53" w:rsidRPr="008F1E62" w:rsidRDefault="00F76E53" w:rsidP="00F76E53">
      <w:pPr>
        <w:pStyle w:val="Heading1"/>
        <w:spacing w:after="60" w:line="276" w:lineRule="auto"/>
        <w:jc w:val="center"/>
        <w:rPr>
          <w:rFonts w:ascii="Century Gothic" w:eastAsia="MS Gothic" w:hAnsi="Century Gothic" w:cstheme="minorBidi"/>
          <w:caps w:val="0"/>
          <w:color w:val="00AB51"/>
          <w:kern w:val="32"/>
          <w:sz w:val="32"/>
          <w:szCs w:val="32"/>
          <w:lang w:val="en-US"/>
        </w:rPr>
      </w:pPr>
      <w:bookmarkStart w:id="61" w:name="_Toc499825592"/>
      <w:r w:rsidRPr="008F1E62">
        <w:rPr>
          <w:rFonts w:ascii="Century Gothic" w:eastAsia="MS Gothic" w:hAnsi="Century Gothic" w:cstheme="minorBidi"/>
          <w:caps w:val="0"/>
          <w:color w:val="00AB51"/>
          <w:kern w:val="32"/>
          <w:sz w:val="32"/>
          <w:szCs w:val="32"/>
          <w:lang w:val="en-US"/>
        </w:rPr>
        <w:t xml:space="preserve">ANNEX 4: </w:t>
      </w:r>
      <w:r w:rsidRPr="008F1E62">
        <w:rPr>
          <w:rFonts w:ascii="Century Gothic" w:eastAsia="MS Gothic" w:hAnsi="Century Gothic" w:cstheme="minorBidi"/>
          <w:color w:val="00AB51"/>
          <w:kern w:val="32"/>
          <w:sz w:val="32"/>
          <w:szCs w:val="32"/>
          <w:lang w:val="en-US"/>
        </w:rPr>
        <w:t>Required Audited Financial Statements by Agency</w:t>
      </w:r>
      <w:bookmarkEnd w:id="61"/>
    </w:p>
    <w:p w14:paraId="1E9BA84E" w14:textId="52D6598E" w:rsidR="00F76E53" w:rsidRPr="008F1E62" w:rsidRDefault="00F76E53" w:rsidP="00592828">
      <w:pPr>
        <w:pStyle w:val="Heading2"/>
        <w:spacing w:before="500"/>
      </w:pPr>
      <w:bookmarkStart w:id="62" w:name="_Toc484289025"/>
      <w:bookmarkStart w:id="63" w:name="_Toc484289248"/>
      <w:bookmarkStart w:id="64" w:name="_Toc499825593"/>
      <w:r w:rsidRPr="008F1E62">
        <w:t xml:space="preserve">Bureau of Internal Revenue </w:t>
      </w:r>
      <w:bookmarkEnd w:id="62"/>
      <w:bookmarkEnd w:id="63"/>
      <w:r w:rsidR="0097160E">
        <w:t>Audit Requirements</w:t>
      </w:r>
      <w:bookmarkEnd w:id="64"/>
    </w:p>
    <w:p w14:paraId="54947CAB" w14:textId="306300CD" w:rsidR="00F76E53" w:rsidRPr="008F1E62" w:rsidRDefault="00F76E53" w:rsidP="00F76E53">
      <w:pPr>
        <w:rPr>
          <w:shd w:val="clear" w:color="auto" w:fill="FFFFFF"/>
        </w:rPr>
      </w:pPr>
      <w:r w:rsidRPr="008F1E62">
        <w:rPr>
          <w:shd w:val="clear" w:color="auto" w:fill="FFFFFF"/>
        </w:rPr>
        <w:t>In the Philippines, individual (except for individual taxpayers who opted for the Optional Standard Deduction,</w:t>
      </w:r>
      <w:r w:rsidRPr="008F1E62">
        <w:rPr>
          <w:rStyle w:val="apple-converted-space"/>
          <w:rFonts w:cstheme="minorHAnsi"/>
          <w:color w:val="000000"/>
          <w:szCs w:val="24"/>
          <w:shd w:val="clear" w:color="auto" w:fill="FFFFFF"/>
        </w:rPr>
        <w:t xml:space="preserve"> </w:t>
      </w:r>
      <w:r w:rsidRPr="008F1E62">
        <w:rPr>
          <w:i/>
          <w:iCs/>
          <w:shd w:val="clear" w:color="auto" w:fill="FFFFFF"/>
        </w:rPr>
        <w:t xml:space="preserve">BIR </w:t>
      </w:r>
      <w:r w:rsidR="00E73D20" w:rsidRPr="00E73D20">
        <w:rPr>
          <w:i/>
          <w:iCs/>
          <w:shd w:val="clear" w:color="auto" w:fill="FFFFFF"/>
        </w:rPr>
        <w:t>Revenue Regulations</w:t>
      </w:r>
      <w:r w:rsidR="00E73D20" w:rsidRPr="00E73D20" w:rsidDel="00E73D20">
        <w:rPr>
          <w:i/>
          <w:iCs/>
          <w:shd w:val="clear" w:color="auto" w:fill="FFFFFF"/>
        </w:rPr>
        <w:t xml:space="preserve"> </w:t>
      </w:r>
      <w:r w:rsidRPr="008F1E62">
        <w:rPr>
          <w:i/>
          <w:iCs/>
          <w:shd w:val="clear" w:color="auto" w:fill="FFFFFF"/>
        </w:rPr>
        <w:t>No. 16-2008 and 2010, and amended</w:t>
      </w:r>
      <w:r w:rsidRPr="008F1E62">
        <w:rPr>
          <w:shd w:val="clear" w:color="auto" w:fill="FFFFFF"/>
        </w:rPr>
        <w:t>) and corporate taxpayers, whose gross quarterly sales or receipts exceed 150,000</w:t>
      </w:r>
      <w:r w:rsidR="006B4DF7">
        <w:rPr>
          <w:shd w:val="clear" w:color="auto" w:fill="FFFFFF"/>
        </w:rPr>
        <w:t xml:space="preserve"> pesos</w:t>
      </w:r>
      <w:r w:rsidRPr="008F1E62">
        <w:rPr>
          <w:shd w:val="clear" w:color="auto" w:fill="FFFFFF"/>
        </w:rPr>
        <w:t xml:space="preserve"> (600,000 </w:t>
      </w:r>
      <w:r w:rsidR="006B4DF7">
        <w:rPr>
          <w:shd w:val="clear" w:color="auto" w:fill="FFFFFF"/>
        </w:rPr>
        <w:t xml:space="preserve">pesos </w:t>
      </w:r>
      <w:r w:rsidRPr="008F1E62">
        <w:rPr>
          <w:shd w:val="clear" w:color="auto" w:fill="FFFFFF"/>
        </w:rPr>
        <w:t>annually)</w:t>
      </w:r>
      <w:r w:rsidR="00A46F65" w:rsidRPr="008F1E62">
        <w:rPr>
          <w:rStyle w:val="FootnoteReference"/>
          <w:shd w:val="clear" w:color="auto" w:fill="FFFFFF"/>
        </w:rPr>
        <w:footnoteReference w:id="120"/>
      </w:r>
      <w:r w:rsidRPr="008F1E62">
        <w:rPr>
          <w:shd w:val="clear" w:color="auto" w:fill="FFFFFF"/>
        </w:rPr>
        <w:t>, are</w:t>
      </w:r>
      <w:r w:rsidR="00821A6C">
        <w:rPr>
          <w:shd w:val="clear" w:color="auto" w:fill="FFFFFF"/>
        </w:rPr>
        <w:t xml:space="preserve"> required by the BIR to attach</w:t>
      </w:r>
      <w:r w:rsidRPr="008F1E62">
        <w:rPr>
          <w:shd w:val="clear" w:color="auto" w:fill="FFFFFF"/>
        </w:rPr>
        <w:t xml:space="preserve"> audited financial statements on their annual income tax returns. These audited financial statements must have a certificate of independent CPA duly accredited by the BIR.</w:t>
      </w:r>
    </w:p>
    <w:p w14:paraId="5F7F9F22" w14:textId="390AFE07" w:rsidR="00F76E53" w:rsidRPr="008F1E62" w:rsidRDefault="00F76E53" w:rsidP="00BE4B6C">
      <w:pPr>
        <w:pStyle w:val="Heading2"/>
      </w:pPr>
      <w:bookmarkStart w:id="65" w:name="_Toc484289026"/>
      <w:bookmarkStart w:id="66" w:name="_Toc484289249"/>
      <w:bookmarkStart w:id="67" w:name="_Toc499825594"/>
      <w:r w:rsidRPr="008F1E62">
        <w:t xml:space="preserve">Publicly Accountable Entities (including listed companies) </w:t>
      </w:r>
      <w:r w:rsidR="0097160E">
        <w:t>A</w:t>
      </w:r>
      <w:r w:rsidR="0097160E" w:rsidRPr="008F1E62">
        <w:t xml:space="preserve">udit </w:t>
      </w:r>
      <w:bookmarkEnd w:id="65"/>
      <w:bookmarkEnd w:id="66"/>
      <w:r w:rsidR="0097160E">
        <w:t>R</w:t>
      </w:r>
      <w:r w:rsidR="0097160E" w:rsidRPr="008F1E62">
        <w:t>equirements</w:t>
      </w:r>
      <w:bookmarkEnd w:id="67"/>
    </w:p>
    <w:p w14:paraId="3E08D496" w14:textId="04EF749D" w:rsidR="00F76E53" w:rsidRDefault="00F76E53" w:rsidP="00F76E53">
      <w:r w:rsidRPr="008F1E62">
        <w:t>The Securities Regulation Code of the Philippines require</w:t>
      </w:r>
      <w:r w:rsidR="00BC6A28">
        <w:t>s</w:t>
      </w:r>
      <w:r w:rsidRPr="008F1E62">
        <w:t xml:space="preserve"> that all stock corporations with paid-up capital of 50,000 </w:t>
      </w:r>
      <w:r w:rsidR="00BC6A28">
        <w:t xml:space="preserve">pesos </w:t>
      </w:r>
      <w:r w:rsidRPr="008F1E62">
        <w:t>or more (SRC Rule 68) submit to SEC an annual report of its operations, together with a financial statement of assets and liabilities, certified by an independent CPA. The SEC requires companies under its regulation to appoint an auditor approved by the SEC. The auditing firms and external auditors accredited by the SEC are classified into the following four groups:</w:t>
      </w:r>
    </w:p>
    <w:tbl>
      <w:tblPr>
        <w:tblStyle w:val="TableGrid"/>
        <w:tblW w:w="9325" w:type="dxa"/>
        <w:jc w:val="center"/>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060"/>
        <w:gridCol w:w="6265"/>
      </w:tblGrid>
      <w:tr w:rsidR="00592828" w:rsidRPr="00592828" w14:paraId="09D12147" w14:textId="77777777" w:rsidTr="00592828">
        <w:trPr>
          <w:tblHeader/>
          <w:tblCellSpacing w:w="57" w:type="dxa"/>
          <w:jc w:val="center"/>
        </w:trPr>
        <w:tc>
          <w:tcPr>
            <w:tcW w:w="9097" w:type="dxa"/>
            <w:gridSpan w:val="2"/>
            <w:shd w:val="clear" w:color="auto" w:fill="auto"/>
          </w:tcPr>
          <w:p w14:paraId="76FE034A" w14:textId="0CFE359B" w:rsidR="00592828" w:rsidRPr="00592828" w:rsidRDefault="00592828" w:rsidP="00DD5BB1">
            <w:pPr>
              <w:spacing w:after="0"/>
              <w:jc w:val="center"/>
              <w:rPr>
                <w:rFonts w:eastAsia="Times New Roman" w:cs="Times New Roman"/>
                <w:b/>
                <w:color w:val="FFFFFF" w:themeColor="background1"/>
                <w:sz w:val="20"/>
                <w:szCs w:val="20"/>
              </w:rPr>
            </w:pPr>
            <w:r w:rsidRPr="00592828">
              <w:rPr>
                <w:b/>
                <w:sz w:val="20"/>
                <w:szCs w:val="20"/>
              </w:rPr>
              <w:t xml:space="preserve">Table </w:t>
            </w:r>
            <w:r w:rsidRPr="00592828">
              <w:rPr>
                <w:b/>
                <w:sz w:val="20"/>
                <w:szCs w:val="20"/>
              </w:rPr>
              <w:fldChar w:fldCharType="begin"/>
            </w:r>
            <w:r w:rsidRPr="00592828">
              <w:rPr>
                <w:b/>
                <w:sz w:val="20"/>
                <w:szCs w:val="20"/>
              </w:rPr>
              <w:instrText xml:space="preserve"> SEQ Table \* ARABIC </w:instrText>
            </w:r>
            <w:r w:rsidRPr="00592828">
              <w:rPr>
                <w:b/>
                <w:sz w:val="20"/>
                <w:szCs w:val="20"/>
              </w:rPr>
              <w:fldChar w:fldCharType="separate"/>
            </w:r>
            <w:r w:rsidR="004310EC">
              <w:rPr>
                <w:b/>
                <w:noProof/>
                <w:sz w:val="20"/>
                <w:szCs w:val="20"/>
              </w:rPr>
              <w:t>17</w:t>
            </w:r>
            <w:r w:rsidRPr="00592828">
              <w:rPr>
                <w:b/>
                <w:sz w:val="20"/>
                <w:szCs w:val="20"/>
              </w:rPr>
              <w:fldChar w:fldCharType="end"/>
            </w:r>
            <w:r w:rsidRPr="00592828">
              <w:rPr>
                <w:b/>
                <w:sz w:val="20"/>
                <w:szCs w:val="20"/>
              </w:rPr>
              <w:t>. Summary of auditor category for publicly accountable entities</w:t>
            </w:r>
          </w:p>
        </w:tc>
      </w:tr>
      <w:tr w:rsidR="00F76E53" w:rsidRPr="00592828" w14:paraId="7637724F" w14:textId="77777777" w:rsidTr="00592828">
        <w:trPr>
          <w:tblHeader/>
          <w:tblCellSpacing w:w="57" w:type="dxa"/>
          <w:jc w:val="center"/>
        </w:trPr>
        <w:tc>
          <w:tcPr>
            <w:tcW w:w="2889" w:type="dxa"/>
            <w:shd w:val="clear" w:color="auto" w:fill="4472C4"/>
          </w:tcPr>
          <w:p w14:paraId="1A3E4D89" w14:textId="77777777" w:rsidR="00F76E53" w:rsidRPr="00592828" w:rsidRDefault="00F76E53" w:rsidP="00DD5BB1">
            <w:pPr>
              <w:spacing w:after="0"/>
              <w:jc w:val="center"/>
              <w:rPr>
                <w:rFonts w:eastAsia="Times New Roman" w:cs="Times New Roman"/>
                <w:b/>
                <w:color w:val="FFFFFF" w:themeColor="background1"/>
                <w:sz w:val="20"/>
                <w:szCs w:val="20"/>
              </w:rPr>
            </w:pPr>
            <w:r w:rsidRPr="00592828">
              <w:rPr>
                <w:rFonts w:eastAsia="Times New Roman" w:cs="Times New Roman"/>
                <w:b/>
                <w:color w:val="FFFFFF" w:themeColor="background1"/>
                <w:sz w:val="20"/>
                <w:szCs w:val="20"/>
              </w:rPr>
              <w:t>Category</w:t>
            </w:r>
          </w:p>
        </w:tc>
        <w:tc>
          <w:tcPr>
            <w:tcW w:w="6094" w:type="dxa"/>
            <w:shd w:val="clear" w:color="auto" w:fill="4472C4"/>
          </w:tcPr>
          <w:p w14:paraId="63315284" w14:textId="77777777" w:rsidR="00F76E53" w:rsidRPr="00592828" w:rsidRDefault="00F76E53" w:rsidP="00DD5BB1">
            <w:pPr>
              <w:spacing w:after="0"/>
              <w:jc w:val="center"/>
              <w:rPr>
                <w:rFonts w:eastAsia="Times New Roman" w:cs="Times New Roman"/>
                <w:b/>
                <w:color w:val="FFFFFF" w:themeColor="background1"/>
                <w:sz w:val="20"/>
                <w:szCs w:val="20"/>
              </w:rPr>
            </w:pPr>
            <w:r w:rsidRPr="00592828">
              <w:rPr>
                <w:rFonts w:eastAsia="Times New Roman" w:cs="Times New Roman"/>
                <w:b/>
                <w:color w:val="FFFFFF" w:themeColor="background1"/>
                <w:sz w:val="20"/>
                <w:szCs w:val="20"/>
              </w:rPr>
              <w:t>Entities to be Audited</w:t>
            </w:r>
          </w:p>
        </w:tc>
      </w:tr>
      <w:tr w:rsidR="00F76E53" w:rsidRPr="00592828" w14:paraId="6EDAE113" w14:textId="77777777" w:rsidTr="00592828">
        <w:trPr>
          <w:tblCellSpacing w:w="57" w:type="dxa"/>
          <w:jc w:val="center"/>
        </w:trPr>
        <w:tc>
          <w:tcPr>
            <w:tcW w:w="2889" w:type="dxa"/>
            <w:shd w:val="clear" w:color="auto" w:fill="E7E6E6" w:themeFill="background2"/>
            <w:vAlign w:val="center"/>
          </w:tcPr>
          <w:p w14:paraId="4829312B" w14:textId="77777777" w:rsidR="00F76E53" w:rsidRPr="00592828" w:rsidRDefault="00F76E53" w:rsidP="002263C4">
            <w:pPr>
              <w:spacing w:after="0"/>
              <w:jc w:val="left"/>
              <w:rPr>
                <w:sz w:val="20"/>
                <w:szCs w:val="20"/>
              </w:rPr>
            </w:pPr>
            <w:r w:rsidRPr="00592828">
              <w:rPr>
                <w:b/>
                <w:bCs/>
                <w:sz w:val="20"/>
                <w:szCs w:val="20"/>
              </w:rPr>
              <w:t xml:space="preserve">Group A – </w:t>
            </w:r>
            <w:r w:rsidRPr="00592828">
              <w:rPr>
                <w:sz w:val="20"/>
                <w:szCs w:val="20"/>
              </w:rPr>
              <w:t>This group of auditors can audit the following companies, as well as the companies listed for Group B, C and D:</w:t>
            </w:r>
          </w:p>
        </w:tc>
        <w:tc>
          <w:tcPr>
            <w:tcW w:w="6094" w:type="dxa"/>
            <w:shd w:val="clear" w:color="auto" w:fill="E7E6E6" w:themeFill="background2"/>
            <w:vAlign w:val="center"/>
          </w:tcPr>
          <w:p w14:paraId="6F500AD2" w14:textId="77777777" w:rsidR="00F76E53" w:rsidRPr="00592828" w:rsidRDefault="00F76E53" w:rsidP="00FF7A94">
            <w:pPr>
              <w:pStyle w:val="ListParagraph"/>
              <w:numPr>
                <w:ilvl w:val="2"/>
                <w:numId w:val="26"/>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 xml:space="preserve">Issuer of registered securities which have sold a class of its securities pursuant to a registration under Section 12 of the SRC </w:t>
            </w:r>
            <w:r w:rsidRPr="00592828">
              <w:rPr>
                <w:rFonts w:asciiTheme="minorHAnsi" w:hAnsiTheme="minorHAnsi"/>
                <w:sz w:val="20"/>
                <w:szCs w:val="20"/>
                <w:u w:val="single"/>
              </w:rPr>
              <w:t>except those issuers of registered timeshares, proprietary</w:t>
            </w:r>
            <w:r w:rsidR="009C0010" w:rsidRPr="00592828">
              <w:rPr>
                <w:rFonts w:asciiTheme="minorHAnsi" w:hAnsiTheme="minorHAnsi"/>
                <w:sz w:val="20"/>
                <w:szCs w:val="20"/>
                <w:u w:val="single"/>
              </w:rPr>
              <w:t>,</w:t>
            </w:r>
            <w:r w:rsidRPr="00592828">
              <w:rPr>
                <w:rFonts w:asciiTheme="minorHAnsi" w:hAnsiTheme="minorHAnsi"/>
                <w:sz w:val="20"/>
                <w:szCs w:val="20"/>
                <w:u w:val="single"/>
              </w:rPr>
              <w:t xml:space="preserve"> and non-proprietary membership certificates which are covered in Group B</w:t>
            </w:r>
            <w:r w:rsidRPr="00592828">
              <w:rPr>
                <w:rFonts w:asciiTheme="minorHAnsi" w:hAnsiTheme="minorHAnsi"/>
                <w:sz w:val="20"/>
                <w:szCs w:val="20"/>
              </w:rPr>
              <w:t>;</w:t>
            </w:r>
          </w:p>
          <w:p w14:paraId="6CBC1013" w14:textId="77777777" w:rsidR="00F76E53" w:rsidRPr="00592828" w:rsidRDefault="00F76E53" w:rsidP="00FF7A94">
            <w:pPr>
              <w:pStyle w:val="ListParagraph"/>
              <w:numPr>
                <w:ilvl w:val="2"/>
                <w:numId w:val="26"/>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Issuer with a class of securities listed for trading in an Exchange;</w:t>
            </w:r>
          </w:p>
          <w:p w14:paraId="05C1976D" w14:textId="77777777" w:rsidR="00F76E53" w:rsidRPr="00592828" w:rsidRDefault="00F76E53" w:rsidP="00FF7A94">
            <w:pPr>
              <w:pStyle w:val="ListParagraph"/>
              <w:numPr>
                <w:ilvl w:val="2"/>
                <w:numId w:val="26"/>
              </w:numPr>
              <w:spacing w:before="0" w:beforeAutospacing="0" w:after="0" w:afterAutospacing="0" w:line="276" w:lineRule="auto"/>
              <w:ind w:left="504" w:hanging="504"/>
              <w:jc w:val="left"/>
              <w:rPr>
                <w:sz w:val="20"/>
                <w:szCs w:val="20"/>
              </w:rPr>
            </w:pPr>
            <w:r w:rsidRPr="00592828">
              <w:rPr>
                <w:rFonts w:asciiTheme="minorHAnsi" w:hAnsiTheme="minorHAnsi"/>
                <w:sz w:val="20"/>
                <w:szCs w:val="20"/>
              </w:rPr>
              <w:t xml:space="preserve">Public companies or those with total assets of at least </w:t>
            </w:r>
            <w:r w:rsidR="00E51E06" w:rsidRPr="00592828">
              <w:rPr>
                <w:rFonts w:asciiTheme="minorHAnsi" w:hAnsiTheme="minorHAnsi"/>
                <w:sz w:val="20"/>
                <w:szCs w:val="20"/>
              </w:rPr>
              <w:t xml:space="preserve">50 </w:t>
            </w:r>
            <w:r w:rsidR="0073249F" w:rsidRPr="00592828">
              <w:rPr>
                <w:rFonts w:asciiTheme="minorHAnsi" w:hAnsiTheme="minorHAnsi"/>
                <w:sz w:val="20"/>
                <w:szCs w:val="20"/>
              </w:rPr>
              <w:t>million pesos</w:t>
            </w:r>
            <w:r w:rsidRPr="00592828">
              <w:rPr>
                <w:rFonts w:asciiTheme="minorHAnsi" w:hAnsiTheme="minorHAnsi"/>
                <w:sz w:val="20"/>
                <w:szCs w:val="20"/>
              </w:rPr>
              <w:t xml:space="preserve"> having 200 or more stockholders each owning 100 shares of a class of its equity securities.</w:t>
            </w:r>
          </w:p>
        </w:tc>
      </w:tr>
      <w:tr w:rsidR="00F76E53" w:rsidRPr="00592828" w14:paraId="23744D91" w14:textId="77777777" w:rsidTr="00592828">
        <w:trPr>
          <w:tblCellSpacing w:w="57" w:type="dxa"/>
          <w:jc w:val="center"/>
        </w:trPr>
        <w:tc>
          <w:tcPr>
            <w:tcW w:w="2889" w:type="dxa"/>
            <w:shd w:val="clear" w:color="auto" w:fill="E7E6E6" w:themeFill="background2"/>
            <w:vAlign w:val="center"/>
          </w:tcPr>
          <w:p w14:paraId="5DF983BF" w14:textId="77777777" w:rsidR="00F76E53" w:rsidRPr="00592828" w:rsidRDefault="00F76E53" w:rsidP="002263C4">
            <w:pPr>
              <w:spacing w:after="0"/>
              <w:jc w:val="left"/>
              <w:rPr>
                <w:sz w:val="20"/>
                <w:szCs w:val="20"/>
              </w:rPr>
            </w:pPr>
            <w:r w:rsidRPr="00592828">
              <w:rPr>
                <w:b/>
                <w:bCs/>
                <w:sz w:val="20"/>
                <w:szCs w:val="20"/>
              </w:rPr>
              <w:t xml:space="preserve">Group B </w:t>
            </w:r>
            <w:r w:rsidRPr="00592828">
              <w:rPr>
                <w:sz w:val="20"/>
                <w:szCs w:val="20"/>
              </w:rPr>
              <w:t>– This group of auditors can audit the following companies, as well as the companies listed for Group C and D</w:t>
            </w:r>
          </w:p>
        </w:tc>
        <w:tc>
          <w:tcPr>
            <w:tcW w:w="6094" w:type="dxa"/>
            <w:shd w:val="clear" w:color="auto" w:fill="E7E6E6" w:themeFill="background2"/>
            <w:vAlign w:val="center"/>
          </w:tcPr>
          <w:p w14:paraId="48401B51"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Issuers of registered timeshares, proprietary</w:t>
            </w:r>
            <w:r w:rsidR="00DF1755" w:rsidRPr="00592828">
              <w:rPr>
                <w:rFonts w:asciiTheme="minorHAnsi" w:hAnsiTheme="minorHAnsi"/>
                <w:sz w:val="20"/>
                <w:szCs w:val="20"/>
              </w:rPr>
              <w:t>,</w:t>
            </w:r>
            <w:r w:rsidRPr="00592828">
              <w:rPr>
                <w:rFonts w:asciiTheme="minorHAnsi" w:hAnsiTheme="minorHAnsi"/>
                <w:sz w:val="20"/>
                <w:szCs w:val="20"/>
              </w:rPr>
              <w:t xml:space="preserve"> and non-proprietary membership certificates;</w:t>
            </w:r>
          </w:p>
          <w:p w14:paraId="5E64BF9A"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Investment Houses</w:t>
            </w:r>
            <w:r w:rsidR="00DF1755" w:rsidRPr="00592828">
              <w:rPr>
                <w:rFonts w:asciiTheme="minorHAnsi" w:hAnsiTheme="minorHAnsi"/>
                <w:sz w:val="20"/>
                <w:szCs w:val="20"/>
              </w:rPr>
              <w:t>;</w:t>
            </w:r>
          </w:p>
          <w:p w14:paraId="5A17543B"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Brokers and Dealers in Securities</w:t>
            </w:r>
            <w:r w:rsidR="00DF1755" w:rsidRPr="00592828">
              <w:rPr>
                <w:rFonts w:asciiTheme="minorHAnsi" w:hAnsiTheme="minorHAnsi"/>
                <w:sz w:val="20"/>
                <w:szCs w:val="20"/>
              </w:rPr>
              <w:t>;</w:t>
            </w:r>
          </w:p>
          <w:p w14:paraId="4C073ABE"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Investment Companies</w:t>
            </w:r>
            <w:r w:rsidR="00DF1755" w:rsidRPr="00592828">
              <w:rPr>
                <w:rFonts w:asciiTheme="minorHAnsi" w:hAnsiTheme="minorHAnsi"/>
                <w:sz w:val="20"/>
                <w:szCs w:val="20"/>
              </w:rPr>
              <w:t>;</w:t>
            </w:r>
          </w:p>
          <w:p w14:paraId="4C6566A9"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Government Securities Eligible Dealers</w:t>
            </w:r>
            <w:r w:rsidR="00DF1755" w:rsidRPr="00592828">
              <w:rPr>
                <w:rFonts w:asciiTheme="minorHAnsi" w:hAnsiTheme="minorHAnsi"/>
                <w:sz w:val="20"/>
                <w:szCs w:val="20"/>
              </w:rPr>
              <w:t>;</w:t>
            </w:r>
          </w:p>
          <w:p w14:paraId="692040DA"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Universal Banks Registered as Underwriter of Securities</w:t>
            </w:r>
            <w:r w:rsidR="00DF1755" w:rsidRPr="00592828">
              <w:rPr>
                <w:rFonts w:asciiTheme="minorHAnsi" w:hAnsiTheme="minorHAnsi"/>
                <w:sz w:val="20"/>
                <w:szCs w:val="20"/>
              </w:rPr>
              <w:t>;</w:t>
            </w:r>
          </w:p>
          <w:p w14:paraId="1564D4C6"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Investment Company Advisers</w:t>
            </w:r>
            <w:r w:rsidR="00DF1755" w:rsidRPr="00592828">
              <w:rPr>
                <w:rFonts w:asciiTheme="minorHAnsi" w:hAnsiTheme="minorHAnsi"/>
                <w:sz w:val="20"/>
                <w:szCs w:val="20"/>
              </w:rPr>
              <w:t>;</w:t>
            </w:r>
          </w:p>
          <w:p w14:paraId="584360C8"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 xml:space="preserve">Clearing Agency and Clearing Agency as </w:t>
            </w:r>
            <w:r w:rsidR="00BC7757" w:rsidRPr="00592828">
              <w:rPr>
                <w:rFonts w:asciiTheme="minorHAnsi" w:hAnsiTheme="minorHAnsi"/>
                <w:sz w:val="20"/>
                <w:szCs w:val="20"/>
              </w:rPr>
              <w:t>Depository</w:t>
            </w:r>
            <w:r w:rsidR="00DF1755" w:rsidRPr="00592828">
              <w:rPr>
                <w:rFonts w:asciiTheme="minorHAnsi" w:hAnsiTheme="minorHAnsi"/>
                <w:sz w:val="20"/>
                <w:szCs w:val="20"/>
              </w:rPr>
              <w:t>;</w:t>
            </w:r>
          </w:p>
          <w:p w14:paraId="2BE4C2FB"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Stocks and Securities Exchange/s</w:t>
            </w:r>
            <w:r w:rsidR="00DF1755" w:rsidRPr="00592828">
              <w:rPr>
                <w:rFonts w:asciiTheme="minorHAnsi" w:hAnsiTheme="minorHAnsi"/>
                <w:sz w:val="20"/>
                <w:szCs w:val="20"/>
              </w:rPr>
              <w:t>;</w:t>
            </w:r>
          </w:p>
          <w:p w14:paraId="0218E75C"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 xml:space="preserve">Special Purpose Vehicles </w:t>
            </w:r>
            <w:r w:rsidR="00BC7757" w:rsidRPr="00592828">
              <w:rPr>
                <w:rFonts w:asciiTheme="minorHAnsi" w:hAnsiTheme="minorHAnsi"/>
                <w:sz w:val="20"/>
                <w:szCs w:val="20"/>
              </w:rPr>
              <w:t xml:space="preserve">registered under the Special Purpose Vehicle Act </w:t>
            </w:r>
            <w:proofErr w:type="spellStart"/>
            <w:r w:rsidR="00BC7757" w:rsidRPr="00592828">
              <w:rPr>
                <w:rFonts w:asciiTheme="minorHAnsi" w:hAnsiTheme="minorHAnsi"/>
                <w:sz w:val="20"/>
                <w:szCs w:val="20"/>
              </w:rPr>
              <w:t>if</w:t>
            </w:r>
            <w:proofErr w:type="spellEnd"/>
            <w:r w:rsidR="00BC7757" w:rsidRPr="00592828">
              <w:rPr>
                <w:rFonts w:asciiTheme="minorHAnsi" w:hAnsiTheme="minorHAnsi"/>
                <w:sz w:val="20"/>
                <w:szCs w:val="20"/>
              </w:rPr>
              <w:t xml:space="preserve"> 2002 </w:t>
            </w:r>
            <w:r w:rsidRPr="00592828">
              <w:rPr>
                <w:rFonts w:asciiTheme="minorHAnsi" w:hAnsiTheme="minorHAnsi"/>
                <w:sz w:val="20"/>
                <w:szCs w:val="20"/>
              </w:rPr>
              <w:t xml:space="preserve">and its implementing rules; </w:t>
            </w:r>
          </w:p>
          <w:p w14:paraId="1070758A"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Special Purpose Corporations registered under the Securitization Act of 2004 and its implementing rules; and</w:t>
            </w:r>
          </w:p>
          <w:p w14:paraId="4559DCB1" w14:textId="77777777" w:rsidR="00F76E53" w:rsidRPr="00592828" w:rsidRDefault="00F76E53" w:rsidP="00FF7A94">
            <w:pPr>
              <w:pStyle w:val="ListParagraph"/>
              <w:numPr>
                <w:ilvl w:val="0"/>
                <w:numId w:val="27"/>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Such other corporations which may be required by law to be supervised by the Commission.</w:t>
            </w:r>
          </w:p>
        </w:tc>
      </w:tr>
      <w:tr w:rsidR="00F76E53" w:rsidRPr="00592828" w14:paraId="5BFFD98E" w14:textId="77777777" w:rsidTr="00592828">
        <w:trPr>
          <w:tblCellSpacing w:w="57" w:type="dxa"/>
          <w:jc w:val="center"/>
        </w:trPr>
        <w:tc>
          <w:tcPr>
            <w:tcW w:w="2889" w:type="dxa"/>
            <w:shd w:val="clear" w:color="auto" w:fill="E7E6E6" w:themeFill="background2"/>
            <w:vAlign w:val="center"/>
          </w:tcPr>
          <w:p w14:paraId="3FD0704B" w14:textId="77777777" w:rsidR="00F76E53" w:rsidRPr="00592828" w:rsidRDefault="00F76E53" w:rsidP="002263C4">
            <w:pPr>
              <w:spacing w:after="0"/>
              <w:jc w:val="left"/>
              <w:rPr>
                <w:sz w:val="20"/>
                <w:szCs w:val="20"/>
              </w:rPr>
            </w:pPr>
            <w:r w:rsidRPr="00592828">
              <w:rPr>
                <w:b/>
                <w:bCs/>
                <w:sz w:val="20"/>
                <w:szCs w:val="20"/>
              </w:rPr>
              <w:t>Group C –</w:t>
            </w:r>
            <w:r w:rsidRPr="00592828">
              <w:rPr>
                <w:bCs/>
                <w:sz w:val="20"/>
                <w:szCs w:val="20"/>
              </w:rPr>
              <w:t xml:space="preserve"> </w:t>
            </w:r>
            <w:r w:rsidRPr="00592828">
              <w:rPr>
                <w:sz w:val="20"/>
                <w:szCs w:val="20"/>
              </w:rPr>
              <w:t>This group of auditors can audit the following companies, as well as the companies listed for Group D</w:t>
            </w:r>
          </w:p>
        </w:tc>
        <w:tc>
          <w:tcPr>
            <w:tcW w:w="6094" w:type="dxa"/>
            <w:shd w:val="clear" w:color="auto" w:fill="E7E6E6" w:themeFill="background2"/>
            <w:vAlign w:val="center"/>
          </w:tcPr>
          <w:p w14:paraId="3A70C510" w14:textId="77777777" w:rsidR="00F76E53" w:rsidRPr="00592828" w:rsidRDefault="00F76E53" w:rsidP="00FF7A94">
            <w:pPr>
              <w:pStyle w:val="ListParagraph"/>
              <w:numPr>
                <w:ilvl w:val="0"/>
                <w:numId w:val="28"/>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Financing Companies</w:t>
            </w:r>
            <w:r w:rsidR="00C4503B" w:rsidRPr="00592828">
              <w:rPr>
                <w:rFonts w:asciiTheme="minorHAnsi" w:hAnsiTheme="minorHAnsi"/>
                <w:sz w:val="20"/>
                <w:szCs w:val="20"/>
              </w:rPr>
              <w:t>;</w:t>
            </w:r>
            <w:r w:rsidRPr="00592828">
              <w:rPr>
                <w:rFonts w:asciiTheme="minorHAnsi" w:hAnsiTheme="minorHAnsi"/>
                <w:sz w:val="20"/>
                <w:szCs w:val="20"/>
              </w:rPr>
              <w:t xml:space="preserve"> </w:t>
            </w:r>
          </w:p>
          <w:p w14:paraId="1344CC29" w14:textId="77777777" w:rsidR="00F76E53" w:rsidRPr="00592828" w:rsidRDefault="00F76E53" w:rsidP="00FF7A94">
            <w:pPr>
              <w:pStyle w:val="ListParagraph"/>
              <w:numPr>
                <w:ilvl w:val="0"/>
                <w:numId w:val="28"/>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Lending Companies</w:t>
            </w:r>
            <w:r w:rsidR="00C4503B" w:rsidRPr="00592828">
              <w:rPr>
                <w:rFonts w:asciiTheme="minorHAnsi" w:hAnsiTheme="minorHAnsi"/>
                <w:sz w:val="20"/>
                <w:szCs w:val="20"/>
              </w:rPr>
              <w:t>;</w:t>
            </w:r>
          </w:p>
          <w:p w14:paraId="5158F019" w14:textId="77777777" w:rsidR="00F76E53" w:rsidRPr="00592828" w:rsidRDefault="00F76E53" w:rsidP="00FF7A94">
            <w:pPr>
              <w:pStyle w:val="ListParagraph"/>
              <w:numPr>
                <w:ilvl w:val="0"/>
                <w:numId w:val="28"/>
              </w:numPr>
              <w:spacing w:before="0" w:beforeAutospacing="0" w:afterAutospacing="0" w:line="276" w:lineRule="auto"/>
              <w:ind w:left="504" w:hanging="504"/>
              <w:jc w:val="left"/>
              <w:rPr>
                <w:rFonts w:asciiTheme="minorHAnsi" w:hAnsiTheme="minorHAnsi"/>
                <w:sz w:val="20"/>
                <w:szCs w:val="20"/>
              </w:rPr>
            </w:pPr>
            <w:r w:rsidRPr="00592828">
              <w:rPr>
                <w:rFonts w:asciiTheme="minorHAnsi" w:hAnsiTheme="minorHAnsi"/>
                <w:sz w:val="20"/>
                <w:szCs w:val="20"/>
              </w:rPr>
              <w:t>Transfer Agents</w:t>
            </w:r>
            <w:r w:rsidR="00C4503B" w:rsidRPr="00592828">
              <w:rPr>
                <w:rFonts w:asciiTheme="minorHAnsi" w:hAnsiTheme="minorHAnsi"/>
                <w:sz w:val="20"/>
                <w:szCs w:val="20"/>
              </w:rPr>
              <w:t>.</w:t>
            </w:r>
          </w:p>
        </w:tc>
      </w:tr>
      <w:tr w:rsidR="00F76E53" w:rsidRPr="00592828" w14:paraId="7DD61539" w14:textId="77777777" w:rsidTr="00592828">
        <w:trPr>
          <w:trHeight w:val="85"/>
          <w:tblCellSpacing w:w="57" w:type="dxa"/>
          <w:jc w:val="center"/>
        </w:trPr>
        <w:tc>
          <w:tcPr>
            <w:tcW w:w="2889" w:type="dxa"/>
            <w:shd w:val="clear" w:color="auto" w:fill="E7E6E6" w:themeFill="background2"/>
            <w:vAlign w:val="center"/>
          </w:tcPr>
          <w:p w14:paraId="0149FAB3" w14:textId="77777777" w:rsidR="00F76E53" w:rsidRPr="00592828" w:rsidRDefault="00F76E53" w:rsidP="002263C4">
            <w:pPr>
              <w:spacing w:after="0"/>
              <w:jc w:val="left"/>
              <w:rPr>
                <w:sz w:val="20"/>
                <w:szCs w:val="20"/>
              </w:rPr>
            </w:pPr>
            <w:r w:rsidRPr="00592828">
              <w:rPr>
                <w:b/>
                <w:bCs/>
                <w:sz w:val="20"/>
                <w:szCs w:val="20"/>
              </w:rPr>
              <w:t>Group D</w:t>
            </w:r>
          </w:p>
        </w:tc>
        <w:tc>
          <w:tcPr>
            <w:tcW w:w="6094" w:type="dxa"/>
            <w:shd w:val="clear" w:color="auto" w:fill="E7E6E6" w:themeFill="background2"/>
            <w:vAlign w:val="center"/>
          </w:tcPr>
          <w:p w14:paraId="0E235DE7" w14:textId="77777777" w:rsidR="00F76E53" w:rsidRPr="00592828" w:rsidRDefault="00F76E53" w:rsidP="002263C4">
            <w:pPr>
              <w:spacing w:after="0"/>
              <w:jc w:val="left"/>
              <w:rPr>
                <w:sz w:val="20"/>
                <w:szCs w:val="20"/>
              </w:rPr>
            </w:pPr>
            <w:r w:rsidRPr="00592828">
              <w:rPr>
                <w:sz w:val="20"/>
                <w:szCs w:val="20"/>
              </w:rPr>
              <w:t>This group of auditors can audit registered corporations which are mandated by other regulatory agencies to have an external auditor accredited by the Commission, provided however that the Commission has been consulted on such requirement by said agency</w:t>
            </w:r>
          </w:p>
        </w:tc>
      </w:tr>
    </w:tbl>
    <w:p w14:paraId="18F91ACA" w14:textId="684B3F15" w:rsidR="00F76E53" w:rsidRPr="008F1E62" w:rsidRDefault="00F76E53" w:rsidP="00BE4B6C">
      <w:pPr>
        <w:pStyle w:val="Heading2"/>
      </w:pPr>
      <w:bookmarkStart w:id="68" w:name="_Toc484289027"/>
      <w:bookmarkStart w:id="69" w:name="_Toc484289250"/>
      <w:bookmarkStart w:id="70" w:name="_Toc499825595"/>
      <w:r w:rsidRPr="008F1E62">
        <w:t xml:space="preserve">Bank </w:t>
      </w:r>
      <w:r w:rsidR="0097160E">
        <w:t>A</w:t>
      </w:r>
      <w:r w:rsidR="0097160E" w:rsidRPr="008F1E62">
        <w:t xml:space="preserve">udit </w:t>
      </w:r>
      <w:bookmarkEnd w:id="68"/>
      <w:bookmarkEnd w:id="69"/>
      <w:r w:rsidR="0097160E">
        <w:t>R</w:t>
      </w:r>
      <w:r w:rsidR="0097160E" w:rsidRPr="008F1E62">
        <w:t>equirements</w:t>
      </w:r>
      <w:bookmarkEnd w:id="70"/>
    </w:p>
    <w:p w14:paraId="278588FB" w14:textId="77777777" w:rsidR="00F76E53" w:rsidRPr="008F1E62" w:rsidRDefault="00F76E53" w:rsidP="00F76E53">
      <w:pPr>
        <w:spacing w:after="0"/>
        <w:rPr>
          <w:rFonts w:cstheme="minorHAnsi"/>
          <w:bCs/>
          <w:iCs/>
          <w:szCs w:val="24"/>
        </w:rPr>
      </w:pPr>
      <w:r w:rsidRPr="008F1E62">
        <w:rPr>
          <w:rFonts w:cstheme="minorHAnsi"/>
          <w:szCs w:val="24"/>
        </w:rPr>
        <w:t>The BSP</w:t>
      </w:r>
      <w:r w:rsidR="004A05E2">
        <w:rPr>
          <w:rFonts w:cstheme="minorHAnsi"/>
          <w:szCs w:val="24"/>
        </w:rPr>
        <w:t>,</w:t>
      </w:r>
      <w:r w:rsidRPr="008F1E62">
        <w:rPr>
          <w:rFonts w:cstheme="minorHAnsi"/>
          <w:szCs w:val="24"/>
        </w:rPr>
        <w:t xml:space="preserve"> as the banking supervis</w:t>
      </w:r>
      <w:r w:rsidR="00C4503B">
        <w:rPr>
          <w:rFonts w:cstheme="minorHAnsi"/>
          <w:szCs w:val="24"/>
        </w:rPr>
        <w:t>or</w:t>
      </w:r>
      <w:r w:rsidRPr="008F1E62">
        <w:rPr>
          <w:rFonts w:cstheme="minorHAnsi"/>
          <w:szCs w:val="24"/>
        </w:rPr>
        <w:t xml:space="preserve">, requires </w:t>
      </w:r>
      <w:r w:rsidRPr="008F1E62">
        <w:rPr>
          <w:rFonts w:cstheme="minorHAnsi"/>
          <w:bCs/>
          <w:iCs/>
          <w:szCs w:val="24"/>
        </w:rPr>
        <w:t xml:space="preserve">banks including </w:t>
      </w:r>
      <w:r w:rsidR="004A05E2">
        <w:rPr>
          <w:rFonts w:cstheme="minorHAnsi"/>
          <w:bCs/>
          <w:iCs/>
          <w:szCs w:val="24"/>
        </w:rPr>
        <w:t>their</w:t>
      </w:r>
      <w:r w:rsidR="004A05E2" w:rsidRPr="008F1E62">
        <w:rPr>
          <w:rFonts w:cstheme="minorHAnsi"/>
          <w:bCs/>
          <w:iCs/>
          <w:szCs w:val="24"/>
        </w:rPr>
        <w:t xml:space="preserve"> </w:t>
      </w:r>
      <w:r w:rsidRPr="008F1E62">
        <w:rPr>
          <w:rFonts w:cstheme="minorHAnsi"/>
          <w:bCs/>
          <w:iCs/>
          <w:szCs w:val="24"/>
        </w:rPr>
        <w:t>subsidiaries and affiliates, quasi-banks, trust entities</w:t>
      </w:r>
      <w:r w:rsidR="004A05E2">
        <w:rPr>
          <w:rFonts w:cstheme="minorHAnsi"/>
          <w:bCs/>
          <w:iCs/>
          <w:szCs w:val="24"/>
        </w:rPr>
        <w:t>,</w:t>
      </w:r>
      <w:r w:rsidRPr="008F1E62">
        <w:rPr>
          <w:rFonts w:cstheme="minorHAnsi"/>
          <w:bCs/>
          <w:iCs/>
          <w:szCs w:val="24"/>
        </w:rPr>
        <w:t xml:space="preserve"> and other financial institutions to have their financial statements audited by external auditors duly accredited by the BSP and </w:t>
      </w:r>
      <w:r w:rsidRPr="008F1E62">
        <w:rPr>
          <w:rFonts w:cstheme="minorHAnsi"/>
          <w:szCs w:val="24"/>
        </w:rPr>
        <w:t>issued a guiding principle on the BSP’s expectation for an effective external audit function</w:t>
      </w:r>
      <w:r w:rsidRPr="008F1E62">
        <w:rPr>
          <w:rFonts w:cstheme="minorHAnsi"/>
          <w:bCs/>
          <w:iCs/>
          <w:szCs w:val="24"/>
        </w:rPr>
        <w:t>. Accreditation by the BSP are categorized below:</w:t>
      </w:r>
    </w:p>
    <w:p w14:paraId="0E3027A8" w14:textId="5C2253A7" w:rsidR="00F76E53" w:rsidRPr="008F1E62" w:rsidRDefault="00F76E53" w:rsidP="008A2BE0">
      <w:pPr>
        <w:pStyle w:val="Caption"/>
        <w:spacing w:before="0" w:after="0" w:line="276" w:lineRule="auto"/>
        <w:jc w:val="center"/>
        <w:rPr>
          <w:sz w:val="24"/>
          <w:szCs w:val="24"/>
          <w:lang w:val="en-US"/>
        </w:rPr>
      </w:pPr>
    </w:p>
    <w:tbl>
      <w:tblPr>
        <w:tblStyle w:val="TableGrid"/>
        <w:tblW w:w="9265" w:type="dxa"/>
        <w:jc w:val="center"/>
        <w:tblCellSpacing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3042"/>
        <w:gridCol w:w="6223"/>
      </w:tblGrid>
      <w:tr w:rsidR="00592828" w:rsidRPr="00592828" w14:paraId="6CE1F410" w14:textId="77777777" w:rsidTr="00592828">
        <w:trPr>
          <w:tblHeader/>
          <w:tblCellSpacing w:w="57" w:type="dxa"/>
          <w:jc w:val="center"/>
        </w:trPr>
        <w:tc>
          <w:tcPr>
            <w:tcW w:w="9037" w:type="dxa"/>
            <w:gridSpan w:val="2"/>
            <w:shd w:val="clear" w:color="auto" w:fill="auto"/>
          </w:tcPr>
          <w:p w14:paraId="6193599E" w14:textId="06823F69" w:rsidR="00592828" w:rsidRPr="00592828" w:rsidRDefault="00592828" w:rsidP="00DD5BB1">
            <w:pPr>
              <w:spacing w:after="0"/>
              <w:jc w:val="center"/>
              <w:rPr>
                <w:rFonts w:eastAsia="Times New Roman" w:cs="Times New Roman"/>
                <w:b/>
                <w:color w:val="FFFFFF" w:themeColor="background1"/>
                <w:sz w:val="20"/>
                <w:szCs w:val="24"/>
              </w:rPr>
            </w:pPr>
            <w:r w:rsidRPr="00592828">
              <w:rPr>
                <w:b/>
                <w:sz w:val="20"/>
                <w:szCs w:val="24"/>
              </w:rPr>
              <w:t xml:space="preserve">Table </w:t>
            </w:r>
            <w:r w:rsidRPr="00592828">
              <w:rPr>
                <w:b/>
                <w:sz w:val="20"/>
                <w:szCs w:val="24"/>
              </w:rPr>
              <w:fldChar w:fldCharType="begin"/>
            </w:r>
            <w:r w:rsidRPr="00592828">
              <w:rPr>
                <w:b/>
                <w:sz w:val="20"/>
                <w:szCs w:val="24"/>
              </w:rPr>
              <w:instrText xml:space="preserve"> SEQ Table \* ARABIC </w:instrText>
            </w:r>
            <w:r w:rsidRPr="00592828">
              <w:rPr>
                <w:b/>
                <w:sz w:val="20"/>
                <w:szCs w:val="24"/>
              </w:rPr>
              <w:fldChar w:fldCharType="separate"/>
            </w:r>
            <w:r w:rsidR="004310EC">
              <w:rPr>
                <w:b/>
                <w:noProof/>
                <w:sz w:val="20"/>
                <w:szCs w:val="24"/>
              </w:rPr>
              <w:t>18</w:t>
            </w:r>
            <w:r w:rsidRPr="00592828">
              <w:rPr>
                <w:b/>
                <w:sz w:val="20"/>
                <w:szCs w:val="24"/>
              </w:rPr>
              <w:fldChar w:fldCharType="end"/>
            </w:r>
            <w:r w:rsidRPr="00592828">
              <w:rPr>
                <w:b/>
                <w:sz w:val="20"/>
                <w:szCs w:val="24"/>
              </w:rPr>
              <w:t>. Summary of Auditor Category for Banks</w:t>
            </w:r>
          </w:p>
        </w:tc>
      </w:tr>
      <w:tr w:rsidR="00F76E53" w:rsidRPr="00592828" w14:paraId="1C768311" w14:textId="77777777" w:rsidTr="00592828">
        <w:trPr>
          <w:tblHeader/>
          <w:tblCellSpacing w:w="57" w:type="dxa"/>
          <w:jc w:val="center"/>
        </w:trPr>
        <w:tc>
          <w:tcPr>
            <w:tcW w:w="2871" w:type="dxa"/>
            <w:shd w:val="clear" w:color="auto" w:fill="4472C4"/>
          </w:tcPr>
          <w:p w14:paraId="686E2368" w14:textId="77777777" w:rsidR="00F76E53" w:rsidRPr="00592828" w:rsidRDefault="00F76E53" w:rsidP="00DD5BB1">
            <w:pPr>
              <w:spacing w:after="0"/>
              <w:jc w:val="center"/>
              <w:rPr>
                <w:rFonts w:eastAsia="Times New Roman" w:cs="Times New Roman"/>
                <w:b/>
                <w:color w:val="FFFFFF" w:themeColor="background1"/>
                <w:sz w:val="20"/>
                <w:szCs w:val="24"/>
              </w:rPr>
            </w:pPr>
            <w:r w:rsidRPr="00592828">
              <w:rPr>
                <w:rFonts w:eastAsia="Times New Roman" w:cs="Times New Roman"/>
                <w:b/>
                <w:color w:val="FFFFFF" w:themeColor="background1"/>
                <w:sz w:val="20"/>
                <w:szCs w:val="24"/>
              </w:rPr>
              <w:t>Category</w:t>
            </w:r>
          </w:p>
        </w:tc>
        <w:tc>
          <w:tcPr>
            <w:tcW w:w="6052" w:type="dxa"/>
            <w:shd w:val="clear" w:color="auto" w:fill="4472C4"/>
          </w:tcPr>
          <w:p w14:paraId="645142A4" w14:textId="77777777" w:rsidR="00F76E53" w:rsidRPr="00592828" w:rsidRDefault="00F76E53" w:rsidP="00DD5BB1">
            <w:pPr>
              <w:spacing w:after="0"/>
              <w:jc w:val="center"/>
              <w:rPr>
                <w:rFonts w:eastAsia="Times New Roman" w:cs="Times New Roman"/>
                <w:b/>
                <w:color w:val="FFFFFF" w:themeColor="background1"/>
                <w:sz w:val="20"/>
                <w:szCs w:val="24"/>
              </w:rPr>
            </w:pPr>
            <w:r w:rsidRPr="00592828">
              <w:rPr>
                <w:rFonts w:eastAsia="Times New Roman" w:cs="Times New Roman"/>
                <w:b/>
                <w:color w:val="FFFFFF" w:themeColor="background1"/>
                <w:sz w:val="20"/>
                <w:szCs w:val="24"/>
              </w:rPr>
              <w:t>Entities to be Audited</w:t>
            </w:r>
          </w:p>
        </w:tc>
      </w:tr>
      <w:tr w:rsidR="00F76E53" w:rsidRPr="00592828" w14:paraId="7C0CB789" w14:textId="77777777" w:rsidTr="00592828">
        <w:trPr>
          <w:tblCellSpacing w:w="57" w:type="dxa"/>
          <w:jc w:val="center"/>
        </w:trPr>
        <w:tc>
          <w:tcPr>
            <w:tcW w:w="2871" w:type="dxa"/>
            <w:shd w:val="clear" w:color="auto" w:fill="E7E6E6" w:themeFill="background2"/>
            <w:vAlign w:val="center"/>
          </w:tcPr>
          <w:p w14:paraId="098EF5D3" w14:textId="77777777" w:rsidR="00F76E53" w:rsidRPr="00592828" w:rsidRDefault="00F76E53" w:rsidP="008A2BE0">
            <w:pPr>
              <w:spacing w:after="0"/>
              <w:jc w:val="left"/>
              <w:rPr>
                <w:sz w:val="20"/>
                <w:szCs w:val="24"/>
              </w:rPr>
            </w:pPr>
            <w:r w:rsidRPr="00592828">
              <w:rPr>
                <w:b/>
                <w:bCs/>
                <w:sz w:val="20"/>
                <w:szCs w:val="24"/>
              </w:rPr>
              <w:t xml:space="preserve">Category A – </w:t>
            </w:r>
            <w:r w:rsidRPr="00592828">
              <w:rPr>
                <w:sz w:val="20"/>
                <w:szCs w:val="24"/>
              </w:rPr>
              <w:t>This group of auditors can audit the following institutions, as well as the institutions listed for Category B and C:</w:t>
            </w:r>
          </w:p>
        </w:tc>
        <w:tc>
          <w:tcPr>
            <w:tcW w:w="6052" w:type="dxa"/>
            <w:shd w:val="clear" w:color="auto" w:fill="E7E6E6" w:themeFill="background2"/>
          </w:tcPr>
          <w:p w14:paraId="4C79608A" w14:textId="77777777" w:rsidR="00F76E53" w:rsidRPr="00592828" w:rsidRDefault="00F76E53" w:rsidP="00FF7A94">
            <w:pPr>
              <w:pStyle w:val="ListParagraph"/>
              <w:numPr>
                <w:ilvl w:val="0"/>
                <w:numId w:val="23"/>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Universal banks and commercial banks</w:t>
            </w:r>
            <w:r w:rsidR="004A05E2" w:rsidRPr="00592828">
              <w:rPr>
                <w:rFonts w:asciiTheme="minorHAnsi" w:hAnsiTheme="minorHAnsi"/>
                <w:sz w:val="20"/>
                <w:szCs w:val="24"/>
              </w:rPr>
              <w:t>;</w:t>
            </w:r>
          </w:p>
          <w:p w14:paraId="67797382" w14:textId="77777777" w:rsidR="00F76E53" w:rsidRPr="00592828" w:rsidRDefault="00F76E53" w:rsidP="00FF7A94">
            <w:pPr>
              <w:pStyle w:val="ListParagraph"/>
              <w:numPr>
                <w:ilvl w:val="0"/>
                <w:numId w:val="23"/>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Foreign banks and branches or subsidiaries of foreign banks, regardless of unimpaired capital; and</w:t>
            </w:r>
          </w:p>
          <w:p w14:paraId="39513937" w14:textId="77777777" w:rsidR="00F76E53" w:rsidRPr="00592828" w:rsidRDefault="00F76E53" w:rsidP="00FF7A94">
            <w:pPr>
              <w:pStyle w:val="ListParagraph"/>
              <w:numPr>
                <w:ilvl w:val="0"/>
                <w:numId w:val="23"/>
              </w:numPr>
              <w:spacing w:before="0" w:beforeAutospacing="0" w:after="0" w:afterAutospacing="0" w:line="276" w:lineRule="auto"/>
              <w:ind w:left="360"/>
              <w:jc w:val="left"/>
              <w:rPr>
                <w:sz w:val="20"/>
                <w:szCs w:val="24"/>
              </w:rPr>
            </w:pPr>
            <w:r w:rsidRPr="00592828">
              <w:rPr>
                <w:rFonts w:asciiTheme="minorHAnsi" w:hAnsiTheme="minorHAnsi"/>
                <w:sz w:val="20"/>
                <w:szCs w:val="24"/>
              </w:rPr>
              <w:t>Banks, trust department of qualified banks and other trust entities with additional derivatives authority pursuant to Circular no.594</w:t>
            </w:r>
            <w:r w:rsidR="00303EC6" w:rsidRPr="00592828">
              <w:rPr>
                <w:rFonts w:asciiTheme="minorHAnsi" w:hAnsiTheme="minorHAnsi"/>
                <w:sz w:val="20"/>
                <w:szCs w:val="24"/>
              </w:rPr>
              <w:t>.</w:t>
            </w:r>
          </w:p>
        </w:tc>
      </w:tr>
      <w:tr w:rsidR="00F76E53" w:rsidRPr="00592828" w14:paraId="509A7849" w14:textId="77777777" w:rsidTr="00592828">
        <w:trPr>
          <w:tblCellSpacing w:w="57" w:type="dxa"/>
          <w:jc w:val="center"/>
        </w:trPr>
        <w:tc>
          <w:tcPr>
            <w:tcW w:w="2871" w:type="dxa"/>
            <w:shd w:val="clear" w:color="auto" w:fill="E7E6E6" w:themeFill="background2"/>
            <w:vAlign w:val="center"/>
          </w:tcPr>
          <w:p w14:paraId="0EEA0AB1" w14:textId="77777777" w:rsidR="00F76E53" w:rsidRPr="00592828" w:rsidRDefault="00F76E53" w:rsidP="008A2BE0">
            <w:pPr>
              <w:spacing w:after="0"/>
              <w:jc w:val="left"/>
              <w:rPr>
                <w:sz w:val="20"/>
                <w:szCs w:val="24"/>
              </w:rPr>
            </w:pPr>
            <w:r w:rsidRPr="00592828">
              <w:rPr>
                <w:b/>
                <w:bCs/>
                <w:sz w:val="20"/>
                <w:szCs w:val="24"/>
              </w:rPr>
              <w:t xml:space="preserve">Category B </w:t>
            </w:r>
            <w:r w:rsidRPr="00592828">
              <w:rPr>
                <w:sz w:val="20"/>
                <w:szCs w:val="24"/>
              </w:rPr>
              <w:t xml:space="preserve">– This group of auditors can audit the following institutions, as well as the institutions listed for </w:t>
            </w:r>
            <w:r w:rsidRPr="00592828">
              <w:rPr>
                <w:bCs/>
                <w:sz w:val="20"/>
                <w:szCs w:val="24"/>
              </w:rPr>
              <w:t>Category</w:t>
            </w:r>
            <w:r w:rsidRPr="00592828">
              <w:rPr>
                <w:sz w:val="20"/>
                <w:szCs w:val="24"/>
              </w:rPr>
              <w:t xml:space="preserve"> C</w:t>
            </w:r>
          </w:p>
        </w:tc>
        <w:tc>
          <w:tcPr>
            <w:tcW w:w="6052" w:type="dxa"/>
            <w:shd w:val="clear" w:color="auto" w:fill="E7E6E6" w:themeFill="background2"/>
          </w:tcPr>
          <w:p w14:paraId="43A8EEF5" w14:textId="77777777" w:rsidR="00F76E53" w:rsidRPr="00592828" w:rsidRDefault="00F76E53" w:rsidP="00FF7A94">
            <w:pPr>
              <w:pStyle w:val="ListParagraph"/>
              <w:numPr>
                <w:ilvl w:val="0"/>
                <w:numId w:val="25"/>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Thrift banks</w:t>
            </w:r>
            <w:r w:rsidR="00303EC6" w:rsidRPr="00592828">
              <w:rPr>
                <w:rFonts w:asciiTheme="minorHAnsi" w:hAnsiTheme="minorHAnsi"/>
                <w:sz w:val="20"/>
                <w:szCs w:val="24"/>
              </w:rPr>
              <w:t>;</w:t>
            </w:r>
          </w:p>
          <w:p w14:paraId="42E411DC" w14:textId="77777777" w:rsidR="00F76E53" w:rsidRPr="00592828" w:rsidRDefault="00F76E53" w:rsidP="00FF7A94">
            <w:pPr>
              <w:pStyle w:val="ListParagraph"/>
              <w:numPr>
                <w:ilvl w:val="0"/>
                <w:numId w:val="25"/>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Quasi-banks</w:t>
            </w:r>
            <w:r w:rsidR="00303EC6" w:rsidRPr="00592828">
              <w:rPr>
                <w:rFonts w:asciiTheme="minorHAnsi" w:hAnsiTheme="minorHAnsi"/>
                <w:sz w:val="20"/>
                <w:szCs w:val="24"/>
              </w:rPr>
              <w:t>;</w:t>
            </w:r>
          </w:p>
          <w:p w14:paraId="428DEB21" w14:textId="77777777" w:rsidR="00F76E53" w:rsidRPr="00592828" w:rsidRDefault="00F76E53" w:rsidP="00FF7A94">
            <w:pPr>
              <w:pStyle w:val="ListParagraph"/>
              <w:numPr>
                <w:ilvl w:val="0"/>
                <w:numId w:val="25"/>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Trust department of qualified banks and other trust entities</w:t>
            </w:r>
            <w:r w:rsidR="00303EC6" w:rsidRPr="00592828">
              <w:rPr>
                <w:rFonts w:asciiTheme="minorHAnsi" w:hAnsiTheme="minorHAnsi"/>
                <w:sz w:val="20"/>
                <w:szCs w:val="24"/>
              </w:rPr>
              <w:t>;</w:t>
            </w:r>
          </w:p>
          <w:p w14:paraId="59823265" w14:textId="77777777" w:rsidR="00F76E53" w:rsidRPr="00592828" w:rsidRDefault="00F76E53" w:rsidP="00FF7A94">
            <w:pPr>
              <w:pStyle w:val="ListParagraph"/>
              <w:numPr>
                <w:ilvl w:val="0"/>
                <w:numId w:val="25"/>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National Cooperative banks; and</w:t>
            </w:r>
          </w:p>
          <w:p w14:paraId="72D42B9F" w14:textId="77777777" w:rsidR="00F76E53" w:rsidRPr="00592828" w:rsidRDefault="00F76E53" w:rsidP="00FF7A94">
            <w:pPr>
              <w:pStyle w:val="ListParagraph"/>
              <w:numPr>
                <w:ilvl w:val="0"/>
                <w:numId w:val="25"/>
              </w:numPr>
              <w:spacing w:before="0" w:beforeAutospacing="0" w:after="0" w:afterAutospacing="0" w:line="276" w:lineRule="auto"/>
              <w:ind w:left="360"/>
              <w:jc w:val="left"/>
              <w:rPr>
                <w:sz w:val="20"/>
                <w:szCs w:val="24"/>
              </w:rPr>
            </w:pPr>
            <w:r w:rsidRPr="00592828">
              <w:rPr>
                <w:rFonts w:asciiTheme="minorHAnsi" w:hAnsiTheme="minorHAnsi"/>
                <w:sz w:val="20"/>
                <w:szCs w:val="24"/>
              </w:rPr>
              <w:t>Non-bank financial institutions with quasi-banking functions</w:t>
            </w:r>
            <w:r w:rsidR="00303EC6" w:rsidRPr="00592828">
              <w:rPr>
                <w:rFonts w:asciiTheme="minorHAnsi" w:hAnsiTheme="minorHAnsi"/>
                <w:sz w:val="20"/>
                <w:szCs w:val="24"/>
              </w:rPr>
              <w:t>.</w:t>
            </w:r>
          </w:p>
        </w:tc>
      </w:tr>
      <w:tr w:rsidR="00F76E53" w:rsidRPr="00592828" w14:paraId="4A31C338" w14:textId="77777777" w:rsidTr="00592828">
        <w:trPr>
          <w:tblCellSpacing w:w="57" w:type="dxa"/>
          <w:jc w:val="center"/>
        </w:trPr>
        <w:tc>
          <w:tcPr>
            <w:tcW w:w="2871" w:type="dxa"/>
            <w:shd w:val="clear" w:color="auto" w:fill="E7E6E6" w:themeFill="background2"/>
            <w:vAlign w:val="center"/>
          </w:tcPr>
          <w:p w14:paraId="5105565F" w14:textId="77777777" w:rsidR="00F76E53" w:rsidRPr="00592828" w:rsidRDefault="00F76E53" w:rsidP="008A2BE0">
            <w:pPr>
              <w:spacing w:after="0"/>
              <w:jc w:val="left"/>
              <w:rPr>
                <w:sz w:val="20"/>
                <w:szCs w:val="24"/>
              </w:rPr>
            </w:pPr>
            <w:r w:rsidRPr="00592828">
              <w:rPr>
                <w:b/>
                <w:bCs/>
                <w:sz w:val="20"/>
                <w:szCs w:val="24"/>
              </w:rPr>
              <w:t>Category C –</w:t>
            </w:r>
            <w:r w:rsidRPr="00592828">
              <w:rPr>
                <w:bCs/>
                <w:sz w:val="20"/>
                <w:szCs w:val="24"/>
              </w:rPr>
              <w:t xml:space="preserve"> </w:t>
            </w:r>
            <w:r w:rsidRPr="00592828">
              <w:rPr>
                <w:sz w:val="20"/>
                <w:szCs w:val="24"/>
              </w:rPr>
              <w:t>This group of auditors can audit the following institutions</w:t>
            </w:r>
          </w:p>
        </w:tc>
        <w:tc>
          <w:tcPr>
            <w:tcW w:w="6052" w:type="dxa"/>
            <w:shd w:val="clear" w:color="auto" w:fill="E7E6E6" w:themeFill="background2"/>
          </w:tcPr>
          <w:p w14:paraId="54CF49C9" w14:textId="77777777" w:rsidR="00F76E53" w:rsidRPr="00592828" w:rsidRDefault="00F76E53" w:rsidP="00FF7A94">
            <w:pPr>
              <w:pStyle w:val="ListParagraph"/>
              <w:numPr>
                <w:ilvl w:val="0"/>
                <w:numId w:val="24"/>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Rural banks</w:t>
            </w:r>
            <w:r w:rsidR="00303EC6" w:rsidRPr="00592828">
              <w:rPr>
                <w:rFonts w:asciiTheme="minorHAnsi" w:hAnsiTheme="minorHAnsi"/>
                <w:sz w:val="20"/>
                <w:szCs w:val="24"/>
              </w:rPr>
              <w:t>;</w:t>
            </w:r>
          </w:p>
          <w:p w14:paraId="2F4E849A" w14:textId="77777777" w:rsidR="00F76E53" w:rsidRPr="00592828" w:rsidRDefault="00F76E53" w:rsidP="00FF7A94">
            <w:pPr>
              <w:pStyle w:val="ListParagraph"/>
              <w:numPr>
                <w:ilvl w:val="0"/>
                <w:numId w:val="24"/>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Non-stock savings &amp; loan associations</w:t>
            </w:r>
            <w:r w:rsidR="00303EC6" w:rsidRPr="00592828">
              <w:rPr>
                <w:rFonts w:asciiTheme="minorHAnsi" w:hAnsiTheme="minorHAnsi"/>
                <w:sz w:val="20"/>
                <w:szCs w:val="24"/>
              </w:rPr>
              <w:t>;</w:t>
            </w:r>
          </w:p>
          <w:p w14:paraId="7241E6F4" w14:textId="77777777" w:rsidR="00F76E53" w:rsidRPr="00592828" w:rsidRDefault="00F76E53" w:rsidP="00FF7A94">
            <w:pPr>
              <w:pStyle w:val="ListParagraph"/>
              <w:numPr>
                <w:ilvl w:val="0"/>
                <w:numId w:val="24"/>
              </w:numPr>
              <w:spacing w:before="0" w:beforeAutospacing="0" w:afterAutospacing="0" w:line="276" w:lineRule="auto"/>
              <w:ind w:left="360"/>
              <w:jc w:val="left"/>
              <w:rPr>
                <w:rFonts w:asciiTheme="minorHAnsi" w:hAnsiTheme="minorHAnsi"/>
                <w:sz w:val="20"/>
                <w:szCs w:val="24"/>
              </w:rPr>
            </w:pPr>
            <w:r w:rsidRPr="00592828">
              <w:rPr>
                <w:rFonts w:asciiTheme="minorHAnsi" w:hAnsiTheme="minorHAnsi"/>
                <w:sz w:val="20"/>
                <w:szCs w:val="24"/>
              </w:rPr>
              <w:t>Local Cooperative banks</w:t>
            </w:r>
            <w:r w:rsidR="00303EC6" w:rsidRPr="00592828">
              <w:rPr>
                <w:rFonts w:asciiTheme="minorHAnsi" w:hAnsiTheme="minorHAnsi"/>
                <w:sz w:val="20"/>
                <w:szCs w:val="24"/>
              </w:rPr>
              <w:t>;</w:t>
            </w:r>
            <w:r w:rsidRPr="00592828">
              <w:rPr>
                <w:rFonts w:asciiTheme="minorHAnsi" w:hAnsiTheme="minorHAnsi"/>
                <w:sz w:val="20"/>
                <w:szCs w:val="24"/>
              </w:rPr>
              <w:t xml:space="preserve"> and </w:t>
            </w:r>
          </w:p>
          <w:p w14:paraId="654604C4" w14:textId="77777777" w:rsidR="00F76E53" w:rsidRPr="00592828" w:rsidRDefault="00F76E53" w:rsidP="00FF7A94">
            <w:pPr>
              <w:pStyle w:val="ListParagraph"/>
              <w:numPr>
                <w:ilvl w:val="0"/>
                <w:numId w:val="24"/>
              </w:numPr>
              <w:spacing w:before="0" w:beforeAutospacing="0" w:after="0" w:afterAutospacing="0" w:line="276" w:lineRule="auto"/>
              <w:ind w:left="360"/>
              <w:jc w:val="left"/>
              <w:rPr>
                <w:sz w:val="20"/>
                <w:szCs w:val="24"/>
              </w:rPr>
            </w:pPr>
            <w:r w:rsidRPr="00592828">
              <w:rPr>
                <w:rFonts w:asciiTheme="minorHAnsi" w:hAnsiTheme="minorHAnsi"/>
                <w:sz w:val="20"/>
                <w:szCs w:val="24"/>
              </w:rPr>
              <w:t>Pawnshops</w:t>
            </w:r>
            <w:r w:rsidR="00303EC6" w:rsidRPr="00592828">
              <w:rPr>
                <w:rFonts w:asciiTheme="minorHAnsi" w:hAnsiTheme="minorHAnsi"/>
                <w:sz w:val="20"/>
                <w:szCs w:val="24"/>
              </w:rPr>
              <w:t>.</w:t>
            </w:r>
          </w:p>
        </w:tc>
      </w:tr>
    </w:tbl>
    <w:p w14:paraId="721B2A62" w14:textId="443446AD" w:rsidR="00F76E53" w:rsidRPr="008F1E62" w:rsidRDefault="00F76E53" w:rsidP="00BE4B6C">
      <w:pPr>
        <w:pStyle w:val="Heading2"/>
      </w:pPr>
      <w:bookmarkStart w:id="71" w:name="_Toc484289028"/>
      <w:bookmarkStart w:id="72" w:name="_Toc484289251"/>
      <w:bookmarkStart w:id="73" w:name="_Toc499825596"/>
      <w:r w:rsidRPr="008F1E62">
        <w:t xml:space="preserve">Insurance </w:t>
      </w:r>
      <w:r w:rsidR="0097160E">
        <w:t>A</w:t>
      </w:r>
      <w:r w:rsidR="0097160E" w:rsidRPr="008F1E62">
        <w:t xml:space="preserve">udit </w:t>
      </w:r>
      <w:bookmarkEnd w:id="71"/>
      <w:bookmarkEnd w:id="72"/>
      <w:r w:rsidR="0097160E">
        <w:t>R</w:t>
      </w:r>
      <w:r w:rsidR="0097160E" w:rsidRPr="008F1E62">
        <w:t>equirements</w:t>
      </w:r>
      <w:bookmarkEnd w:id="73"/>
    </w:p>
    <w:p w14:paraId="1735F926" w14:textId="77777777" w:rsidR="00F76E53" w:rsidRPr="008F1E62" w:rsidRDefault="00F76E53" w:rsidP="00F76E53">
      <w:pPr>
        <w:spacing w:after="0"/>
        <w:rPr>
          <w:rFonts w:cstheme="minorHAnsi"/>
          <w:szCs w:val="24"/>
        </w:rPr>
      </w:pPr>
      <w:r w:rsidRPr="008F1E62">
        <w:rPr>
          <w:rFonts w:cstheme="minorHAnsi"/>
          <w:szCs w:val="24"/>
        </w:rPr>
        <w:t xml:space="preserve">The </w:t>
      </w:r>
      <w:r w:rsidR="00750084">
        <w:rPr>
          <w:rFonts w:cstheme="minorHAnsi"/>
          <w:szCs w:val="24"/>
        </w:rPr>
        <w:t>IC</w:t>
      </w:r>
      <w:r w:rsidRPr="008F1E62">
        <w:rPr>
          <w:rFonts w:cstheme="minorHAnsi"/>
          <w:szCs w:val="24"/>
        </w:rPr>
        <w:t xml:space="preserve"> circular requires insurance companies and other regulated institutions to appoint an auditor accredited by the </w:t>
      </w:r>
      <w:r w:rsidR="00750084">
        <w:rPr>
          <w:rFonts w:cstheme="minorHAnsi"/>
          <w:szCs w:val="24"/>
        </w:rPr>
        <w:t>IC</w:t>
      </w:r>
      <w:r w:rsidRPr="008F1E62">
        <w:rPr>
          <w:rFonts w:cstheme="minorHAnsi"/>
          <w:szCs w:val="24"/>
        </w:rPr>
        <w:t xml:space="preserve"> </w:t>
      </w:r>
      <w:proofErr w:type="gramStart"/>
      <w:r w:rsidRPr="008F1E62">
        <w:rPr>
          <w:rFonts w:cstheme="minorHAnsi"/>
          <w:szCs w:val="24"/>
        </w:rPr>
        <w:t>and also</w:t>
      </w:r>
      <w:proofErr w:type="gramEnd"/>
      <w:r w:rsidRPr="008F1E62">
        <w:rPr>
          <w:rFonts w:cstheme="minorHAnsi"/>
          <w:szCs w:val="24"/>
        </w:rPr>
        <w:t xml:space="preserve"> provides an expectation of an effective audit. </w:t>
      </w:r>
    </w:p>
    <w:p w14:paraId="0CA3F0EA" w14:textId="77777777" w:rsidR="00F76E53" w:rsidRPr="008F1E62" w:rsidRDefault="00F76E53" w:rsidP="00F76E53">
      <w:pPr>
        <w:pStyle w:val="ListParagraph"/>
        <w:numPr>
          <w:ilvl w:val="0"/>
          <w:numId w:val="0"/>
        </w:numPr>
        <w:autoSpaceDE w:val="0"/>
        <w:autoSpaceDN w:val="0"/>
        <w:adjustRightInd w:val="0"/>
        <w:spacing w:before="0" w:beforeAutospacing="0" w:after="0" w:afterAutospacing="0" w:line="276" w:lineRule="auto"/>
        <w:rPr>
          <w:rFonts w:asciiTheme="minorHAnsi" w:hAnsiTheme="minorHAnsi"/>
          <w:b/>
          <w:szCs w:val="24"/>
        </w:rPr>
      </w:pPr>
    </w:p>
    <w:p w14:paraId="085DE6C7" w14:textId="77777777" w:rsidR="00F76E53" w:rsidRPr="008F1E62" w:rsidRDefault="00F76E53" w:rsidP="00F76E53">
      <w:pPr>
        <w:rPr>
          <w:rFonts w:eastAsia="Times New Roman" w:cs="Times New Roman"/>
          <w:b/>
          <w:bCs/>
          <w:caps/>
          <w:sz w:val="28"/>
          <w:szCs w:val="28"/>
        </w:rPr>
      </w:pPr>
      <w:r w:rsidRPr="008F1E62">
        <w:br w:type="page"/>
      </w:r>
    </w:p>
    <w:p w14:paraId="156B0263" w14:textId="2488318B" w:rsidR="00F76E53" w:rsidRPr="008F1E62" w:rsidRDefault="00F76E53" w:rsidP="00F76E53">
      <w:pPr>
        <w:pStyle w:val="Heading1"/>
        <w:spacing w:after="60" w:line="276" w:lineRule="auto"/>
        <w:jc w:val="center"/>
        <w:rPr>
          <w:rFonts w:ascii="Century Gothic" w:eastAsia="MS Gothic" w:hAnsi="Century Gothic" w:cstheme="minorBidi"/>
          <w:color w:val="00AB51"/>
          <w:kern w:val="32"/>
          <w:sz w:val="32"/>
          <w:szCs w:val="32"/>
          <w:lang w:val="en-US"/>
        </w:rPr>
      </w:pPr>
      <w:bookmarkStart w:id="74" w:name="_Toc499825597"/>
      <w:r w:rsidRPr="008F1E62">
        <w:rPr>
          <w:rFonts w:ascii="Century Gothic" w:eastAsia="MS Gothic" w:hAnsi="Century Gothic" w:cstheme="minorBidi"/>
          <w:caps w:val="0"/>
          <w:color w:val="00AB51"/>
          <w:kern w:val="32"/>
          <w:sz w:val="32"/>
          <w:szCs w:val="32"/>
          <w:lang w:val="en-US"/>
        </w:rPr>
        <w:t xml:space="preserve">ANNEX 5: </w:t>
      </w:r>
      <w:r w:rsidR="0097160E">
        <w:rPr>
          <w:rFonts w:ascii="Century Gothic" w:eastAsia="MS Gothic" w:hAnsi="Century Gothic" w:cstheme="minorBidi"/>
          <w:caps w:val="0"/>
          <w:color w:val="00AB51"/>
          <w:kern w:val="32"/>
          <w:sz w:val="32"/>
          <w:szCs w:val="32"/>
          <w:lang w:val="en-US"/>
        </w:rPr>
        <w:t xml:space="preserve">RELATED LAWS FOR </w:t>
      </w:r>
      <w:r w:rsidRPr="008F1E62">
        <w:rPr>
          <w:rFonts w:ascii="Century Gothic" w:eastAsia="MS Gothic" w:hAnsi="Century Gothic" w:cstheme="minorBidi"/>
          <w:color w:val="00AB51"/>
          <w:kern w:val="32"/>
          <w:sz w:val="32"/>
          <w:szCs w:val="32"/>
          <w:lang w:val="en-US"/>
        </w:rPr>
        <w:t>Accreditation of External Auditors</w:t>
      </w:r>
      <w:bookmarkEnd w:id="74"/>
    </w:p>
    <w:p w14:paraId="45475C3E" w14:textId="77777777" w:rsidR="00F76E53" w:rsidRPr="008F1E62" w:rsidRDefault="00F76E53" w:rsidP="00BE4B6C">
      <w:pPr>
        <w:pStyle w:val="Heading2"/>
        <w:spacing w:before="500"/>
      </w:pPr>
      <w:bookmarkStart w:id="75" w:name="_Toc484289030"/>
      <w:bookmarkStart w:id="76" w:name="_Toc484289253"/>
      <w:bookmarkStart w:id="77" w:name="_Toc499825598"/>
      <w:r w:rsidRPr="008F1E62">
        <w:t>Board of Accountancy</w:t>
      </w:r>
      <w:bookmarkEnd w:id="75"/>
      <w:bookmarkEnd w:id="76"/>
      <w:bookmarkEnd w:id="77"/>
      <w:r w:rsidRPr="008F1E62">
        <w:t xml:space="preserve">  </w:t>
      </w:r>
    </w:p>
    <w:p w14:paraId="5DAA8CEA"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Section 9 (a) Article II of RA 9298, also known as the Philippine Accountancy Act of 2004, mandates the BOA to supervise the registration, licensure</w:t>
      </w:r>
      <w:r w:rsidR="00D64077">
        <w:rPr>
          <w:rFonts w:ascii="Calibri" w:hAnsi="Calibri" w:cs="Arial"/>
          <w:szCs w:val="24"/>
        </w:rPr>
        <w:t>,</w:t>
      </w:r>
      <w:r w:rsidRPr="008F1E62">
        <w:rPr>
          <w:rFonts w:ascii="Calibri" w:hAnsi="Calibri" w:cs="Arial"/>
          <w:szCs w:val="24"/>
        </w:rPr>
        <w:t xml:space="preserve"> and the practice of accountancy in the Philippines. </w:t>
      </w:r>
    </w:p>
    <w:p w14:paraId="72ECD767"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Section 31 of RA 9298 provides that individual CPAs</w:t>
      </w:r>
      <w:r w:rsidR="00D32C64">
        <w:rPr>
          <w:rFonts w:ascii="Calibri" w:hAnsi="Calibri" w:cs="Arial"/>
          <w:szCs w:val="24"/>
        </w:rPr>
        <w:t xml:space="preserve"> and</w:t>
      </w:r>
      <w:r w:rsidRPr="008F1E62">
        <w:rPr>
          <w:rFonts w:ascii="Calibri" w:hAnsi="Calibri" w:cs="Arial"/>
          <w:szCs w:val="24"/>
        </w:rPr>
        <w:t xml:space="preserve"> firms and partnerships of CPAs engaged in the practice of public accountancy, including the partners and staff members thereof, should register with the PRC and the BOA. Registration to be renewed every three years.</w:t>
      </w:r>
    </w:p>
    <w:p w14:paraId="031087ED"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BOA Resolution 295-2015 enforces the registration and accreditation requirements for all CPAs in public practice, including the individual partners and CPA staff members in partnerships and firms, under RA 9298 and its Implementing Rules and Regulations.</w:t>
      </w:r>
    </w:p>
    <w:p w14:paraId="2C3B4C2A" w14:textId="77777777" w:rsidR="00F76E53" w:rsidRPr="008F1E62" w:rsidRDefault="00F76E53" w:rsidP="00FF7A94">
      <w:pPr>
        <w:pStyle w:val="ListParagraph"/>
        <w:numPr>
          <w:ilvl w:val="0"/>
          <w:numId w:val="16"/>
        </w:numPr>
        <w:spacing w:before="0" w:beforeAutospacing="0" w:after="200" w:afterAutospacing="0" w:line="276" w:lineRule="auto"/>
        <w:ind w:left="547" w:hanging="547"/>
        <w:rPr>
          <w:rFonts w:ascii="Calibri" w:hAnsi="Calibri" w:cs="Arial"/>
          <w:szCs w:val="24"/>
        </w:rPr>
      </w:pPr>
      <w:r w:rsidRPr="008F1E62">
        <w:rPr>
          <w:rFonts w:ascii="Calibri" w:hAnsi="Calibri" w:cs="Arial"/>
          <w:szCs w:val="24"/>
        </w:rPr>
        <w:t>BOA Resolution 92-2016; prescribes revised application forms, documentary requirements, and new fees for the accreditation of CPAs in public practice, education, and commerce and industry practice.</w:t>
      </w:r>
    </w:p>
    <w:p w14:paraId="79E5C285" w14:textId="77777777" w:rsidR="00F76E53" w:rsidRPr="008F1E62" w:rsidRDefault="00F76E53" w:rsidP="00BE4B6C">
      <w:pPr>
        <w:pStyle w:val="Heading2"/>
        <w:spacing w:before="500"/>
      </w:pPr>
      <w:bookmarkStart w:id="78" w:name="_Toc484289031"/>
      <w:bookmarkStart w:id="79" w:name="_Toc484289254"/>
      <w:bookmarkStart w:id="80" w:name="_Toc499825599"/>
      <w:r w:rsidRPr="008F1E62">
        <w:t>Bureau of Internal Revenue</w:t>
      </w:r>
      <w:bookmarkEnd w:id="78"/>
      <w:bookmarkEnd w:id="79"/>
      <w:bookmarkEnd w:id="80"/>
      <w:r w:rsidRPr="008F1E62">
        <w:t xml:space="preserve"> </w:t>
      </w:r>
    </w:p>
    <w:p w14:paraId="7E64624C" w14:textId="7358E7A2"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 xml:space="preserve">Section 6 (G) of the </w:t>
      </w:r>
      <w:r w:rsidR="00C02000" w:rsidRPr="00C02000">
        <w:rPr>
          <w:rFonts w:ascii="Calibri" w:hAnsi="Calibri" w:cs="Arial"/>
          <w:szCs w:val="24"/>
        </w:rPr>
        <w:t>National Internal Revenue Code</w:t>
      </w:r>
      <w:r w:rsidR="00496B9E" w:rsidRPr="008F1E62">
        <w:rPr>
          <w:rFonts w:ascii="Calibri" w:hAnsi="Calibri" w:cs="Arial"/>
          <w:szCs w:val="24"/>
        </w:rPr>
        <w:t xml:space="preserve"> </w:t>
      </w:r>
      <w:r w:rsidRPr="008F1E62">
        <w:rPr>
          <w:rFonts w:ascii="Calibri" w:hAnsi="Calibri" w:cs="Arial"/>
          <w:szCs w:val="24"/>
        </w:rPr>
        <w:t>of 1997 authorizes the Commissioner of the BIR to accredit and register tax agents with respect to their practice and representation before the BIR.</w:t>
      </w:r>
    </w:p>
    <w:p w14:paraId="6C1BF2B8"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 xml:space="preserve">BIR Revenue Regulation 14-2010 amends the pertinent provisions of </w:t>
      </w:r>
      <w:r w:rsidR="002731D4">
        <w:rPr>
          <w:rFonts w:ascii="Calibri" w:hAnsi="Calibri" w:cs="Arial"/>
          <w:szCs w:val="24"/>
        </w:rPr>
        <w:t>Revenue Regulation</w:t>
      </w:r>
      <w:r w:rsidRPr="008F1E62">
        <w:rPr>
          <w:rFonts w:ascii="Calibri" w:hAnsi="Calibri" w:cs="Arial"/>
          <w:szCs w:val="24"/>
        </w:rPr>
        <w:t>s 11-2006 and 4-2010 on the accreditation of tax practitioners or agents as a prerequisite to their practice and representation before the BIR.</w:t>
      </w:r>
    </w:p>
    <w:p w14:paraId="073B7974" w14:textId="77777777" w:rsidR="00F76E53" w:rsidRPr="008F1E62" w:rsidRDefault="00F76E53" w:rsidP="00FF7A94">
      <w:pPr>
        <w:pStyle w:val="ListParagraph"/>
        <w:numPr>
          <w:ilvl w:val="0"/>
          <w:numId w:val="16"/>
        </w:numPr>
        <w:spacing w:before="0" w:beforeAutospacing="0" w:after="200" w:afterAutospacing="0" w:line="276" w:lineRule="auto"/>
        <w:ind w:left="547" w:hanging="547"/>
        <w:rPr>
          <w:rFonts w:ascii="Calibri" w:hAnsi="Calibri" w:cs="Arial"/>
          <w:szCs w:val="24"/>
        </w:rPr>
      </w:pPr>
      <w:r w:rsidRPr="008F1E62">
        <w:rPr>
          <w:rFonts w:ascii="Calibri" w:hAnsi="Calibri" w:cs="Arial"/>
          <w:szCs w:val="24"/>
        </w:rPr>
        <w:t>The BIR will only consider as valid document or attachments to tax returns, information returns or other statements or reports required by the Code or Regulations, the financial statements prepared, signed and certified by duly accredited tax practitioners.</w:t>
      </w:r>
    </w:p>
    <w:p w14:paraId="0FAF0D51" w14:textId="77777777" w:rsidR="00F76E53" w:rsidRPr="008F1E62" w:rsidRDefault="00F76E53" w:rsidP="00BE4B6C">
      <w:pPr>
        <w:pStyle w:val="Heading2"/>
        <w:spacing w:before="500"/>
      </w:pPr>
      <w:bookmarkStart w:id="81" w:name="_Toc484289032"/>
      <w:bookmarkStart w:id="82" w:name="_Toc484289255"/>
      <w:bookmarkStart w:id="83" w:name="_Toc499825600"/>
      <w:r w:rsidRPr="008F1E62">
        <w:t>Securities and Exchange Commission</w:t>
      </w:r>
      <w:bookmarkEnd w:id="81"/>
      <w:bookmarkEnd w:id="82"/>
      <w:bookmarkEnd w:id="83"/>
      <w:r w:rsidRPr="008F1E62">
        <w:t xml:space="preserve">  </w:t>
      </w:r>
    </w:p>
    <w:p w14:paraId="499E9C6A"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SRC Section 68 provides that the SEC shall have the authority to make, amend, and rescind accounting rules and regulations as may be necessary to carry out provisions of the SRC.</w:t>
      </w:r>
    </w:p>
    <w:p w14:paraId="64E36CFE"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SEC Memorandum Circular 13-2009 adopts the revised guidelines of the SEC on accreditation of auditing firms and external auditors.</w:t>
      </w:r>
    </w:p>
    <w:p w14:paraId="03D927FD" w14:textId="77777777" w:rsidR="00F76E53" w:rsidRPr="008F1E62" w:rsidRDefault="00F76E53" w:rsidP="00FF7A94">
      <w:pPr>
        <w:pStyle w:val="ListParagraph"/>
        <w:numPr>
          <w:ilvl w:val="0"/>
          <w:numId w:val="16"/>
        </w:numPr>
        <w:spacing w:before="0" w:beforeAutospacing="0" w:after="200" w:afterAutospacing="0" w:line="276" w:lineRule="auto"/>
        <w:ind w:left="547" w:hanging="547"/>
        <w:rPr>
          <w:rFonts w:ascii="Calibri" w:hAnsi="Calibri" w:cs="Arial"/>
          <w:szCs w:val="24"/>
        </w:rPr>
      </w:pPr>
      <w:r w:rsidRPr="008F1E62">
        <w:rPr>
          <w:rFonts w:ascii="Calibri" w:hAnsi="Calibri" w:cs="Arial"/>
          <w:szCs w:val="24"/>
        </w:rPr>
        <w:t xml:space="preserve">Part I (3) of SRC Rule 68 details the qualifications and reports of independent auditors, particularly the additional requirements for independent auditors of regulated entities that should be accredited by the SEC. </w:t>
      </w:r>
    </w:p>
    <w:p w14:paraId="3CDFD4F9" w14:textId="2220E6E0" w:rsidR="00F76E53" w:rsidRPr="008F1E62" w:rsidRDefault="00F76E53" w:rsidP="00BE4B6C">
      <w:pPr>
        <w:pStyle w:val="Heading2"/>
        <w:spacing w:before="500"/>
      </w:pPr>
      <w:bookmarkStart w:id="84" w:name="_Toc484289033"/>
      <w:bookmarkStart w:id="85" w:name="_Toc484289256"/>
      <w:bookmarkStart w:id="86" w:name="_Toc499825601"/>
      <w:proofErr w:type="spellStart"/>
      <w:r w:rsidRPr="008F1E62">
        <w:t>Bangko</w:t>
      </w:r>
      <w:proofErr w:type="spellEnd"/>
      <w:r w:rsidRPr="008F1E62">
        <w:t xml:space="preserve"> </w:t>
      </w:r>
      <w:proofErr w:type="spellStart"/>
      <w:r w:rsidRPr="008F1E62">
        <w:t>Sentral</w:t>
      </w:r>
      <w:proofErr w:type="spellEnd"/>
      <w:r w:rsidRPr="008F1E62">
        <w:t xml:space="preserve"> ng </w:t>
      </w:r>
      <w:proofErr w:type="spellStart"/>
      <w:r w:rsidRPr="008F1E62">
        <w:t>Pilipinas</w:t>
      </w:r>
      <w:bookmarkEnd w:id="84"/>
      <w:bookmarkEnd w:id="85"/>
      <w:bookmarkEnd w:id="86"/>
      <w:proofErr w:type="spellEnd"/>
      <w:r w:rsidRPr="008F1E62">
        <w:t xml:space="preserve"> </w:t>
      </w:r>
    </w:p>
    <w:p w14:paraId="71FA39E8"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Section 58 of RA 8791, otherwise known as “The General Banking Law of 2000”, provides that the Monetary Board may require a bank, quasi-bank</w:t>
      </w:r>
      <w:r w:rsidR="002C5989">
        <w:rPr>
          <w:rFonts w:ascii="Calibri" w:hAnsi="Calibri" w:cs="Arial"/>
          <w:szCs w:val="24"/>
        </w:rPr>
        <w:t>,</w:t>
      </w:r>
      <w:r w:rsidRPr="008F1E62">
        <w:rPr>
          <w:rFonts w:ascii="Calibri" w:hAnsi="Calibri" w:cs="Arial"/>
          <w:szCs w:val="24"/>
        </w:rPr>
        <w:t xml:space="preserve"> or trust entity to engage the services of an independent auditor to be chosen by the bank, quasi-bank</w:t>
      </w:r>
      <w:r w:rsidR="002C5989">
        <w:rPr>
          <w:rFonts w:ascii="Calibri" w:hAnsi="Calibri" w:cs="Arial"/>
          <w:szCs w:val="24"/>
        </w:rPr>
        <w:t>,</w:t>
      </w:r>
      <w:r w:rsidRPr="008F1E62">
        <w:rPr>
          <w:rFonts w:ascii="Calibri" w:hAnsi="Calibri" w:cs="Arial"/>
          <w:szCs w:val="24"/>
        </w:rPr>
        <w:t xml:space="preserve"> or trust entity concerned from a list of CPAs acceptable to the Monetary Board.</w:t>
      </w:r>
    </w:p>
    <w:p w14:paraId="278C773D" w14:textId="77777777" w:rsidR="00F76E53" w:rsidRPr="008F1E62" w:rsidRDefault="00F76E53" w:rsidP="00FF7A94">
      <w:pPr>
        <w:pStyle w:val="ListParagraph"/>
        <w:numPr>
          <w:ilvl w:val="0"/>
          <w:numId w:val="16"/>
        </w:numPr>
        <w:spacing w:before="0" w:beforeAutospacing="0" w:after="200" w:afterAutospacing="0" w:line="276" w:lineRule="auto"/>
        <w:ind w:left="547" w:hanging="547"/>
        <w:rPr>
          <w:rFonts w:ascii="Calibri" w:hAnsi="Calibri" w:cs="Arial"/>
          <w:szCs w:val="24"/>
        </w:rPr>
      </w:pPr>
      <w:r w:rsidRPr="008F1E62">
        <w:rPr>
          <w:rFonts w:ascii="Calibri" w:hAnsi="Calibri" w:cs="Arial"/>
          <w:szCs w:val="24"/>
        </w:rPr>
        <w:t xml:space="preserve">BSP Circular 660-2009 details the reforms to the BSP’s policy on the selection and delisting of external auditor and/or auditing firms of covered entities, which under special laws are subject to BSP supervision (supersedes Circulars 410-2003, as amended by Circulars 455-2004 and 529-2006).  </w:t>
      </w:r>
    </w:p>
    <w:p w14:paraId="52C71FAC" w14:textId="77777777" w:rsidR="00F76E53" w:rsidRPr="008F1E62" w:rsidRDefault="00F76E53" w:rsidP="00BE4B6C">
      <w:pPr>
        <w:pStyle w:val="Heading2"/>
        <w:spacing w:before="500"/>
      </w:pPr>
      <w:bookmarkStart w:id="87" w:name="_Toc484289034"/>
      <w:bookmarkStart w:id="88" w:name="_Toc484289257"/>
      <w:bookmarkStart w:id="89" w:name="_Toc499825602"/>
      <w:r w:rsidRPr="008F1E62">
        <w:t>Insurance Commission</w:t>
      </w:r>
      <w:bookmarkEnd w:id="87"/>
      <w:bookmarkEnd w:id="88"/>
      <w:bookmarkEnd w:id="89"/>
      <w:r w:rsidRPr="008F1E62">
        <w:t xml:space="preserve">  </w:t>
      </w:r>
    </w:p>
    <w:p w14:paraId="3C16F262"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Section 347 of RA10607, or the Insurance Code, provides that no external auditor shall be engaged by supervised persons or entities unless it has been issued an accreditation certificate by the Commissioner. The Commissioner issues rules and regulations to govern accreditation of the external auditor and its revocation or suspension.</w:t>
      </w:r>
    </w:p>
    <w:p w14:paraId="575D7ED4" w14:textId="77777777" w:rsidR="00F76E53" w:rsidRPr="008F1E62" w:rsidRDefault="00F76E53" w:rsidP="00FF7A94">
      <w:pPr>
        <w:pStyle w:val="ListParagraph"/>
        <w:numPr>
          <w:ilvl w:val="0"/>
          <w:numId w:val="16"/>
        </w:numPr>
        <w:spacing w:before="0" w:beforeAutospacing="0" w:after="200" w:afterAutospacing="0" w:line="276" w:lineRule="auto"/>
        <w:ind w:left="547" w:hanging="547"/>
        <w:rPr>
          <w:rFonts w:ascii="Calibri" w:hAnsi="Calibri" w:cs="Arial"/>
          <w:szCs w:val="24"/>
        </w:rPr>
      </w:pPr>
      <w:r w:rsidRPr="008F1E62">
        <w:rPr>
          <w:rFonts w:ascii="Calibri" w:hAnsi="Calibri" w:cs="Arial"/>
          <w:szCs w:val="24"/>
        </w:rPr>
        <w:t>IC Circular Letter 29-2009 details the revised guidelines on accreditation of auditing firms and external auditors, which supersedes Circular Letter 18-2008.</w:t>
      </w:r>
    </w:p>
    <w:p w14:paraId="38D77411" w14:textId="77777777" w:rsidR="00F76E53" w:rsidRPr="008F1E62" w:rsidRDefault="00F76E53" w:rsidP="00BE4B6C">
      <w:pPr>
        <w:pStyle w:val="Heading2"/>
        <w:spacing w:before="500"/>
      </w:pPr>
      <w:bookmarkStart w:id="90" w:name="_Toc484289035"/>
      <w:bookmarkStart w:id="91" w:name="_Toc484289258"/>
      <w:bookmarkStart w:id="92" w:name="_Toc499825603"/>
      <w:r w:rsidRPr="008F1E62">
        <w:t>Cooperative Development Authority</w:t>
      </w:r>
      <w:bookmarkEnd w:id="90"/>
      <w:bookmarkEnd w:id="91"/>
      <w:bookmarkEnd w:id="92"/>
      <w:r w:rsidRPr="008F1E62">
        <w:t xml:space="preserve">  </w:t>
      </w:r>
    </w:p>
    <w:p w14:paraId="3C8C7CFA"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 xml:space="preserve">Section 3(f) of RA 6939, an Act creating the CDA, states that the CDA have the power, function and responsibility to require all cooperatives, their federations and unions to submit their annual financial statements, duly audited by the CPAs, and general information sheets.    </w:t>
      </w:r>
    </w:p>
    <w:p w14:paraId="74A363A0" w14:textId="77777777" w:rsidR="00F76E53" w:rsidRPr="008F1E62" w:rsidRDefault="00F76E53" w:rsidP="00FF7A94">
      <w:pPr>
        <w:pStyle w:val="ListParagraph"/>
        <w:numPr>
          <w:ilvl w:val="0"/>
          <w:numId w:val="16"/>
        </w:numPr>
        <w:spacing w:before="0" w:beforeAutospacing="0" w:afterAutospacing="0" w:line="276" w:lineRule="auto"/>
        <w:ind w:left="547" w:hanging="547"/>
        <w:rPr>
          <w:rFonts w:ascii="Calibri" w:hAnsi="Calibri" w:cs="Arial"/>
          <w:szCs w:val="24"/>
        </w:rPr>
      </w:pPr>
      <w:r w:rsidRPr="008F1E62">
        <w:rPr>
          <w:rFonts w:ascii="Calibri" w:hAnsi="Calibri" w:cs="Arial"/>
          <w:szCs w:val="24"/>
        </w:rPr>
        <w:t>Article 80 of RA 9520, also known as the Philippine Cooperative Code of 2008, requires cooperatives registered under the Code to be subjected to annual financial audit, which should be conducted by an external auditor who satisfies prescribed qualifications.</w:t>
      </w:r>
    </w:p>
    <w:p w14:paraId="3B31E50A" w14:textId="77777777" w:rsidR="00F76E53" w:rsidRPr="008F1E62" w:rsidRDefault="00F76E53" w:rsidP="00FF7A94">
      <w:pPr>
        <w:pStyle w:val="ListParagraph"/>
        <w:numPr>
          <w:ilvl w:val="0"/>
          <w:numId w:val="16"/>
        </w:numPr>
        <w:spacing w:before="0" w:beforeAutospacing="0" w:after="200" w:afterAutospacing="0" w:line="276" w:lineRule="auto"/>
        <w:ind w:left="547" w:hanging="547"/>
        <w:rPr>
          <w:rFonts w:ascii="Calibri" w:hAnsi="Calibri" w:cs="Arial"/>
          <w:szCs w:val="24"/>
        </w:rPr>
      </w:pPr>
      <w:r w:rsidRPr="008F1E62">
        <w:rPr>
          <w:rFonts w:ascii="Calibri" w:hAnsi="Calibri" w:cs="Arial"/>
          <w:szCs w:val="24"/>
        </w:rPr>
        <w:t>CDA Memorandum Circular 2009-03 provides for the guidelines for the accreditation of cooperative external auditors.</w:t>
      </w:r>
    </w:p>
    <w:p w14:paraId="774C2C53" w14:textId="77777777" w:rsidR="005E2A62" w:rsidRDefault="005E2A62" w:rsidP="00F76E53">
      <w:pPr>
        <w:pStyle w:val="Heading1"/>
        <w:spacing w:after="60" w:line="276" w:lineRule="auto"/>
        <w:jc w:val="center"/>
        <w:rPr>
          <w:rFonts w:ascii="Century Gothic" w:eastAsia="MS Gothic" w:hAnsi="Century Gothic" w:cstheme="minorBidi"/>
          <w:caps w:val="0"/>
          <w:color w:val="00AB51"/>
          <w:kern w:val="32"/>
          <w:sz w:val="32"/>
          <w:szCs w:val="32"/>
          <w:lang w:val="en-US"/>
        </w:rPr>
        <w:sectPr w:rsidR="005E2A62" w:rsidSect="0002662F">
          <w:footerReference w:type="default" r:id="rId33"/>
          <w:type w:val="nextColumn"/>
          <w:pgSz w:w="11906" w:h="16838" w:code="9"/>
          <w:pgMar w:top="1440" w:right="1440" w:bottom="1440" w:left="1440" w:header="720" w:footer="720" w:gutter="0"/>
          <w:cols w:space="720"/>
          <w:docGrid w:linePitch="360"/>
        </w:sectPr>
      </w:pPr>
    </w:p>
    <w:p w14:paraId="042C8A7A" w14:textId="219BE71B" w:rsidR="00F76E53" w:rsidRDefault="00F76E53" w:rsidP="00F20FFF">
      <w:pPr>
        <w:pStyle w:val="Heading1"/>
        <w:spacing w:after="700" w:line="276" w:lineRule="auto"/>
        <w:jc w:val="center"/>
        <w:rPr>
          <w:rFonts w:ascii="Century Gothic" w:eastAsia="MS Gothic" w:hAnsi="Century Gothic" w:cstheme="minorBidi"/>
          <w:color w:val="00AB51"/>
          <w:kern w:val="32"/>
          <w:sz w:val="32"/>
          <w:szCs w:val="32"/>
          <w:lang w:val="en-US"/>
        </w:rPr>
      </w:pPr>
      <w:bookmarkStart w:id="93" w:name="_Toc499825604"/>
      <w:r w:rsidRPr="008F1E62">
        <w:rPr>
          <w:rFonts w:ascii="Century Gothic" w:eastAsia="MS Gothic" w:hAnsi="Century Gothic" w:cstheme="minorBidi"/>
          <w:caps w:val="0"/>
          <w:color w:val="00AB51"/>
          <w:kern w:val="32"/>
          <w:sz w:val="32"/>
          <w:szCs w:val="32"/>
          <w:lang w:val="en-US"/>
        </w:rPr>
        <w:t xml:space="preserve">ANNEX 6: </w:t>
      </w:r>
      <w:r w:rsidRPr="008F1E62">
        <w:rPr>
          <w:rFonts w:ascii="Century Gothic" w:eastAsia="MS Gothic" w:hAnsi="Century Gothic" w:cstheme="minorBidi"/>
          <w:color w:val="00AB51"/>
          <w:kern w:val="32"/>
          <w:sz w:val="32"/>
          <w:szCs w:val="32"/>
          <w:lang w:val="en-US"/>
        </w:rPr>
        <w:t>Auditor Accreditation Requirements of Various Agencies</w:t>
      </w:r>
      <w:bookmarkEnd w:id="93"/>
    </w:p>
    <w:tbl>
      <w:tblPr>
        <w:tblStyle w:val="TableGrid"/>
        <w:tblW w:w="13860" w:type="dxa"/>
        <w:jc w:val="center"/>
        <w:tblBorders>
          <w:top w:val="single" w:sz="4" w:space="0" w:color="8C8D90"/>
          <w:left w:val="none" w:sz="0" w:space="0" w:color="auto"/>
          <w:bottom w:val="single" w:sz="4" w:space="0" w:color="8C8D90"/>
          <w:right w:val="none" w:sz="0" w:space="0" w:color="auto"/>
          <w:insideH w:val="single" w:sz="4" w:space="0" w:color="8C8D90"/>
          <w:insideV w:val="single" w:sz="4" w:space="0" w:color="8C8D90"/>
        </w:tblBorders>
        <w:tblCellMar>
          <w:top w:w="43" w:type="dxa"/>
          <w:left w:w="115" w:type="dxa"/>
          <w:bottom w:w="43" w:type="dxa"/>
          <w:right w:w="115" w:type="dxa"/>
        </w:tblCellMar>
        <w:tblLook w:val="04A0" w:firstRow="1" w:lastRow="0" w:firstColumn="1" w:lastColumn="0" w:noHBand="0" w:noVBand="1"/>
      </w:tblPr>
      <w:tblGrid>
        <w:gridCol w:w="1607"/>
        <w:gridCol w:w="2282"/>
        <w:gridCol w:w="3085"/>
        <w:gridCol w:w="2791"/>
        <w:gridCol w:w="1429"/>
        <w:gridCol w:w="982"/>
        <w:gridCol w:w="1684"/>
      </w:tblGrid>
      <w:tr w:rsidR="00D71126" w:rsidRPr="009245C8" w14:paraId="1DC7A013" w14:textId="77777777" w:rsidTr="009245C8">
        <w:trPr>
          <w:cantSplit/>
          <w:tblHeader/>
          <w:jc w:val="center"/>
        </w:trPr>
        <w:tc>
          <w:tcPr>
            <w:tcW w:w="1350" w:type="dxa"/>
            <w:tcBorders>
              <w:top w:val="nil"/>
              <w:bottom w:val="nil"/>
              <w:right w:val="single" w:sz="4" w:space="0" w:color="FFFFFF" w:themeColor="background1"/>
            </w:tcBorders>
            <w:shd w:val="clear" w:color="auto" w:fill="4472C4"/>
            <w:tcMar>
              <w:top w:w="29" w:type="dxa"/>
              <w:bottom w:w="29" w:type="dxa"/>
            </w:tcMar>
            <w:vAlign w:val="center"/>
          </w:tcPr>
          <w:p w14:paraId="06EDB331" w14:textId="4A23E886" w:rsidR="003311A7" w:rsidRPr="009245C8" w:rsidRDefault="003311A7" w:rsidP="003311A7">
            <w:pPr>
              <w:spacing w:after="0"/>
              <w:jc w:val="center"/>
              <w:rPr>
                <w:sz w:val="20"/>
                <w:szCs w:val="20"/>
              </w:rPr>
            </w:pPr>
            <w:r w:rsidRPr="009245C8">
              <w:rPr>
                <w:rFonts w:eastAsia="Times New Roman" w:cs="Times New Roman"/>
                <w:b/>
                <w:color w:val="FFFFFF" w:themeColor="background1"/>
                <w:sz w:val="20"/>
                <w:szCs w:val="20"/>
              </w:rPr>
              <w:t>Covered Entities</w:t>
            </w:r>
          </w:p>
        </w:tc>
        <w:tc>
          <w:tcPr>
            <w:tcW w:w="2340" w:type="dxa"/>
            <w:tcBorders>
              <w:top w:val="nil"/>
              <w:left w:val="single" w:sz="4" w:space="0" w:color="FFFFFF" w:themeColor="background1"/>
              <w:bottom w:val="nil"/>
              <w:right w:val="single" w:sz="4" w:space="0" w:color="FFFFFF" w:themeColor="background1"/>
            </w:tcBorders>
            <w:shd w:val="clear" w:color="auto" w:fill="4472C4"/>
            <w:tcMar>
              <w:top w:w="29" w:type="dxa"/>
              <w:bottom w:w="29" w:type="dxa"/>
            </w:tcMar>
            <w:vAlign w:val="center"/>
          </w:tcPr>
          <w:p w14:paraId="68002143" w14:textId="38E42A12" w:rsidR="003311A7" w:rsidRPr="009245C8" w:rsidRDefault="003311A7" w:rsidP="003311A7">
            <w:pPr>
              <w:spacing w:after="0"/>
              <w:jc w:val="center"/>
              <w:rPr>
                <w:sz w:val="20"/>
                <w:szCs w:val="20"/>
              </w:rPr>
            </w:pPr>
            <w:r w:rsidRPr="009245C8">
              <w:rPr>
                <w:rFonts w:eastAsia="Times New Roman" w:cs="Times New Roman"/>
                <w:b/>
                <w:color w:val="FFFFFF" w:themeColor="background1"/>
                <w:sz w:val="20"/>
                <w:szCs w:val="20"/>
              </w:rPr>
              <w:t>Minimum qualifications</w:t>
            </w:r>
          </w:p>
        </w:tc>
        <w:tc>
          <w:tcPr>
            <w:tcW w:w="3150" w:type="dxa"/>
            <w:tcBorders>
              <w:top w:val="nil"/>
              <w:left w:val="single" w:sz="4" w:space="0" w:color="FFFFFF" w:themeColor="background1"/>
              <w:bottom w:val="nil"/>
              <w:right w:val="single" w:sz="4" w:space="0" w:color="FFFFFF" w:themeColor="background1"/>
            </w:tcBorders>
            <w:shd w:val="clear" w:color="auto" w:fill="4472C4"/>
            <w:tcMar>
              <w:top w:w="29" w:type="dxa"/>
              <w:bottom w:w="29" w:type="dxa"/>
            </w:tcMar>
            <w:vAlign w:val="center"/>
          </w:tcPr>
          <w:p w14:paraId="6808E599" w14:textId="2B0D1ACD" w:rsidR="003311A7" w:rsidRPr="009245C8" w:rsidRDefault="003311A7" w:rsidP="003311A7">
            <w:pPr>
              <w:spacing w:after="0"/>
              <w:jc w:val="center"/>
              <w:rPr>
                <w:sz w:val="20"/>
                <w:szCs w:val="20"/>
              </w:rPr>
            </w:pPr>
            <w:r w:rsidRPr="009245C8">
              <w:rPr>
                <w:rFonts w:eastAsia="Times New Roman" w:cs="Times New Roman"/>
                <w:b/>
                <w:color w:val="FFFFFF" w:themeColor="background1"/>
                <w:sz w:val="20"/>
                <w:szCs w:val="20"/>
              </w:rPr>
              <w:t>CPD or training</w:t>
            </w:r>
          </w:p>
        </w:tc>
        <w:tc>
          <w:tcPr>
            <w:tcW w:w="2890" w:type="dxa"/>
            <w:tcBorders>
              <w:top w:val="nil"/>
              <w:left w:val="single" w:sz="4" w:space="0" w:color="FFFFFF" w:themeColor="background1"/>
              <w:bottom w:val="nil"/>
              <w:right w:val="single" w:sz="4" w:space="0" w:color="FFFFFF" w:themeColor="background1"/>
            </w:tcBorders>
            <w:shd w:val="clear" w:color="auto" w:fill="4472C4"/>
            <w:tcMar>
              <w:top w:w="29" w:type="dxa"/>
              <w:bottom w:w="29" w:type="dxa"/>
            </w:tcMar>
            <w:vAlign w:val="center"/>
          </w:tcPr>
          <w:p w14:paraId="385D0BC1" w14:textId="4FC4BDD1" w:rsidR="003311A7" w:rsidRPr="009245C8" w:rsidRDefault="003311A7" w:rsidP="003311A7">
            <w:pPr>
              <w:spacing w:after="0"/>
              <w:jc w:val="center"/>
              <w:rPr>
                <w:sz w:val="20"/>
                <w:szCs w:val="20"/>
              </w:rPr>
            </w:pPr>
            <w:r w:rsidRPr="009245C8">
              <w:rPr>
                <w:rFonts w:eastAsia="Times New Roman" w:cs="Times New Roman"/>
                <w:b/>
                <w:color w:val="FFFFFF" w:themeColor="background1"/>
                <w:sz w:val="20"/>
                <w:szCs w:val="20"/>
              </w:rPr>
              <w:t>Required track record</w:t>
            </w:r>
          </w:p>
        </w:tc>
        <w:tc>
          <w:tcPr>
            <w:tcW w:w="1436" w:type="dxa"/>
            <w:tcBorders>
              <w:top w:val="nil"/>
              <w:left w:val="single" w:sz="4" w:space="0" w:color="FFFFFF" w:themeColor="background1"/>
              <w:bottom w:val="nil"/>
              <w:right w:val="single" w:sz="4" w:space="0" w:color="FFFFFF" w:themeColor="background1"/>
            </w:tcBorders>
            <w:shd w:val="clear" w:color="auto" w:fill="4472C4"/>
            <w:tcMar>
              <w:top w:w="29" w:type="dxa"/>
              <w:bottom w:w="29" w:type="dxa"/>
            </w:tcMar>
            <w:vAlign w:val="center"/>
          </w:tcPr>
          <w:p w14:paraId="6498B78A" w14:textId="06AC484E" w:rsidR="003311A7" w:rsidRPr="009245C8" w:rsidRDefault="003311A7" w:rsidP="00AA78DA">
            <w:pPr>
              <w:spacing w:after="0"/>
              <w:jc w:val="center"/>
              <w:rPr>
                <w:sz w:val="20"/>
                <w:szCs w:val="20"/>
              </w:rPr>
            </w:pPr>
            <w:r w:rsidRPr="009245C8">
              <w:rPr>
                <w:rFonts w:eastAsia="Times New Roman" w:cs="Times New Roman"/>
                <w:b/>
                <w:color w:val="FFFFFF" w:themeColor="background1"/>
                <w:sz w:val="20"/>
                <w:szCs w:val="20"/>
              </w:rPr>
              <w:t>Primary certification/</w:t>
            </w:r>
            <w:r w:rsidR="00D71126" w:rsidRPr="009245C8">
              <w:rPr>
                <w:rFonts w:eastAsia="Times New Roman" w:cs="Times New Roman"/>
                <w:b/>
                <w:color w:val="FFFFFF" w:themeColor="background1"/>
                <w:sz w:val="20"/>
                <w:szCs w:val="20"/>
              </w:rPr>
              <w:t xml:space="preserve"> </w:t>
            </w:r>
            <w:r w:rsidRPr="009245C8">
              <w:rPr>
                <w:rFonts w:eastAsia="Times New Roman" w:cs="Times New Roman"/>
                <w:b/>
                <w:color w:val="FFFFFF" w:themeColor="background1"/>
                <w:sz w:val="20"/>
                <w:szCs w:val="20"/>
              </w:rPr>
              <w:t>accreditation</w:t>
            </w:r>
          </w:p>
        </w:tc>
        <w:tc>
          <w:tcPr>
            <w:tcW w:w="989" w:type="dxa"/>
            <w:tcBorders>
              <w:top w:val="nil"/>
              <w:left w:val="single" w:sz="4" w:space="0" w:color="FFFFFF" w:themeColor="background1"/>
              <w:bottom w:val="nil"/>
              <w:right w:val="single" w:sz="4" w:space="0" w:color="FFFFFF" w:themeColor="background1"/>
            </w:tcBorders>
            <w:shd w:val="clear" w:color="auto" w:fill="4472C4"/>
            <w:tcMar>
              <w:top w:w="29" w:type="dxa"/>
              <w:bottom w:w="29" w:type="dxa"/>
            </w:tcMar>
            <w:vAlign w:val="center"/>
          </w:tcPr>
          <w:p w14:paraId="51C60D76" w14:textId="4E0468B8" w:rsidR="003311A7" w:rsidRPr="009245C8" w:rsidRDefault="003311A7" w:rsidP="003311A7">
            <w:pPr>
              <w:spacing w:after="0"/>
              <w:jc w:val="center"/>
              <w:rPr>
                <w:sz w:val="20"/>
                <w:szCs w:val="20"/>
              </w:rPr>
            </w:pPr>
            <w:r w:rsidRPr="009245C8">
              <w:rPr>
                <w:rFonts w:eastAsia="Times New Roman" w:cs="Times New Roman"/>
                <w:b/>
                <w:color w:val="FFFFFF" w:themeColor="background1"/>
                <w:sz w:val="20"/>
                <w:szCs w:val="20"/>
              </w:rPr>
              <w:t>Validity Period</w:t>
            </w:r>
          </w:p>
        </w:tc>
        <w:tc>
          <w:tcPr>
            <w:tcW w:w="1705" w:type="dxa"/>
            <w:tcBorders>
              <w:top w:val="nil"/>
              <w:left w:val="single" w:sz="4" w:space="0" w:color="FFFFFF" w:themeColor="background1"/>
              <w:bottom w:val="nil"/>
            </w:tcBorders>
            <w:shd w:val="clear" w:color="auto" w:fill="4472C4"/>
            <w:tcMar>
              <w:top w:w="29" w:type="dxa"/>
              <w:bottom w:w="29" w:type="dxa"/>
            </w:tcMar>
            <w:vAlign w:val="center"/>
          </w:tcPr>
          <w:p w14:paraId="35FF4A06" w14:textId="68999486" w:rsidR="003311A7" w:rsidRPr="009245C8" w:rsidRDefault="003311A7" w:rsidP="006130E5">
            <w:pPr>
              <w:spacing w:after="0"/>
              <w:jc w:val="center"/>
              <w:rPr>
                <w:sz w:val="20"/>
                <w:szCs w:val="20"/>
              </w:rPr>
            </w:pPr>
            <w:r w:rsidRPr="009245C8">
              <w:rPr>
                <w:rFonts w:eastAsia="Times New Roman" w:cs="Times New Roman"/>
                <w:b/>
                <w:color w:val="FFFFFF" w:themeColor="background1"/>
                <w:sz w:val="20"/>
                <w:szCs w:val="20"/>
              </w:rPr>
              <w:t>Accreditation fee</w:t>
            </w:r>
          </w:p>
        </w:tc>
      </w:tr>
      <w:tr w:rsidR="003311A7" w:rsidRPr="009245C8" w14:paraId="0E998AFA" w14:textId="77777777" w:rsidTr="009245C8">
        <w:trPr>
          <w:cantSplit/>
          <w:jc w:val="center"/>
        </w:trPr>
        <w:tc>
          <w:tcPr>
            <w:tcW w:w="13860" w:type="dxa"/>
            <w:gridSpan w:val="7"/>
            <w:tcBorders>
              <w:top w:val="nil"/>
            </w:tcBorders>
            <w:shd w:val="clear" w:color="auto" w:fill="8C8D90"/>
            <w:vAlign w:val="center"/>
          </w:tcPr>
          <w:p w14:paraId="163872D1" w14:textId="41905324" w:rsidR="003311A7" w:rsidRPr="009245C8" w:rsidRDefault="003311A7" w:rsidP="006130E5">
            <w:pPr>
              <w:spacing w:after="0"/>
              <w:jc w:val="center"/>
              <w:rPr>
                <w:b/>
                <w:color w:val="FFFFFF" w:themeColor="background1"/>
                <w:sz w:val="20"/>
                <w:szCs w:val="20"/>
              </w:rPr>
            </w:pPr>
            <w:r w:rsidRPr="009245C8">
              <w:rPr>
                <w:b/>
                <w:color w:val="FFFFFF" w:themeColor="background1"/>
                <w:sz w:val="20"/>
                <w:szCs w:val="20"/>
              </w:rPr>
              <w:t>Board of Accountancy</w:t>
            </w:r>
          </w:p>
        </w:tc>
      </w:tr>
      <w:tr w:rsidR="00D71126" w:rsidRPr="009245C8" w14:paraId="4BE21D4E" w14:textId="77777777" w:rsidTr="009245C8">
        <w:trPr>
          <w:cantSplit/>
          <w:jc w:val="center"/>
        </w:trPr>
        <w:tc>
          <w:tcPr>
            <w:tcW w:w="1350" w:type="dxa"/>
            <w:vAlign w:val="center"/>
          </w:tcPr>
          <w:p w14:paraId="33756480" w14:textId="4205A19E" w:rsidR="0018654A" w:rsidRPr="009245C8" w:rsidRDefault="0018654A" w:rsidP="00AA78DA">
            <w:pPr>
              <w:spacing w:after="0"/>
              <w:jc w:val="left"/>
              <w:rPr>
                <w:sz w:val="20"/>
                <w:szCs w:val="20"/>
              </w:rPr>
            </w:pPr>
            <w:r w:rsidRPr="009245C8">
              <w:rPr>
                <w:rFonts w:eastAsia="Times New Roman" w:cs="Times New Roman"/>
                <w:sz w:val="20"/>
                <w:szCs w:val="20"/>
              </w:rPr>
              <w:t>All auditable entities.</w:t>
            </w:r>
          </w:p>
        </w:tc>
        <w:tc>
          <w:tcPr>
            <w:tcW w:w="2340" w:type="dxa"/>
            <w:vAlign w:val="center"/>
          </w:tcPr>
          <w:p w14:paraId="399D4782" w14:textId="3E599C7B" w:rsidR="0018654A" w:rsidRPr="009245C8" w:rsidRDefault="0018654A" w:rsidP="00AA78DA">
            <w:pPr>
              <w:spacing w:after="0"/>
              <w:jc w:val="left"/>
              <w:rPr>
                <w:sz w:val="20"/>
                <w:szCs w:val="20"/>
              </w:rPr>
            </w:pPr>
            <w:r w:rsidRPr="009245C8">
              <w:rPr>
                <w:rFonts w:eastAsia="Times New Roman" w:cs="Times New Roman"/>
                <w:sz w:val="20"/>
                <w:szCs w:val="20"/>
              </w:rPr>
              <w:t>Three years of meaningful experience in any areas of public practice including taxation</w:t>
            </w:r>
          </w:p>
        </w:tc>
        <w:tc>
          <w:tcPr>
            <w:tcW w:w="3150" w:type="dxa"/>
            <w:vAlign w:val="center"/>
          </w:tcPr>
          <w:p w14:paraId="61CD2B3A" w14:textId="29F05B5A" w:rsidR="0018654A" w:rsidRPr="009245C8" w:rsidRDefault="0018654A" w:rsidP="00AA78DA">
            <w:pPr>
              <w:spacing w:after="0"/>
              <w:jc w:val="left"/>
              <w:rPr>
                <w:sz w:val="20"/>
                <w:szCs w:val="20"/>
              </w:rPr>
            </w:pPr>
            <w:r w:rsidRPr="009245C8">
              <w:rPr>
                <w:rFonts w:eastAsia="Times New Roman" w:cs="Times New Roman"/>
                <w:sz w:val="20"/>
                <w:szCs w:val="20"/>
              </w:rPr>
              <w:t>120 units in three years</w:t>
            </w:r>
          </w:p>
        </w:tc>
        <w:tc>
          <w:tcPr>
            <w:tcW w:w="2890" w:type="dxa"/>
            <w:vAlign w:val="center"/>
          </w:tcPr>
          <w:p w14:paraId="17004A95" w14:textId="1D5E7F21" w:rsidR="0018654A" w:rsidRPr="009245C8" w:rsidRDefault="0018654A" w:rsidP="00AA78DA">
            <w:pPr>
              <w:spacing w:after="0"/>
              <w:jc w:val="center"/>
              <w:rPr>
                <w:sz w:val="20"/>
                <w:szCs w:val="20"/>
              </w:rPr>
            </w:pPr>
            <w:r w:rsidRPr="009245C8">
              <w:rPr>
                <w:sz w:val="20"/>
                <w:szCs w:val="20"/>
              </w:rPr>
              <w:t>-</w:t>
            </w:r>
          </w:p>
        </w:tc>
        <w:tc>
          <w:tcPr>
            <w:tcW w:w="1436" w:type="dxa"/>
            <w:vAlign w:val="center"/>
          </w:tcPr>
          <w:p w14:paraId="0139E8EF" w14:textId="4A9BC3AC" w:rsidR="0018654A" w:rsidRPr="009245C8" w:rsidRDefault="0018654A" w:rsidP="00AA78DA">
            <w:pPr>
              <w:spacing w:after="0"/>
              <w:jc w:val="center"/>
              <w:rPr>
                <w:sz w:val="20"/>
                <w:szCs w:val="20"/>
              </w:rPr>
            </w:pPr>
            <w:r w:rsidRPr="009245C8">
              <w:rPr>
                <w:rFonts w:eastAsia="Times New Roman" w:cs="Times New Roman"/>
                <w:sz w:val="20"/>
                <w:szCs w:val="20"/>
              </w:rPr>
              <w:t>PRC Certificate</w:t>
            </w:r>
          </w:p>
        </w:tc>
        <w:tc>
          <w:tcPr>
            <w:tcW w:w="989" w:type="dxa"/>
            <w:vAlign w:val="center"/>
          </w:tcPr>
          <w:p w14:paraId="25A9D225" w14:textId="6B8AA094" w:rsidR="0018654A" w:rsidRPr="009245C8" w:rsidRDefault="0018654A" w:rsidP="00AA78DA">
            <w:pPr>
              <w:spacing w:after="0"/>
              <w:jc w:val="left"/>
              <w:rPr>
                <w:sz w:val="20"/>
                <w:szCs w:val="20"/>
              </w:rPr>
            </w:pPr>
            <w:r w:rsidRPr="009245C8">
              <w:rPr>
                <w:rFonts w:eastAsia="Times New Roman" w:cs="Times New Roman"/>
                <w:sz w:val="20"/>
                <w:szCs w:val="20"/>
              </w:rPr>
              <w:t>3 years</w:t>
            </w:r>
          </w:p>
        </w:tc>
        <w:tc>
          <w:tcPr>
            <w:tcW w:w="1705" w:type="dxa"/>
            <w:vAlign w:val="center"/>
          </w:tcPr>
          <w:p w14:paraId="7EEFAD8E" w14:textId="521C1CA6" w:rsidR="0018654A" w:rsidRPr="009245C8" w:rsidRDefault="0018654A" w:rsidP="006130E5">
            <w:pPr>
              <w:spacing w:after="0"/>
              <w:jc w:val="center"/>
              <w:rPr>
                <w:sz w:val="20"/>
                <w:szCs w:val="20"/>
              </w:rPr>
            </w:pPr>
            <w:r w:rsidRPr="009245C8">
              <w:rPr>
                <w:rFonts w:eastAsia="Times New Roman" w:cs="Times New Roman"/>
                <w:sz w:val="20"/>
                <w:szCs w:val="20"/>
              </w:rPr>
              <w:t>1,500 pesos for sole practitioner / 2,000 pesos for firm</w:t>
            </w:r>
          </w:p>
        </w:tc>
      </w:tr>
      <w:tr w:rsidR="00AF2BD1" w:rsidRPr="009245C8" w14:paraId="12DD9941" w14:textId="77777777" w:rsidTr="009245C8">
        <w:trPr>
          <w:cantSplit/>
          <w:jc w:val="center"/>
        </w:trPr>
        <w:tc>
          <w:tcPr>
            <w:tcW w:w="13860" w:type="dxa"/>
            <w:gridSpan w:val="7"/>
            <w:shd w:val="clear" w:color="auto" w:fill="8C8D90"/>
            <w:vAlign w:val="center"/>
          </w:tcPr>
          <w:p w14:paraId="70E16B48" w14:textId="3EF7BB88" w:rsidR="00AF2BD1" w:rsidRPr="009245C8" w:rsidRDefault="00AF2BD1" w:rsidP="006130E5">
            <w:pPr>
              <w:spacing w:after="0"/>
              <w:jc w:val="center"/>
              <w:rPr>
                <w:b/>
                <w:color w:val="FFFFFF" w:themeColor="background1"/>
                <w:sz w:val="20"/>
                <w:szCs w:val="20"/>
              </w:rPr>
            </w:pPr>
            <w:r w:rsidRPr="009245C8">
              <w:rPr>
                <w:b/>
                <w:color w:val="FFFFFF" w:themeColor="background1"/>
                <w:sz w:val="20"/>
                <w:szCs w:val="20"/>
              </w:rPr>
              <w:t>Bureau of Internal Revenue</w:t>
            </w:r>
          </w:p>
        </w:tc>
      </w:tr>
      <w:tr w:rsidR="00D71126" w:rsidRPr="009245C8" w14:paraId="1FBFE530" w14:textId="77777777" w:rsidTr="009245C8">
        <w:trPr>
          <w:cantSplit/>
          <w:jc w:val="center"/>
        </w:trPr>
        <w:tc>
          <w:tcPr>
            <w:tcW w:w="1350" w:type="dxa"/>
            <w:shd w:val="clear" w:color="auto" w:fill="E7E6E6" w:themeFill="background2"/>
            <w:vAlign w:val="center"/>
          </w:tcPr>
          <w:p w14:paraId="5A4CFBE6" w14:textId="26399FC4" w:rsidR="00AF2BD1" w:rsidRPr="009245C8" w:rsidRDefault="00AF2BD1" w:rsidP="00AA78DA">
            <w:pPr>
              <w:spacing w:after="0"/>
              <w:jc w:val="left"/>
              <w:rPr>
                <w:sz w:val="20"/>
                <w:szCs w:val="20"/>
              </w:rPr>
            </w:pPr>
            <w:r w:rsidRPr="009245C8">
              <w:rPr>
                <w:rFonts w:eastAsia="Times New Roman" w:cs="Times New Roman"/>
                <w:sz w:val="20"/>
                <w:szCs w:val="20"/>
              </w:rPr>
              <w:t xml:space="preserve">Corporations, companies, partnerships, persons (proprietorships) whose gross quarterly sales, earnings, receipts, output exceed 150,000 pesos quarterly. </w:t>
            </w:r>
          </w:p>
        </w:tc>
        <w:tc>
          <w:tcPr>
            <w:tcW w:w="2340" w:type="dxa"/>
            <w:shd w:val="clear" w:color="auto" w:fill="E7E6E6" w:themeFill="background2"/>
            <w:vAlign w:val="center"/>
          </w:tcPr>
          <w:p w14:paraId="5668839D" w14:textId="0798E895" w:rsidR="00AF2BD1" w:rsidRPr="009245C8" w:rsidRDefault="00AF2BD1" w:rsidP="00AA78DA">
            <w:pPr>
              <w:spacing w:after="0"/>
              <w:jc w:val="left"/>
              <w:rPr>
                <w:sz w:val="20"/>
                <w:szCs w:val="20"/>
              </w:rPr>
            </w:pPr>
            <w:r w:rsidRPr="009245C8">
              <w:rPr>
                <w:rFonts w:eastAsia="Times New Roman" w:cs="Times New Roman"/>
                <w:sz w:val="20"/>
                <w:szCs w:val="20"/>
              </w:rPr>
              <w:t>CPA of good standing with current professional license from the PRC.</w:t>
            </w:r>
          </w:p>
        </w:tc>
        <w:tc>
          <w:tcPr>
            <w:tcW w:w="3150" w:type="dxa"/>
            <w:shd w:val="clear" w:color="auto" w:fill="E7E6E6" w:themeFill="background2"/>
            <w:vAlign w:val="center"/>
          </w:tcPr>
          <w:p w14:paraId="028E0ECE" w14:textId="68A7B6B4" w:rsidR="00AF2BD1" w:rsidRPr="009245C8" w:rsidRDefault="00AF2BD1" w:rsidP="00AA78DA">
            <w:pPr>
              <w:spacing w:after="0"/>
              <w:jc w:val="left"/>
              <w:rPr>
                <w:sz w:val="20"/>
                <w:szCs w:val="20"/>
              </w:rPr>
            </w:pPr>
            <w:r w:rsidRPr="009245C8">
              <w:rPr>
                <w:rFonts w:eastAsia="Times New Roman" w:cs="Times New Roman"/>
                <w:sz w:val="20"/>
                <w:szCs w:val="20"/>
              </w:rPr>
              <w:t>At least six hours per year or a total of 18 hours for the</w:t>
            </w:r>
            <w:r w:rsidRPr="009245C8">
              <w:rPr>
                <w:sz w:val="20"/>
                <w:szCs w:val="20"/>
              </w:rPr>
              <w:t xml:space="preserve"> </w:t>
            </w:r>
            <w:r w:rsidRPr="009245C8">
              <w:rPr>
                <w:rFonts w:eastAsia="Times New Roman" w:cs="Times New Roman"/>
                <w:sz w:val="20"/>
                <w:szCs w:val="20"/>
              </w:rPr>
              <w:t>three years of CPE in taxation from training/seminars conducted by the BIR or by private institutions.</w:t>
            </w:r>
          </w:p>
        </w:tc>
        <w:tc>
          <w:tcPr>
            <w:tcW w:w="2890" w:type="dxa"/>
            <w:shd w:val="clear" w:color="auto" w:fill="E7E6E6" w:themeFill="background2"/>
            <w:vAlign w:val="center"/>
          </w:tcPr>
          <w:p w14:paraId="1EDAB67A" w14:textId="4D150491" w:rsidR="00AF2BD1" w:rsidRPr="009245C8" w:rsidRDefault="00AF2BD1" w:rsidP="00AA78DA">
            <w:pPr>
              <w:spacing w:after="0"/>
              <w:jc w:val="center"/>
              <w:rPr>
                <w:sz w:val="20"/>
                <w:szCs w:val="20"/>
              </w:rPr>
            </w:pPr>
            <w:r w:rsidRPr="009245C8">
              <w:rPr>
                <w:sz w:val="20"/>
                <w:szCs w:val="20"/>
              </w:rPr>
              <w:t>-</w:t>
            </w:r>
          </w:p>
        </w:tc>
        <w:tc>
          <w:tcPr>
            <w:tcW w:w="1436" w:type="dxa"/>
            <w:shd w:val="clear" w:color="auto" w:fill="E7E6E6" w:themeFill="background2"/>
            <w:vAlign w:val="center"/>
          </w:tcPr>
          <w:p w14:paraId="47971E4B" w14:textId="218355BF" w:rsidR="00AF2BD1" w:rsidRPr="009245C8" w:rsidRDefault="00AF2BD1" w:rsidP="00AA78DA">
            <w:pPr>
              <w:spacing w:after="0"/>
              <w:jc w:val="center"/>
              <w:rPr>
                <w:sz w:val="20"/>
                <w:szCs w:val="20"/>
              </w:rPr>
            </w:pPr>
            <w:r w:rsidRPr="009245C8">
              <w:rPr>
                <w:rFonts w:eastAsia="Times New Roman" w:cs="Times New Roman"/>
                <w:sz w:val="20"/>
                <w:szCs w:val="20"/>
              </w:rPr>
              <w:t>BOA Certificate of Registration</w:t>
            </w:r>
          </w:p>
        </w:tc>
        <w:tc>
          <w:tcPr>
            <w:tcW w:w="989" w:type="dxa"/>
            <w:shd w:val="clear" w:color="auto" w:fill="E7E6E6" w:themeFill="background2"/>
            <w:vAlign w:val="center"/>
          </w:tcPr>
          <w:p w14:paraId="0B720807" w14:textId="70F36617" w:rsidR="00AF2BD1" w:rsidRPr="009245C8" w:rsidRDefault="00AF2BD1" w:rsidP="00AA78DA">
            <w:pPr>
              <w:spacing w:after="0"/>
              <w:jc w:val="left"/>
              <w:rPr>
                <w:sz w:val="20"/>
                <w:szCs w:val="20"/>
              </w:rPr>
            </w:pPr>
            <w:r w:rsidRPr="009245C8">
              <w:rPr>
                <w:rFonts w:eastAsia="Times New Roman" w:cs="Times New Roman"/>
                <w:sz w:val="20"/>
                <w:szCs w:val="20"/>
              </w:rPr>
              <w:t>3 years</w:t>
            </w:r>
          </w:p>
        </w:tc>
        <w:tc>
          <w:tcPr>
            <w:tcW w:w="1705" w:type="dxa"/>
            <w:shd w:val="clear" w:color="auto" w:fill="E7E6E6" w:themeFill="background2"/>
            <w:vAlign w:val="center"/>
          </w:tcPr>
          <w:p w14:paraId="30AAB3C9" w14:textId="620FBA14" w:rsidR="00AF2BD1" w:rsidRPr="009245C8" w:rsidRDefault="00AF2BD1" w:rsidP="006130E5">
            <w:pPr>
              <w:spacing w:after="0"/>
              <w:jc w:val="center"/>
              <w:rPr>
                <w:sz w:val="20"/>
                <w:szCs w:val="20"/>
              </w:rPr>
            </w:pPr>
            <w:r w:rsidRPr="009245C8">
              <w:rPr>
                <w:rFonts w:eastAsia="Times New Roman" w:cs="Times New Roman"/>
                <w:sz w:val="20"/>
                <w:szCs w:val="20"/>
              </w:rPr>
              <w:t>500</w:t>
            </w:r>
            <w:r w:rsidRPr="009245C8">
              <w:rPr>
                <w:sz w:val="20"/>
                <w:szCs w:val="20"/>
              </w:rPr>
              <w:t xml:space="preserve"> </w:t>
            </w:r>
            <w:r w:rsidRPr="009245C8">
              <w:rPr>
                <w:rFonts w:eastAsia="Times New Roman" w:cs="Times New Roman"/>
                <w:sz w:val="20"/>
                <w:szCs w:val="20"/>
              </w:rPr>
              <w:t>pesos /year</w:t>
            </w:r>
          </w:p>
        </w:tc>
      </w:tr>
      <w:tr w:rsidR="00AF2BD1" w:rsidRPr="009245C8" w14:paraId="1BF8BDC2" w14:textId="77777777" w:rsidTr="009245C8">
        <w:trPr>
          <w:cantSplit/>
          <w:jc w:val="center"/>
        </w:trPr>
        <w:tc>
          <w:tcPr>
            <w:tcW w:w="13860" w:type="dxa"/>
            <w:gridSpan w:val="7"/>
            <w:shd w:val="clear" w:color="auto" w:fill="8C8D90"/>
            <w:vAlign w:val="center"/>
          </w:tcPr>
          <w:p w14:paraId="7CD895D3" w14:textId="6432A5E1" w:rsidR="00AF2BD1" w:rsidRPr="009245C8" w:rsidRDefault="00AF2BD1" w:rsidP="006130E5">
            <w:pPr>
              <w:keepNext/>
              <w:keepLines/>
              <w:spacing w:after="0"/>
              <w:jc w:val="center"/>
              <w:rPr>
                <w:b/>
                <w:color w:val="FFFFFF" w:themeColor="background1"/>
                <w:sz w:val="20"/>
                <w:szCs w:val="20"/>
              </w:rPr>
            </w:pPr>
            <w:r w:rsidRPr="009245C8">
              <w:rPr>
                <w:b/>
                <w:color w:val="FFFFFF" w:themeColor="background1"/>
                <w:sz w:val="20"/>
                <w:szCs w:val="20"/>
              </w:rPr>
              <w:t>Securities and Exchange Commission</w:t>
            </w:r>
          </w:p>
        </w:tc>
      </w:tr>
      <w:tr w:rsidR="00D71126" w:rsidRPr="009245C8" w14:paraId="4065BFBD" w14:textId="77777777" w:rsidTr="009245C8">
        <w:trPr>
          <w:cantSplit/>
          <w:trHeight w:val="595"/>
          <w:jc w:val="center"/>
        </w:trPr>
        <w:tc>
          <w:tcPr>
            <w:tcW w:w="1350" w:type="dxa"/>
            <w:vAlign w:val="center"/>
          </w:tcPr>
          <w:p w14:paraId="309489EE" w14:textId="695DB04D" w:rsidR="003438F6" w:rsidRPr="009245C8" w:rsidRDefault="003438F6" w:rsidP="00AA78DA">
            <w:pPr>
              <w:spacing w:after="0"/>
              <w:jc w:val="left"/>
              <w:rPr>
                <w:sz w:val="20"/>
                <w:szCs w:val="20"/>
              </w:rPr>
            </w:pPr>
            <w:r w:rsidRPr="009245C8">
              <w:rPr>
                <w:rFonts w:cs="Calibri"/>
                <w:b/>
                <w:bCs/>
                <w:sz w:val="20"/>
                <w:szCs w:val="20"/>
              </w:rPr>
              <w:t>Group A</w:t>
            </w:r>
          </w:p>
        </w:tc>
        <w:tc>
          <w:tcPr>
            <w:tcW w:w="2340" w:type="dxa"/>
            <w:vMerge w:val="restart"/>
            <w:vAlign w:val="center"/>
          </w:tcPr>
          <w:p w14:paraId="4D7C29C1" w14:textId="0A5A9CE3" w:rsidR="003438F6" w:rsidRPr="009245C8" w:rsidRDefault="003438F6" w:rsidP="00AA78DA">
            <w:pPr>
              <w:spacing w:after="0"/>
              <w:jc w:val="left"/>
              <w:rPr>
                <w:sz w:val="20"/>
                <w:szCs w:val="20"/>
              </w:rPr>
            </w:pPr>
            <w:r w:rsidRPr="009245C8">
              <w:rPr>
                <w:rFonts w:cs="Calibri"/>
                <w:color w:val="000000"/>
                <w:sz w:val="20"/>
                <w:szCs w:val="20"/>
              </w:rPr>
              <w:t xml:space="preserve">At least five </w:t>
            </w:r>
            <w:proofErr w:type="spellStart"/>
            <w:r w:rsidRPr="009245C8">
              <w:rPr>
                <w:rFonts w:cs="Calibri"/>
                <w:color w:val="000000"/>
                <w:sz w:val="20"/>
                <w:szCs w:val="20"/>
              </w:rPr>
              <w:t>years experience</w:t>
            </w:r>
            <w:proofErr w:type="spellEnd"/>
            <w:r w:rsidRPr="009245C8">
              <w:rPr>
                <w:rFonts w:cs="Calibri"/>
                <w:color w:val="000000"/>
                <w:sz w:val="20"/>
                <w:szCs w:val="20"/>
              </w:rPr>
              <w:t xml:space="preserve"> in external audit as in-charge, manager or partner or its equivalent. Audit practice should have adequate policies and procedures related to the element of a system of quality control provided under PSA 220, PSQC 1, and amendments; reflected in Quality Assurance Manual.</w:t>
            </w:r>
          </w:p>
        </w:tc>
        <w:tc>
          <w:tcPr>
            <w:tcW w:w="3150" w:type="dxa"/>
            <w:vMerge w:val="restart"/>
            <w:vAlign w:val="center"/>
          </w:tcPr>
          <w:p w14:paraId="2F5AB718" w14:textId="5144C586" w:rsidR="003438F6" w:rsidRPr="009245C8" w:rsidRDefault="003438F6" w:rsidP="00AA78DA">
            <w:pPr>
              <w:keepNext/>
              <w:keepLines/>
              <w:spacing w:after="0"/>
              <w:jc w:val="left"/>
              <w:rPr>
                <w:sz w:val="20"/>
                <w:szCs w:val="20"/>
              </w:rPr>
            </w:pPr>
            <w:r w:rsidRPr="009245C8">
              <w:rPr>
                <w:rFonts w:cs="Calibri"/>
                <w:color w:val="000000"/>
                <w:sz w:val="20"/>
                <w:szCs w:val="20"/>
              </w:rPr>
              <w:t>60 units of training and seminars on the following topics within the last three years: 15 units on PFRS, 15 units on PSA, 18 units on Taxation, 8 units on Professional Ethics, and</w:t>
            </w:r>
            <w:r w:rsidRPr="009245C8">
              <w:rPr>
                <w:sz w:val="20"/>
                <w:szCs w:val="20"/>
              </w:rPr>
              <w:t xml:space="preserve"> </w:t>
            </w:r>
            <w:r w:rsidR="00A25537">
              <w:rPr>
                <w:rFonts w:cs="Calibri"/>
                <w:color w:val="000000"/>
                <w:sz w:val="20"/>
                <w:szCs w:val="20"/>
              </w:rPr>
              <w:t>4</w:t>
            </w:r>
            <w:r w:rsidR="00A25537" w:rsidRPr="009245C8">
              <w:rPr>
                <w:rFonts w:cs="Calibri"/>
                <w:color w:val="000000"/>
                <w:sz w:val="20"/>
                <w:szCs w:val="20"/>
              </w:rPr>
              <w:t xml:space="preserve"> </w:t>
            </w:r>
            <w:r w:rsidRPr="009245C8">
              <w:rPr>
                <w:rFonts w:cs="Calibri"/>
                <w:color w:val="000000"/>
                <w:sz w:val="20"/>
                <w:szCs w:val="20"/>
              </w:rPr>
              <w:t>units on relevant laws and recent issues affecting business or other areas relevant to the practice of accountancy. For renewal, 90 units for the last three years with the additional units on topics relevant to the companies under the category which the auditor is accredited (e.g., SRC, Financing Company Act).</w:t>
            </w:r>
          </w:p>
        </w:tc>
        <w:tc>
          <w:tcPr>
            <w:tcW w:w="2890" w:type="dxa"/>
            <w:vAlign w:val="center"/>
          </w:tcPr>
          <w:p w14:paraId="462ECF5D" w14:textId="743AC4F6" w:rsidR="003438F6" w:rsidRPr="009245C8" w:rsidRDefault="003438F6" w:rsidP="00AA78DA">
            <w:pPr>
              <w:keepNext/>
              <w:keepLines/>
              <w:spacing w:after="0"/>
              <w:jc w:val="left"/>
              <w:rPr>
                <w:sz w:val="20"/>
                <w:szCs w:val="20"/>
              </w:rPr>
            </w:pPr>
            <w:r w:rsidRPr="009245C8">
              <w:rPr>
                <w:rFonts w:cs="Calibri"/>
                <w:color w:val="000000"/>
                <w:sz w:val="20"/>
                <w:szCs w:val="20"/>
              </w:rPr>
              <w:t>Minimum of five corporate clients with total assets of at least 50 million pesos each.</w:t>
            </w:r>
          </w:p>
        </w:tc>
        <w:tc>
          <w:tcPr>
            <w:tcW w:w="1436" w:type="dxa"/>
            <w:vMerge w:val="restart"/>
            <w:vAlign w:val="center"/>
          </w:tcPr>
          <w:p w14:paraId="0CD5ECBE" w14:textId="29E77D0C" w:rsidR="003438F6" w:rsidRPr="009245C8" w:rsidRDefault="003438F6" w:rsidP="00AA78DA">
            <w:pPr>
              <w:keepNext/>
              <w:keepLines/>
              <w:spacing w:after="0"/>
              <w:jc w:val="center"/>
              <w:rPr>
                <w:sz w:val="20"/>
                <w:szCs w:val="20"/>
              </w:rPr>
            </w:pPr>
            <w:r w:rsidRPr="009245C8">
              <w:rPr>
                <w:rFonts w:cs="Calibri"/>
                <w:color w:val="000000"/>
                <w:sz w:val="20"/>
                <w:szCs w:val="20"/>
              </w:rPr>
              <w:t>BOA Accreditation</w:t>
            </w:r>
          </w:p>
        </w:tc>
        <w:tc>
          <w:tcPr>
            <w:tcW w:w="989" w:type="dxa"/>
            <w:vMerge w:val="restart"/>
            <w:vAlign w:val="center"/>
          </w:tcPr>
          <w:p w14:paraId="05E7F338" w14:textId="55D0A3F7" w:rsidR="003438F6" w:rsidRPr="009245C8" w:rsidRDefault="003438F6" w:rsidP="00AA78DA">
            <w:pPr>
              <w:keepNext/>
              <w:keepLines/>
              <w:spacing w:after="0"/>
              <w:jc w:val="left"/>
              <w:rPr>
                <w:sz w:val="20"/>
                <w:szCs w:val="20"/>
              </w:rPr>
            </w:pPr>
            <w:r w:rsidRPr="009245C8">
              <w:rPr>
                <w:rFonts w:cs="Calibri"/>
                <w:color w:val="000000"/>
                <w:sz w:val="20"/>
                <w:szCs w:val="20"/>
              </w:rPr>
              <w:t>3 years</w:t>
            </w:r>
          </w:p>
        </w:tc>
        <w:tc>
          <w:tcPr>
            <w:tcW w:w="1705" w:type="dxa"/>
            <w:vAlign w:val="center"/>
          </w:tcPr>
          <w:p w14:paraId="2E6A55AE" w14:textId="2F244D51" w:rsidR="003438F6" w:rsidRPr="009245C8" w:rsidRDefault="003438F6" w:rsidP="006130E5">
            <w:pPr>
              <w:keepNext/>
              <w:keepLines/>
              <w:spacing w:after="0"/>
              <w:jc w:val="center"/>
              <w:rPr>
                <w:sz w:val="20"/>
                <w:szCs w:val="20"/>
              </w:rPr>
            </w:pPr>
            <w:r w:rsidRPr="009245C8">
              <w:rPr>
                <w:rFonts w:cs="Calibri"/>
                <w:color w:val="000000"/>
                <w:sz w:val="20"/>
                <w:szCs w:val="20"/>
              </w:rPr>
              <w:t>5,000</w:t>
            </w:r>
            <w:r w:rsidRPr="009245C8">
              <w:rPr>
                <w:sz w:val="20"/>
                <w:szCs w:val="20"/>
              </w:rPr>
              <w:t xml:space="preserve"> </w:t>
            </w:r>
            <w:r w:rsidRPr="009245C8">
              <w:rPr>
                <w:rFonts w:cs="Calibri"/>
                <w:color w:val="000000"/>
                <w:sz w:val="20"/>
                <w:szCs w:val="20"/>
              </w:rPr>
              <w:t>pesos for sole practitioner / 20,000 pesos for firm</w:t>
            </w:r>
          </w:p>
        </w:tc>
      </w:tr>
      <w:tr w:rsidR="00D71126" w:rsidRPr="009245C8" w14:paraId="5C21DF37" w14:textId="77777777" w:rsidTr="009245C8">
        <w:trPr>
          <w:cantSplit/>
          <w:jc w:val="center"/>
        </w:trPr>
        <w:tc>
          <w:tcPr>
            <w:tcW w:w="1350" w:type="dxa"/>
            <w:vAlign w:val="center"/>
          </w:tcPr>
          <w:p w14:paraId="1A799319" w14:textId="5683A12D" w:rsidR="003438F6" w:rsidRPr="009245C8" w:rsidRDefault="003438F6" w:rsidP="00AA78DA">
            <w:pPr>
              <w:spacing w:after="0"/>
              <w:jc w:val="left"/>
              <w:rPr>
                <w:sz w:val="20"/>
                <w:szCs w:val="20"/>
              </w:rPr>
            </w:pPr>
            <w:r w:rsidRPr="009245C8">
              <w:rPr>
                <w:rFonts w:cs="Calibri"/>
                <w:b/>
                <w:bCs/>
                <w:sz w:val="20"/>
                <w:szCs w:val="20"/>
              </w:rPr>
              <w:t>Group B</w:t>
            </w:r>
          </w:p>
        </w:tc>
        <w:tc>
          <w:tcPr>
            <w:tcW w:w="2340" w:type="dxa"/>
            <w:vMerge/>
            <w:vAlign w:val="center"/>
          </w:tcPr>
          <w:p w14:paraId="450CECF7" w14:textId="77777777" w:rsidR="003438F6" w:rsidRPr="009245C8" w:rsidRDefault="003438F6" w:rsidP="00AA78DA">
            <w:pPr>
              <w:spacing w:after="0"/>
              <w:jc w:val="left"/>
              <w:rPr>
                <w:sz w:val="20"/>
                <w:szCs w:val="20"/>
              </w:rPr>
            </w:pPr>
          </w:p>
        </w:tc>
        <w:tc>
          <w:tcPr>
            <w:tcW w:w="3150" w:type="dxa"/>
            <w:vMerge/>
            <w:vAlign w:val="center"/>
          </w:tcPr>
          <w:p w14:paraId="1BEB9321" w14:textId="77777777" w:rsidR="003438F6" w:rsidRPr="009245C8" w:rsidRDefault="003438F6" w:rsidP="00AA78DA">
            <w:pPr>
              <w:spacing w:after="0"/>
              <w:jc w:val="left"/>
              <w:rPr>
                <w:sz w:val="20"/>
                <w:szCs w:val="20"/>
              </w:rPr>
            </w:pPr>
          </w:p>
        </w:tc>
        <w:tc>
          <w:tcPr>
            <w:tcW w:w="2890" w:type="dxa"/>
            <w:vAlign w:val="center"/>
          </w:tcPr>
          <w:p w14:paraId="377812D5" w14:textId="7AB1DDD5" w:rsidR="003438F6" w:rsidRPr="009245C8" w:rsidRDefault="003438F6" w:rsidP="00AA78DA">
            <w:pPr>
              <w:spacing w:after="0"/>
              <w:jc w:val="left"/>
              <w:rPr>
                <w:sz w:val="20"/>
                <w:szCs w:val="20"/>
              </w:rPr>
            </w:pPr>
            <w:r w:rsidRPr="009245C8">
              <w:rPr>
                <w:rFonts w:cs="Calibri"/>
                <w:color w:val="000000"/>
                <w:sz w:val="20"/>
                <w:szCs w:val="20"/>
              </w:rPr>
              <w:t>Minimum of three corporate clients with total assets of at least 20 million pesos each.</w:t>
            </w:r>
          </w:p>
        </w:tc>
        <w:tc>
          <w:tcPr>
            <w:tcW w:w="1436" w:type="dxa"/>
            <w:vMerge/>
            <w:vAlign w:val="center"/>
          </w:tcPr>
          <w:p w14:paraId="147757EA" w14:textId="77777777" w:rsidR="003438F6" w:rsidRPr="009245C8" w:rsidRDefault="003438F6" w:rsidP="00AA78DA">
            <w:pPr>
              <w:spacing w:after="0"/>
              <w:jc w:val="center"/>
              <w:rPr>
                <w:sz w:val="20"/>
                <w:szCs w:val="20"/>
              </w:rPr>
            </w:pPr>
          </w:p>
        </w:tc>
        <w:tc>
          <w:tcPr>
            <w:tcW w:w="989" w:type="dxa"/>
            <w:vMerge/>
            <w:vAlign w:val="center"/>
          </w:tcPr>
          <w:p w14:paraId="41745A04" w14:textId="77777777" w:rsidR="003438F6" w:rsidRPr="009245C8" w:rsidRDefault="003438F6" w:rsidP="00AA78DA">
            <w:pPr>
              <w:spacing w:after="0"/>
              <w:jc w:val="left"/>
              <w:rPr>
                <w:sz w:val="20"/>
                <w:szCs w:val="20"/>
              </w:rPr>
            </w:pPr>
          </w:p>
        </w:tc>
        <w:tc>
          <w:tcPr>
            <w:tcW w:w="1705" w:type="dxa"/>
            <w:vAlign w:val="center"/>
          </w:tcPr>
          <w:p w14:paraId="27AE1329" w14:textId="16036DB6" w:rsidR="003438F6" w:rsidRPr="009245C8" w:rsidRDefault="003438F6" w:rsidP="006130E5">
            <w:pPr>
              <w:spacing w:after="0"/>
              <w:jc w:val="center"/>
              <w:rPr>
                <w:sz w:val="20"/>
                <w:szCs w:val="20"/>
              </w:rPr>
            </w:pPr>
            <w:r w:rsidRPr="009245C8">
              <w:rPr>
                <w:rFonts w:cs="Calibri"/>
                <w:color w:val="000000"/>
                <w:sz w:val="20"/>
                <w:szCs w:val="20"/>
              </w:rPr>
              <w:t>3,000 pesos for sole</w:t>
            </w:r>
            <w:r w:rsidR="00A25537">
              <w:rPr>
                <w:rFonts w:cs="Calibri"/>
                <w:color w:val="000000"/>
                <w:sz w:val="20"/>
                <w:szCs w:val="20"/>
              </w:rPr>
              <w:t xml:space="preserve"> practitioner</w:t>
            </w:r>
            <w:r w:rsidRPr="009245C8">
              <w:rPr>
                <w:rFonts w:cs="Calibri"/>
                <w:color w:val="000000"/>
                <w:sz w:val="20"/>
                <w:szCs w:val="20"/>
              </w:rPr>
              <w:t xml:space="preserve"> / 15,000 pesos for firm</w:t>
            </w:r>
          </w:p>
        </w:tc>
      </w:tr>
      <w:tr w:rsidR="00D71126" w:rsidRPr="009245C8" w14:paraId="54FAD53F" w14:textId="77777777" w:rsidTr="009245C8">
        <w:trPr>
          <w:cantSplit/>
          <w:jc w:val="center"/>
        </w:trPr>
        <w:tc>
          <w:tcPr>
            <w:tcW w:w="1350" w:type="dxa"/>
            <w:vAlign w:val="center"/>
          </w:tcPr>
          <w:p w14:paraId="547AB4A7" w14:textId="5905A6A6" w:rsidR="003438F6" w:rsidRPr="009245C8" w:rsidRDefault="003438F6" w:rsidP="00AA78DA">
            <w:pPr>
              <w:spacing w:after="0"/>
              <w:jc w:val="left"/>
              <w:rPr>
                <w:sz w:val="20"/>
                <w:szCs w:val="20"/>
              </w:rPr>
            </w:pPr>
            <w:r w:rsidRPr="009245C8">
              <w:rPr>
                <w:rFonts w:cs="Calibri"/>
                <w:b/>
                <w:bCs/>
                <w:sz w:val="20"/>
                <w:szCs w:val="20"/>
              </w:rPr>
              <w:t>Group C</w:t>
            </w:r>
          </w:p>
        </w:tc>
        <w:tc>
          <w:tcPr>
            <w:tcW w:w="2340" w:type="dxa"/>
            <w:vMerge/>
            <w:vAlign w:val="center"/>
          </w:tcPr>
          <w:p w14:paraId="02714B54" w14:textId="77777777" w:rsidR="003438F6" w:rsidRPr="009245C8" w:rsidRDefault="003438F6" w:rsidP="00AA78DA">
            <w:pPr>
              <w:spacing w:after="0"/>
              <w:jc w:val="left"/>
              <w:rPr>
                <w:sz w:val="20"/>
                <w:szCs w:val="20"/>
              </w:rPr>
            </w:pPr>
          </w:p>
        </w:tc>
        <w:tc>
          <w:tcPr>
            <w:tcW w:w="3150" w:type="dxa"/>
            <w:vMerge/>
            <w:vAlign w:val="center"/>
          </w:tcPr>
          <w:p w14:paraId="4F639521" w14:textId="77777777" w:rsidR="003438F6" w:rsidRPr="009245C8" w:rsidRDefault="003438F6" w:rsidP="00AA78DA">
            <w:pPr>
              <w:spacing w:after="0"/>
              <w:jc w:val="left"/>
              <w:rPr>
                <w:sz w:val="20"/>
                <w:szCs w:val="20"/>
              </w:rPr>
            </w:pPr>
          </w:p>
        </w:tc>
        <w:tc>
          <w:tcPr>
            <w:tcW w:w="2890" w:type="dxa"/>
            <w:vAlign w:val="center"/>
          </w:tcPr>
          <w:p w14:paraId="3A5CF4FF" w14:textId="201CC023" w:rsidR="003438F6" w:rsidRPr="009245C8" w:rsidRDefault="003438F6" w:rsidP="00AA78DA">
            <w:pPr>
              <w:spacing w:after="0"/>
              <w:jc w:val="left"/>
              <w:rPr>
                <w:sz w:val="20"/>
                <w:szCs w:val="20"/>
              </w:rPr>
            </w:pPr>
            <w:r w:rsidRPr="009245C8">
              <w:rPr>
                <w:rFonts w:cs="Calibri"/>
                <w:color w:val="000000"/>
                <w:sz w:val="20"/>
                <w:szCs w:val="20"/>
              </w:rPr>
              <w:t>Minimum of three corporate clients with total assets of at least 5 million pesos each.</w:t>
            </w:r>
          </w:p>
        </w:tc>
        <w:tc>
          <w:tcPr>
            <w:tcW w:w="1436" w:type="dxa"/>
            <w:vMerge/>
            <w:vAlign w:val="center"/>
          </w:tcPr>
          <w:p w14:paraId="1B2FBB99" w14:textId="77777777" w:rsidR="003438F6" w:rsidRPr="009245C8" w:rsidRDefault="003438F6" w:rsidP="00AA78DA">
            <w:pPr>
              <w:spacing w:after="0"/>
              <w:jc w:val="center"/>
              <w:rPr>
                <w:sz w:val="20"/>
                <w:szCs w:val="20"/>
              </w:rPr>
            </w:pPr>
          </w:p>
        </w:tc>
        <w:tc>
          <w:tcPr>
            <w:tcW w:w="989" w:type="dxa"/>
            <w:vMerge/>
            <w:vAlign w:val="center"/>
          </w:tcPr>
          <w:p w14:paraId="113C91B6" w14:textId="77777777" w:rsidR="003438F6" w:rsidRPr="009245C8" w:rsidRDefault="003438F6" w:rsidP="00AA78DA">
            <w:pPr>
              <w:spacing w:after="0"/>
              <w:jc w:val="left"/>
              <w:rPr>
                <w:sz w:val="20"/>
                <w:szCs w:val="20"/>
              </w:rPr>
            </w:pPr>
          </w:p>
        </w:tc>
        <w:tc>
          <w:tcPr>
            <w:tcW w:w="1705" w:type="dxa"/>
            <w:vAlign w:val="center"/>
          </w:tcPr>
          <w:p w14:paraId="5BAE9E46" w14:textId="349D4413" w:rsidR="003438F6" w:rsidRPr="009245C8" w:rsidRDefault="003438F6" w:rsidP="006130E5">
            <w:pPr>
              <w:spacing w:after="0"/>
              <w:jc w:val="center"/>
              <w:rPr>
                <w:sz w:val="20"/>
                <w:szCs w:val="20"/>
              </w:rPr>
            </w:pPr>
            <w:r w:rsidRPr="009245C8">
              <w:rPr>
                <w:rFonts w:cs="Calibri"/>
                <w:color w:val="000000"/>
                <w:sz w:val="20"/>
                <w:szCs w:val="20"/>
              </w:rPr>
              <w:t>2,000 pesos for sole practitioner / 5,000 pesos for firm</w:t>
            </w:r>
          </w:p>
        </w:tc>
      </w:tr>
      <w:tr w:rsidR="00D71126" w:rsidRPr="009245C8" w14:paraId="0B18B3D4" w14:textId="77777777" w:rsidTr="009245C8">
        <w:trPr>
          <w:cantSplit/>
          <w:jc w:val="center"/>
        </w:trPr>
        <w:tc>
          <w:tcPr>
            <w:tcW w:w="1350" w:type="dxa"/>
            <w:vAlign w:val="center"/>
          </w:tcPr>
          <w:p w14:paraId="2210FB1F" w14:textId="18F5AFC9" w:rsidR="003438F6" w:rsidRPr="009245C8" w:rsidRDefault="003438F6" w:rsidP="00AA78DA">
            <w:pPr>
              <w:spacing w:after="0"/>
              <w:jc w:val="left"/>
              <w:rPr>
                <w:sz w:val="20"/>
                <w:szCs w:val="20"/>
              </w:rPr>
            </w:pPr>
            <w:r w:rsidRPr="009245C8">
              <w:rPr>
                <w:rFonts w:cs="Calibri"/>
                <w:b/>
                <w:bCs/>
                <w:sz w:val="20"/>
                <w:szCs w:val="20"/>
              </w:rPr>
              <w:t>Group D</w:t>
            </w:r>
          </w:p>
        </w:tc>
        <w:tc>
          <w:tcPr>
            <w:tcW w:w="2340" w:type="dxa"/>
            <w:vMerge/>
            <w:vAlign w:val="center"/>
          </w:tcPr>
          <w:p w14:paraId="007EA843" w14:textId="77777777" w:rsidR="003438F6" w:rsidRPr="009245C8" w:rsidRDefault="003438F6" w:rsidP="00AA78DA">
            <w:pPr>
              <w:spacing w:after="0"/>
              <w:jc w:val="left"/>
              <w:rPr>
                <w:sz w:val="20"/>
                <w:szCs w:val="20"/>
              </w:rPr>
            </w:pPr>
          </w:p>
        </w:tc>
        <w:tc>
          <w:tcPr>
            <w:tcW w:w="3150" w:type="dxa"/>
            <w:vMerge/>
            <w:vAlign w:val="center"/>
          </w:tcPr>
          <w:p w14:paraId="1609B735" w14:textId="77777777" w:rsidR="003438F6" w:rsidRPr="009245C8" w:rsidRDefault="003438F6" w:rsidP="00AA78DA">
            <w:pPr>
              <w:spacing w:after="0"/>
              <w:jc w:val="left"/>
              <w:rPr>
                <w:sz w:val="20"/>
                <w:szCs w:val="20"/>
              </w:rPr>
            </w:pPr>
          </w:p>
        </w:tc>
        <w:tc>
          <w:tcPr>
            <w:tcW w:w="2890" w:type="dxa"/>
            <w:vAlign w:val="center"/>
          </w:tcPr>
          <w:p w14:paraId="0DC62DD2" w14:textId="59C70E08" w:rsidR="003438F6" w:rsidRPr="009245C8" w:rsidRDefault="003438F6" w:rsidP="00AA78DA">
            <w:pPr>
              <w:spacing w:after="0"/>
              <w:jc w:val="left"/>
              <w:rPr>
                <w:sz w:val="20"/>
                <w:szCs w:val="20"/>
              </w:rPr>
            </w:pPr>
            <w:r w:rsidRPr="009245C8">
              <w:rPr>
                <w:rFonts w:cs="Calibri"/>
                <w:color w:val="000000"/>
                <w:sz w:val="20"/>
                <w:szCs w:val="20"/>
              </w:rPr>
              <w:t>Minimum of one corporate client with total assets of at least 5 million</w:t>
            </w:r>
            <w:r w:rsidRPr="009245C8">
              <w:rPr>
                <w:sz w:val="20"/>
                <w:szCs w:val="20"/>
              </w:rPr>
              <w:t xml:space="preserve"> </w:t>
            </w:r>
            <w:r w:rsidRPr="009245C8">
              <w:rPr>
                <w:rFonts w:cs="Calibri"/>
                <w:color w:val="000000"/>
                <w:sz w:val="20"/>
                <w:szCs w:val="20"/>
              </w:rPr>
              <w:t xml:space="preserve">pesos; or a minimum of five clients regardless of the amount of total assets. </w:t>
            </w:r>
          </w:p>
        </w:tc>
        <w:tc>
          <w:tcPr>
            <w:tcW w:w="1436" w:type="dxa"/>
            <w:vMerge/>
            <w:vAlign w:val="center"/>
          </w:tcPr>
          <w:p w14:paraId="06D88DCC" w14:textId="77777777" w:rsidR="003438F6" w:rsidRPr="009245C8" w:rsidRDefault="003438F6" w:rsidP="00AA78DA">
            <w:pPr>
              <w:spacing w:after="0"/>
              <w:jc w:val="center"/>
              <w:rPr>
                <w:sz w:val="20"/>
                <w:szCs w:val="20"/>
              </w:rPr>
            </w:pPr>
          </w:p>
        </w:tc>
        <w:tc>
          <w:tcPr>
            <w:tcW w:w="989" w:type="dxa"/>
            <w:vMerge/>
            <w:vAlign w:val="center"/>
          </w:tcPr>
          <w:p w14:paraId="3CC4854B" w14:textId="77777777" w:rsidR="003438F6" w:rsidRPr="009245C8" w:rsidRDefault="003438F6" w:rsidP="00AA78DA">
            <w:pPr>
              <w:spacing w:after="0"/>
              <w:jc w:val="left"/>
              <w:rPr>
                <w:sz w:val="20"/>
                <w:szCs w:val="20"/>
              </w:rPr>
            </w:pPr>
          </w:p>
        </w:tc>
        <w:tc>
          <w:tcPr>
            <w:tcW w:w="1705" w:type="dxa"/>
            <w:vAlign w:val="center"/>
          </w:tcPr>
          <w:p w14:paraId="5A3A5697" w14:textId="3325123A" w:rsidR="003438F6" w:rsidRPr="009245C8" w:rsidRDefault="003438F6" w:rsidP="006130E5">
            <w:pPr>
              <w:spacing w:after="0"/>
              <w:jc w:val="center"/>
              <w:rPr>
                <w:sz w:val="20"/>
                <w:szCs w:val="20"/>
              </w:rPr>
            </w:pPr>
            <w:r w:rsidRPr="009245C8">
              <w:rPr>
                <w:rFonts w:cs="Calibri"/>
                <w:color w:val="000000"/>
                <w:sz w:val="20"/>
                <w:szCs w:val="20"/>
              </w:rPr>
              <w:t>2,000 pesos for sole</w:t>
            </w:r>
            <w:r w:rsidR="00A25537">
              <w:rPr>
                <w:rFonts w:cs="Calibri"/>
                <w:color w:val="000000"/>
                <w:sz w:val="20"/>
                <w:szCs w:val="20"/>
              </w:rPr>
              <w:t xml:space="preserve"> practitioner</w:t>
            </w:r>
            <w:r w:rsidRPr="009245C8">
              <w:rPr>
                <w:rFonts w:cs="Calibri"/>
                <w:color w:val="000000"/>
                <w:sz w:val="20"/>
                <w:szCs w:val="20"/>
              </w:rPr>
              <w:t xml:space="preserve"> / 5,000 pesos for firm</w:t>
            </w:r>
          </w:p>
        </w:tc>
      </w:tr>
      <w:tr w:rsidR="00FA24E9" w:rsidRPr="009245C8" w14:paraId="1C5D0180" w14:textId="77777777" w:rsidTr="009245C8">
        <w:trPr>
          <w:cantSplit/>
          <w:jc w:val="center"/>
        </w:trPr>
        <w:tc>
          <w:tcPr>
            <w:tcW w:w="13860" w:type="dxa"/>
            <w:gridSpan w:val="7"/>
            <w:shd w:val="clear" w:color="auto" w:fill="8C8D90"/>
            <w:vAlign w:val="center"/>
          </w:tcPr>
          <w:p w14:paraId="12713723" w14:textId="565A7B9F" w:rsidR="003438F6" w:rsidRPr="009245C8" w:rsidRDefault="003438F6" w:rsidP="006130E5">
            <w:pPr>
              <w:keepNext/>
              <w:keepLines/>
              <w:spacing w:after="0"/>
              <w:jc w:val="center"/>
              <w:rPr>
                <w:b/>
                <w:color w:val="FFFFFF" w:themeColor="background1"/>
                <w:sz w:val="20"/>
                <w:szCs w:val="20"/>
              </w:rPr>
            </w:pPr>
            <w:proofErr w:type="spellStart"/>
            <w:r w:rsidRPr="009245C8">
              <w:rPr>
                <w:b/>
                <w:color w:val="FFFFFF" w:themeColor="background1"/>
                <w:sz w:val="20"/>
                <w:szCs w:val="20"/>
              </w:rPr>
              <w:t>Bangko</w:t>
            </w:r>
            <w:proofErr w:type="spellEnd"/>
            <w:r w:rsidRPr="009245C8">
              <w:rPr>
                <w:b/>
                <w:color w:val="FFFFFF" w:themeColor="background1"/>
                <w:sz w:val="20"/>
                <w:szCs w:val="20"/>
              </w:rPr>
              <w:t xml:space="preserve"> </w:t>
            </w:r>
            <w:proofErr w:type="spellStart"/>
            <w:r w:rsidRPr="009245C8">
              <w:rPr>
                <w:b/>
                <w:color w:val="FFFFFF" w:themeColor="background1"/>
                <w:sz w:val="20"/>
                <w:szCs w:val="20"/>
              </w:rPr>
              <w:t>Sentral</w:t>
            </w:r>
            <w:proofErr w:type="spellEnd"/>
            <w:r w:rsidRPr="009245C8">
              <w:rPr>
                <w:b/>
                <w:color w:val="FFFFFF" w:themeColor="background1"/>
                <w:sz w:val="20"/>
                <w:szCs w:val="20"/>
              </w:rPr>
              <w:t xml:space="preserve"> ng </w:t>
            </w:r>
            <w:proofErr w:type="spellStart"/>
            <w:r w:rsidRPr="009245C8">
              <w:rPr>
                <w:b/>
                <w:color w:val="FFFFFF" w:themeColor="background1"/>
                <w:sz w:val="20"/>
                <w:szCs w:val="20"/>
              </w:rPr>
              <w:t>Pilipinas</w:t>
            </w:r>
            <w:proofErr w:type="spellEnd"/>
          </w:p>
        </w:tc>
      </w:tr>
      <w:tr w:rsidR="00D71126" w:rsidRPr="009245C8" w14:paraId="2B1C2C1E" w14:textId="77777777" w:rsidTr="009245C8">
        <w:trPr>
          <w:cantSplit/>
          <w:jc w:val="center"/>
        </w:trPr>
        <w:tc>
          <w:tcPr>
            <w:tcW w:w="1350" w:type="dxa"/>
            <w:shd w:val="clear" w:color="auto" w:fill="E7E6E6" w:themeFill="background2"/>
            <w:vAlign w:val="center"/>
          </w:tcPr>
          <w:p w14:paraId="0F40079A" w14:textId="75CD8688" w:rsidR="003438F6" w:rsidRPr="009245C8" w:rsidRDefault="003438F6" w:rsidP="00F20FFF">
            <w:pPr>
              <w:keepNext/>
              <w:keepLines/>
              <w:spacing w:after="0"/>
              <w:jc w:val="left"/>
              <w:rPr>
                <w:sz w:val="20"/>
                <w:szCs w:val="20"/>
              </w:rPr>
            </w:pPr>
            <w:r w:rsidRPr="009245C8">
              <w:rPr>
                <w:rFonts w:cs="Calibri"/>
                <w:color w:val="000000"/>
                <w:sz w:val="20"/>
                <w:szCs w:val="20"/>
              </w:rPr>
              <w:t>Category A</w:t>
            </w:r>
          </w:p>
        </w:tc>
        <w:tc>
          <w:tcPr>
            <w:tcW w:w="2340" w:type="dxa"/>
            <w:vMerge w:val="restart"/>
            <w:shd w:val="clear" w:color="auto" w:fill="E7E6E6" w:themeFill="background2"/>
            <w:vAlign w:val="center"/>
          </w:tcPr>
          <w:p w14:paraId="26705DBD" w14:textId="2914986A" w:rsidR="003438F6" w:rsidRPr="009245C8" w:rsidRDefault="003438F6" w:rsidP="006130E5">
            <w:pPr>
              <w:spacing w:after="0"/>
              <w:jc w:val="left"/>
              <w:rPr>
                <w:sz w:val="20"/>
                <w:szCs w:val="20"/>
              </w:rPr>
            </w:pPr>
            <w:r w:rsidRPr="009245C8">
              <w:rPr>
                <w:rFonts w:cs="Calibri"/>
                <w:color w:val="000000"/>
                <w:sz w:val="20"/>
                <w:szCs w:val="20"/>
              </w:rPr>
              <w:t>At least five years of audit experience as associate, partner, lead partner, concurring partner, or auditor-in-charge.</w:t>
            </w:r>
          </w:p>
        </w:tc>
        <w:tc>
          <w:tcPr>
            <w:tcW w:w="3150" w:type="dxa"/>
            <w:vMerge w:val="restart"/>
            <w:shd w:val="clear" w:color="auto" w:fill="E7E6E6" w:themeFill="background2"/>
            <w:vAlign w:val="center"/>
          </w:tcPr>
          <w:p w14:paraId="3FC8D761" w14:textId="5D9B52B6" w:rsidR="003438F6" w:rsidRPr="009245C8" w:rsidRDefault="003438F6" w:rsidP="006130E5">
            <w:pPr>
              <w:keepNext/>
              <w:keepLines/>
              <w:spacing w:after="0"/>
              <w:jc w:val="left"/>
              <w:rPr>
                <w:sz w:val="20"/>
                <w:szCs w:val="20"/>
              </w:rPr>
            </w:pPr>
            <w:r w:rsidRPr="009245C8">
              <w:rPr>
                <w:rFonts w:cs="Calibri"/>
                <w:color w:val="000000"/>
                <w:sz w:val="20"/>
                <w:szCs w:val="20"/>
              </w:rPr>
              <w:t>At least 30 hours in addition to the BOA's prescribed training hours, in subjects like IFRS, ISA, corporate governance, taxation, code of ethics, regulatory requirements of SEC, IC, and BSP or other government agencies, and other topics relevant to the practice.</w:t>
            </w:r>
          </w:p>
        </w:tc>
        <w:tc>
          <w:tcPr>
            <w:tcW w:w="2890" w:type="dxa"/>
            <w:shd w:val="clear" w:color="auto" w:fill="E7E6E6" w:themeFill="background2"/>
            <w:vAlign w:val="center"/>
          </w:tcPr>
          <w:p w14:paraId="16FB752A" w14:textId="6F284892" w:rsidR="003438F6" w:rsidRPr="009245C8" w:rsidRDefault="003438F6" w:rsidP="006130E5">
            <w:pPr>
              <w:keepNext/>
              <w:keepLines/>
              <w:spacing w:after="0"/>
              <w:jc w:val="left"/>
              <w:rPr>
                <w:sz w:val="20"/>
                <w:szCs w:val="20"/>
              </w:rPr>
            </w:pPr>
            <w:r w:rsidRPr="009245C8">
              <w:rPr>
                <w:rFonts w:cs="Calibri"/>
                <w:color w:val="000000"/>
                <w:sz w:val="20"/>
                <w:szCs w:val="20"/>
              </w:rPr>
              <w:t>Minimum of five corporate clients with total assets of at least 50 million pesos each.</w:t>
            </w:r>
          </w:p>
        </w:tc>
        <w:tc>
          <w:tcPr>
            <w:tcW w:w="1436" w:type="dxa"/>
            <w:vMerge w:val="restart"/>
            <w:shd w:val="clear" w:color="auto" w:fill="E7E6E6" w:themeFill="background2"/>
            <w:vAlign w:val="center"/>
          </w:tcPr>
          <w:p w14:paraId="47CA8654" w14:textId="3D628D77" w:rsidR="003438F6" w:rsidRPr="009245C8" w:rsidRDefault="003438F6" w:rsidP="006130E5">
            <w:pPr>
              <w:spacing w:after="0"/>
              <w:jc w:val="center"/>
              <w:rPr>
                <w:sz w:val="20"/>
                <w:szCs w:val="20"/>
              </w:rPr>
            </w:pPr>
            <w:r w:rsidRPr="009245C8">
              <w:rPr>
                <w:rFonts w:cs="Calibri"/>
                <w:color w:val="000000"/>
                <w:sz w:val="20"/>
                <w:szCs w:val="20"/>
              </w:rPr>
              <w:t>BOA Accreditation</w:t>
            </w:r>
          </w:p>
        </w:tc>
        <w:tc>
          <w:tcPr>
            <w:tcW w:w="989" w:type="dxa"/>
            <w:vMerge w:val="restart"/>
            <w:shd w:val="clear" w:color="auto" w:fill="E7E6E6" w:themeFill="background2"/>
            <w:vAlign w:val="center"/>
          </w:tcPr>
          <w:p w14:paraId="3F901597" w14:textId="778D8541" w:rsidR="003438F6" w:rsidRPr="009245C8" w:rsidRDefault="003438F6" w:rsidP="006130E5">
            <w:pPr>
              <w:spacing w:after="0"/>
              <w:jc w:val="left"/>
              <w:rPr>
                <w:sz w:val="20"/>
                <w:szCs w:val="20"/>
              </w:rPr>
            </w:pPr>
            <w:r w:rsidRPr="009245C8">
              <w:rPr>
                <w:rFonts w:cs="Calibri"/>
                <w:color w:val="000000"/>
                <w:sz w:val="20"/>
                <w:szCs w:val="20"/>
              </w:rPr>
              <w:t>3 years</w:t>
            </w:r>
          </w:p>
        </w:tc>
        <w:tc>
          <w:tcPr>
            <w:tcW w:w="1705" w:type="dxa"/>
            <w:vMerge w:val="restart"/>
            <w:shd w:val="clear" w:color="auto" w:fill="E7E6E6" w:themeFill="background2"/>
            <w:vAlign w:val="center"/>
          </w:tcPr>
          <w:p w14:paraId="159909DD" w14:textId="1F17747A" w:rsidR="003438F6" w:rsidRPr="009245C8" w:rsidRDefault="003438F6" w:rsidP="006130E5">
            <w:pPr>
              <w:spacing w:after="0"/>
              <w:jc w:val="center"/>
              <w:rPr>
                <w:sz w:val="20"/>
                <w:szCs w:val="20"/>
              </w:rPr>
            </w:pPr>
            <w:r w:rsidRPr="009245C8">
              <w:rPr>
                <w:rFonts w:cs="Calibri"/>
                <w:color w:val="000000"/>
                <w:sz w:val="20"/>
                <w:szCs w:val="20"/>
              </w:rPr>
              <w:t>2,000 pesos for sole practitioner / 5,000</w:t>
            </w:r>
            <w:r w:rsidRPr="009245C8">
              <w:rPr>
                <w:sz w:val="20"/>
                <w:szCs w:val="20"/>
              </w:rPr>
              <w:t xml:space="preserve"> </w:t>
            </w:r>
            <w:r w:rsidRPr="009245C8">
              <w:rPr>
                <w:rFonts w:cs="Calibri"/>
                <w:color w:val="000000"/>
                <w:sz w:val="20"/>
                <w:szCs w:val="20"/>
              </w:rPr>
              <w:t>pesos for firm</w:t>
            </w:r>
          </w:p>
        </w:tc>
      </w:tr>
      <w:tr w:rsidR="00D71126" w:rsidRPr="009245C8" w14:paraId="66CF2AE3" w14:textId="77777777" w:rsidTr="009245C8">
        <w:trPr>
          <w:cantSplit/>
          <w:jc w:val="center"/>
        </w:trPr>
        <w:tc>
          <w:tcPr>
            <w:tcW w:w="1350" w:type="dxa"/>
            <w:shd w:val="clear" w:color="auto" w:fill="E7E6E6" w:themeFill="background2"/>
            <w:vAlign w:val="center"/>
          </w:tcPr>
          <w:p w14:paraId="0B952D75" w14:textId="3A993E65" w:rsidR="003438F6" w:rsidRPr="009245C8" w:rsidRDefault="003438F6" w:rsidP="00F20FFF">
            <w:pPr>
              <w:keepNext/>
              <w:keepLines/>
              <w:spacing w:after="0"/>
              <w:jc w:val="left"/>
              <w:rPr>
                <w:sz w:val="20"/>
                <w:szCs w:val="20"/>
              </w:rPr>
            </w:pPr>
            <w:r w:rsidRPr="009245C8">
              <w:rPr>
                <w:rFonts w:cs="Calibri"/>
                <w:color w:val="000000"/>
                <w:sz w:val="20"/>
                <w:szCs w:val="20"/>
              </w:rPr>
              <w:t>Category B</w:t>
            </w:r>
          </w:p>
        </w:tc>
        <w:tc>
          <w:tcPr>
            <w:tcW w:w="2340" w:type="dxa"/>
            <w:vMerge/>
            <w:shd w:val="clear" w:color="auto" w:fill="E7E6E6" w:themeFill="background2"/>
          </w:tcPr>
          <w:p w14:paraId="74FD974D" w14:textId="77777777" w:rsidR="003438F6" w:rsidRPr="009245C8" w:rsidRDefault="003438F6" w:rsidP="003438F6">
            <w:pPr>
              <w:spacing w:after="0"/>
              <w:rPr>
                <w:sz w:val="20"/>
                <w:szCs w:val="20"/>
              </w:rPr>
            </w:pPr>
          </w:p>
        </w:tc>
        <w:tc>
          <w:tcPr>
            <w:tcW w:w="3150" w:type="dxa"/>
            <w:vMerge/>
            <w:shd w:val="clear" w:color="auto" w:fill="E7E6E6" w:themeFill="background2"/>
          </w:tcPr>
          <w:p w14:paraId="3FA25A59" w14:textId="77777777" w:rsidR="003438F6" w:rsidRPr="009245C8" w:rsidRDefault="003438F6" w:rsidP="003438F6">
            <w:pPr>
              <w:spacing w:after="0"/>
              <w:rPr>
                <w:sz w:val="20"/>
                <w:szCs w:val="20"/>
              </w:rPr>
            </w:pPr>
          </w:p>
        </w:tc>
        <w:tc>
          <w:tcPr>
            <w:tcW w:w="2890" w:type="dxa"/>
            <w:shd w:val="clear" w:color="auto" w:fill="E7E6E6" w:themeFill="background2"/>
            <w:vAlign w:val="center"/>
          </w:tcPr>
          <w:p w14:paraId="5270E3D2" w14:textId="6ABE40A9" w:rsidR="003438F6" w:rsidRPr="009245C8" w:rsidRDefault="003438F6" w:rsidP="006130E5">
            <w:pPr>
              <w:spacing w:after="0"/>
              <w:jc w:val="left"/>
              <w:rPr>
                <w:sz w:val="20"/>
                <w:szCs w:val="20"/>
              </w:rPr>
            </w:pPr>
            <w:r w:rsidRPr="009245C8">
              <w:rPr>
                <w:rFonts w:cs="Calibri"/>
                <w:color w:val="000000"/>
                <w:sz w:val="20"/>
                <w:szCs w:val="20"/>
              </w:rPr>
              <w:t>Minimum of three corporate clients with total assets of at least 25 million pesos each.</w:t>
            </w:r>
          </w:p>
        </w:tc>
        <w:tc>
          <w:tcPr>
            <w:tcW w:w="1436" w:type="dxa"/>
            <w:vMerge/>
            <w:shd w:val="clear" w:color="auto" w:fill="E7E6E6" w:themeFill="background2"/>
            <w:vAlign w:val="center"/>
          </w:tcPr>
          <w:p w14:paraId="4FE0C0CF" w14:textId="77777777" w:rsidR="003438F6" w:rsidRPr="009245C8" w:rsidRDefault="003438F6" w:rsidP="00AA78DA">
            <w:pPr>
              <w:spacing w:after="0"/>
              <w:jc w:val="center"/>
              <w:rPr>
                <w:sz w:val="20"/>
                <w:szCs w:val="20"/>
              </w:rPr>
            </w:pPr>
          </w:p>
        </w:tc>
        <w:tc>
          <w:tcPr>
            <w:tcW w:w="989" w:type="dxa"/>
            <w:vMerge/>
            <w:shd w:val="clear" w:color="auto" w:fill="E7E6E6" w:themeFill="background2"/>
          </w:tcPr>
          <w:p w14:paraId="7C51B703" w14:textId="77777777" w:rsidR="003438F6" w:rsidRPr="009245C8" w:rsidRDefault="003438F6" w:rsidP="003438F6">
            <w:pPr>
              <w:spacing w:after="0"/>
              <w:rPr>
                <w:sz w:val="20"/>
                <w:szCs w:val="20"/>
              </w:rPr>
            </w:pPr>
          </w:p>
        </w:tc>
        <w:tc>
          <w:tcPr>
            <w:tcW w:w="1705" w:type="dxa"/>
            <w:vMerge/>
            <w:shd w:val="clear" w:color="auto" w:fill="E7E6E6" w:themeFill="background2"/>
            <w:vAlign w:val="center"/>
          </w:tcPr>
          <w:p w14:paraId="65E6EAEB" w14:textId="77777777" w:rsidR="003438F6" w:rsidRPr="009245C8" w:rsidRDefault="003438F6" w:rsidP="006130E5">
            <w:pPr>
              <w:spacing w:after="0"/>
              <w:jc w:val="center"/>
              <w:rPr>
                <w:sz w:val="20"/>
                <w:szCs w:val="20"/>
              </w:rPr>
            </w:pPr>
          </w:p>
        </w:tc>
      </w:tr>
      <w:tr w:rsidR="00D71126" w:rsidRPr="009245C8" w14:paraId="5CA5CBE2" w14:textId="77777777" w:rsidTr="009245C8">
        <w:trPr>
          <w:cantSplit/>
          <w:jc w:val="center"/>
        </w:trPr>
        <w:tc>
          <w:tcPr>
            <w:tcW w:w="1350" w:type="dxa"/>
            <w:shd w:val="clear" w:color="auto" w:fill="E7E6E6" w:themeFill="background2"/>
            <w:vAlign w:val="center"/>
          </w:tcPr>
          <w:p w14:paraId="245FDE8A" w14:textId="34EFB88B" w:rsidR="003438F6" w:rsidRPr="009245C8" w:rsidRDefault="003438F6" w:rsidP="00F20FFF">
            <w:pPr>
              <w:keepNext/>
              <w:keepLines/>
              <w:spacing w:after="0"/>
              <w:jc w:val="left"/>
              <w:rPr>
                <w:sz w:val="20"/>
                <w:szCs w:val="20"/>
              </w:rPr>
            </w:pPr>
            <w:r w:rsidRPr="009245C8">
              <w:rPr>
                <w:rFonts w:cs="Calibri"/>
                <w:color w:val="000000"/>
                <w:sz w:val="20"/>
                <w:szCs w:val="20"/>
              </w:rPr>
              <w:t>Category C</w:t>
            </w:r>
          </w:p>
        </w:tc>
        <w:tc>
          <w:tcPr>
            <w:tcW w:w="2340" w:type="dxa"/>
            <w:vMerge/>
            <w:shd w:val="clear" w:color="auto" w:fill="E7E6E6" w:themeFill="background2"/>
          </w:tcPr>
          <w:p w14:paraId="0CE90A3C" w14:textId="77777777" w:rsidR="003438F6" w:rsidRPr="009245C8" w:rsidRDefault="003438F6" w:rsidP="003438F6">
            <w:pPr>
              <w:spacing w:after="0"/>
              <w:rPr>
                <w:sz w:val="20"/>
                <w:szCs w:val="20"/>
              </w:rPr>
            </w:pPr>
          </w:p>
        </w:tc>
        <w:tc>
          <w:tcPr>
            <w:tcW w:w="3150" w:type="dxa"/>
            <w:vMerge/>
            <w:shd w:val="clear" w:color="auto" w:fill="E7E6E6" w:themeFill="background2"/>
          </w:tcPr>
          <w:p w14:paraId="633A58D1" w14:textId="77777777" w:rsidR="003438F6" w:rsidRPr="009245C8" w:rsidRDefault="003438F6" w:rsidP="003438F6">
            <w:pPr>
              <w:spacing w:after="0"/>
              <w:rPr>
                <w:sz w:val="20"/>
                <w:szCs w:val="20"/>
              </w:rPr>
            </w:pPr>
          </w:p>
        </w:tc>
        <w:tc>
          <w:tcPr>
            <w:tcW w:w="2890" w:type="dxa"/>
            <w:shd w:val="clear" w:color="auto" w:fill="E7E6E6" w:themeFill="background2"/>
            <w:vAlign w:val="center"/>
          </w:tcPr>
          <w:p w14:paraId="506E2C88" w14:textId="5DC6FC52" w:rsidR="003438F6" w:rsidRPr="009245C8" w:rsidRDefault="003438F6" w:rsidP="006130E5">
            <w:pPr>
              <w:spacing w:after="0"/>
              <w:jc w:val="left"/>
              <w:rPr>
                <w:sz w:val="20"/>
                <w:szCs w:val="20"/>
              </w:rPr>
            </w:pPr>
            <w:r w:rsidRPr="009245C8">
              <w:rPr>
                <w:rFonts w:cs="Calibri"/>
                <w:color w:val="000000"/>
                <w:sz w:val="20"/>
                <w:szCs w:val="20"/>
              </w:rPr>
              <w:t>Minimum of three corporate clients with total assets of at least 5 million pesos each.</w:t>
            </w:r>
          </w:p>
        </w:tc>
        <w:tc>
          <w:tcPr>
            <w:tcW w:w="1436" w:type="dxa"/>
            <w:vMerge/>
            <w:vAlign w:val="center"/>
          </w:tcPr>
          <w:p w14:paraId="2DAF38BF" w14:textId="77777777" w:rsidR="003438F6" w:rsidRPr="009245C8" w:rsidRDefault="003438F6" w:rsidP="00AA78DA">
            <w:pPr>
              <w:spacing w:after="0"/>
              <w:jc w:val="center"/>
              <w:rPr>
                <w:sz w:val="20"/>
                <w:szCs w:val="20"/>
              </w:rPr>
            </w:pPr>
          </w:p>
        </w:tc>
        <w:tc>
          <w:tcPr>
            <w:tcW w:w="989" w:type="dxa"/>
            <w:vMerge/>
          </w:tcPr>
          <w:p w14:paraId="3620BAF9" w14:textId="77777777" w:rsidR="003438F6" w:rsidRPr="009245C8" w:rsidRDefault="003438F6" w:rsidP="003438F6">
            <w:pPr>
              <w:spacing w:after="0"/>
              <w:rPr>
                <w:sz w:val="20"/>
                <w:szCs w:val="20"/>
              </w:rPr>
            </w:pPr>
          </w:p>
        </w:tc>
        <w:tc>
          <w:tcPr>
            <w:tcW w:w="1705" w:type="dxa"/>
            <w:vMerge/>
            <w:vAlign w:val="center"/>
          </w:tcPr>
          <w:p w14:paraId="20B1B627" w14:textId="77777777" w:rsidR="003438F6" w:rsidRPr="009245C8" w:rsidRDefault="003438F6" w:rsidP="006130E5">
            <w:pPr>
              <w:spacing w:after="0"/>
              <w:jc w:val="center"/>
              <w:rPr>
                <w:sz w:val="20"/>
                <w:szCs w:val="20"/>
              </w:rPr>
            </w:pPr>
          </w:p>
        </w:tc>
      </w:tr>
      <w:tr w:rsidR="003438F6" w:rsidRPr="009245C8" w14:paraId="68C14E48" w14:textId="77777777" w:rsidTr="009245C8">
        <w:trPr>
          <w:cantSplit/>
          <w:jc w:val="center"/>
        </w:trPr>
        <w:tc>
          <w:tcPr>
            <w:tcW w:w="13860" w:type="dxa"/>
            <w:gridSpan w:val="7"/>
            <w:shd w:val="clear" w:color="auto" w:fill="8C8D90"/>
            <w:vAlign w:val="center"/>
          </w:tcPr>
          <w:p w14:paraId="6240BDE1" w14:textId="7D17CF32" w:rsidR="003438F6" w:rsidRPr="009245C8" w:rsidRDefault="003438F6" w:rsidP="006130E5">
            <w:pPr>
              <w:spacing w:after="0"/>
              <w:jc w:val="center"/>
              <w:rPr>
                <w:b/>
                <w:color w:val="FFFFFF" w:themeColor="background1"/>
                <w:sz w:val="20"/>
                <w:szCs w:val="20"/>
              </w:rPr>
            </w:pPr>
            <w:r w:rsidRPr="009245C8">
              <w:rPr>
                <w:b/>
                <w:color w:val="FFFFFF" w:themeColor="background1"/>
                <w:sz w:val="20"/>
                <w:szCs w:val="20"/>
              </w:rPr>
              <w:t>Insurance Commission</w:t>
            </w:r>
          </w:p>
        </w:tc>
      </w:tr>
      <w:tr w:rsidR="00F20FFF" w:rsidRPr="009245C8" w14:paraId="1AEA443A" w14:textId="77777777" w:rsidTr="009245C8">
        <w:trPr>
          <w:cantSplit/>
          <w:jc w:val="center"/>
        </w:trPr>
        <w:tc>
          <w:tcPr>
            <w:tcW w:w="1350" w:type="dxa"/>
            <w:vAlign w:val="center"/>
          </w:tcPr>
          <w:p w14:paraId="44B7BFF6" w14:textId="03E9ECF1" w:rsidR="003438F6" w:rsidRPr="009245C8" w:rsidRDefault="003438F6" w:rsidP="006130E5">
            <w:pPr>
              <w:spacing w:after="0"/>
              <w:jc w:val="left"/>
              <w:rPr>
                <w:sz w:val="20"/>
                <w:szCs w:val="20"/>
              </w:rPr>
            </w:pPr>
            <w:r w:rsidRPr="009245C8">
              <w:rPr>
                <w:rFonts w:cs="Calibri"/>
                <w:bCs/>
                <w:sz w:val="20"/>
                <w:szCs w:val="20"/>
              </w:rPr>
              <w:t>GROUP A: (a) Insurance companies; (b) Reinsurance companies; and (c) Mutual Benefit Associations.</w:t>
            </w:r>
          </w:p>
        </w:tc>
        <w:tc>
          <w:tcPr>
            <w:tcW w:w="2340" w:type="dxa"/>
            <w:vMerge w:val="restart"/>
            <w:vAlign w:val="center"/>
          </w:tcPr>
          <w:p w14:paraId="584C13B0" w14:textId="0F809951" w:rsidR="003438F6" w:rsidRPr="009245C8" w:rsidRDefault="003438F6" w:rsidP="006130E5">
            <w:pPr>
              <w:spacing w:after="0"/>
              <w:jc w:val="left"/>
              <w:rPr>
                <w:sz w:val="20"/>
                <w:szCs w:val="20"/>
              </w:rPr>
            </w:pPr>
            <w:r w:rsidRPr="009245C8">
              <w:rPr>
                <w:rFonts w:cs="Calibri"/>
                <w:bCs/>
                <w:sz w:val="20"/>
                <w:szCs w:val="20"/>
              </w:rPr>
              <w:t xml:space="preserve">At least five </w:t>
            </w:r>
            <w:proofErr w:type="spellStart"/>
            <w:r w:rsidRPr="009245C8">
              <w:rPr>
                <w:rFonts w:cs="Calibri"/>
                <w:bCs/>
                <w:sz w:val="20"/>
                <w:szCs w:val="20"/>
              </w:rPr>
              <w:t>years experience</w:t>
            </w:r>
            <w:proofErr w:type="spellEnd"/>
            <w:r w:rsidRPr="009245C8">
              <w:rPr>
                <w:rFonts w:cs="Calibri"/>
                <w:bCs/>
                <w:sz w:val="20"/>
                <w:szCs w:val="20"/>
              </w:rPr>
              <w:t xml:space="preserve"> in external audit as in-charge, manager, or partner or its equivalent. Auditor must have adequate established quality assurance procedures applicable to the type of entities covered by the accreditation.</w:t>
            </w:r>
          </w:p>
        </w:tc>
        <w:tc>
          <w:tcPr>
            <w:tcW w:w="3150" w:type="dxa"/>
            <w:vMerge w:val="restart"/>
            <w:vAlign w:val="center"/>
          </w:tcPr>
          <w:p w14:paraId="799C202D" w14:textId="65B402B2" w:rsidR="003438F6" w:rsidRPr="009245C8" w:rsidRDefault="003438F6" w:rsidP="006130E5">
            <w:pPr>
              <w:spacing w:after="0"/>
              <w:jc w:val="left"/>
              <w:rPr>
                <w:sz w:val="20"/>
                <w:szCs w:val="20"/>
              </w:rPr>
            </w:pPr>
            <w:r w:rsidRPr="009245C8">
              <w:rPr>
                <w:rFonts w:cs="Calibri"/>
                <w:bCs/>
                <w:sz w:val="20"/>
                <w:szCs w:val="20"/>
              </w:rPr>
              <w:t>For those with no specific audit experience, at least 40 hours in insurance/reinsurance accounting/auditing seminars; and for renewal, at least 36 hours seminar for the last</w:t>
            </w:r>
            <w:r w:rsidRPr="009245C8">
              <w:rPr>
                <w:sz w:val="20"/>
                <w:szCs w:val="20"/>
              </w:rPr>
              <w:t xml:space="preserve"> </w:t>
            </w:r>
            <w:r w:rsidRPr="009245C8">
              <w:rPr>
                <w:rFonts w:cs="Calibri"/>
                <w:bCs/>
                <w:sz w:val="20"/>
                <w:szCs w:val="20"/>
              </w:rPr>
              <w:t>three years, all conducted by the Institute of Internal Auditors Philippines or other organization recognized by the IC.</w:t>
            </w:r>
          </w:p>
        </w:tc>
        <w:tc>
          <w:tcPr>
            <w:tcW w:w="2890" w:type="dxa"/>
            <w:vMerge w:val="restart"/>
            <w:vAlign w:val="center"/>
          </w:tcPr>
          <w:p w14:paraId="758B44FF" w14:textId="793334FE" w:rsidR="003438F6" w:rsidRPr="009245C8" w:rsidRDefault="003438F6" w:rsidP="006130E5">
            <w:pPr>
              <w:spacing w:after="0"/>
              <w:jc w:val="left"/>
              <w:rPr>
                <w:sz w:val="20"/>
                <w:szCs w:val="20"/>
              </w:rPr>
            </w:pPr>
            <w:r w:rsidRPr="009245C8">
              <w:rPr>
                <w:rFonts w:cs="Calibri"/>
                <w:bCs/>
                <w:sz w:val="20"/>
                <w:szCs w:val="20"/>
              </w:rPr>
              <w:t>No less than 2 years of specific audit experience on type of entity covered.</w:t>
            </w:r>
          </w:p>
        </w:tc>
        <w:tc>
          <w:tcPr>
            <w:tcW w:w="1436" w:type="dxa"/>
            <w:vMerge w:val="restart"/>
            <w:vAlign w:val="center"/>
          </w:tcPr>
          <w:p w14:paraId="7AE2E524" w14:textId="4854E324" w:rsidR="003438F6" w:rsidRPr="009245C8" w:rsidRDefault="003438F6" w:rsidP="00AA78DA">
            <w:pPr>
              <w:spacing w:after="0"/>
              <w:jc w:val="center"/>
              <w:rPr>
                <w:sz w:val="20"/>
                <w:szCs w:val="20"/>
              </w:rPr>
            </w:pPr>
            <w:r w:rsidRPr="009245C8">
              <w:rPr>
                <w:rFonts w:cs="Calibri"/>
                <w:bCs/>
                <w:sz w:val="20"/>
                <w:szCs w:val="20"/>
              </w:rPr>
              <w:t>BOA Accreditation</w:t>
            </w:r>
          </w:p>
        </w:tc>
        <w:tc>
          <w:tcPr>
            <w:tcW w:w="989" w:type="dxa"/>
            <w:vMerge w:val="restart"/>
            <w:vAlign w:val="center"/>
          </w:tcPr>
          <w:p w14:paraId="6D7D95AE" w14:textId="44352E90" w:rsidR="003438F6" w:rsidRPr="009245C8" w:rsidRDefault="003438F6" w:rsidP="006130E5">
            <w:pPr>
              <w:spacing w:after="0"/>
              <w:jc w:val="center"/>
              <w:rPr>
                <w:sz w:val="20"/>
                <w:szCs w:val="20"/>
              </w:rPr>
            </w:pPr>
            <w:r w:rsidRPr="009245C8">
              <w:rPr>
                <w:rFonts w:cs="Calibri"/>
                <w:bCs/>
                <w:sz w:val="20"/>
                <w:szCs w:val="20"/>
              </w:rPr>
              <w:t>3 years</w:t>
            </w:r>
          </w:p>
        </w:tc>
        <w:tc>
          <w:tcPr>
            <w:tcW w:w="1705" w:type="dxa"/>
            <w:vMerge w:val="restart"/>
            <w:vAlign w:val="center"/>
          </w:tcPr>
          <w:p w14:paraId="05E41AF1" w14:textId="5ACE1D92" w:rsidR="003438F6" w:rsidRPr="009245C8" w:rsidRDefault="003438F6" w:rsidP="006130E5">
            <w:pPr>
              <w:spacing w:after="0"/>
              <w:jc w:val="center"/>
              <w:rPr>
                <w:sz w:val="20"/>
                <w:szCs w:val="20"/>
              </w:rPr>
            </w:pPr>
            <w:r w:rsidRPr="009245C8">
              <w:rPr>
                <w:rFonts w:cs="Calibri"/>
                <w:bCs/>
                <w:sz w:val="20"/>
                <w:szCs w:val="20"/>
              </w:rPr>
              <w:t>2,000 pesos for sole practitioner / 5,000 pesos for firm</w:t>
            </w:r>
          </w:p>
        </w:tc>
      </w:tr>
      <w:tr w:rsidR="00F20FFF" w:rsidRPr="009245C8" w14:paraId="60FE5A4C" w14:textId="77777777" w:rsidTr="009245C8">
        <w:trPr>
          <w:cantSplit/>
          <w:jc w:val="center"/>
        </w:trPr>
        <w:tc>
          <w:tcPr>
            <w:tcW w:w="1350" w:type="dxa"/>
            <w:vAlign w:val="center"/>
          </w:tcPr>
          <w:p w14:paraId="1294370A" w14:textId="6918E5D9" w:rsidR="003438F6" w:rsidRPr="009245C8" w:rsidRDefault="003438F6" w:rsidP="006130E5">
            <w:pPr>
              <w:spacing w:after="0"/>
              <w:jc w:val="left"/>
              <w:rPr>
                <w:sz w:val="20"/>
                <w:szCs w:val="20"/>
              </w:rPr>
            </w:pPr>
            <w:r w:rsidRPr="009245C8">
              <w:rPr>
                <w:rFonts w:cs="Calibri"/>
                <w:bCs/>
                <w:sz w:val="20"/>
                <w:szCs w:val="20"/>
              </w:rPr>
              <w:t>Group B (a) Insurance and reinsurance brokers; (b) General agents; and (c) Trust for charitable uses.</w:t>
            </w:r>
          </w:p>
        </w:tc>
        <w:tc>
          <w:tcPr>
            <w:tcW w:w="2340" w:type="dxa"/>
            <w:vMerge/>
          </w:tcPr>
          <w:p w14:paraId="5B103A3F" w14:textId="77777777" w:rsidR="003438F6" w:rsidRPr="009245C8" w:rsidRDefault="003438F6" w:rsidP="003438F6">
            <w:pPr>
              <w:spacing w:after="0"/>
              <w:rPr>
                <w:sz w:val="20"/>
                <w:szCs w:val="20"/>
              </w:rPr>
            </w:pPr>
          </w:p>
        </w:tc>
        <w:tc>
          <w:tcPr>
            <w:tcW w:w="3150" w:type="dxa"/>
            <w:vMerge/>
          </w:tcPr>
          <w:p w14:paraId="189764E5" w14:textId="77777777" w:rsidR="003438F6" w:rsidRPr="009245C8" w:rsidRDefault="003438F6" w:rsidP="003438F6">
            <w:pPr>
              <w:spacing w:after="0"/>
              <w:rPr>
                <w:sz w:val="20"/>
                <w:szCs w:val="20"/>
              </w:rPr>
            </w:pPr>
          </w:p>
        </w:tc>
        <w:tc>
          <w:tcPr>
            <w:tcW w:w="2890" w:type="dxa"/>
            <w:vMerge/>
          </w:tcPr>
          <w:p w14:paraId="03066F26" w14:textId="77777777" w:rsidR="003438F6" w:rsidRPr="009245C8" w:rsidRDefault="003438F6" w:rsidP="003438F6">
            <w:pPr>
              <w:spacing w:after="0"/>
              <w:rPr>
                <w:sz w:val="20"/>
                <w:szCs w:val="20"/>
              </w:rPr>
            </w:pPr>
          </w:p>
        </w:tc>
        <w:tc>
          <w:tcPr>
            <w:tcW w:w="1436" w:type="dxa"/>
            <w:vMerge/>
            <w:vAlign w:val="center"/>
          </w:tcPr>
          <w:p w14:paraId="28E2C2FF" w14:textId="77777777" w:rsidR="003438F6" w:rsidRPr="009245C8" w:rsidRDefault="003438F6" w:rsidP="00AA78DA">
            <w:pPr>
              <w:spacing w:after="0"/>
              <w:jc w:val="center"/>
              <w:rPr>
                <w:sz w:val="20"/>
                <w:szCs w:val="20"/>
              </w:rPr>
            </w:pPr>
          </w:p>
        </w:tc>
        <w:tc>
          <w:tcPr>
            <w:tcW w:w="989" w:type="dxa"/>
            <w:vMerge/>
          </w:tcPr>
          <w:p w14:paraId="1E5F8157" w14:textId="77777777" w:rsidR="003438F6" w:rsidRPr="009245C8" w:rsidRDefault="003438F6" w:rsidP="003438F6">
            <w:pPr>
              <w:spacing w:after="0"/>
              <w:rPr>
                <w:sz w:val="20"/>
                <w:szCs w:val="20"/>
              </w:rPr>
            </w:pPr>
          </w:p>
        </w:tc>
        <w:tc>
          <w:tcPr>
            <w:tcW w:w="1705" w:type="dxa"/>
            <w:vMerge/>
            <w:vAlign w:val="center"/>
          </w:tcPr>
          <w:p w14:paraId="50F1A2C6" w14:textId="77777777" w:rsidR="003438F6" w:rsidRPr="009245C8" w:rsidRDefault="003438F6" w:rsidP="006130E5">
            <w:pPr>
              <w:spacing w:after="0"/>
              <w:jc w:val="center"/>
              <w:rPr>
                <w:sz w:val="20"/>
                <w:szCs w:val="20"/>
              </w:rPr>
            </w:pPr>
          </w:p>
        </w:tc>
      </w:tr>
      <w:tr w:rsidR="003438F6" w:rsidRPr="009245C8" w14:paraId="36E0AE76" w14:textId="77777777" w:rsidTr="009245C8">
        <w:trPr>
          <w:cantSplit/>
          <w:jc w:val="center"/>
        </w:trPr>
        <w:tc>
          <w:tcPr>
            <w:tcW w:w="13860" w:type="dxa"/>
            <w:gridSpan w:val="7"/>
            <w:shd w:val="clear" w:color="auto" w:fill="8C8D90"/>
            <w:vAlign w:val="center"/>
          </w:tcPr>
          <w:p w14:paraId="256F38BF" w14:textId="66FA2767" w:rsidR="003438F6" w:rsidRPr="009245C8" w:rsidRDefault="003438F6" w:rsidP="00B502ED">
            <w:pPr>
              <w:keepNext/>
              <w:keepLines/>
              <w:spacing w:after="0"/>
              <w:jc w:val="center"/>
              <w:rPr>
                <w:b/>
                <w:color w:val="FFFFFF" w:themeColor="background1"/>
                <w:sz w:val="20"/>
                <w:szCs w:val="20"/>
              </w:rPr>
            </w:pPr>
            <w:r w:rsidRPr="009245C8">
              <w:rPr>
                <w:b/>
                <w:color w:val="FFFFFF" w:themeColor="background1"/>
                <w:sz w:val="20"/>
                <w:szCs w:val="20"/>
              </w:rPr>
              <w:t>Cooperative Development Authority</w:t>
            </w:r>
          </w:p>
        </w:tc>
      </w:tr>
      <w:tr w:rsidR="00D71126" w:rsidRPr="009245C8" w14:paraId="17FCB5CC" w14:textId="77777777" w:rsidTr="009245C8">
        <w:trPr>
          <w:cantSplit/>
          <w:jc w:val="center"/>
        </w:trPr>
        <w:tc>
          <w:tcPr>
            <w:tcW w:w="1350" w:type="dxa"/>
            <w:shd w:val="clear" w:color="auto" w:fill="E7E6E6" w:themeFill="background2"/>
            <w:vAlign w:val="center"/>
          </w:tcPr>
          <w:p w14:paraId="6271D971" w14:textId="7F9352D5" w:rsidR="003438F6" w:rsidRPr="009245C8" w:rsidRDefault="003438F6" w:rsidP="00B502ED">
            <w:pPr>
              <w:keepNext/>
              <w:keepLines/>
              <w:spacing w:after="0"/>
              <w:jc w:val="left"/>
              <w:rPr>
                <w:sz w:val="20"/>
                <w:szCs w:val="20"/>
              </w:rPr>
            </w:pPr>
            <w:r w:rsidRPr="009245C8">
              <w:rPr>
                <w:rFonts w:eastAsia="Times New Roman" w:cs="Times New Roman"/>
                <w:sz w:val="20"/>
                <w:szCs w:val="20"/>
              </w:rPr>
              <w:t>All cooperatives.</w:t>
            </w:r>
          </w:p>
        </w:tc>
        <w:tc>
          <w:tcPr>
            <w:tcW w:w="2340" w:type="dxa"/>
            <w:shd w:val="clear" w:color="auto" w:fill="E7E6E6" w:themeFill="background2"/>
            <w:vAlign w:val="center"/>
          </w:tcPr>
          <w:p w14:paraId="44AFC1C8" w14:textId="2BB6BD1C" w:rsidR="003438F6" w:rsidRPr="009245C8" w:rsidRDefault="003438F6" w:rsidP="00B502ED">
            <w:pPr>
              <w:keepNext/>
              <w:keepLines/>
              <w:spacing w:after="0"/>
              <w:jc w:val="center"/>
              <w:rPr>
                <w:sz w:val="20"/>
                <w:szCs w:val="20"/>
              </w:rPr>
            </w:pPr>
            <w:r w:rsidRPr="009245C8">
              <w:rPr>
                <w:sz w:val="20"/>
                <w:szCs w:val="20"/>
              </w:rPr>
              <w:t>-</w:t>
            </w:r>
          </w:p>
        </w:tc>
        <w:tc>
          <w:tcPr>
            <w:tcW w:w="3150" w:type="dxa"/>
            <w:shd w:val="clear" w:color="auto" w:fill="E7E6E6" w:themeFill="background2"/>
            <w:vAlign w:val="center"/>
          </w:tcPr>
          <w:p w14:paraId="25A9E78E" w14:textId="3AB669CF" w:rsidR="003438F6" w:rsidRPr="009245C8" w:rsidRDefault="003438F6" w:rsidP="00B502ED">
            <w:pPr>
              <w:keepNext/>
              <w:keepLines/>
              <w:spacing w:after="0"/>
              <w:jc w:val="left"/>
              <w:rPr>
                <w:sz w:val="20"/>
                <w:szCs w:val="20"/>
              </w:rPr>
            </w:pPr>
            <w:r w:rsidRPr="009245C8">
              <w:rPr>
                <w:rFonts w:eastAsia="Times New Roman" w:cs="Times New Roman"/>
                <w:sz w:val="20"/>
                <w:szCs w:val="20"/>
              </w:rPr>
              <w:t>Minimum 24 hours of training with topics on Standard Chart of Accounts, Financial Reporting Standards for Cooperatives, Philippine Cooperative Code, Rules and regulations issued by the CDA, etc.</w:t>
            </w:r>
          </w:p>
        </w:tc>
        <w:tc>
          <w:tcPr>
            <w:tcW w:w="2890" w:type="dxa"/>
            <w:shd w:val="clear" w:color="auto" w:fill="E7E6E6" w:themeFill="background2"/>
            <w:vAlign w:val="center"/>
          </w:tcPr>
          <w:p w14:paraId="0224FA85" w14:textId="7279017A" w:rsidR="003438F6" w:rsidRPr="009245C8" w:rsidRDefault="003438F6" w:rsidP="00B502ED">
            <w:pPr>
              <w:keepNext/>
              <w:keepLines/>
              <w:spacing w:after="0"/>
              <w:jc w:val="center"/>
              <w:rPr>
                <w:sz w:val="20"/>
                <w:szCs w:val="20"/>
              </w:rPr>
            </w:pPr>
            <w:r w:rsidRPr="009245C8">
              <w:rPr>
                <w:sz w:val="20"/>
                <w:szCs w:val="20"/>
              </w:rPr>
              <w:t>-</w:t>
            </w:r>
          </w:p>
        </w:tc>
        <w:tc>
          <w:tcPr>
            <w:tcW w:w="1436" w:type="dxa"/>
            <w:shd w:val="clear" w:color="auto" w:fill="E7E6E6" w:themeFill="background2"/>
            <w:vAlign w:val="center"/>
          </w:tcPr>
          <w:p w14:paraId="5FAB822D" w14:textId="13E0403F" w:rsidR="003438F6" w:rsidRPr="009245C8" w:rsidRDefault="003438F6" w:rsidP="00B502ED">
            <w:pPr>
              <w:keepNext/>
              <w:keepLines/>
              <w:spacing w:after="0"/>
              <w:jc w:val="center"/>
              <w:rPr>
                <w:sz w:val="20"/>
                <w:szCs w:val="20"/>
              </w:rPr>
            </w:pPr>
            <w:r w:rsidRPr="009245C8">
              <w:rPr>
                <w:sz w:val="20"/>
                <w:szCs w:val="20"/>
              </w:rPr>
              <w:t>BOA Registration</w:t>
            </w:r>
          </w:p>
        </w:tc>
        <w:tc>
          <w:tcPr>
            <w:tcW w:w="989" w:type="dxa"/>
            <w:shd w:val="clear" w:color="auto" w:fill="E7E6E6" w:themeFill="background2"/>
            <w:vAlign w:val="center"/>
          </w:tcPr>
          <w:p w14:paraId="51ADEB97" w14:textId="5EC48B3C" w:rsidR="003438F6" w:rsidRPr="009245C8" w:rsidRDefault="003438F6" w:rsidP="00B502ED">
            <w:pPr>
              <w:keepNext/>
              <w:keepLines/>
              <w:spacing w:after="0"/>
              <w:jc w:val="center"/>
              <w:rPr>
                <w:sz w:val="20"/>
                <w:szCs w:val="20"/>
              </w:rPr>
            </w:pPr>
            <w:r w:rsidRPr="009245C8">
              <w:rPr>
                <w:sz w:val="20"/>
                <w:szCs w:val="20"/>
              </w:rPr>
              <w:t>3 years</w:t>
            </w:r>
          </w:p>
        </w:tc>
        <w:tc>
          <w:tcPr>
            <w:tcW w:w="1705" w:type="dxa"/>
            <w:shd w:val="clear" w:color="auto" w:fill="E7E6E6" w:themeFill="background2"/>
            <w:vAlign w:val="center"/>
          </w:tcPr>
          <w:p w14:paraId="1833D846" w14:textId="64C28A21" w:rsidR="003438F6" w:rsidRPr="009245C8" w:rsidRDefault="003438F6" w:rsidP="00B502ED">
            <w:pPr>
              <w:keepNext/>
              <w:keepLines/>
              <w:spacing w:after="0"/>
              <w:jc w:val="center"/>
              <w:rPr>
                <w:sz w:val="20"/>
                <w:szCs w:val="20"/>
              </w:rPr>
            </w:pPr>
            <w:r w:rsidRPr="009245C8">
              <w:rPr>
                <w:rFonts w:eastAsia="Times New Roman" w:cs="Times New Roman"/>
                <w:sz w:val="20"/>
                <w:szCs w:val="20"/>
              </w:rPr>
              <w:t>2,000</w:t>
            </w:r>
            <w:r w:rsidRPr="009245C8">
              <w:rPr>
                <w:sz w:val="20"/>
                <w:szCs w:val="20"/>
              </w:rPr>
              <w:t xml:space="preserve"> </w:t>
            </w:r>
            <w:r w:rsidRPr="009245C8">
              <w:rPr>
                <w:rFonts w:eastAsia="Times New Roman" w:cs="Times New Roman"/>
                <w:sz w:val="20"/>
                <w:szCs w:val="20"/>
              </w:rPr>
              <w:t>pesos for sole practitioner / 5,000 pesos for firm</w:t>
            </w:r>
          </w:p>
        </w:tc>
      </w:tr>
      <w:tr w:rsidR="003438F6" w:rsidRPr="009245C8" w14:paraId="0EC95D09" w14:textId="77777777" w:rsidTr="009245C8">
        <w:trPr>
          <w:cantSplit/>
          <w:jc w:val="center"/>
        </w:trPr>
        <w:tc>
          <w:tcPr>
            <w:tcW w:w="13860" w:type="dxa"/>
            <w:gridSpan w:val="7"/>
            <w:shd w:val="clear" w:color="auto" w:fill="8C8D90"/>
            <w:vAlign w:val="center"/>
          </w:tcPr>
          <w:p w14:paraId="6F32E6B3" w14:textId="280E821E" w:rsidR="003438F6" w:rsidRPr="009245C8" w:rsidRDefault="003438F6" w:rsidP="006130E5">
            <w:pPr>
              <w:spacing w:after="0"/>
              <w:jc w:val="center"/>
              <w:rPr>
                <w:b/>
                <w:color w:val="FFFFFF" w:themeColor="background1"/>
                <w:sz w:val="20"/>
                <w:szCs w:val="20"/>
              </w:rPr>
            </w:pPr>
            <w:r w:rsidRPr="009245C8">
              <w:rPr>
                <w:b/>
                <w:color w:val="FFFFFF" w:themeColor="background1"/>
                <w:sz w:val="20"/>
                <w:szCs w:val="20"/>
              </w:rPr>
              <w:t>National Electrification Administration</w:t>
            </w:r>
          </w:p>
        </w:tc>
      </w:tr>
      <w:tr w:rsidR="00D71126" w:rsidRPr="009245C8" w14:paraId="67EE5BD5" w14:textId="77777777" w:rsidTr="009245C8">
        <w:trPr>
          <w:cantSplit/>
          <w:trHeight w:val="1450"/>
          <w:jc w:val="center"/>
        </w:trPr>
        <w:tc>
          <w:tcPr>
            <w:tcW w:w="1350" w:type="dxa"/>
            <w:vAlign w:val="center"/>
          </w:tcPr>
          <w:p w14:paraId="6A420E18" w14:textId="5831E297" w:rsidR="003438F6" w:rsidRPr="009245C8" w:rsidRDefault="003438F6" w:rsidP="006130E5">
            <w:pPr>
              <w:spacing w:after="0"/>
              <w:jc w:val="left"/>
              <w:rPr>
                <w:sz w:val="20"/>
                <w:szCs w:val="20"/>
              </w:rPr>
            </w:pPr>
            <w:r w:rsidRPr="009245C8">
              <w:rPr>
                <w:rFonts w:eastAsia="Times New Roman" w:cs="Times New Roman"/>
                <w:sz w:val="20"/>
                <w:szCs w:val="20"/>
              </w:rPr>
              <w:t>Electric Cooperatives.</w:t>
            </w:r>
          </w:p>
        </w:tc>
        <w:tc>
          <w:tcPr>
            <w:tcW w:w="2340" w:type="dxa"/>
            <w:vAlign w:val="center"/>
          </w:tcPr>
          <w:p w14:paraId="03238E8E" w14:textId="70BE3095" w:rsidR="003438F6" w:rsidRPr="009245C8" w:rsidRDefault="003438F6" w:rsidP="006130E5">
            <w:pPr>
              <w:spacing w:after="0"/>
              <w:jc w:val="left"/>
              <w:rPr>
                <w:sz w:val="20"/>
                <w:szCs w:val="20"/>
              </w:rPr>
            </w:pPr>
            <w:r w:rsidRPr="009245C8">
              <w:rPr>
                <w:rFonts w:eastAsia="Times New Roman" w:cs="Times New Roman"/>
                <w:sz w:val="20"/>
                <w:szCs w:val="20"/>
              </w:rPr>
              <w:t>Engaged in public accounting for at least three years. Audit Team must have at least a senior partner and five key audit staff composed of managers and auditors who are CPAs.</w:t>
            </w:r>
          </w:p>
        </w:tc>
        <w:tc>
          <w:tcPr>
            <w:tcW w:w="3150" w:type="dxa"/>
            <w:vAlign w:val="center"/>
          </w:tcPr>
          <w:p w14:paraId="06209D47" w14:textId="4E67F0D7" w:rsidR="003438F6" w:rsidRPr="009245C8" w:rsidRDefault="003438F6" w:rsidP="006130E5">
            <w:pPr>
              <w:spacing w:after="0"/>
              <w:jc w:val="center"/>
              <w:rPr>
                <w:sz w:val="20"/>
                <w:szCs w:val="20"/>
              </w:rPr>
            </w:pPr>
            <w:r w:rsidRPr="009245C8">
              <w:rPr>
                <w:sz w:val="20"/>
                <w:szCs w:val="20"/>
              </w:rPr>
              <w:t>-</w:t>
            </w:r>
          </w:p>
        </w:tc>
        <w:tc>
          <w:tcPr>
            <w:tcW w:w="2890" w:type="dxa"/>
            <w:vAlign w:val="center"/>
          </w:tcPr>
          <w:p w14:paraId="2C3E6F68" w14:textId="2C3B3D31" w:rsidR="003438F6" w:rsidRPr="009245C8" w:rsidRDefault="003438F6" w:rsidP="006130E5">
            <w:pPr>
              <w:spacing w:after="0"/>
              <w:jc w:val="center"/>
              <w:rPr>
                <w:sz w:val="20"/>
                <w:szCs w:val="20"/>
              </w:rPr>
            </w:pPr>
            <w:r w:rsidRPr="009245C8">
              <w:rPr>
                <w:sz w:val="20"/>
                <w:szCs w:val="20"/>
              </w:rPr>
              <w:t>-</w:t>
            </w:r>
          </w:p>
        </w:tc>
        <w:tc>
          <w:tcPr>
            <w:tcW w:w="1436" w:type="dxa"/>
            <w:vAlign w:val="center"/>
          </w:tcPr>
          <w:p w14:paraId="7244C59B" w14:textId="3E712213" w:rsidR="003438F6" w:rsidRPr="009245C8" w:rsidRDefault="003438F6" w:rsidP="00AA78DA">
            <w:pPr>
              <w:spacing w:after="0"/>
              <w:jc w:val="center"/>
              <w:rPr>
                <w:sz w:val="20"/>
                <w:szCs w:val="20"/>
              </w:rPr>
            </w:pPr>
            <w:r w:rsidRPr="009245C8">
              <w:rPr>
                <w:rFonts w:eastAsia="Times New Roman" w:cs="Times New Roman"/>
                <w:sz w:val="20"/>
                <w:szCs w:val="20"/>
              </w:rPr>
              <w:t>BOA and BIR Accreditation</w:t>
            </w:r>
          </w:p>
        </w:tc>
        <w:tc>
          <w:tcPr>
            <w:tcW w:w="989" w:type="dxa"/>
            <w:vAlign w:val="center"/>
          </w:tcPr>
          <w:p w14:paraId="535DBE49" w14:textId="01FB866E" w:rsidR="003438F6" w:rsidRPr="009245C8" w:rsidRDefault="003438F6" w:rsidP="006130E5">
            <w:pPr>
              <w:spacing w:after="0"/>
              <w:jc w:val="center"/>
              <w:rPr>
                <w:sz w:val="20"/>
                <w:szCs w:val="20"/>
              </w:rPr>
            </w:pPr>
            <w:r w:rsidRPr="009245C8">
              <w:rPr>
                <w:rFonts w:eastAsia="Times New Roman" w:cs="Times New Roman"/>
                <w:sz w:val="20"/>
                <w:szCs w:val="20"/>
              </w:rPr>
              <w:t>3 years</w:t>
            </w:r>
          </w:p>
        </w:tc>
        <w:tc>
          <w:tcPr>
            <w:tcW w:w="1705" w:type="dxa"/>
            <w:vAlign w:val="center"/>
          </w:tcPr>
          <w:p w14:paraId="4E59D933" w14:textId="35CE3EEB" w:rsidR="003438F6" w:rsidRPr="009245C8" w:rsidRDefault="003438F6" w:rsidP="006130E5">
            <w:pPr>
              <w:spacing w:after="0"/>
              <w:jc w:val="center"/>
              <w:rPr>
                <w:sz w:val="20"/>
                <w:szCs w:val="20"/>
              </w:rPr>
            </w:pPr>
            <w:r w:rsidRPr="009245C8">
              <w:rPr>
                <w:rFonts w:eastAsia="Times New Roman" w:cs="Times New Roman"/>
                <w:sz w:val="20"/>
                <w:szCs w:val="20"/>
              </w:rPr>
              <w:t>15,000</w:t>
            </w:r>
            <w:r w:rsidRPr="009245C8">
              <w:rPr>
                <w:sz w:val="20"/>
                <w:szCs w:val="20"/>
              </w:rPr>
              <w:t xml:space="preserve"> </w:t>
            </w:r>
            <w:r w:rsidRPr="009245C8">
              <w:rPr>
                <w:rFonts w:eastAsia="Times New Roman" w:cs="Times New Roman"/>
                <w:sz w:val="20"/>
                <w:szCs w:val="20"/>
              </w:rPr>
              <w:t>pesos</w:t>
            </w:r>
          </w:p>
        </w:tc>
      </w:tr>
      <w:tr w:rsidR="003438F6" w:rsidRPr="009245C8" w14:paraId="6A2CBB6C" w14:textId="77777777" w:rsidTr="00373DF7">
        <w:trPr>
          <w:cantSplit/>
          <w:jc w:val="center"/>
        </w:trPr>
        <w:tc>
          <w:tcPr>
            <w:tcW w:w="13860" w:type="dxa"/>
            <w:gridSpan w:val="7"/>
            <w:tcBorders>
              <w:bottom w:val="single" w:sz="4" w:space="0" w:color="8C8D90"/>
            </w:tcBorders>
            <w:shd w:val="clear" w:color="auto" w:fill="8C8D90"/>
            <w:vAlign w:val="center"/>
          </w:tcPr>
          <w:p w14:paraId="1F506483" w14:textId="193B849A" w:rsidR="003438F6" w:rsidRPr="009245C8" w:rsidRDefault="003438F6" w:rsidP="006130E5">
            <w:pPr>
              <w:spacing w:after="0"/>
              <w:jc w:val="center"/>
              <w:rPr>
                <w:b/>
                <w:color w:val="FFFFFF" w:themeColor="background1"/>
                <w:sz w:val="20"/>
                <w:szCs w:val="20"/>
              </w:rPr>
            </w:pPr>
            <w:r w:rsidRPr="009245C8">
              <w:rPr>
                <w:b/>
                <w:color w:val="FFFFFF" w:themeColor="background1"/>
                <w:sz w:val="20"/>
                <w:szCs w:val="20"/>
              </w:rPr>
              <w:t>Energy Regulatory Commission</w:t>
            </w:r>
          </w:p>
        </w:tc>
      </w:tr>
      <w:tr w:rsidR="00D71126" w:rsidRPr="009245C8" w14:paraId="36D44528" w14:textId="77777777" w:rsidTr="00373DF7">
        <w:trPr>
          <w:cantSplit/>
          <w:trHeight w:val="424"/>
          <w:jc w:val="center"/>
        </w:trPr>
        <w:tc>
          <w:tcPr>
            <w:tcW w:w="1350" w:type="dxa"/>
            <w:tcBorders>
              <w:bottom w:val="single" w:sz="4" w:space="0" w:color="4472C4"/>
            </w:tcBorders>
            <w:shd w:val="clear" w:color="auto" w:fill="E7E6E6" w:themeFill="background2"/>
            <w:vAlign w:val="center"/>
          </w:tcPr>
          <w:p w14:paraId="572764D3" w14:textId="3039589A" w:rsidR="003438F6" w:rsidRPr="009245C8" w:rsidRDefault="003438F6" w:rsidP="006130E5">
            <w:pPr>
              <w:spacing w:after="0"/>
              <w:jc w:val="left"/>
              <w:rPr>
                <w:sz w:val="20"/>
                <w:szCs w:val="20"/>
              </w:rPr>
            </w:pPr>
            <w:r w:rsidRPr="009245C8">
              <w:rPr>
                <w:rFonts w:eastAsia="Times New Roman" w:cs="Times New Roman"/>
                <w:sz w:val="20"/>
                <w:szCs w:val="20"/>
              </w:rPr>
              <w:t>Distribution Utilities.</w:t>
            </w:r>
          </w:p>
        </w:tc>
        <w:tc>
          <w:tcPr>
            <w:tcW w:w="2340" w:type="dxa"/>
            <w:tcBorders>
              <w:bottom w:val="single" w:sz="4" w:space="0" w:color="4472C4"/>
            </w:tcBorders>
            <w:shd w:val="clear" w:color="auto" w:fill="E7E6E6" w:themeFill="background2"/>
            <w:vAlign w:val="center"/>
          </w:tcPr>
          <w:p w14:paraId="1D53DE40" w14:textId="2E2C1017" w:rsidR="003438F6" w:rsidRPr="009245C8" w:rsidRDefault="003438F6" w:rsidP="006130E5">
            <w:pPr>
              <w:spacing w:after="0"/>
              <w:jc w:val="left"/>
              <w:rPr>
                <w:sz w:val="20"/>
                <w:szCs w:val="20"/>
              </w:rPr>
            </w:pPr>
            <w:r w:rsidRPr="009245C8">
              <w:rPr>
                <w:rFonts w:eastAsia="Times New Roman" w:cs="Times New Roman"/>
                <w:sz w:val="20"/>
                <w:szCs w:val="20"/>
              </w:rPr>
              <w:t xml:space="preserve">At least five </w:t>
            </w:r>
            <w:proofErr w:type="spellStart"/>
            <w:r w:rsidRPr="009245C8">
              <w:rPr>
                <w:rFonts w:eastAsia="Times New Roman" w:cs="Times New Roman"/>
                <w:sz w:val="20"/>
                <w:szCs w:val="20"/>
              </w:rPr>
              <w:t>years experience</w:t>
            </w:r>
            <w:proofErr w:type="spellEnd"/>
            <w:r w:rsidRPr="009245C8">
              <w:rPr>
                <w:rFonts w:eastAsia="Times New Roman" w:cs="Times New Roman"/>
                <w:sz w:val="20"/>
                <w:szCs w:val="20"/>
              </w:rPr>
              <w:t xml:space="preserve"> in performing external audit services.</w:t>
            </w:r>
          </w:p>
        </w:tc>
        <w:tc>
          <w:tcPr>
            <w:tcW w:w="3150" w:type="dxa"/>
            <w:tcBorders>
              <w:bottom w:val="single" w:sz="4" w:space="0" w:color="4472C4"/>
            </w:tcBorders>
            <w:shd w:val="clear" w:color="auto" w:fill="E7E6E6" w:themeFill="background2"/>
            <w:vAlign w:val="center"/>
          </w:tcPr>
          <w:p w14:paraId="358210CC" w14:textId="11B86DC2" w:rsidR="003438F6" w:rsidRPr="009245C8" w:rsidRDefault="003438F6" w:rsidP="006130E5">
            <w:pPr>
              <w:spacing w:after="0"/>
              <w:jc w:val="left"/>
              <w:rPr>
                <w:sz w:val="20"/>
                <w:szCs w:val="20"/>
              </w:rPr>
            </w:pPr>
            <w:r w:rsidRPr="009245C8">
              <w:rPr>
                <w:sz w:val="20"/>
                <w:szCs w:val="20"/>
              </w:rPr>
              <w:t>-</w:t>
            </w:r>
          </w:p>
        </w:tc>
        <w:tc>
          <w:tcPr>
            <w:tcW w:w="2890" w:type="dxa"/>
            <w:tcBorders>
              <w:bottom w:val="single" w:sz="4" w:space="0" w:color="4472C4"/>
            </w:tcBorders>
            <w:shd w:val="clear" w:color="auto" w:fill="E7E6E6" w:themeFill="background2"/>
            <w:vAlign w:val="center"/>
          </w:tcPr>
          <w:p w14:paraId="59CB29E4" w14:textId="3C98B2A4" w:rsidR="003438F6" w:rsidRPr="009245C8" w:rsidRDefault="003438F6" w:rsidP="006130E5">
            <w:pPr>
              <w:spacing w:after="0"/>
              <w:jc w:val="left"/>
              <w:rPr>
                <w:sz w:val="20"/>
                <w:szCs w:val="20"/>
              </w:rPr>
            </w:pPr>
            <w:r w:rsidRPr="009245C8">
              <w:rPr>
                <w:rFonts w:eastAsia="Times New Roman" w:cs="Times New Roman"/>
                <w:sz w:val="20"/>
                <w:szCs w:val="20"/>
              </w:rPr>
              <w:t>No outstanding complaints with the BOA, PRC, SEC, and any other government agencies involving professional conduct.</w:t>
            </w:r>
          </w:p>
        </w:tc>
        <w:tc>
          <w:tcPr>
            <w:tcW w:w="1436" w:type="dxa"/>
            <w:tcBorders>
              <w:bottom w:val="single" w:sz="4" w:space="0" w:color="4472C4"/>
            </w:tcBorders>
            <w:shd w:val="clear" w:color="auto" w:fill="E7E6E6" w:themeFill="background2"/>
            <w:vAlign w:val="center"/>
          </w:tcPr>
          <w:p w14:paraId="6212EA1D" w14:textId="731FC472" w:rsidR="003438F6" w:rsidRPr="009245C8" w:rsidRDefault="003438F6" w:rsidP="00AA78DA">
            <w:pPr>
              <w:spacing w:after="0"/>
              <w:jc w:val="center"/>
              <w:rPr>
                <w:sz w:val="20"/>
                <w:szCs w:val="20"/>
              </w:rPr>
            </w:pPr>
            <w:r w:rsidRPr="009245C8">
              <w:rPr>
                <w:rFonts w:eastAsia="Times New Roman" w:cs="Times New Roman"/>
                <w:sz w:val="20"/>
                <w:szCs w:val="20"/>
              </w:rPr>
              <w:t>BOA Accreditation</w:t>
            </w:r>
          </w:p>
        </w:tc>
        <w:tc>
          <w:tcPr>
            <w:tcW w:w="989" w:type="dxa"/>
            <w:tcBorders>
              <w:bottom w:val="single" w:sz="4" w:space="0" w:color="4472C4"/>
            </w:tcBorders>
            <w:shd w:val="clear" w:color="auto" w:fill="E7E6E6" w:themeFill="background2"/>
            <w:vAlign w:val="center"/>
          </w:tcPr>
          <w:p w14:paraId="0AAC5605" w14:textId="3A102686" w:rsidR="003438F6" w:rsidRPr="009245C8" w:rsidRDefault="003438F6" w:rsidP="006130E5">
            <w:pPr>
              <w:spacing w:after="0"/>
              <w:jc w:val="center"/>
              <w:rPr>
                <w:sz w:val="20"/>
                <w:szCs w:val="20"/>
              </w:rPr>
            </w:pPr>
            <w:r w:rsidRPr="009245C8">
              <w:rPr>
                <w:rFonts w:eastAsia="Times New Roman" w:cs="Times New Roman"/>
                <w:sz w:val="20"/>
                <w:szCs w:val="20"/>
              </w:rPr>
              <w:t>3 years</w:t>
            </w:r>
          </w:p>
        </w:tc>
        <w:tc>
          <w:tcPr>
            <w:tcW w:w="1705" w:type="dxa"/>
            <w:tcBorders>
              <w:bottom w:val="single" w:sz="4" w:space="0" w:color="4472C4"/>
            </w:tcBorders>
            <w:shd w:val="clear" w:color="auto" w:fill="E7E6E6" w:themeFill="background2"/>
            <w:vAlign w:val="center"/>
          </w:tcPr>
          <w:p w14:paraId="106CBE7C" w14:textId="3C8C5768" w:rsidR="003438F6" w:rsidRPr="009245C8" w:rsidRDefault="003438F6" w:rsidP="006130E5">
            <w:pPr>
              <w:spacing w:after="0"/>
              <w:jc w:val="center"/>
              <w:rPr>
                <w:sz w:val="20"/>
                <w:szCs w:val="20"/>
              </w:rPr>
            </w:pPr>
            <w:r w:rsidRPr="009245C8">
              <w:rPr>
                <w:rFonts w:eastAsia="Times New Roman" w:cs="Times New Roman"/>
                <w:sz w:val="20"/>
                <w:szCs w:val="20"/>
              </w:rPr>
              <w:t>3,000 pesos for sole practitioner / 10,000 pesos for firm</w:t>
            </w:r>
          </w:p>
        </w:tc>
      </w:tr>
    </w:tbl>
    <w:p w14:paraId="74FDB944" w14:textId="77777777" w:rsidR="003311A7" w:rsidRPr="00B502ED" w:rsidRDefault="003311A7" w:rsidP="00B502ED">
      <w:pPr>
        <w:spacing w:after="0" w:line="240" w:lineRule="auto"/>
        <w:rPr>
          <w:sz w:val="2"/>
          <w:szCs w:val="2"/>
        </w:rPr>
      </w:pPr>
    </w:p>
    <w:p w14:paraId="3DEB7D87" w14:textId="77777777" w:rsidR="005E2A62" w:rsidRPr="00B502ED" w:rsidRDefault="005E2A62" w:rsidP="00B502ED">
      <w:pPr>
        <w:pStyle w:val="Heading2"/>
        <w:spacing w:before="0" w:after="0" w:line="240" w:lineRule="auto"/>
        <w:rPr>
          <w:sz w:val="2"/>
          <w:szCs w:val="2"/>
        </w:rPr>
        <w:sectPr w:rsidR="005E2A62" w:rsidRPr="00B502ED" w:rsidSect="0002662F">
          <w:footerReference w:type="default" r:id="rId34"/>
          <w:type w:val="nextColumn"/>
          <w:pgSz w:w="16838" w:h="11906" w:orient="landscape" w:code="9"/>
          <w:pgMar w:top="1440" w:right="1440" w:bottom="1440" w:left="1440" w:header="720" w:footer="720" w:gutter="0"/>
          <w:cols w:space="720"/>
          <w:docGrid w:linePitch="360"/>
        </w:sectPr>
      </w:pPr>
    </w:p>
    <w:p w14:paraId="07F9061C" w14:textId="7DFCB1EE" w:rsidR="00F76E53" w:rsidRPr="008F1E62" w:rsidRDefault="00F76E53" w:rsidP="00F76E53">
      <w:pPr>
        <w:pStyle w:val="Heading1"/>
        <w:spacing w:after="60" w:line="276" w:lineRule="auto"/>
        <w:jc w:val="center"/>
        <w:rPr>
          <w:rFonts w:ascii="Century Gothic" w:eastAsia="MS Gothic" w:hAnsi="Century Gothic" w:cstheme="minorBidi"/>
          <w:caps w:val="0"/>
          <w:color w:val="00AB51"/>
          <w:kern w:val="32"/>
          <w:sz w:val="32"/>
          <w:szCs w:val="32"/>
          <w:lang w:val="en-US"/>
        </w:rPr>
      </w:pPr>
      <w:bookmarkStart w:id="94" w:name="_Toc499825605"/>
      <w:r w:rsidRPr="008F1E62">
        <w:rPr>
          <w:rFonts w:ascii="Century Gothic" w:eastAsia="MS Gothic" w:hAnsi="Century Gothic" w:cstheme="minorBidi"/>
          <w:caps w:val="0"/>
          <w:color w:val="00AB51"/>
          <w:kern w:val="32"/>
          <w:sz w:val="32"/>
          <w:szCs w:val="32"/>
          <w:lang w:val="en-US"/>
        </w:rPr>
        <w:t xml:space="preserve">ANNEX 7: </w:t>
      </w:r>
      <w:r w:rsidRPr="008F1E62">
        <w:rPr>
          <w:rFonts w:ascii="Century Gothic" w:eastAsia="MS Gothic" w:hAnsi="Century Gothic" w:cstheme="minorBidi"/>
          <w:color w:val="00AB51"/>
          <w:kern w:val="32"/>
          <w:sz w:val="32"/>
          <w:szCs w:val="32"/>
          <w:lang w:val="en-US"/>
        </w:rPr>
        <w:t>Enforcement Measures and Actions by Regulators over Auditors</w:t>
      </w:r>
      <w:bookmarkEnd w:id="94"/>
    </w:p>
    <w:p w14:paraId="776C1478" w14:textId="77777777" w:rsidR="00F76E53" w:rsidRPr="008F1E62" w:rsidRDefault="00F76E53" w:rsidP="00BE4B6C">
      <w:pPr>
        <w:pStyle w:val="Heading2"/>
        <w:spacing w:before="500"/>
      </w:pPr>
      <w:bookmarkStart w:id="95" w:name="_Toc499825606"/>
      <w:r w:rsidRPr="008F1E62">
        <w:t>Securities and Exchange Commission</w:t>
      </w:r>
      <w:bookmarkEnd w:id="95"/>
    </w:p>
    <w:p w14:paraId="085A378F" w14:textId="77777777" w:rsidR="00F76E53" w:rsidRPr="008F1E62" w:rsidRDefault="00F76E53" w:rsidP="00F76E53">
      <w:pPr>
        <w:jc w:val="left"/>
        <w:rPr>
          <w:color w:val="222222"/>
          <w:szCs w:val="24"/>
        </w:rPr>
      </w:pPr>
      <w:r w:rsidRPr="008F1E62">
        <w:rPr>
          <w:color w:val="222222"/>
          <w:szCs w:val="24"/>
          <w:shd w:val="clear" w:color="auto" w:fill="FFFFFF"/>
        </w:rPr>
        <w:t>In case there is a violation of the financial reporting requirements by the company’s external auditor, SEC imposes a penalty through SEC MC No. 13, Series of 2009.</w:t>
      </w:r>
    </w:p>
    <w:p w14:paraId="08121516" w14:textId="77777777" w:rsidR="00F76E53" w:rsidRPr="008F1E62" w:rsidRDefault="00F76E53" w:rsidP="00F76E53">
      <w:pPr>
        <w:rPr>
          <w:rFonts w:eastAsia="Times New Roman"/>
          <w:color w:val="222222"/>
          <w:szCs w:val="24"/>
        </w:rPr>
      </w:pPr>
      <w:r w:rsidRPr="008F1E62">
        <w:rPr>
          <w:rFonts w:eastAsia="Times New Roman"/>
          <w:color w:val="222222"/>
          <w:szCs w:val="24"/>
        </w:rPr>
        <w:t>The SEC usually issues a letter of explanation and show cause. After that, the external auditor may formally or informally engage with the regulator for clarification and consultation. Under SRC Rule 68, as amended, the SEC can require the external auditor to present its working papers, audit evidence, and other audit related records</w:t>
      </w:r>
      <w:r w:rsidR="008E055C" w:rsidRPr="008E055C">
        <w:rPr>
          <w:rFonts w:eastAsia="Times New Roman"/>
          <w:color w:val="222222"/>
          <w:szCs w:val="24"/>
        </w:rPr>
        <w:t xml:space="preserve"> </w:t>
      </w:r>
      <w:r w:rsidR="000B1729">
        <w:rPr>
          <w:rFonts w:eastAsia="Times New Roman"/>
          <w:color w:val="222222"/>
          <w:szCs w:val="24"/>
        </w:rPr>
        <w:t>for</w:t>
      </w:r>
      <w:r w:rsidR="008E055C" w:rsidRPr="008F1E62">
        <w:rPr>
          <w:rFonts w:eastAsia="Times New Roman"/>
          <w:color w:val="222222"/>
          <w:szCs w:val="24"/>
        </w:rPr>
        <w:t xml:space="preserve"> the on-going investigation of a regulated entity</w:t>
      </w:r>
      <w:r w:rsidR="000B1729">
        <w:rPr>
          <w:rFonts w:eastAsia="Times New Roman"/>
          <w:color w:val="222222"/>
          <w:szCs w:val="24"/>
        </w:rPr>
        <w:t>.</w:t>
      </w:r>
    </w:p>
    <w:p w14:paraId="38BF9FF2" w14:textId="77777777" w:rsidR="00F76E53" w:rsidRPr="008F1E62" w:rsidRDefault="00F76E53" w:rsidP="00BE4B6C">
      <w:pPr>
        <w:pStyle w:val="Heading2"/>
        <w:spacing w:before="500"/>
      </w:pPr>
      <w:bookmarkStart w:id="96" w:name="_Toc499825607"/>
      <w:proofErr w:type="spellStart"/>
      <w:r w:rsidRPr="008F1E62">
        <w:t>Bangko</w:t>
      </w:r>
      <w:proofErr w:type="spellEnd"/>
      <w:r w:rsidRPr="008F1E62">
        <w:t xml:space="preserve"> </w:t>
      </w:r>
      <w:proofErr w:type="spellStart"/>
      <w:r w:rsidRPr="008F1E62">
        <w:t>Sentral</w:t>
      </w:r>
      <w:proofErr w:type="spellEnd"/>
      <w:r w:rsidRPr="008F1E62">
        <w:t xml:space="preserve"> ng </w:t>
      </w:r>
      <w:proofErr w:type="spellStart"/>
      <w:r w:rsidRPr="008F1E62">
        <w:t>Pilipinas</w:t>
      </w:r>
      <w:bookmarkEnd w:id="96"/>
      <w:proofErr w:type="spellEnd"/>
      <w:r w:rsidRPr="008F1E62">
        <w:tab/>
      </w:r>
    </w:p>
    <w:p w14:paraId="2A67CE2C" w14:textId="77777777" w:rsidR="00F76E53" w:rsidRPr="00451E1E" w:rsidRDefault="00451E1E" w:rsidP="00F76E53">
      <w:pPr>
        <w:spacing w:after="100"/>
        <w:rPr>
          <w:szCs w:val="24"/>
        </w:rPr>
      </w:pPr>
      <w:r w:rsidRPr="00233113">
        <w:rPr>
          <w:rFonts w:ascii="Calibri" w:hAnsi="Calibri" w:cs="Calibri"/>
          <w:color w:val="000000" w:themeColor="text1"/>
          <w:szCs w:val="24"/>
        </w:rPr>
        <w:t>The revised rules and regulations governing the selection and delisting by the BSP of the external auditor and/audit firm of covered institutions are provided under Circular No. 660 dated 25 August 2009. This Circular is pursuant to Section 58 of the General Banking Law of 2000</w:t>
      </w:r>
      <w:r>
        <w:rPr>
          <w:rFonts w:ascii="Calibri" w:hAnsi="Calibri" w:cs="Calibri"/>
          <w:color w:val="000000" w:themeColor="text1"/>
          <w:szCs w:val="24"/>
        </w:rPr>
        <w:t>.</w:t>
      </w:r>
      <w:r>
        <w:rPr>
          <w:szCs w:val="24"/>
        </w:rPr>
        <w:t xml:space="preserve"> </w:t>
      </w:r>
      <w:r w:rsidR="00F76E53" w:rsidRPr="008F1E62">
        <w:t>The BSP has taken the following</w:t>
      </w:r>
      <w:r w:rsidR="00043283">
        <w:t xml:space="preserve"> action</w:t>
      </w:r>
      <w:r w:rsidR="00F76E53" w:rsidRPr="008F1E62">
        <w:t xml:space="preserve"> on banks</w:t>
      </w:r>
      <w:r w:rsidR="00CE721C">
        <w:t>’</w:t>
      </w:r>
      <w:r w:rsidR="00F76E53" w:rsidRPr="008F1E62">
        <w:t xml:space="preserve"> external auditors:</w:t>
      </w:r>
    </w:p>
    <w:p w14:paraId="6B5D3DDB" w14:textId="77777777" w:rsidR="00F76E53" w:rsidRPr="008F1E62" w:rsidRDefault="00F76E53" w:rsidP="00FF7A94">
      <w:pPr>
        <w:pStyle w:val="ListParagraph"/>
        <w:numPr>
          <w:ilvl w:val="0"/>
          <w:numId w:val="22"/>
        </w:numPr>
        <w:spacing w:before="0" w:beforeAutospacing="0" w:afterAutospacing="0" w:line="276" w:lineRule="auto"/>
        <w:ind w:left="360"/>
        <w:rPr>
          <w:rFonts w:asciiTheme="minorHAnsi" w:hAnsiTheme="minorHAnsi"/>
        </w:rPr>
      </w:pPr>
      <w:r w:rsidRPr="008F1E62">
        <w:rPr>
          <w:rFonts w:asciiTheme="minorHAnsi" w:hAnsiTheme="minorHAnsi"/>
        </w:rPr>
        <w:t>Delisted external auditors since 2009 due to gross negligence in their conduct of audit, conflict of interest and misrepresentation, and/or failure to disclose material findings such as those involving fraud, dishonesty, or significant discrepancies in the financial reports;</w:t>
      </w:r>
    </w:p>
    <w:p w14:paraId="731AEC86" w14:textId="77777777" w:rsidR="00F76E53" w:rsidRPr="008F1E62" w:rsidRDefault="00F76E53" w:rsidP="00FF7A94">
      <w:pPr>
        <w:pStyle w:val="ListParagraph"/>
        <w:numPr>
          <w:ilvl w:val="0"/>
          <w:numId w:val="22"/>
        </w:numPr>
        <w:spacing w:before="0" w:beforeAutospacing="0" w:afterAutospacing="0" w:line="276" w:lineRule="auto"/>
        <w:ind w:left="360"/>
        <w:rPr>
          <w:rFonts w:asciiTheme="minorHAnsi" w:hAnsiTheme="minorHAnsi"/>
        </w:rPr>
      </w:pPr>
      <w:r w:rsidRPr="008F1E62">
        <w:rPr>
          <w:rFonts w:asciiTheme="minorHAnsi" w:hAnsiTheme="minorHAnsi"/>
        </w:rPr>
        <w:t xml:space="preserve">Granted conditional approval on the application for renewal of certain external auditors to be included in the BSP’s list of selected external auditors.  The external auditors were given only one or </w:t>
      </w:r>
      <w:proofErr w:type="gramStart"/>
      <w:r w:rsidRPr="008F1E62">
        <w:rPr>
          <w:rFonts w:asciiTheme="minorHAnsi" w:hAnsiTheme="minorHAnsi"/>
        </w:rPr>
        <w:t>two year</w:t>
      </w:r>
      <w:proofErr w:type="gramEnd"/>
      <w:r w:rsidRPr="008F1E62">
        <w:rPr>
          <w:rFonts w:asciiTheme="minorHAnsi" w:hAnsiTheme="minorHAnsi"/>
        </w:rPr>
        <w:t xml:space="preserve"> financial audit engagements, instead of the full-three year term.  This is due to numerous findings noted in the evaluation of the </w:t>
      </w:r>
      <w:r w:rsidR="004B6E1E">
        <w:rPr>
          <w:rFonts w:asciiTheme="minorHAnsi" w:hAnsiTheme="minorHAnsi"/>
        </w:rPr>
        <w:t>audited financial statements</w:t>
      </w:r>
      <w:r w:rsidRPr="008F1E62">
        <w:rPr>
          <w:rFonts w:asciiTheme="minorHAnsi" w:hAnsiTheme="minorHAnsi"/>
        </w:rPr>
        <w:t xml:space="preserve">, which, when taken singly, seem trivial but were observed to be prevalent and collectively affect the integrity of the </w:t>
      </w:r>
      <w:r w:rsidR="004B6E1E">
        <w:rPr>
          <w:rFonts w:asciiTheme="minorHAnsi" w:hAnsiTheme="minorHAnsi"/>
        </w:rPr>
        <w:t>audited financial statements</w:t>
      </w:r>
      <w:r w:rsidRPr="008F1E62">
        <w:rPr>
          <w:rFonts w:asciiTheme="minorHAnsi" w:hAnsiTheme="minorHAnsi"/>
        </w:rPr>
        <w:t xml:space="preserve">; </w:t>
      </w:r>
    </w:p>
    <w:p w14:paraId="6AF0B528" w14:textId="77777777" w:rsidR="00F76E53" w:rsidRPr="008F1E62" w:rsidRDefault="00F76E53" w:rsidP="00FF7A94">
      <w:pPr>
        <w:pStyle w:val="ListParagraph"/>
        <w:numPr>
          <w:ilvl w:val="0"/>
          <w:numId w:val="22"/>
        </w:numPr>
        <w:spacing w:before="0" w:beforeAutospacing="0" w:afterAutospacing="0" w:line="276" w:lineRule="auto"/>
        <w:ind w:left="360"/>
        <w:rPr>
          <w:rFonts w:asciiTheme="minorHAnsi" w:hAnsiTheme="minorHAnsi"/>
        </w:rPr>
      </w:pPr>
      <w:r w:rsidRPr="008F1E62">
        <w:rPr>
          <w:rFonts w:asciiTheme="minorHAnsi" w:hAnsiTheme="minorHAnsi"/>
        </w:rPr>
        <w:t xml:space="preserve">Streamlined internal process to expedite the evaluation of the </w:t>
      </w:r>
      <w:r w:rsidR="00294C10">
        <w:rPr>
          <w:rFonts w:asciiTheme="minorHAnsi" w:hAnsiTheme="minorHAnsi"/>
        </w:rPr>
        <w:t>audited financial statements</w:t>
      </w:r>
      <w:r w:rsidRPr="008F1E62">
        <w:rPr>
          <w:rFonts w:asciiTheme="minorHAnsi" w:hAnsiTheme="minorHAnsi"/>
        </w:rPr>
        <w:t>, and provided supplemental internal guidelines to bank supervisors on the evaluation of said report; and</w:t>
      </w:r>
    </w:p>
    <w:p w14:paraId="2F62AFB3" w14:textId="77777777" w:rsidR="00F76E53" w:rsidRPr="008F1E62" w:rsidRDefault="00F76E53" w:rsidP="00FF7A94">
      <w:pPr>
        <w:pStyle w:val="ListParagraph"/>
        <w:numPr>
          <w:ilvl w:val="0"/>
          <w:numId w:val="22"/>
        </w:numPr>
        <w:spacing w:before="0" w:beforeAutospacing="0" w:afterAutospacing="0" w:line="276" w:lineRule="auto"/>
        <w:ind w:left="360"/>
        <w:rPr>
          <w:rFonts w:asciiTheme="minorHAnsi" w:hAnsiTheme="minorHAnsi"/>
        </w:rPr>
      </w:pPr>
      <w:r w:rsidRPr="008F1E62">
        <w:rPr>
          <w:rFonts w:asciiTheme="minorHAnsi" w:hAnsiTheme="minorHAnsi"/>
        </w:rPr>
        <w:t xml:space="preserve">Improved coordination with the Philippine Deposit Insurance Corporation in terms of providing feedback on the quality of work of external auditors of closed banks, as well as those subject </w:t>
      </w:r>
      <w:r w:rsidR="00062408">
        <w:rPr>
          <w:rFonts w:asciiTheme="minorHAnsi" w:hAnsiTheme="minorHAnsi"/>
        </w:rPr>
        <w:t>to</w:t>
      </w:r>
      <w:r w:rsidR="00062408" w:rsidRPr="008F1E62">
        <w:rPr>
          <w:rFonts w:asciiTheme="minorHAnsi" w:hAnsiTheme="minorHAnsi"/>
        </w:rPr>
        <w:t xml:space="preserve"> </w:t>
      </w:r>
      <w:r w:rsidR="009912A1">
        <w:rPr>
          <w:rFonts w:asciiTheme="minorHAnsi" w:hAnsiTheme="minorHAnsi"/>
        </w:rPr>
        <w:t>the Corporation’s</w:t>
      </w:r>
      <w:r w:rsidR="009912A1" w:rsidRPr="008F1E62">
        <w:rPr>
          <w:rFonts w:asciiTheme="minorHAnsi" w:hAnsiTheme="minorHAnsi"/>
        </w:rPr>
        <w:t xml:space="preserve"> </w:t>
      </w:r>
      <w:r w:rsidRPr="008F1E62">
        <w:rPr>
          <w:rFonts w:asciiTheme="minorHAnsi" w:hAnsiTheme="minorHAnsi"/>
        </w:rPr>
        <w:t>onsite examination.</w:t>
      </w:r>
    </w:p>
    <w:p w14:paraId="77FB3CB7" w14:textId="77777777" w:rsidR="00F76E53" w:rsidRPr="008F1E62" w:rsidRDefault="00F76E53" w:rsidP="00BE4B6C">
      <w:pPr>
        <w:pStyle w:val="Heading2"/>
        <w:spacing w:before="500"/>
      </w:pPr>
      <w:bookmarkStart w:id="97" w:name="_Toc499825608"/>
      <w:r w:rsidRPr="008F1E62">
        <w:t>Insurance Commission</w:t>
      </w:r>
      <w:bookmarkEnd w:id="97"/>
    </w:p>
    <w:p w14:paraId="7C553EC0" w14:textId="77777777" w:rsidR="00F76E53" w:rsidRPr="008F1E62" w:rsidRDefault="00F76E53" w:rsidP="00F76E53">
      <w:r w:rsidRPr="008F1E62">
        <w:t xml:space="preserve">Non-compliance by the insurance company’s external auditor will lead to delisting on the list </w:t>
      </w:r>
      <w:r w:rsidR="004D3E99">
        <w:t xml:space="preserve">of </w:t>
      </w:r>
      <w:r w:rsidRPr="008F1E62">
        <w:t xml:space="preserve">accredited external auditors by the IC. </w:t>
      </w:r>
    </w:p>
    <w:p w14:paraId="6D5538C5" w14:textId="20797EB6" w:rsidR="00F76E53" w:rsidRPr="008F1E62" w:rsidRDefault="00F76E53" w:rsidP="00BE4B6C">
      <w:pPr>
        <w:pStyle w:val="Heading2"/>
        <w:spacing w:before="500"/>
      </w:pPr>
      <w:bookmarkStart w:id="98" w:name="_Toc484289049"/>
      <w:bookmarkStart w:id="99" w:name="_Toc484289272"/>
      <w:bookmarkStart w:id="100" w:name="_Toc499825609"/>
      <w:r w:rsidRPr="008F1E62">
        <w:t>Professional Regulation Commission /</w:t>
      </w:r>
      <w:bookmarkEnd w:id="98"/>
      <w:bookmarkEnd w:id="99"/>
      <w:r w:rsidRPr="008F1E62">
        <w:t xml:space="preserve"> Board of Accountancy</w:t>
      </w:r>
      <w:bookmarkEnd w:id="100"/>
    </w:p>
    <w:p w14:paraId="796FC27E" w14:textId="77777777" w:rsidR="00F76E53" w:rsidRPr="008F1E62" w:rsidRDefault="00F76E53" w:rsidP="00F76E53">
      <w:r w:rsidRPr="008F1E62">
        <w:t>Complaints against erring CPAs are lodged with the PRC LID. The complaint process follows the stages of the formal complaint pursuant to the revised rules and regulations governing administrative investigations by the Commission and the Board. LID decisions have the force and effect of the decision of a court of law.</w:t>
      </w:r>
    </w:p>
    <w:p w14:paraId="4F854F63" w14:textId="77777777" w:rsidR="00F76E53" w:rsidRPr="008F1E62" w:rsidRDefault="00F76E53" w:rsidP="00F76E53">
      <w:r w:rsidRPr="008F1E62">
        <w:t>Actions taken by the BOA would include suspension of the right to practice for 3 to 12 months and surrender of their PRC ID, and in extreme cases, cancellation or revocation of their certificate of registration as CPA.</w:t>
      </w:r>
    </w:p>
    <w:p w14:paraId="48436D4B" w14:textId="6C5FE194" w:rsidR="00F76E53" w:rsidRDefault="00F76E53" w:rsidP="00F76E53">
      <w:r w:rsidRPr="008F1E62">
        <w:t>The BOA may recommend closure of Accountancy programs, but the actual enforcement rests with CHED</w:t>
      </w:r>
      <w:r w:rsidR="00C07A00">
        <w:t>.</w:t>
      </w:r>
    </w:p>
    <w:p w14:paraId="355DDE62" w14:textId="60E0710F" w:rsidR="00A25537" w:rsidRDefault="00A25537" w:rsidP="00F76E53"/>
    <w:p w14:paraId="5E0A4654" w14:textId="77777777" w:rsidR="00A25537" w:rsidRPr="0002662F" w:rsidRDefault="00A25537" w:rsidP="00A25537">
      <w:pPr>
        <w:rPr>
          <w:rStyle w:val="normaltextrun1"/>
          <w:rFonts w:ascii="Calibri" w:hAnsi="Calibri" w:cs="Calibri"/>
          <w:color w:val="000000"/>
          <w:sz w:val="20"/>
          <w:szCs w:val="20"/>
          <w:u w:val="single"/>
        </w:rPr>
      </w:pPr>
      <w:r w:rsidRPr="0002662F">
        <w:rPr>
          <w:rStyle w:val="normaltextrun1"/>
          <w:rFonts w:ascii="Calibri" w:hAnsi="Calibri" w:cs="Calibri"/>
          <w:color w:val="000000"/>
          <w:sz w:val="20"/>
          <w:szCs w:val="20"/>
          <w:u w:val="single"/>
        </w:rPr>
        <w:t>Note:</w:t>
      </w:r>
    </w:p>
    <w:p w14:paraId="1D5E367A" w14:textId="4B38F0DD" w:rsidR="00A25537" w:rsidRPr="008F1E62" w:rsidRDefault="00A25537" w:rsidP="00A25537">
      <w:r>
        <w:rPr>
          <w:rStyle w:val="normaltextrun1"/>
          <w:rFonts w:ascii="Calibri" w:hAnsi="Calibri" w:cs="Calibri"/>
          <w:color w:val="000000"/>
          <w:sz w:val="20"/>
          <w:szCs w:val="20"/>
        </w:rPr>
        <w:t xml:space="preserve">A Memorandum of Agreement dated 12 August 2009, was </w:t>
      </w:r>
      <w:proofErr w:type="gramStart"/>
      <w:r>
        <w:rPr>
          <w:rStyle w:val="normaltextrun1"/>
          <w:rFonts w:ascii="Calibri" w:hAnsi="Calibri" w:cs="Calibri"/>
          <w:color w:val="000000"/>
          <w:sz w:val="20"/>
          <w:szCs w:val="20"/>
        </w:rPr>
        <w:t>effected</w:t>
      </w:r>
      <w:proofErr w:type="gramEnd"/>
      <w:r>
        <w:rPr>
          <w:rStyle w:val="normaltextrun1"/>
          <w:rFonts w:ascii="Calibri" w:hAnsi="Calibri" w:cs="Calibri"/>
          <w:color w:val="000000"/>
          <w:sz w:val="20"/>
          <w:szCs w:val="20"/>
        </w:rPr>
        <w:t xml:space="preserve"> binding the BSP, SEC, IC and PRC-BOA for a simplified and synchronized accreditation requirement for external auditors. Further, the SEC and IC likewise issued similar regulations under Memorandum Circular No. 13 dated 19 September 2009 and Circular Letter dated 29-2009 dated 10 November 2009, respectively.</w:t>
      </w:r>
    </w:p>
    <w:p w14:paraId="5DC4B867" w14:textId="77777777" w:rsidR="00F76E53" w:rsidRPr="008F1E62" w:rsidRDefault="00F76E53" w:rsidP="00F76E53">
      <w:r w:rsidRPr="008F1E62">
        <w:br w:type="page"/>
      </w:r>
    </w:p>
    <w:p w14:paraId="5EE31F4F" w14:textId="77777777" w:rsidR="00F76E53" w:rsidRPr="008F1E62" w:rsidRDefault="00F76E53" w:rsidP="00F76E53">
      <w:pPr>
        <w:pStyle w:val="Heading1"/>
        <w:spacing w:after="60" w:line="276" w:lineRule="auto"/>
        <w:jc w:val="center"/>
        <w:rPr>
          <w:rFonts w:ascii="Century Gothic" w:eastAsia="MS Gothic" w:hAnsi="Century Gothic" w:cstheme="minorBidi"/>
          <w:caps w:val="0"/>
          <w:color w:val="00AB51"/>
          <w:kern w:val="32"/>
          <w:sz w:val="32"/>
          <w:szCs w:val="32"/>
          <w:lang w:val="en-US"/>
        </w:rPr>
      </w:pPr>
      <w:bookmarkStart w:id="101" w:name="_Toc499825610"/>
      <w:r w:rsidRPr="008F1E62">
        <w:rPr>
          <w:rFonts w:ascii="Century Gothic" w:eastAsia="MS Gothic" w:hAnsi="Century Gothic" w:cstheme="minorBidi"/>
          <w:caps w:val="0"/>
          <w:color w:val="00AB51"/>
          <w:kern w:val="32"/>
          <w:sz w:val="32"/>
          <w:szCs w:val="32"/>
          <w:lang w:val="en-US"/>
        </w:rPr>
        <w:t xml:space="preserve">ANNEX 8: </w:t>
      </w:r>
      <w:r w:rsidRPr="008F1E62">
        <w:rPr>
          <w:rFonts w:ascii="Century Gothic" w:eastAsia="MS Gothic" w:hAnsi="Century Gothic" w:cstheme="minorBidi"/>
          <w:color w:val="00AB51"/>
          <w:kern w:val="32"/>
          <w:sz w:val="32"/>
          <w:szCs w:val="32"/>
          <w:lang w:val="en-US"/>
        </w:rPr>
        <w:t>Envisioned Two-Tier Certification Process</w:t>
      </w:r>
      <w:bookmarkEnd w:id="101"/>
    </w:p>
    <w:p w14:paraId="4A34F603" w14:textId="77777777" w:rsidR="00F76E53" w:rsidRPr="008F1E62" w:rsidRDefault="00F76E53" w:rsidP="00F76E53">
      <w:pPr>
        <w:autoSpaceDE w:val="0"/>
        <w:autoSpaceDN w:val="0"/>
        <w:adjustRightInd w:val="0"/>
        <w:spacing w:after="0" w:line="240" w:lineRule="auto"/>
      </w:pPr>
    </w:p>
    <w:p w14:paraId="6CCEA289" w14:textId="46F8F090" w:rsidR="00F76E53" w:rsidRPr="008F1E62" w:rsidRDefault="00F76E53" w:rsidP="00F76E53">
      <w:pPr>
        <w:rPr>
          <w:rStyle w:val="Hyperlink"/>
          <w:szCs w:val="24"/>
        </w:rPr>
      </w:pPr>
      <w:r w:rsidRPr="008F1E62">
        <w:t xml:space="preserve">At the licensure level, </w:t>
      </w:r>
      <w:r w:rsidR="00165B4A">
        <w:t xml:space="preserve">the </w:t>
      </w:r>
      <w:r w:rsidRPr="008F1E62">
        <w:t xml:space="preserve">BOA’s </w:t>
      </w:r>
      <w:proofErr w:type="gramStart"/>
      <w:r w:rsidRPr="008F1E62">
        <w:t>long term</w:t>
      </w:r>
      <w:proofErr w:type="gramEnd"/>
      <w:r w:rsidRPr="008F1E62">
        <w:t xml:space="preserve"> goal is to create a two-tiered certification process. The Certified Accountant examination which would consist of five (5) core subjects: (a) Financial Accounting and Reporting, (b) Advanced Financial Accounting and Reporting, (c) Financial Management and Advisory Services, (d) Taxation, and (e) Regulatory Framework for Business Transactions. Those who pass the </w:t>
      </w:r>
      <w:r w:rsidR="001D6680" w:rsidRPr="001D6680">
        <w:t xml:space="preserve">Certified Accountant </w:t>
      </w:r>
      <w:r w:rsidRPr="008F1E62">
        <w:t>examination will be authorized to work as accountants in government, public practice</w:t>
      </w:r>
      <w:r w:rsidR="00822B7B">
        <w:t>,</w:t>
      </w:r>
      <w:r w:rsidRPr="008F1E62">
        <w:t xml:space="preserve"> and private sector, except to sign auditors’ certifications and to teach accounting. Those who want to become auditors or accounting educators will have to pass the second-level Certified Public Accountant or Certified Professional Accountant examination, respectively. Under the envisioned structure, there would be a </w:t>
      </w:r>
      <w:r w:rsidR="005015C7">
        <w:t>second-level</w:t>
      </w:r>
      <w:r w:rsidR="005015C7" w:rsidRPr="008F1E62">
        <w:t xml:space="preserve"> </w:t>
      </w:r>
      <w:r w:rsidRPr="008F1E62">
        <w:t>examination for each of the four accountancy specializations. Th</w:t>
      </w:r>
      <w:r w:rsidR="005015C7">
        <w:t>is</w:t>
      </w:r>
      <w:r w:rsidRPr="008F1E62">
        <w:t xml:space="preserve"> examination would be taken optionally after three years of meaningful work experience. An overview of the proposed programs is included below</w:t>
      </w:r>
      <w:r w:rsidRPr="008F1E62">
        <w:rPr>
          <w:rStyle w:val="Hyperlink"/>
          <w:szCs w:val="24"/>
        </w:rPr>
        <w:t>.</w:t>
      </w:r>
    </w:p>
    <w:p w14:paraId="4E3E4C9E" w14:textId="1CA40FF1" w:rsidR="00F76E53" w:rsidRPr="008F1E62" w:rsidRDefault="00F76E53" w:rsidP="00F76E53">
      <w:pPr>
        <w:spacing w:after="0"/>
        <w:rPr>
          <w:rStyle w:val="Hyperlink"/>
          <w:szCs w:val="24"/>
        </w:rPr>
      </w:pPr>
    </w:p>
    <w:tbl>
      <w:tblPr>
        <w:tblStyle w:val="TabelEcorys3"/>
        <w:tblW w:w="0" w:type="auto"/>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8966"/>
      </w:tblGrid>
      <w:tr w:rsidR="007A1201" w:rsidRPr="007A1201" w14:paraId="46001EF9" w14:textId="77777777" w:rsidTr="007A1201">
        <w:trPr>
          <w:trHeight w:val="83"/>
        </w:trPr>
        <w:tc>
          <w:tcPr>
            <w:tcW w:w="8966" w:type="dxa"/>
            <w:shd w:val="clear" w:color="auto" w:fill="00AB51"/>
            <w:tcMar>
              <w:top w:w="144" w:type="dxa"/>
              <w:left w:w="144" w:type="dxa"/>
              <w:bottom w:w="144" w:type="dxa"/>
              <w:right w:w="144" w:type="dxa"/>
            </w:tcMar>
          </w:tcPr>
          <w:p w14:paraId="741E35BA" w14:textId="1BABA819" w:rsidR="007A1201" w:rsidRPr="007A1201" w:rsidRDefault="003447EF" w:rsidP="00B47648">
            <w:pPr>
              <w:pStyle w:val="Caption"/>
              <w:jc w:val="center"/>
              <w:rPr>
                <w:color w:val="FFFFFF" w:themeColor="background1"/>
                <w:sz w:val="24"/>
                <w:szCs w:val="24"/>
                <w:lang w:val="en-US"/>
              </w:rPr>
            </w:pPr>
            <w:r w:rsidRPr="0002662F">
              <w:rPr>
                <w:color w:val="FFFFFF" w:themeColor="background1"/>
                <w:sz w:val="24"/>
                <w:szCs w:val="24"/>
                <w:lang w:val="en-US"/>
              </w:rPr>
              <w:t xml:space="preserve">Box </w:t>
            </w:r>
            <w:r w:rsidR="00A25537" w:rsidRPr="0002662F">
              <w:rPr>
                <w:color w:val="FFFFFF" w:themeColor="background1"/>
                <w:sz w:val="24"/>
                <w:szCs w:val="24"/>
                <w:lang w:val="en-US"/>
              </w:rPr>
              <w:t>8</w:t>
            </w:r>
            <w:r w:rsidR="007A1201" w:rsidRPr="0002662F">
              <w:rPr>
                <w:color w:val="FFFFFF" w:themeColor="background1"/>
                <w:sz w:val="24"/>
                <w:szCs w:val="24"/>
                <w:lang w:val="en-US"/>
              </w:rPr>
              <w:t>. BOA Proposed Accountancy Program</w:t>
            </w:r>
            <w:r w:rsidR="007A1201" w:rsidRPr="00B47648">
              <w:rPr>
                <w:rStyle w:val="FootnoteReference"/>
                <w:color w:val="FFFFFF" w:themeColor="background1"/>
                <w:sz w:val="20"/>
                <w:szCs w:val="24"/>
                <w:lang w:val="en-US"/>
              </w:rPr>
              <w:footnoteReference w:id="121"/>
            </w:r>
          </w:p>
        </w:tc>
      </w:tr>
      <w:tr w:rsidR="00F76E53" w:rsidRPr="008F1E62" w14:paraId="36C23775" w14:textId="77777777" w:rsidTr="007A1201">
        <w:trPr>
          <w:trHeight w:val="83"/>
        </w:trPr>
        <w:tc>
          <w:tcPr>
            <w:tcW w:w="8966" w:type="dxa"/>
            <w:shd w:val="clear" w:color="auto" w:fill="C6E8D7"/>
            <w:tcMar>
              <w:top w:w="144" w:type="dxa"/>
              <w:left w:w="144" w:type="dxa"/>
              <w:bottom w:w="144" w:type="dxa"/>
              <w:right w:w="144" w:type="dxa"/>
            </w:tcMar>
          </w:tcPr>
          <w:p w14:paraId="048D2B49" w14:textId="77777777" w:rsidR="00F76E53" w:rsidRPr="008F1E62" w:rsidRDefault="00F76E53" w:rsidP="003447EF">
            <w:pPr>
              <w:pStyle w:val="ListParagraph"/>
              <w:keepNext/>
              <w:numPr>
                <w:ilvl w:val="0"/>
                <w:numId w:val="0"/>
              </w:numPr>
              <w:tabs>
                <w:tab w:val="left" w:pos="720"/>
              </w:tabs>
              <w:autoSpaceDE w:val="0"/>
              <w:autoSpaceDN w:val="0"/>
              <w:adjustRightInd w:val="0"/>
              <w:spacing w:before="0" w:beforeAutospacing="0" w:after="0" w:afterAutospacing="0" w:line="276" w:lineRule="auto"/>
              <w:jc w:val="center"/>
              <w:rPr>
                <w:rFonts w:asciiTheme="minorHAnsi" w:hAnsiTheme="minorHAnsi" w:cs="Times New Roman"/>
                <w:b/>
                <w:sz w:val="18"/>
                <w:szCs w:val="18"/>
              </w:rPr>
            </w:pPr>
            <w:r w:rsidRPr="008F1E62">
              <w:rPr>
                <w:noProof/>
                <w:szCs w:val="24"/>
              </w:rPr>
              <w:drawing>
                <wp:inline distT="0" distB="0" distL="0" distR="0" wp14:anchorId="06F6F299" wp14:editId="4AC59028">
                  <wp:extent cx="5119772" cy="3325495"/>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60110" cy="3351696"/>
                          </a:xfrm>
                          <a:prstGeom prst="rect">
                            <a:avLst/>
                          </a:prstGeom>
                          <a:ln w="15875">
                            <a:noFill/>
                          </a:ln>
                        </pic:spPr>
                      </pic:pic>
                    </a:graphicData>
                  </a:graphic>
                </wp:inline>
              </w:drawing>
            </w:r>
          </w:p>
        </w:tc>
      </w:tr>
    </w:tbl>
    <w:p w14:paraId="1E260EBA" w14:textId="77777777" w:rsidR="00E37C3A" w:rsidRDefault="00E37C3A" w:rsidP="00F76E53"/>
    <w:p w14:paraId="60B6B6ED" w14:textId="6ED5E102" w:rsidR="00F76E53" w:rsidRPr="008F1E62" w:rsidRDefault="00F76E53" w:rsidP="00F76E53">
      <w:r w:rsidRPr="008F1E62">
        <w:t>It is to be noted that compared to the accountancy education framework envisioned by CHED, there seems to be a difference on the accreditation bodies that will give the specialized licenses.  In the BOA proposal, the accreditation would have to come from a national accrediting body created for the purpose</w:t>
      </w:r>
      <w:r w:rsidR="00C41027">
        <w:t>,</w:t>
      </w:r>
      <w:r w:rsidRPr="008F1E62">
        <w:t xml:space="preserve"> while the CHED proposal </w:t>
      </w:r>
      <w:r w:rsidR="00A52FA6">
        <w:t xml:space="preserve">uses </w:t>
      </w:r>
      <w:r w:rsidRPr="008F1E62">
        <w:t>the existing international accreditation bodies currently providing the certification for specialized fields.</w:t>
      </w:r>
    </w:p>
    <w:p w14:paraId="5C94835A" w14:textId="7846EC9B" w:rsidR="00F76E53" w:rsidRPr="008F1E62" w:rsidRDefault="00F76E53" w:rsidP="00F76E53">
      <w:pPr>
        <w:spacing w:after="0"/>
      </w:pPr>
    </w:p>
    <w:tbl>
      <w:tblPr>
        <w:tblStyle w:val="TabelEcorys3"/>
        <w:tblW w:w="0" w:type="auto"/>
        <w:tblBorders>
          <w:top w:val="single" w:sz="24" w:space="0" w:color="00AB51"/>
          <w:left w:val="single" w:sz="24" w:space="0" w:color="00AB51"/>
          <w:bottom w:val="single" w:sz="24" w:space="0" w:color="00AB51"/>
          <w:right w:val="single" w:sz="24" w:space="0" w:color="00AB51"/>
          <w:insideH w:val="single" w:sz="24" w:space="0" w:color="00AB51"/>
          <w:insideV w:val="single" w:sz="24" w:space="0" w:color="00AB51"/>
        </w:tblBorders>
        <w:tblLook w:val="04A0" w:firstRow="1" w:lastRow="0" w:firstColumn="1" w:lastColumn="0" w:noHBand="0" w:noVBand="1"/>
      </w:tblPr>
      <w:tblGrid>
        <w:gridCol w:w="8966"/>
      </w:tblGrid>
      <w:tr w:rsidR="007A1201" w:rsidRPr="008F1E62" w14:paraId="1CF50539" w14:textId="77777777" w:rsidTr="007A1201">
        <w:trPr>
          <w:trHeight w:val="83"/>
        </w:trPr>
        <w:tc>
          <w:tcPr>
            <w:tcW w:w="8966" w:type="dxa"/>
            <w:shd w:val="clear" w:color="auto" w:fill="00AB51"/>
            <w:tcMar>
              <w:top w:w="144" w:type="dxa"/>
              <w:left w:w="144" w:type="dxa"/>
              <w:bottom w:w="144" w:type="dxa"/>
              <w:right w:w="144" w:type="dxa"/>
            </w:tcMar>
          </w:tcPr>
          <w:p w14:paraId="646F4D4A" w14:textId="3054C06A" w:rsidR="007A1201" w:rsidRPr="008F1E62" w:rsidRDefault="00BE4B6C" w:rsidP="005810B5">
            <w:pPr>
              <w:pStyle w:val="Caption"/>
              <w:spacing w:before="0" w:after="0" w:line="276" w:lineRule="auto"/>
              <w:jc w:val="center"/>
              <w:rPr>
                <w:sz w:val="24"/>
                <w:szCs w:val="24"/>
                <w:lang w:val="en-US"/>
              </w:rPr>
            </w:pPr>
            <w:r w:rsidRPr="00BE4B6C">
              <w:rPr>
                <w:color w:val="FFFFFF" w:themeColor="background1"/>
                <w:sz w:val="24"/>
                <w:szCs w:val="24"/>
                <w:lang w:val="en-US"/>
              </w:rPr>
              <w:t>Box</w:t>
            </w:r>
            <w:r w:rsidR="00A25537">
              <w:rPr>
                <w:color w:val="FFFFFF" w:themeColor="background1"/>
                <w:sz w:val="24"/>
                <w:szCs w:val="24"/>
                <w:lang w:val="en-US"/>
              </w:rPr>
              <w:t xml:space="preserve"> 9</w:t>
            </w:r>
            <w:r>
              <w:rPr>
                <w:color w:val="FFFFFF" w:themeColor="background1"/>
                <w:sz w:val="24"/>
                <w:szCs w:val="24"/>
                <w:lang w:val="en-US"/>
              </w:rPr>
              <w:t>.</w:t>
            </w:r>
            <w:r w:rsidR="007A1201" w:rsidRPr="007A1201">
              <w:rPr>
                <w:color w:val="FFFFFF" w:themeColor="background1"/>
                <w:lang w:val="en-US"/>
              </w:rPr>
              <w:t xml:space="preserve"> </w:t>
            </w:r>
            <w:r w:rsidR="007A1201" w:rsidRPr="007A1201">
              <w:rPr>
                <w:color w:val="FFFFFF" w:themeColor="background1"/>
                <w:sz w:val="24"/>
                <w:szCs w:val="24"/>
                <w:lang w:val="en-US"/>
              </w:rPr>
              <w:t>Philippine Accountancy Education Framework</w:t>
            </w:r>
            <w:r w:rsidR="007A1201" w:rsidRPr="007A1201">
              <w:rPr>
                <w:rStyle w:val="FootnoteReference"/>
                <w:color w:val="FFFFFF" w:themeColor="background1"/>
                <w:sz w:val="24"/>
                <w:szCs w:val="24"/>
                <w:lang w:val="en-US"/>
              </w:rPr>
              <w:footnoteReference w:id="122"/>
            </w:r>
          </w:p>
        </w:tc>
      </w:tr>
      <w:tr w:rsidR="00F76E53" w:rsidRPr="008F1E62" w14:paraId="533A2B5C" w14:textId="77777777" w:rsidTr="007A1201">
        <w:trPr>
          <w:trHeight w:val="83"/>
        </w:trPr>
        <w:tc>
          <w:tcPr>
            <w:tcW w:w="8966" w:type="dxa"/>
            <w:shd w:val="clear" w:color="auto" w:fill="C6E8D7"/>
            <w:tcMar>
              <w:top w:w="144" w:type="dxa"/>
              <w:left w:w="144" w:type="dxa"/>
              <w:bottom w:w="144" w:type="dxa"/>
              <w:right w:w="144" w:type="dxa"/>
            </w:tcMar>
          </w:tcPr>
          <w:p w14:paraId="7334FF7C" w14:textId="77777777" w:rsidR="00F76E53" w:rsidRPr="008F1E62" w:rsidRDefault="00F76E53" w:rsidP="00BE4B6C">
            <w:pPr>
              <w:pStyle w:val="ListParagraph"/>
              <w:keepNext/>
              <w:numPr>
                <w:ilvl w:val="0"/>
                <w:numId w:val="0"/>
              </w:numPr>
              <w:tabs>
                <w:tab w:val="left" w:pos="720"/>
              </w:tabs>
              <w:autoSpaceDE w:val="0"/>
              <w:autoSpaceDN w:val="0"/>
              <w:adjustRightInd w:val="0"/>
              <w:spacing w:before="0" w:beforeAutospacing="0" w:after="0" w:afterAutospacing="0" w:line="276" w:lineRule="auto"/>
              <w:jc w:val="center"/>
              <w:rPr>
                <w:rFonts w:asciiTheme="minorHAnsi" w:hAnsiTheme="minorHAnsi" w:cs="Times New Roman"/>
                <w:b/>
                <w:sz w:val="18"/>
                <w:szCs w:val="18"/>
              </w:rPr>
            </w:pPr>
            <w:r w:rsidRPr="008F1E62">
              <w:rPr>
                <w:rFonts w:asciiTheme="minorHAnsi" w:hAnsiTheme="minorHAnsi" w:cs="Times New Roman"/>
                <w:b/>
                <w:noProof/>
                <w:szCs w:val="24"/>
              </w:rPr>
              <w:drawing>
                <wp:inline distT="0" distB="0" distL="0" distR="0" wp14:anchorId="18381E53" wp14:editId="3BF00B80">
                  <wp:extent cx="5497753" cy="2801372"/>
                  <wp:effectExtent l="0" t="0" r="8255" b="0"/>
                  <wp:docPr id="2" name="Picture 2" descr="C:\Users\wb335681\Desktop\ROSC Philippines\ALFRED WORK FILES\Screenshots\New Accounting Education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335681\Desktop\ROSC Philippines\ALFRED WORK FILES\Screenshots\New Accounting Education Framework.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538852" cy="282231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85B1CD" w14:textId="77777777" w:rsidR="00F76E53" w:rsidRPr="008F1E62" w:rsidRDefault="00F76E53" w:rsidP="00F76E53"/>
    <w:p w14:paraId="0602DC05" w14:textId="77777777" w:rsidR="00F76E53" w:rsidRPr="008F1E62" w:rsidRDefault="00F76E53" w:rsidP="00F76E53"/>
    <w:p w14:paraId="36BF576D" w14:textId="77777777" w:rsidR="00F76E53" w:rsidRPr="008F1E62" w:rsidRDefault="00F76E53" w:rsidP="00F76E53"/>
    <w:p w14:paraId="6589BF7F" w14:textId="77777777" w:rsidR="00F76E53" w:rsidRPr="008F1E62" w:rsidRDefault="00F76E53" w:rsidP="00F76E53"/>
    <w:p w14:paraId="70844F3D" w14:textId="77777777" w:rsidR="00F76E53" w:rsidRPr="008F1E62" w:rsidRDefault="00F76E53" w:rsidP="00F76E53"/>
    <w:p w14:paraId="1EE0CAC7" w14:textId="77777777" w:rsidR="00F76E53" w:rsidRPr="008F1E62" w:rsidRDefault="00F76E53" w:rsidP="00F76E53"/>
    <w:p w14:paraId="30CFF243" w14:textId="77777777" w:rsidR="00F76E53" w:rsidRPr="008F1E62" w:rsidRDefault="00F76E53" w:rsidP="00F76E53"/>
    <w:p w14:paraId="348DB022" w14:textId="77777777" w:rsidR="00F76E53" w:rsidRPr="008F1E62" w:rsidRDefault="00F76E53" w:rsidP="00F76E53"/>
    <w:p w14:paraId="3AAAE03E" w14:textId="77777777" w:rsidR="00F76E53" w:rsidRPr="008F1E62" w:rsidRDefault="00F76E53" w:rsidP="00F76E53"/>
    <w:p w14:paraId="486986D6" w14:textId="77777777" w:rsidR="00F76E53" w:rsidRPr="008F1E62" w:rsidRDefault="00F76E53" w:rsidP="00F76E53">
      <w:pPr>
        <w:spacing w:after="160" w:line="259" w:lineRule="auto"/>
        <w:jc w:val="left"/>
        <w:sectPr w:rsidR="00F76E53" w:rsidRPr="008F1E62" w:rsidSect="0002662F">
          <w:footerReference w:type="default" r:id="rId36"/>
          <w:type w:val="nextColumn"/>
          <w:pgSz w:w="11906" w:h="16838" w:code="9"/>
          <w:pgMar w:top="1440" w:right="1440" w:bottom="1440" w:left="1440" w:header="720" w:footer="720" w:gutter="0"/>
          <w:cols w:space="720"/>
          <w:docGrid w:linePitch="360"/>
        </w:sectPr>
      </w:pPr>
    </w:p>
    <w:p w14:paraId="13669131" w14:textId="5752D13C" w:rsidR="0090502D" w:rsidRPr="008F1E62" w:rsidRDefault="0090502D" w:rsidP="0090502D">
      <w:pPr>
        <w:pStyle w:val="Heading1"/>
        <w:spacing w:after="60" w:line="276" w:lineRule="auto"/>
        <w:jc w:val="center"/>
        <w:rPr>
          <w:rFonts w:ascii="Century Gothic" w:eastAsia="MS Gothic" w:hAnsi="Century Gothic" w:cstheme="minorBidi"/>
          <w:caps w:val="0"/>
          <w:color w:val="00AB51"/>
          <w:kern w:val="32"/>
          <w:sz w:val="32"/>
          <w:szCs w:val="32"/>
          <w:lang w:val="en-US"/>
        </w:rPr>
      </w:pPr>
      <w:bookmarkStart w:id="102" w:name="_Toc499825611"/>
      <w:r w:rsidRPr="008F1E62">
        <w:rPr>
          <w:rFonts w:ascii="Century Gothic" w:eastAsia="MS Gothic" w:hAnsi="Century Gothic" w:cstheme="minorBidi"/>
          <w:caps w:val="0"/>
          <w:color w:val="00AB51"/>
          <w:kern w:val="32"/>
          <w:sz w:val="32"/>
          <w:szCs w:val="32"/>
          <w:lang w:val="en-US"/>
        </w:rPr>
        <w:t>ANNEX 9</w:t>
      </w:r>
      <w:r w:rsidRPr="008F1E62">
        <w:rPr>
          <w:rFonts w:ascii="Century Gothic" w:eastAsia="MS Gothic" w:hAnsi="Century Gothic" w:cstheme="minorBidi"/>
          <w:color w:val="00AB51"/>
          <w:kern w:val="32"/>
          <w:sz w:val="32"/>
          <w:szCs w:val="32"/>
          <w:lang w:val="en-US"/>
        </w:rPr>
        <w:t xml:space="preserve">: </w:t>
      </w:r>
      <w:r w:rsidR="00E20ABF">
        <w:rPr>
          <w:rFonts w:ascii="Century Gothic" w:eastAsia="MS Gothic" w:hAnsi="Century Gothic" w:cstheme="minorBidi"/>
          <w:color w:val="00AB51"/>
          <w:kern w:val="32"/>
          <w:sz w:val="32"/>
          <w:szCs w:val="32"/>
          <w:lang w:val="en-US"/>
        </w:rPr>
        <w:t>G</w:t>
      </w:r>
      <w:r w:rsidR="007E0DD3">
        <w:rPr>
          <w:rFonts w:ascii="Century Gothic" w:eastAsia="MS Gothic" w:hAnsi="Century Gothic" w:cstheme="minorBidi"/>
          <w:color w:val="00AB51"/>
          <w:kern w:val="32"/>
          <w:sz w:val="32"/>
          <w:szCs w:val="32"/>
          <w:lang w:val="en-US"/>
        </w:rPr>
        <w:t>eomapping of CPA</w:t>
      </w:r>
      <w:r w:rsidR="007E0DD3" w:rsidRPr="0002662F">
        <w:rPr>
          <w:rFonts w:ascii="Century Gothic" w:eastAsia="MS Gothic" w:hAnsi="Century Gothic" w:cstheme="minorBidi"/>
          <w:caps w:val="0"/>
          <w:color w:val="00AB51"/>
          <w:kern w:val="32"/>
          <w:sz w:val="32"/>
          <w:szCs w:val="32"/>
          <w:lang w:val="en-US"/>
        </w:rPr>
        <w:t>s</w:t>
      </w:r>
      <w:r w:rsidR="007E0DD3">
        <w:rPr>
          <w:rFonts w:ascii="Century Gothic" w:eastAsia="MS Gothic" w:hAnsi="Century Gothic" w:cstheme="minorBidi"/>
          <w:color w:val="00AB51"/>
          <w:kern w:val="32"/>
          <w:sz w:val="32"/>
          <w:szCs w:val="32"/>
          <w:lang w:val="en-US"/>
        </w:rPr>
        <w:t xml:space="preserve"> in Public Practice Education, Commerce and Industry</w:t>
      </w:r>
      <w:bookmarkEnd w:id="102"/>
      <w:r w:rsidR="007E0DD3">
        <w:rPr>
          <w:rFonts w:ascii="Century Gothic" w:eastAsia="MS Gothic" w:hAnsi="Century Gothic" w:cstheme="minorBidi"/>
          <w:color w:val="00AB51"/>
          <w:kern w:val="32"/>
          <w:sz w:val="32"/>
          <w:szCs w:val="32"/>
          <w:lang w:val="en-US"/>
        </w:rPr>
        <w:t xml:space="preserve"> </w:t>
      </w:r>
      <w:r w:rsidR="00B969BE">
        <w:rPr>
          <w:rFonts w:ascii="Century Gothic" w:eastAsia="MS Gothic" w:hAnsi="Century Gothic" w:cstheme="minorBidi"/>
          <w:color w:val="00AB51"/>
          <w:kern w:val="32"/>
          <w:sz w:val="32"/>
          <w:szCs w:val="32"/>
          <w:lang w:val="en-US"/>
        </w:rPr>
        <w:t xml:space="preserve"> </w:t>
      </w:r>
    </w:p>
    <w:p w14:paraId="4CF268B4" w14:textId="0DE3122B" w:rsidR="00703CEA" w:rsidRPr="00703CEA" w:rsidRDefault="00B969BE" w:rsidP="00764D37">
      <w:pPr>
        <w:pStyle w:val="Heading2"/>
        <w:numPr>
          <w:ilvl w:val="1"/>
          <w:numId w:val="22"/>
        </w:numPr>
        <w:spacing w:before="500" w:after="0"/>
        <w:ind w:left="547" w:hanging="547"/>
      </w:pPr>
      <w:bookmarkStart w:id="103" w:name="_Toc499825612"/>
      <w:r w:rsidRPr="00191DEC">
        <w:rPr>
          <w:rFonts w:eastAsia="MS Gothic"/>
        </w:rPr>
        <w:t xml:space="preserve">Enterprise to Auditor Ratio </w:t>
      </w:r>
      <w:proofErr w:type="gramStart"/>
      <w:r w:rsidR="0090502D" w:rsidRPr="004D7319">
        <w:rPr>
          <w:rFonts w:eastAsia="MS Gothic"/>
        </w:rPr>
        <w:t>For</w:t>
      </w:r>
      <w:proofErr w:type="gramEnd"/>
      <w:r w:rsidR="0090502D" w:rsidRPr="004D7319">
        <w:rPr>
          <w:rFonts w:eastAsia="MS Gothic"/>
        </w:rPr>
        <w:t xml:space="preserve"> Entities Required to Submit Audited Financial Statements to </w:t>
      </w:r>
      <w:r w:rsidR="00165B4A" w:rsidRPr="004D7319">
        <w:rPr>
          <w:rFonts w:eastAsia="MS Gothic"/>
        </w:rPr>
        <w:t xml:space="preserve">the </w:t>
      </w:r>
      <w:r w:rsidR="0090502D" w:rsidRPr="004D7319">
        <w:rPr>
          <w:rFonts w:eastAsia="MS Gothic"/>
        </w:rPr>
        <w:t>Bureau of Internal Revenue</w:t>
      </w:r>
      <w:bookmarkEnd w:id="103"/>
      <w:r w:rsidR="00BC7757" w:rsidRPr="001F7817">
        <w:rPr>
          <w:rFonts w:eastAsia="MS Gothic"/>
        </w:rPr>
        <w:t xml:space="preserve"> </w:t>
      </w:r>
    </w:p>
    <w:tbl>
      <w:tblPr>
        <w:tblStyle w:val="TableGrid"/>
        <w:tblW w:w="8730" w:type="dxa"/>
        <w:tblInd w:w="-5" w:type="dxa"/>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21"/>
      </w:tblGrid>
      <w:tr w:rsidR="00703CEA" w14:paraId="0D214DFE" w14:textId="77777777" w:rsidTr="003E3BD2">
        <w:tc>
          <w:tcPr>
            <w:tcW w:w="8730" w:type="dxa"/>
            <w:shd w:val="clear" w:color="auto" w:fill="4472C4"/>
            <w:vAlign w:val="center"/>
          </w:tcPr>
          <w:p w14:paraId="4CCA6F6C" w14:textId="464C723E" w:rsidR="00703CEA" w:rsidRPr="006A35C5" w:rsidRDefault="00C626AD" w:rsidP="00656D26">
            <w:pPr>
              <w:pStyle w:val="BodyText4"/>
              <w:spacing w:line="276" w:lineRule="auto"/>
              <w:jc w:val="center"/>
              <w:rPr>
                <w:rFonts w:asciiTheme="minorHAnsi" w:hAnsiTheme="minorHAnsi"/>
                <w:b/>
                <w:color w:val="FFFFFF" w:themeColor="background1"/>
                <w:sz w:val="20"/>
              </w:rPr>
            </w:pPr>
            <w:r w:rsidRPr="006A35C5">
              <w:rPr>
                <w:rFonts w:asciiTheme="minorHAnsi" w:hAnsiTheme="minorHAnsi"/>
                <w:b/>
                <w:color w:val="FFFFFF" w:themeColor="background1"/>
                <w:sz w:val="20"/>
              </w:rPr>
              <w:t>GEOMAP A</w:t>
            </w:r>
          </w:p>
        </w:tc>
      </w:tr>
      <w:tr w:rsidR="00703CEA" w14:paraId="5B771B59" w14:textId="77777777" w:rsidTr="003E3BD2">
        <w:tc>
          <w:tcPr>
            <w:tcW w:w="8730" w:type="dxa"/>
            <w:vAlign w:val="center"/>
          </w:tcPr>
          <w:p w14:paraId="51B9AEE3" w14:textId="0BC9CFD1" w:rsidR="00703CEA" w:rsidRDefault="00703CEA" w:rsidP="00656D26">
            <w:pPr>
              <w:pStyle w:val="BodyText4"/>
              <w:spacing w:before="200" w:line="276" w:lineRule="auto"/>
              <w:jc w:val="center"/>
              <w:rPr>
                <w:rFonts w:asciiTheme="minorHAnsi" w:hAnsiTheme="minorHAnsi"/>
                <w:b/>
              </w:rPr>
            </w:pPr>
            <w:r w:rsidRPr="008F1E62">
              <w:rPr>
                <w:noProof/>
              </w:rPr>
              <w:drawing>
                <wp:inline distT="0" distB="0" distL="0" distR="0" wp14:anchorId="5836448A" wp14:editId="21050698">
                  <wp:extent cx="5729951" cy="6542966"/>
                  <wp:effectExtent l="0" t="0" r="4445" b="0"/>
                  <wp:docPr id="47" name="Picture 47" descr="BIR-BOA 600K vs Public Practic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BOA 600K vs Public Practice final"/>
                          <pic:cNvPicPr>
                            <a:picLocks noChangeAspect="1" noChangeArrowheads="1"/>
                          </pic:cNvPicPr>
                        </pic:nvPicPr>
                        <pic:blipFill rotWithShape="1">
                          <a:blip r:embed="rId37">
                            <a:extLst>
                              <a:ext uri="{28A0092B-C50C-407E-A947-70E740481C1C}">
                                <a14:useLocalDpi xmlns:a14="http://schemas.microsoft.com/office/drawing/2010/main" val="0"/>
                              </a:ext>
                            </a:extLst>
                          </a:blip>
                          <a:srcRect t="2185" b="5182"/>
                          <a:stretch/>
                        </pic:blipFill>
                        <pic:spPr bwMode="auto">
                          <a:xfrm>
                            <a:off x="0" y="0"/>
                            <a:ext cx="5730240" cy="65432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CEA" w14:paraId="3A5DF5D7" w14:textId="77777777" w:rsidTr="003E3BD2">
        <w:tc>
          <w:tcPr>
            <w:tcW w:w="8730" w:type="dxa"/>
            <w:shd w:val="clear" w:color="auto" w:fill="4472C4"/>
            <w:vAlign w:val="center"/>
          </w:tcPr>
          <w:p w14:paraId="0360F9DB" w14:textId="77777777" w:rsidR="00703CEA" w:rsidRPr="00FA75F2" w:rsidRDefault="00703CEA" w:rsidP="00656D26">
            <w:pPr>
              <w:pStyle w:val="BodyText4"/>
              <w:spacing w:line="276" w:lineRule="auto"/>
              <w:jc w:val="center"/>
              <w:rPr>
                <w:rFonts w:asciiTheme="minorHAnsi" w:hAnsiTheme="minorHAnsi"/>
                <w:noProof/>
                <w:sz w:val="10"/>
                <w:szCs w:val="10"/>
              </w:rPr>
            </w:pPr>
          </w:p>
        </w:tc>
      </w:tr>
    </w:tbl>
    <w:p w14:paraId="4A271421" w14:textId="77777777" w:rsidR="00600FD1" w:rsidRDefault="00600FD1">
      <w:pPr>
        <w:spacing w:after="160" w:line="259" w:lineRule="auto"/>
        <w:jc w:val="left"/>
        <w:sectPr w:rsidR="00600FD1" w:rsidSect="0002662F">
          <w:type w:val="nextColumn"/>
          <w:pgSz w:w="11906" w:h="16838" w:code="9"/>
          <w:pgMar w:top="1440" w:right="1440" w:bottom="1440" w:left="1440" w:header="720" w:footer="720" w:gutter="0"/>
          <w:cols w:space="720"/>
          <w:docGrid w:linePitch="360"/>
        </w:sectPr>
      </w:pPr>
    </w:p>
    <w:p w14:paraId="7F6400CC" w14:textId="6ABB2633" w:rsidR="00600FD1" w:rsidRDefault="00D45EFE" w:rsidP="00B96D8D">
      <w:pPr>
        <w:pStyle w:val="BodyText4"/>
        <w:spacing w:after="200"/>
        <w:jc w:val="center"/>
        <w:rPr>
          <w:rFonts w:asciiTheme="minorHAnsi" w:hAnsiTheme="minorHAnsi"/>
          <w:b/>
          <w:bCs/>
          <w:color w:val="4472C4" w:themeColor="accent1"/>
          <w:sz w:val="24"/>
          <w:szCs w:val="12"/>
        </w:rPr>
      </w:pPr>
      <w:r w:rsidRPr="0002662F">
        <w:rPr>
          <w:rFonts w:asciiTheme="minorHAnsi" w:hAnsiTheme="minorHAnsi"/>
          <w:b/>
          <w:bCs/>
          <w:color w:val="4472C4" w:themeColor="accent1"/>
          <w:sz w:val="24"/>
          <w:szCs w:val="12"/>
        </w:rPr>
        <w:t xml:space="preserve">Enterprise to Auditor Ratio </w:t>
      </w:r>
      <w:r w:rsidR="00B96D8D">
        <w:rPr>
          <w:rFonts w:asciiTheme="minorHAnsi" w:hAnsiTheme="minorHAnsi"/>
          <w:b/>
          <w:bCs/>
          <w:color w:val="4472C4" w:themeColor="accent1"/>
          <w:sz w:val="24"/>
          <w:szCs w:val="12"/>
        </w:rPr>
        <w:t>f</w:t>
      </w:r>
      <w:r w:rsidRPr="0002662F">
        <w:rPr>
          <w:rFonts w:asciiTheme="minorHAnsi" w:hAnsiTheme="minorHAnsi"/>
          <w:b/>
          <w:bCs/>
          <w:color w:val="4472C4" w:themeColor="accent1"/>
          <w:sz w:val="24"/>
          <w:szCs w:val="12"/>
        </w:rPr>
        <w:t>or Entities Required to Submit Audited Financial Statements to the Bureau of Internal Revenue</w:t>
      </w:r>
    </w:p>
    <w:tbl>
      <w:tblPr>
        <w:tblStyle w:val="GridTable4-Accent5"/>
        <w:tblW w:w="5215" w:type="pct"/>
        <w:jc w:val="center"/>
        <w:tblCellMar>
          <w:left w:w="0" w:type="dxa"/>
          <w:right w:w="0" w:type="dxa"/>
        </w:tblCellMar>
        <w:tblLook w:val="04A0" w:firstRow="1" w:lastRow="0" w:firstColumn="1" w:lastColumn="0" w:noHBand="0" w:noVBand="1"/>
      </w:tblPr>
      <w:tblGrid>
        <w:gridCol w:w="4590"/>
        <w:gridCol w:w="28"/>
        <w:gridCol w:w="4796"/>
      </w:tblGrid>
      <w:tr w:rsidR="00C1769D" w:rsidRPr="005056AE" w14:paraId="630F1FE0" w14:textId="77777777" w:rsidTr="003E3BD2">
        <w:trPr>
          <w:cnfStyle w:val="100000000000" w:firstRow="1" w:lastRow="0" w:firstColumn="0" w:lastColumn="0" w:oddVBand="0" w:evenVBand="0" w:oddHBand="0" w:evenHBand="0" w:firstRowFirstColumn="0" w:firstRowLastColumn="0" w:lastRowFirstColumn="0" w:lastRowLastColumn="0"/>
          <w:trHeight w:val="127"/>
          <w:tblHeader/>
          <w:jc w:val="center"/>
        </w:trPr>
        <w:tc>
          <w:tcPr>
            <w:cnfStyle w:val="001000000000" w:firstRow="0" w:lastRow="0" w:firstColumn="1" w:lastColumn="0" w:oddVBand="0" w:evenVBand="0" w:oddHBand="0" w:evenHBand="0" w:firstRowFirstColumn="0" w:firstRowLastColumn="0" w:lastRowFirstColumn="0" w:lastRowLastColumn="0"/>
            <w:tcW w:w="9404" w:type="dxa"/>
            <w:gridSpan w:val="3"/>
            <w:tcBorders>
              <w:top w:val="nil"/>
              <w:left w:val="nil"/>
              <w:bottom w:val="single" w:sz="4" w:space="0" w:color="FFFFFF" w:themeColor="background1"/>
              <w:right w:val="nil"/>
            </w:tcBorders>
            <w:shd w:val="clear" w:color="auto" w:fill="4472C4"/>
          </w:tcPr>
          <w:p w14:paraId="4C6F40A0" w14:textId="1323AC5D" w:rsidR="00C1769D" w:rsidRPr="007E1503" w:rsidRDefault="007E1503" w:rsidP="00251A15">
            <w:pPr>
              <w:pStyle w:val="BodyText4"/>
              <w:spacing w:line="276" w:lineRule="auto"/>
              <w:jc w:val="center"/>
              <w:rPr>
                <w:rFonts w:asciiTheme="minorHAnsi" w:hAnsiTheme="minorHAnsi"/>
                <w:b w:val="0"/>
                <w:sz w:val="20"/>
              </w:rPr>
            </w:pPr>
            <w:r w:rsidRPr="007E1503">
              <w:rPr>
                <w:rFonts w:asciiTheme="minorHAnsi" w:hAnsiTheme="minorHAnsi"/>
                <w:sz w:val="20"/>
              </w:rPr>
              <w:t>TABLE A</w:t>
            </w:r>
          </w:p>
        </w:tc>
      </w:tr>
      <w:tr w:rsidR="00C1769D" w:rsidRPr="005056AE" w14:paraId="7A75A7D1" w14:textId="77777777" w:rsidTr="003E3BD2">
        <w:trPr>
          <w:cnfStyle w:val="100000000000" w:firstRow="1" w:lastRow="0" w:firstColumn="0" w:lastColumn="0" w:oddVBand="0" w:evenVBand="0" w:oddHBand="0" w:evenHBand="0" w:firstRowFirstColumn="0" w:firstRowLastColumn="0" w:lastRowFirstColumn="0" w:lastRowLastColumn="0"/>
          <w:trHeight w:val="127"/>
          <w:tblHeader/>
          <w:jc w:val="center"/>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FFFFFF" w:themeColor="background1"/>
              <w:left w:val="nil"/>
              <w:bottom w:val="nil"/>
            </w:tcBorders>
            <w:shd w:val="clear" w:color="auto" w:fill="auto"/>
          </w:tcPr>
          <w:tbl>
            <w:tblPr>
              <w:tblStyle w:val="GridTable4-Accent5"/>
              <w:tblW w:w="0" w:type="auto"/>
              <w:tblLook w:val="04A0" w:firstRow="1" w:lastRow="0" w:firstColumn="1" w:lastColumn="0" w:noHBand="0" w:noVBand="1"/>
            </w:tblPr>
            <w:tblGrid>
              <w:gridCol w:w="1337"/>
              <w:gridCol w:w="1268"/>
              <w:gridCol w:w="932"/>
              <w:gridCol w:w="900"/>
            </w:tblGrid>
            <w:tr w:rsidR="00C1769D" w:rsidRPr="005056AE" w14:paraId="6FA53BC8" w14:textId="77777777" w:rsidTr="003518AC">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337" w:type="dxa"/>
                  <w:tcBorders>
                    <w:top w:val="nil"/>
                    <w:left w:val="single" w:sz="4" w:space="0" w:color="8C8D90"/>
                    <w:bottom w:val="single" w:sz="4" w:space="0" w:color="8C8D90"/>
                    <w:right w:val="single" w:sz="4" w:space="0" w:color="FFFFFF" w:themeColor="background1"/>
                  </w:tcBorders>
                  <w:shd w:val="clear" w:color="auto" w:fill="4472C4"/>
                  <w:noWrap/>
                  <w:vAlign w:val="center"/>
                  <w:hideMark/>
                </w:tcPr>
                <w:p w14:paraId="4B07F3B7" w14:textId="77777777" w:rsidR="00C1769D" w:rsidRPr="005056AE" w:rsidRDefault="00C1769D" w:rsidP="00C1769D">
                  <w:pPr>
                    <w:spacing w:after="0" w:line="240" w:lineRule="auto"/>
                    <w:jc w:val="center"/>
                    <w:rPr>
                      <w:rFonts w:eastAsia="Times New Roman" w:cstheme="minorHAnsi"/>
                      <w:b w:val="0"/>
                      <w:bCs w:val="0"/>
                      <w:sz w:val="16"/>
                      <w:szCs w:val="16"/>
                    </w:rPr>
                  </w:pPr>
                  <w:r w:rsidRPr="005056AE">
                    <w:rPr>
                      <w:rFonts w:eastAsia="Times New Roman" w:cstheme="minorHAnsi"/>
                      <w:sz w:val="16"/>
                      <w:szCs w:val="16"/>
                    </w:rPr>
                    <w:t>Province</w:t>
                  </w:r>
                </w:p>
              </w:tc>
              <w:tc>
                <w:tcPr>
                  <w:tcW w:w="1268"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0B1DA0FD" w14:textId="77777777" w:rsidR="00C1769D" w:rsidRPr="005056AE" w:rsidRDefault="00C1769D" w:rsidP="00C176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r w:rsidRPr="005056AE">
                    <w:rPr>
                      <w:rFonts w:eastAsia="Times New Roman" w:cstheme="minorHAnsi"/>
                      <w:sz w:val="16"/>
                      <w:szCs w:val="16"/>
                    </w:rPr>
                    <w:t>Entities with Gross Income Above 600,000 Pesos</w:t>
                  </w:r>
                  <w:r w:rsidRPr="005056AE">
                    <w:rPr>
                      <w:rStyle w:val="FootnoteReference"/>
                      <w:rFonts w:cstheme="minorHAnsi"/>
                      <w:sz w:val="16"/>
                      <w:szCs w:val="16"/>
                    </w:rPr>
                    <w:footnoteReference w:id="123"/>
                  </w:r>
                </w:p>
              </w:tc>
              <w:tc>
                <w:tcPr>
                  <w:tcW w:w="842"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0AB5CE66" w14:textId="77777777" w:rsidR="00C1769D" w:rsidRPr="005056AE" w:rsidRDefault="00C1769D" w:rsidP="00C176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r w:rsidRPr="005056AE">
                    <w:rPr>
                      <w:rFonts w:eastAsia="Times New Roman" w:cstheme="minorHAnsi"/>
                      <w:sz w:val="16"/>
                      <w:szCs w:val="16"/>
                    </w:rPr>
                    <w:t>CPAs Accredited in Public Practice</w:t>
                  </w:r>
                  <w:r w:rsidRPr="005056AE">
                    <w:rPr>
                      <w:rStyle w:val="FootnoteReference"/>
                      <w:rFonts w:cstheme="minorHAnsi"/>
                      <w:sz w:val="16"/>
                      <w:szCs w:val="16"/>
                    </w:rPr>
                    <w:footnoteReference w:id="124"/>
                  </w:r>
                </w:p>
              </w:tc>
              <w:tc>
                <w:tcPr>
                  <w:tcW w:w="900" w:type="dxa"/>
                  <w:tcBorders>
                    <w:top w:val="nil"/>
                    <w:left w:val="single" w:sz="4" w:space="0" w:color="FFFFFF" w:themeColor="background1"/>
                    <w:bottom w:val="single" w:sz="4" w:space="0" w:color="8C8D90"/>
                    <w:right w:val="single" w:sz="4" w:space="0" w:color="8C8D90"/>
                  </w:tcBorders>
                  <w:shd w:val="clear" w:color="auto" w:fill="4472C4"/>
                  <w:noWrap/>
                  <w:vAlign w:val="center"/>
                  <w:hideMark/>
                </w:tcPr>
                <w:p w14:paraId="7BBBD347" w14:textId="77777777" w:rsidR="00C1769D" w:rsidRPr="005056AE" w:rsidRDefault="00C1769D" w:rsidP="00C176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r w:rsidRPr="005056AE">
                    <w:rPr>
                      <w:rFonts w:eastAsia="Times New Roman" w:cstheme="minorHAnsi"/>
                      <w:sz w:val="16"/>
                      <w:szCs w:val="16"/>
                    </w:rPr>
                    <w:t>Enterprise per Auditor Ratio</w:t>
                  </w:r>
                </w:p>
              </w:tc>
            </w:tr>
            <w:tr w:rsidR="00C1769D" w:rsidRPr="005056AE" w14:paraId="6EFCE946"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30F36490"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Abra</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465BA5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183</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4DAB314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3B8EC3DE"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37</w:t>
                  </w:r>
                </w:p>
              </w:tc>
            </w:tr>
            <w:tr w:rsidR="00C1769D" w:rsidRPr="005056AE" w14:paraId="523F2612"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78E0329"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Agusan</w:t>
                  </w:r>
                  <w:proofErr w:type="spellEnd"/>
                  <w:r w:rsidRPr="005056AE">
                    <w:rPr>
                      <w:rFonts w:eastAsia="Times New Roman" w:cstheme="minorHAnsi"/>
                      <w:color w:val="000000"/>
                      <w:sz w:val="16"/>
                      <w:szCs w:val="16"/>
                    </w:rPr>
                    <w:t xml:space="preserve"> Del Norte</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1E1C28E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568</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95A7DF0"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37</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5F9E2D5D"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15</w:t>
                  </w:r>
                </w:p>
              </w:tc>
            </w:tr>
            <w:tr w:rsidR="00C1769D" w:rsidRPr="005056AE" w14:paraId="0A5C88D4"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5BA45FD9"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Agusan</w:t>
                  </w:r>
                  <w:proofErr w:type="spellEnd"/>
                  <w:r w:rsidRPr="005056AE">
                    <w:rPr>
                      <w:rFonts w:eastAsia="Times New Roman" w:cstheme="minorHAnsi"/>
                      <w:color w:val="000000"/>
                      <w:sz w:val="16"/>
                      <w:szCs w:val="16"/>
                    </w:rPr>
                    <w:t xml:space="preserve"> Del Sur</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BFDE37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232</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660C520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B4A64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3283D9B5"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1AF9F0FB"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Aklan</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9E8DF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1165</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AB9F213"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28</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0A8885D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42</w:t>
                  </w:r>
                </w:p>
              </w:tc>
            </w:tr>
            <w:tr w:rsidR="00C1769D" w:rsidRPr="005056AE" w14:paraId="114885C1"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0743C29C"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Albay</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D8D839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1360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48FDCBB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17</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4B7CE42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80</w:t>
                  </w:r>
                </w:p>
              </w:tc>
            </w:tr>
            <w:tr w:rsidR="00C1769D" w:rsidRPr="005056AE" w14:paraId="3E0CB455"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264006B2"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Antique</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4D9C6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340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1974F42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6</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36C8525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57</w:t>
                  </w:r>
                </w:p>
              </w:tc>
            </w:tr>
            <w:tr w:rsidR="00C1769D" w:rsidRPr="005056AE" w14:paraId="7136C91B"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086EEA50"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Apayao</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221FB2D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51CA94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6</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279744C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4F58649B"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5DCDF4D6"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Aurora</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136A277"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187</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6803783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6827864F"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6BC2DE0D"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0D187B55"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Basilan</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F402A5E"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46</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5BA644B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14A7285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772F494A"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2DCD9A20"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Bataan</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39E8BC6"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936</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465161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31</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250CCD5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30</w:t>
                  </w:r>
                </w:p>
              </w:tc>
            </w:tr>
            <w:tr w:rsidR="00C1769D" w:rsidRPr="005056AE" w14:paraId="6EECFFC4"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6C1B9A49"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Batanes</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9FACCD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25914AB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51EC3D0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0CEB1317"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151CE915"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Batangas</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11268D3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5278</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0F05495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112</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58DC0CF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47</w:t>
                  </w:r>
                </w:p>
              </w:tc>
            </w:tr>
            <w:tr w:rsidR="00C1769D" w:rsidRPr="005056AE" w14:paraId="07572E92"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31481047"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Benguet</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34A5531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1733</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4571E81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3DE14D1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1733</w:t>
                  </w:r>
                </w:p>
              </w:tc>
            </w:tr>
            <w:tr w:rsidR="00C1769D" w:rsidRPr="005056AE" w14:paraId="1150CE8D"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36A247E5"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Biliran</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AACE02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2520085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58ECD91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4B3D025C"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6410BB7B"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Bohol</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0F549B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1074</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0D1A61EE"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482B969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358</w:t>
                  </w:r>
                </w:p>
              </w:tc>
            </w:tr>
            <w:tr w:rsidR="00C1769D" w:rsidRPr="005056AE" w14:paraId="5E8174A7"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E9065A6"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Bukidnon</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498968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1770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6CD39162"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33</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0B7D3C5D"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54</w:t>
                  </w:r>
                </w:p>
              </w:tc>
            </w:tr>
            <w:tr w:rsidR="00C1769D" w:rsidRPr="005056AE" w14:paraId="6831FB4B"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276525B4"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Bulacan</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E64279B"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6068</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13504E8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248</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0AE0ABF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24</w:t>
                  </w:r>
                </w:p>
              </w:tc>
            </w:tr>
            <w:tr w:rsidR="00C1769D" w:rsidRPr="005056AE" w14:paraId="778F8EC2"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608260E8"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Cagayan</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4CC9D5F"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1091</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8BDE70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28</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6853F29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39</w:t>
                  </w:r>
                </w:p>
              </w:tc>
            </w:tr>
            <w:tr w:rsidR="00C1769D" w:rsidRPr="005056AE" w14:paraId="4629A69D"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59648FE0"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Camarines</w:t>
                  </w:r>
                  <w:proofErr w:type="spellEnd"/>
                  <w:r w:rsidRPr="005056AE">
                    <w:rPr>
                      <w:rFonts w:eastAsia="Times New Roman" w:cstheme="minorHAnsi"/>
                      <w:color w:val="000000"/>
                      <w:sz w:val="16"/>
                      <w:szCs w:val="16"/>
                    </w:rPr>
                    <w:t xml:space="preserve"> Norte</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F077B2"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692</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2C89B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24AAC3E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704754F3"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46E9A2D9"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Camarines</w:t>
                  </w:r>
                  <w:proofErr w:type="spellEnd"/>
                  <w:r w:rsidRPr="005056AE">
                    <w:rPr>
                      <w:rFonts w:eastAsia="Times New Roman" w:cstheme="minorHAnsi"/>
                      <w:color w:val="000000"/>
                      <w:sz w:val="16"/>
                      <w:szCs w:val="16"/>
                    </w:rPr>
                    <w:t xml:space="preserve"> Sur</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C193DD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1387</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F66473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99</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51C79260"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14</w:t>
                  </w:r>
                </w:p>
              </w:tc>
            </w:tr>
            <w:tr w:rsidR="00C1769D" w:rsidRPr="005056AE" w14:paraId="58D4E289"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B92D394"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Camiguin</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ACBC4C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06491BC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3DBB631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311C06BF"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A038DAA"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Capiz</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55EA22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506</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4A80761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13</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3D3EE676"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39</w:t>
                  </w:r>
                </w:p>
              </w:tc>
            </w:tr>
            <w:tr w:rsidR="00C1769D" w:rsidRPr="005056AE" w14:paraId="1BFA3B80"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1B3BAAFA"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Catanduanes</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B1AE74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236</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22759F2"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6</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2AB279D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39</w:t>
                  </w:r>
                </w:p>
              </w:tc>
            </w:tr>
            <w:tr w:rsidR="00C1769D" w:rsidRPr="005056AE" w14:paraId="6B7B1B81"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69C96F05"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Cavite</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FB504A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8043</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0E7F9152"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397</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4EF6C1F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20</w:t>
                  </w:r>
                </w:p>
              </w:tc>
            </w:tr>
            <w:tr w:rsidR="00C1769D" w:rsidRPr="005056AE" w14:paraId="50C4D3CA"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6CDB25B6"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Cebu</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2E42AF1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13327</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4F4364C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278</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677D662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48</w:t>
                  </w:r>
                </w:p>
              </w:tc>
            </w:tr>
            <w:tr w:rsidR="00C1769D" w:rsidRPr="005056AE" w14:paraId="4D542E28"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29FDBC42"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Compostela</w:t>
                  </w:r>
                  <w:proofErr w:type="spellEnd"/>
                  <w:r w:rsidRPr="005056AE">
                    <w:rPr>
                      <w:rFonts w:eastAsia="Times New Roman" w:cstheme="minorHAnsi"/>
                      <w:color w:val="000000"/>
                      <w:sz w:val="16"/>
                      <w:szCs w:val="16"/>
                    </w:rPr>
                    <w:t xml:space="preserve"> Valley</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62BFB9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605F412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8</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4153F7BF"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1BBE9B27"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317B9138"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Davao Del Norte</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C7EDF4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1845</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5A48304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13</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1E72233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142</w:t>
                  </w:r>
                </w:p>
              </w:tc>
            </w:tr>
            <w:tr w:rsidR="00C1769D" w:rsidRPr="005056AE" w14:paraId="0E055B49"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A52DF49"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Davao Del Sur</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84CF59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6433</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1B76AEA6"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241</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3316D56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27</w:t>
                  </w:r>
                </w:p>
              </w:tc>
            </w:tr>
            <w:tr w:rsidR="00C1769D" w:rsidRPr="005056AE" w14:paraId="55BDFE9B"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E8BBFF4"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Davao Oriental</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24FFBE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290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6180E93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2981058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16B3481F"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4DD7618"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Eastern Samar</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F08653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228</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3020AC0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707369E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0D12A61B"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76E28887"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Guimaras</w:t>
                  </w:r>
                  <w:proofErr w:type="spellEnd"/>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B9C96E1"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71552F0B"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6BFABC31"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538CAEAE"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1F7B087E"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Ifugao</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E01837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85</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2B1D6730"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220C790D"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43</w:t>
                  </w:r>
                </w:p>
              </w:tc>
            </w:tr>
            <w:tr w:rsidR="00C1769D" w:rsidRPr="005056AE" w14:paraId="70070AF7"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57162393"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Ilocos</w:t>
                  </w:r>
                  <w:proofErr w:type="spellEnd"/>
                  <w:r w:rsidRPr="005056AE">
                    <w:rPr>
                      <w:rFonts w:eastAsia="Times New Roman" w:cstheme="minorHAnsi"/>
                      <w:color w:val="000000"/>
                      <w:sz w:val="16"/>
                      <w:szCs w:val="16"/>
                    </w:rPr>
                    <w:t xml:space="preserve"> Norte</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75F9A7E"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679</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79B6905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18</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6BCB444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38</w:t>
                  </w:r>
                </w:p>
              </w:tc>
            </w:tr>
            <w:tr w:rsidR="00C1769D" w:rsidRPr="005056AE" w14:paraId="56622BE7"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593CA854"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Ilocos</w:t>
                  </w:r>
                  <w:proofErr w:type="spellEnd"/>
                  <w:r w:rsidRPr="005056AE">
                    <w:rPr>
                      <w:rFonts w:eastAsia="Times New Roman" w:cstheme="minorHAnsi"/>
                      <w:color w:val="000000"/>
                      <w:sz w:val="16"/>
                      <w:szCs w:val="16"/>
                    </w:rPr>
                    <w:t xml:space="preserve"> Sur</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7128F70"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870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6E1564E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49</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45CCA1A6"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18</w:t>
                  </w:r>
                </w:p>
              </w:tc>
            </w:tr>
            <w:tr w:rsidR="00C1769D" w:rsidRPr="005056AE" w14:paraId="6B08BA09"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0F3B2B84"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Iloilo</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C011E5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2268</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F538E9"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93</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379505B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24</w:t>
                  </w:r>
                </w:p>
              </w:tc>
            </w:tr>
            <w:tr w:rsidR="00C1769D" w:rsidRPr="005056AE" w14:paraId="2731A7AF"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48D5CE79"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Isabela</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D5EE4AD"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700</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4C77B03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59</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26AF1E7F"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12</w:t>
                  </w:r>
                </w:p>
              </w:tc>
            </w:tr>
            <w:tr w:rsidR="00C1769D" w:rsidRPr="005056AE" w14:paraId="370F0AC6"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36FAAB3C"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Kalinga</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987DB49"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176</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7BF46C1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6AE38FC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2A7E9C19"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571D2D2A"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La Union</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155A78E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931</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4ADDFFAD"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19</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41A6790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49</w:t>
                  </w:r>
                </w:p>
              </w:tc>
            </w:tr>
            <w:tr w:rsidR="00C1769D" w:rsidRPr="005056AE" w14:paraId="03003A1A"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37" w:type="dxa"/>
                  <w:tcBorders>
                    <w:top w:val="single" w:sz="4" w:space="0" w:color="8C8D90"/>
                    <w:left w:val="single" w:sz="4" w:space="0" w:color="8C8D90"/>
                    <w:bottom w:val="single" w:sz="4" w:space="0" w:color="8C8D90"/>
                    <w:right w:val="single" w:sz="4" w:space="0" w:color="8C8D90"/>
                  </w:tcBorders>
                  <w:shd w:val="clear" w:color="auto" w:fill="auto"/>
                  <w:noWrap/>
                  <w:hideMark/>
                </w:tcPr>
                <w:p w14:paraId="563743A5"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Laguna</w:t>
                  </w:r>
                </w:p>
              </w:tc>
              <w:tc>
                <w:tcPr>
                  <w:tcW w:w="1268" w:type="dxa"/>
                  <w:tcBorders>
                    <w:top w:val="single" w:sz="4" w:space="0" w:color="8C8D90"/>
                    <w:left w:val="single" w:sz="4" w:space="0" w:color="8C8D90"/>
                    <w:bottom w:val="single" w:sz="4" w:space="0" w:color="8C8D90"/>
                    <w:right w:val="single" w:sz="4" w:space="0" w:color="8C8D90"/>
                  </w:tcBorders>
                  <w:shd w:val="clear" w:color="auto" w:fill="auto"/>
                  <w:noWrap/>
                  <w:hideMark/>
                </w:tcPr>
                <w:p w14:paraId="212B059B"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8277</w:t>
                  </w:r>
                </w:p>
              </w:tc>
              <w:tc>
                <w:tcPr>
                  <w:tcW w:w="842" w:type="dxa"/>
                  <w:tcBorders>
                    <w:top w:val="single" w:sz="4" w:space="0" w:color="8C8D90"/>
                    <w:left w:val="single" w:sz="4" w:space="0" w:color="8C8D90"/>
                    <w:bottom w:val="single" w:sz="4" w:space="0" w:color="8C8D90"/>
                    <w:right w:val="single" w:sz="4" w:space="0" w:color="8C8D90"/>
                  </w:tcBorders>
                  <w:shd w:val="clear" w:color="auto" w:fill="auto"/>
                  <w:noWrap/>
                  <w:hideMark/>
                </w:tcPr>
                <w:p w14:paraId="0A82DE0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319</w:t>
                  </w:r>
                </w:p>
              </w:tc>
              <w:tc>
                <w:tcPr>
                  <w:tcW w:w="900" w:type="dxa"/>
                  <w:tcBorders>
                    <w:top w:val="single" w:sz="4" w:space="0" w:color="8C8D90"/>
                    <w:left w:val="single" w:sz="4" w:space="0" w:color="8C8D90"/>
                    <w:bottom w:val="single" w:sz="4" w:space="0" w:color="8C8D90"/>
                    <w:right w:val="single" w:sz="4" w:space="0" w:color="8C8D90"/>
                  </w:tcBorders>
                  <w:shd w:val="clear" w:color="auto" w:fill="auto"/>
                  <w:noWrap/>
                  <w:hideMark/>
                </w:tcPr>
                <w:p w14:paraId="598CA0C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26</w:t>
                  </w:r>
                </w:p>
              </w:tc>
            </w:tr>
          </w:tbl>
          <w:p w14:paraId="18AFB074" w14:textId="77777777" w:rsidR="00C1769D" w:rsidRPr="005056AE" w:rsidRDefault="00C1769D" w:rsidP="00251A15">
            <w:pPr>
              <w:pStyle w:val="BodyText4"/>
              <w:spacing w:line="276" w:lineRule="auto"/>
              <w:jc w:val="center"/>
              <w:rPr>
                <w:rFonts w:asciiTheme="minorHAnsi" w:hAnsiTheme="minorHAnsi"/>
                <w:b w:val="0"/>
                <w:bCs w:val="0"/>
                <w:sz w:val="16"/>
                <w:szCs w:val="16"/>
              </w:rPr>
            </w:pPr>
          </w:p>
        </w:tc>
        <w:tc>
          <w:tcPr>
            <w:tcW w:w="28" w:type="dxa"/>
            <w:tcBorders>
              <w:top w:val="single" w:sz="4" w:space="0" w:color="FFFFFF" w:themeColor="background1"/>
              <w:bottom w:val="nil"/>
            </w:tcBorders>
            <w:shd w:val="clear" w:color="auto" w:fill="auto"/>
          </w:tcPr>
          <w:p w14:paraId="2711198D" w14:textId="1A9B397F" w:rsidR="00C1769D" w:rsidRPr="005056AE" w:rsidRDefault="00C1769D" w:rsidP="00251A15">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6"/>
                <w:szCs w:val="16"/>
              </w:rPr>
            </w:pPr>
          </w:p>
        </w:tc>
        <w:tc>
          <w:tcPr>
            <w:tcW w:w="4790" w:type="dxa"/>
            <w:tcBorders>
              <w:top w:val="single" w:sz="4" w:space="0" w:color="FFFFFF" w:themeColor="background1"/>
              <w:bottom w:val="nil"/>
              <w:right w:val="nil"/>
            </w:tcBorders>
            <w:shd w:val="clear" w:color="auto" w:fill="auto"/>
          </w:tcPr>
          <w:tbl>
            <w:tblPr>
              <w:tblStyle w:val="GridTable4-Accent5"/>
              <w:tblW w:w="0" w:type="auto"/>
              <w:tblLook w:val="04A0" w:firstRow="1" w:lastRow="0" w:firstColumn="1" w:lastColumn="0" w:noHBand="0" w:noVBand="1"/>
            </w:tblPr>
            <w:tblGrid>
              <w:gridCol w:w="1636"/>
              <w:gridCol w:w="1251"/>
              <w:gridCol w:w="985"/>
              <w:gridCol w:w="908"/>
            </w:tblGrid>
            <w:tr w:rsidR="00C1769D" w:rsidRPr="005056AE" w14:paraId="3F62322C" w14:textId="77777777" w:rsidTr="003518AC">
              <w:trPr>
                <w:cnfStyle w:val="100000000000" w:firstRow="1" w:lastRow="0" w:firstColumn="0" w:lastColumn="0" w:oddVBand="0" w:evenVBand="0" w:oddHBand="0" w:evenHBand="0" w:firstRowFirstColumn="0" w:firstRowLastColumn="0" w:lastRowFirstColumn="0" w:lastRowLastColumn="0"/>
                <w:trHeight w:val="156"/>
                <w:tblHeader/>
              </w:trPr>
              <w:tc>
                <w:tcPr>
                  <w:cnfStyle w:val="001000000000" w:firstRow="0" w:lastRow="0" w:firstColumn="1" w:lastColumn="0" w:oddVBand="0" w:evenVBand="0" w:oddHBand="0" w:evenHBand="0" w:firstRowFirstColumn="0" w:firstRowLastColumn="0" w:lastRowFirstColumn="0" w:lastRowLastColumn="0"/>
                  <w:tcW w:w="1636" w:type="dxa"/>
                  <w:tcBorders>
                    <w:top w:val="nil"/>
                    <w:left w:val="single" w:sz="4" w:space="0" w:color="8C8D90"/>
                    <w:bottom w:val="single" w:sz="4" w:space="0" w:color="8C8D90"/>
                    <w:right w:val="single" w:sz="4" w:space="0" w:color="FFFFFF" w:themeColor="background1"/>
                  </w:tcBorders>
                  <w:shd w:val="clear" w:color="auto" w:fill="4472C4"/>
                  <w:noWrap/>
                  <w:vAlign w:val="center"/>
                  <w:hideMark/>
                </w:tcPr>
                <w:p w14:paraId="274FD1B7" w14:textId="77777777" w:rsidR="00C1769D" w:rsidRPr="005056AE" w:rsidRDefault="00C1769D" w:rsidP="00C1769D">
                  <w:pPr>
                    <w:spacing w:after="0" w:line="240" w:lineRule="auto"/>
                    <w:jc w:val="center"/>
                    <w:rPr>
                      <w:rFonts w:eastAsia="Times New Roman" w:cstheme="minorHAnsi"/>
                      <w:b w:val="0"/>
                      <w:bCs w:val="0"/>
                      <w:sz w:val="16"/>
                      <w:szCs w:val="16"/>
                    </w:rPr>
                  </w:pPr>
                  <w:r w:rsidRPr="005056AE">
                    <w:rPr>
                      <w:rFonts w:eastAsia="Times New Roman" w:cstheme="minorHAnsi"/>
                      <w:sz w:val="16"/>
                      <w:szCs w:val="16"/>
                    </w:rPr>
                    <w:t>Province</w:t>
                  </w:r>
                </w:p>
              </w:tc>
              <w:tc>
                <w:tcPr>
                  <w:tcW w:w="1251"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3C2D120D" w14:textId="77777777" w:rsidR="00C1769D" w:rsidRPr="005056AE" w:rsidRDefault="00C1769D" w:rsidP="00C176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r w:rsidRPr="005056AE">
                    <w:rPr>
                      <w:rFonts w:eastAsia="Times New Roman" w:cstheme="minorHAnsi"/>
                      <w:sz w:val="16"/>
                      <w:szCs w:val="16"/>
                    </w:rPr>
                    <w:t>Entities with Gross Income Above 600,000 Pesos</w:t>
                  </w:r>
                  <w:r w:rsidRPr="005056AE">
                    <w:rPr>
                      <w:rFonts w:eastAsia="Times New Roman" w:cstheme="minorHAnsi"/>
                      <w:sz w:val="16"/>
                      <w:szCs w:val="16"/>
                      <w:vertAlign w:val="superscript"/>
                    </w:rPr>
                    <w:t>122</w:t>
                  </w:r>
                </w:p>
              </w:tc>
              <w:tc>
                <w:tcPr>
                  <w:tcW w:w="985"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281A5BE2" w14:textId="77777777" w:rsidR="00C1769D" w:rsidRPr="005056AE" w:rsidRDefault="00C1769D" w:rsidP="00C176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r w:rsidRPr="005056AE">
                    <w:rPr>
                      <w:rFonts w:eastAsia="Times New Roman" w:cstheme="minorHAnsi"/>
                      <w:sz w:val="16"/>
                      <w:szCs w:val="16"/>
                    </w:rPr>
                    <w:t>CPAs Accredited in Public Practice</w:t>
                  </w:r>
                  <w:r w:rsidRPr="005056AE">
                    <w:rPr>
                      <w:rFonts w:eastAsia="Times New Roman" w:cstheme="minorHAnsi"/>
                      <w:sz w:val="16"/>
                      <w:szCs w:val="16"/>
                      <w:vertAlign w:val="superscript"/>
                    </w:rPr>
                    <w:t>123</w:t>
                  </w:r>
                </w:p>
              </w:tc>
              <w:tc>
                <w:tcPr>
                  <w:tcW w:w="908" w:type="dxa"/>
                  <w:tcBorders>
                    <w:top w:val="nil"/>
                    <w:left w:val="single" w:sz="4" w:space="0" w:color="FFFFFF" w:themeColor="background1"/>
                    <w:bottom w:val="single" w:sz="4" w:space="0" w:color="8C8D90"/>
                    <w:right w:val="single" w:sz="4" w:space="0" w:color="8C8D90"/>
                  </w:tcBorders>
                  <w:shd w:val="clear" w:color="auto" w:fill="4472C4"/>
                  <w:noWrap/>
                  <w:vAlign w:val="center"/>
                  <w:hideMark/>
                </w:tcPr>
                <w:p w14:paraId="1643BACE" w14:textId="77777777" w:rsidR="00C1769D" w:rsidRPr="005056AE" w:rsidRDefault="00C1769D" w:rsidP="00C176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16"/>
                      <w:szCs w:val="16"/>
                    </w:rPr>
                  </w:pPr>
                  <w:r w:rsidRPr="005056AE">
                    <w:rPr>
                      <w:rFonts w:eastAsia="Times New Roman" w:cstheme="minorHAnsi"/>
                      <w:sz w:val="16"/>
                      <w:szCs w:val="16"/>
                    </w:rPr>
                    <w:t>Enterprise per Auditor Ratio</w:t>
                  </w:r>
                </w:p>
              </w:tc>
            </w:tr>
            <w:tr w:rsidR="00C1769D" w:rsidRPr="005056AE" w14:paraId="6E28ACC2"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352BAACF"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Lanao Del Norte</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6744A57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1071</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4F8C66AC"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28</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84BC74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38</w:t>
                  </w:r>
                </w:p>
              </w:tc>
            </w:tr>
            <w:tr w:rsidR="00C1769D" w:rsidRPr="005056AE" w14:paraId="1E901231"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297870A2"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Lanao Del Sur</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C85CEE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67</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045EEB1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86D277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34</w:t>
                  </w:r>
                </w:p>
              </w:tc>
            </w:tr>
            <w:tr w:rsidR="00C1769D" w:rsidRPr="005056AE" w14:paraId="6A1BD097"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1816B559"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Leyte</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3A37DF1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1929</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0C7735D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54</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458B4C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36</w:t>
                  </w:r>
                </w:p>
              </w:tc>
            </w:tr>
            <w:tr w:rsidR="00C1769D" w:rsidRPr="005056AE" w14:paraId="7B8E3BD1"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481E27B1"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Maguindanao</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47E58E49"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214</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4C90705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C31BF8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10DBA9C8"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1A99B897"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Marinduque</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164B2F7B"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146</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5D69451E"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2A8D7C0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29</w:t>
                  </w:r>
                </w:p>
              </w:tc>
            </w:tr>
            <w:tr w:rsidR="00C1769D" w:rsidRPr="005056AE" w14:paraId="14841165"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560D0897"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Masbate</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4D0F65C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249</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62BFF30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7</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8DB6A2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36</w:t>
                  </w:r>
                </w:p>
              </w:tc>
            </w:tr>
            <w:tr w:rsidR="00C1769D" w:rsidRPr="005056AE" w14:paraId="2B61AB9A"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299BFE39"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Metropolitan Manila</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6074A2D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107464</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5977BD9"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4062</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F77360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26</w:t>
                  </w:r>
                </w:p>
              </w:tc>
            </w:tr>
            <w:tr w:rsidR="00C1769D" w:rsidRPr="005056AE" w14:paraId="0968371D"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5D00F7BA"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Misamis</w:t>
                  </w:r>
                  <w:proofErr w:type="spellEnd"/>
                  <w:r w:rsidRPr="005056AE">
                    <w:rPr>
                      <w:rFonts w:eastAsia="Times New Roman" w:cstheme="minorHAnsi"/>
                      <w:color w:val="000000"/>
                      <w:sz w:val="16"/>
                      <w:szCs w:val="16"/>
                    </w:rPr>
                    <w:t xml:space="preserve"> Occidental</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92C9109"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722</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0DC4C06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17</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0167A8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42</w:t>
                  </w:r>
                </w:p>
              </w:tc>
            </w:tr>
            <w:tr w:rsidR="00C1769D" w:rsidRPr="005056AE" w14:paraId="3F587961"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7E16F660"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Misamis</w:t>
                  </w:r>
                  <w:proofErr w:type="spellEnd"/>
                  <w:r w:rsidRPr="005056AE">
                    <w:rPr>
                      <w:rFonts w:eastAsia="Times New Roman" w:cstheme="minorHAnsi"/>
                      <w:color w:val="000000"/>
                      <w:sz w:val="16"/>
                      <w:szCs w:val="16"/>
                    </w:rPr>
                    <w:t xml:space="preserve"> Oriental</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51F6AC79"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2773</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F43718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78</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96629A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36</w:t>
                  </w:r>
                </w:p>
              </w:tc>
            </w:tr>
            <w:tr w:rsidR="00C1769D" w:rsidRPr="005056AE" w14:paraId="1E18BD6A"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4035614B"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Mountain Province</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5AE25907"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81</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387E592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22E1CE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16</w:t>
                  </w:r>
                </w:p>
              </w:tc>
            </w:tr>
            <w:tr w:rsidR="00C1769D" w:rsidRPr="005056AE" w14:paraId="3AED74EB"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36275503"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Negros Occidental</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1DF5353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4947</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6306A89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140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117E722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35</w:t>
                  </w:r>
                </w:p>
              </w:tc>
            </w:tr>
            <w:tr w:rsidR="00C1769D" w:rsidRPr="005056AE" w14:paraId="28EE8992"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42AB2ACC"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Negros Oriental</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3B959C4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893</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598B37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25</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E29E97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36</w:t>
                  </w:r>
                </w:p>
              </w:tc>
            </w:tr>
            <w:tr w:rsidR="00C1769D" w:rsidRPr="005056AE" w14:paraId="71D0743C"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62206BF2"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 xml:space="preserve">North </w:t>
                  </w:r>
                  <w:proofErr w:type="spellStart"/>
                  <w:r w:rsidRPr="005056AE">
                    <w:rPr>
                      <w:rFonts w:eastAsia="Times New Roman" w:cstheme="minorHAnsi"/>
                      <w:color w:val="000000"/>
                      <w:sz w:val="16"/>
                      <w:szCs w:val="16"/>
                    </w:rPr>
                    <w:t>Cotabato</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10DA0ED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596</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18770A9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29DF2D0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20</w:t>
                  </w:r>
                </w:p>
              </w:tc>
            </w:tr>
            <w:tr w:rsidR="00C1769D" w:rsidRPr="005056AE" w14:paraId="21F2F28C"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65080F31"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Northern Samar</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3BAC23"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238</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69476C5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41342B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72ABD2B5"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004FA1C8"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Nueva Ecija</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9FE1C9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1436</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49CC49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3D2FED3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29</w:t>
                  </w:r>
                </w:p>
              </w:tc>
            </w:tr>
            <w:tr w:rsidR="00C1769D" w:rsidRPr="005056AE" w14:paraId="4C417D14"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44BF5C65"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Nueva Vizcaya</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7C48653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348</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006080C6"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11</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1138D49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32</w:t>
                  </w:r>
                </w:p>
              </w:tc>
            </w:tr>
            <w:tr w:rsidR="00C1769D" w:rsidRPr="005056AE" w14:paraId="1D0DA838"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07683BA5"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Occidental Mindoro</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44C4EAA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623</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516AEDF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17</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E38331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37</w:t>
                  </w:r>
                </w:p>
              </w:tc>
            </w:tr>
            <w:tr w:rsidR="00C1769D" w:rsidRPr="005056AE" w14:paraId="72F93974"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2FFB272A"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Oriental Mindoro</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511A4049"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626</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7211C0A"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26</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C3D9E93"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24</w:t>
                  </w:r>
                </w:p>
              </w:tc>
            </w:tr>
            <w:tr w:rsidR="00C1769D" w:rsidRPr="005056AE" w14:paraId="05B0FB07"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5E1DFEFD"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Palawan</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3FCC26D2"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977</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15FA2A3F"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23</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3933723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42</w:t>
                  </w:r>
                </w:p>
              </w:tc>
            </w:tr>
            <w:tr w:rsidR="00C1769D" w:rsidRPr="005056AE" w14:paraId="22B00384"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719AEF9E"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Pampanga</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5FE7637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5299</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4ADF3813"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140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7077100F"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38</w:t>
                  </w:r>
                </w:p>
              </w:tc>
            </w:tr>
            <w:tr w:rsidR="00C1769D" w:rsidRPr="005056AE" w14:paraId="06459724"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5583A05D"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Pangasinan</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35ABFF9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3601</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2278AAE8"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49</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A414D7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73</w:t>
                  </w:r>
                </w:p>
              </w:tc>
            </w:tr>
            <w:tr w:rsidR="00C1769D" w:rsidRPr="005056AE" w14:paraId="373AB4D0"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36C3E970"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Quezon</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14DF51B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2378</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564EC620"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18</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2713A201"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132</w:t>
                  </w:r>
                </w:p>
              </w:tc>
            </w:tr>
            <w:tr w:rsidR="00C1769D" w:rsidRPr="005056AE" w14:paraId="1B19BCD5"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62376F18"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Quirino</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3ADDC44"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149</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3FE7C97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3A27920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149</w:t>
                  </w:r>
                </w:p>
              </w:tc>
            </w:tr>
            <w:tr w:rsidR="00C1769D" w:rsidRPr="005056AE" w14:paraId="32AFA82D"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456E0A40"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Rizal</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298C0F0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D29F202"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498</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4D362ED6"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500AF7B6"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17D3976C"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Romblon</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2B64D23E"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235</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55E25D5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82434D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47</w:t>
                  </w:r>
                </w:p>
              </w:tc>
            </w:tr>
            <w:tr w:rsidR="00C1769D" w:rsidRPr="005056AE" w14:paraId="4A2B987D"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4FCDED63"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Samar</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2A18DADD"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259</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1691195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18</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785FC4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14</w:t>
                  </w:r>
                </w:p>
              </w:tc>
            </w:tr>
            <w:tr w:rsidR="00C1769D" w:rsidRPr="005056AE" w14:paraId="0226F300"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0585E0CF"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Siquijor</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7C0E202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44F4E99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2B202E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0</w:t>
                  </w:r>
                </w:p>
              </w:tc>
            </w:tr>
            <w:tr w:rsidR="00C1769D" w:rsidRPr="005056AE" w14:paraId="50F4BAB3"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2B45039F"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Sorsogon</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11A8B337"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458</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0FF0099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5</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6ADB490"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92</w:t>
                  </w:r>
                </w:p>
              </w:tc>
            </w:tr>
            <w:tr w:rsidR="00C1769D" w:rsidRPr="005056AE" w14:paraId="52D15965"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57AB3C51"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 xml:space="preserve">South </w:t>
                  </w:r>
                  <w:proofErr w:type="spellStart"/>
                  <w:r w:rsidRPr="005056AE">
                    <w:rPr>
                      <w:rFonts w:eastAsia="Times New Roman" w:cstheme="minorHAnsi"/>
                      <w:color w:val="000000"/>
                      <w:sz w:val="16"/>
                      <w:szCs w:val="16"/>
                    </w:rPr>
                    <w:t>Cotabato</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5F35E0B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2260</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30FABEE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75</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1E7A3F0B"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30</w:t>
                  </w:r>
                </w:p>
              </w:tc>
            </w:tr>
            <w:tr w:rsidR="00C1769D" w:rsidRPr="005056AE" w14:paraId="2EE8AEE9"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445F4DB6"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Southern Leyte</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173506AD"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253</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684DE03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EA018E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73203EE9"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2F8AFBAF"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 xml:space="preserve">Sultan </w:t>
                  </w:r>
                  <w:proofErr w:type="spellStart"/>
                  <w:r w:rsidRPr="005056AE">
                    <w:rPr>
                      <w:rFonts w:eastAsia="Times New Roman" w:cstheme="minorHAnsi"/>
                      <w:color w:val="000000"/>
                      <w:sz w:val="16"/>
                      <w:szCs w:val="16"/>
                    </w:rPr>
                    <w:t>Kudarat</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1E636A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445</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7CB627B"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08E034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445</w:t>
                  </w:r>
                </w:p>
              </w:tc>
            </w:tr>
            <w:tr w:rsidR="00C1769D" w:rsidRPr="005056AE" w14:paraId="05662A6C"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371A7079"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Sulu</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C59A74E"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6</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66740A8A"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CC53A9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r w:rsidR="00C1769D" w:rsidRPr="005056AE" w14:paraId="138A13DB"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3B762A1B"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Surigao</w:t>
                  </w:r>
                  <w:proofErr w:type="spellEnd"/>
                  <w:r w:rsidRPr="005056AE">
                    <w:rPr>
                      <w:rFonts w:eastAsia="Times New Roman" w:cstheme="minorHAnsi"/>
                      <w:color w:val="000000"/>
                      <w:sz w:val="16"/>
                      <w:szCs w:val="16"/>
                    </w:rPr>
                    <w:t xml:space="preserve"> Del Norte</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3F3A227A"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356</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344985E7"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3</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3A2B1C2"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119</w:t>
                  </w:r>
                </w:p>
              </w:tc>
            </w:tr>
            <w:tr w:rsidR="00C1769D" w:rsidRPr="005056AE" w14:paraId="14BDD3C7"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33286AC3"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Surigao</w:t>
                  </w:r>
                  <w:proofErr w:type="spellEnd"/>
                  <w:r w:rsidRPr="005056AE">
                    <w:rPr>
                      <w:rFonts w:eastAsia="Times New Roman" w:cstheme="minorHAnsi"/>
                      <w:color w:val="000000"/>
                      <w:sz w:val="16"/>
                      <w:szCs w:val="16"/>
                    </w:rPr>
                    <w:t xml:space="preserve"> Del Sur</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3094892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225</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4D5DFCC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15</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29B80C55"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15</w:t>
                  </w:r>
                </w:p>
              </w:tc>
            </w:tr>
            <w:tr w:rsidR="00C1769D" w:rsidRPr="005056AE" w14:paraId="738AD923"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517223ED"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Tarlac</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22D92280"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1658</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7F0D5573"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3D940B8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829</w:t>
                  </w:r>
                </w:p>
              </w:tc>
            </w:tr>
            <w:tr w:rsidR="00C1769D" w:rsidRPr="005056AE" w14:paraId="2ABF0EFD"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30B8FC2B" w14:textId="77777777" w:rsidR="00C1769D" w:rsidRPr="005056AE" w:rsidRDefault="00C1769D" w:rsidP="00C1769D">
                  <w:pPr>
                    <w:spacing w:after="0" w:line="240" w:lineRule="auto"/>
                    <w:jc w:val="left"/>
                    <w:rPr>
                      <w:rFonts w:eastAsia="Times New Roman" w:cstheme="minorHAnsi"/>
                      <w:color w:val="000000"/>
                      <w:sz w:val="16"/>
                      <w:szCs w:val="16"/>
                    </w:rPr>
                  </w:pPr>
                  <w:proofErr w:type="spellStart"/>
                  <w:r w:rsidRPr="005056AE">
                    <w:rPr>
                      <w:rFonts w:eastAsia="Times New Roman" w:cstheme="minorHAnsi"/>
                      <w:color w:val="000000"/>
                      <w:sz w:val="16"/>
                      <w:szCs w:val="16"/>
                    </w:rPr>
                    <w:t>Tawi-Tawi</w:t>
                  </w:r>
                  <w:proofErr w:type="spellEnd"/>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43AEB930"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21034FCA"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2</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1718BAB2"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w:t>
                  </w:r>
                </w:p>
              </w:tc>
            </w:tr>
            <w:tr w:rsidR="00C1769D" w:rsidRPr="005056AE" w14:paraId="20C40319"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7EAECEF5"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Zambales</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13467F0C"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1808</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1284B48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40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080E1EE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45</w:t>
                  </w:r>
                </w:p>
              </w:tc>
            </w:tr>
            <w:tr w:rsidR="00C1769D" w:rsidRPr="005056AE" w14:paraId="3084FCD0"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1AB789A3"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Zamboanga Del Norte</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E27E47F"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329</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2B758B0B"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14</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763F398"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24</w:t>
                  </w:r>
                </w:p>
              </w:tc>
            </w:tr>
            <w:tr w:rsidR="00C1769D" w:rsidRPr="005056AE" w14:paraId="1F3707C2" w14:textId="77777777" w:rsidTr="003518A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78E3954B"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Zamboanga Del Sur</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4DE3675D"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1312</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28014436"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61</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53A294E5" w14:textId="77777777" w:rsidR="00C1769D" w:rsidRPr="005056AE" w:rsidRDefault="00C1769D" w:rsidP="00C176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22</w:t>
                  </w:r>
                </w:p>
              </w:tc>
            </w:tr>
            <w:tr w:rsidR="00C1769D" w:rsidRPr="005056AE" w14:paraId="6E035E89" w14:textId="77777777" w:rsidTr="003518AC">
              <w:trPr>
                <w:trHeight w:val="20"/>
              </w:trPr>
              <w:tc>
                <w:tcPr>
                  <w:cnfStyle w:val="001000000000" w:firstRow="0" w:lastRow="0" w:firstColumn="1" w:lastColumn="0" w:oddVBand="0" w:evenVBand="0" w:oddHBand="0" w:evenHBand="0" w:firstRowFirstColumn="0" w:firstRowLastColumn="0" w:lastRowFirstColumn="0" w:lastRowLastColumn="0"/>
                  <w:tcW w:w="1636" w:type="dxa"/>
                  <w:tcBorders>
                    <w:top w:val="single" w:sz="4" w:space="0" w:color="8C8D90"/>
                    <w:left w:val="single" w:sz="4" w:space="0" w:color="8C8D90"/>
                    <w:bottom w:val="single" w:sz="4" w:space="0" w:color="8C8D90"/>
                    <w:right w:val="single" w:sz="4" w:space="0" w:color="8C8D90"/>
                  </w:tcBorders>
                  <w:shd w:val="clear" w:color="auto" w:fill="auto"/>
                  <w:noWrap/>
                  <w:hideMark/>
                </w:tcPr>
                <w:p w14:paraId="1D316CE7" w14:textId="77777777" w:rsidR="00C1769D" w:rsidRPr="005056AE" w:rsidRDefault="00C1769D" w:rsidP="00C1769D">
                  <w:pPr>
                    <w:spacing w:after="0" w:line="240" w:lineRule="auto"/>
                    <w:jc w:val="left"/>
                    <w:rPr>
                      <w:rFonts w:eastAsia="Times New Roman" w:cstheme="minorHAnsi"/>
                      <w:color w:val="000000"/>
                      <w:sz w:val="16"/>
                      <w:szCs w:val="16"/>
                    </w:rPr>
                  </w:pPr>
                  <w:r w:rsidRPr="005056AE">
                    <w:rPr>
                      <w:rFonts w:eastAsia="Times New Roman" w:cstheme="minorHAnsi"/>
                      <w:color w:val="000000"/>
                      <w:sz w:val="16"/>
                      <w:szCs w:val="16"/>
                    </w:rPr>
                    <w:t>Zamboanga Sibugay</w:t>
                  </w:r>
                </w:p>
              </w:tc>
              <w:tc>
                <w:tcPr>
                  <w:tcW w:w="1251" w:type="dxa"/>
                  <w:tcBorders>
                    <w:top w:val="single" w:sz="4" w:space="0" w:color="8C8D90"/>
                    <w:left w:val="single" w:sz="4" w:space="0" w:color="8C8D90"/>
                    <w:bottom w:val="single" w:sz="4" w:space="0" w:color="8C8D90"/>
                    <w:right w:val="single" w:sz="4" w:space="0" w:color="8C8D90"/>
                  </w:tcBorders>
                  <w:shd w:val="clear" w:color="auto" w:fill="auto"/>
                  <w:noWrap/>
                  <w:hideMark/>
                </w:tcPr>
                <w:p w14:paraId="0C2BA214"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237</w:t>
                  </w:r>
                </w:p>
              </w:tc>
              <w:tc>
                <w:tcPr>
                  <w:tcW w:w="985" w:type="dxa"/>
                  <w:tcBorders>
                    <w:top w:val="single" w:sz="4" w:space="0" w:color="8C8D90"/>
                    <w:left w:val="single" w:sz="4" w:space="0" w:color="8C8D90"/>
                    <w:bottom w:val="single" w:sz="4" w:space="0" w:color="8C8D90"/>
                    <w:right w:val="single" w:sz="4" w:space="0" w:color="8C8D90"/>
                  </w:tcBorders>
                  <w:shd w:val="clear" w:color="auto" w:fill="auto"/>
                  <w:noWrap/>
                  <w:hideMark/>
                </w:tcPr>
                <w:p w14:paraId="00F589AC"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6"/>
                      <w:szCs w:val="16"/>
                    </w:rPr>
                  </w:pPr>
                  <w:r w:rsidRPr="005056AE">
                    <w:rPr>
                      <w:rFonts w:eastAsia="Times New Roman" w:cstheme="minorHAnsi"/>
                      <w:color w:val="000000"/>
                      <w:sz w:val="16"/>
                      <w:szCs w:val="16"/>
                    </w:rPr>
                    <w:t>0</w:t>
                  </w:r>
                </w:p>
              </w:tc>
              <w:tc>
                <w:tcPr>
                  <w:tcW w:w="908" w:type="dxa"/>
                  <w:tcBorders>
                    <w:top w:val="single" w:sz="4" w:space="0" w:color="8C8D90"/>
                    <w:left w:val="single" w:sz="4" w:space="0" w:color="8C8D90"/>
                    <w:bottom w:val="single" w:sz="4" w:space="0" w:color="8C8D90"/>
                    <w:right w:val="single" w:sz="4" w:space="0" w:color="8C8D90"/>
                  </w:tcBorders>
                  <w:shd w:val="clear" w:color="auto" w:fill="auto"/>
                  <w:noWrap/>
                  <w:hideMark/>
                </w:tcPr>
                <w:p w14:paraId="66AF4BFF" w14:textId="77777777" w:rsidR="00C1769D" w:rsidRPr="005056AE" w:rsidRDefault="00C1769D" w:rsidP="00C176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6"/>
                      <w:szCs w:val="16"/>
                    </w:rPr>
                  </w:pPr>
                  <w:r w:rsidRPr="005056AE">
                    <w:rPr>
                      <w:rFonts w:cstheme="minorHAnsi"/>
                      <w:color w:val="000000"/>
                      <w:sz w:val="16"/>
                      <w:szCs w:val="16"/>
                    </w:rPr>
                    <w:t>No CPAs</w:t>
                  </w:r>
                </w:p>
              </w:tc>
            </w:tr>
          </w:tbl>
          <w:p w14:paraId="4E35A131" w14:textId="05A7FD5E" w:rsidR="00C1769D" w:rsidRPr="005056AE" w:rsidRDefault="00C1769D" w:rsidP="00251A15">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28B57055" w14:textId="78B1C9B1" w:rsidR="00C1769D" w:rsidRDefault="00C1769D" w:rsidP="00B96D8D">
      <w:pPr>
        <w:pStyle w:val="BodyText4"/>
        <w:spacing w:after="200"/>
        <w:jc w:val="center"/>
        <w:rPr>
          <w:rFonts w:asciiTheme="minorHAnsi" w:hAnsiTheme="minorHAnsi"/>
          <w:b/>
          <w:bCs/>
          <w:color w:val="4472C4" w:themeColor="accent1"/>
          <w:sz w:val="24"/>
          <w:szCs w:val="12"/>
        </w:rPr>
      </w:pPr>
    </w:p>
    <w:p w14:paraId="17410582" w14:textId="77777777" w:rsidR="00D45EFE" w:rsidRDefault="00D45EFE" w:rsidP="00C1769D">
      <w:pPr>
        <w:pStyle w:val="BodyText4"/>
        <w:spacing w:line="276" w:lineRule="auto"/>
        <w:rPr>
          <w:rFonts w:asciiTheme="minorHAnsi" w:hAnsiTheme="minorHAnsi"/>
          <w:b/>
          <w:bCs/>
          <w:color w:val="FFFFFF" w:themeColor="background1"/>
          <w:sz w:val="12"/>
          <w:szCs w:val="12"/>
        </w:rPr>
        <w:sectPr w:rsidR="00D45EFE" w:rsidSect="00C1769D">
          <w:type w:val="nextColumn"/>
          <w:pgSz w:w="11906" w:h="16838" w:code="9"/>
          <w:pgMar w:top="1440" w:right="1440" w:bottom="1440" w:left="1440" w:header="720" w:footer="720" w:gutter="0"/>
          <w:cols w:space="720"/>
          <w:docGrid w:linePitch="360"/>
        </w:sectPr>
      </w:pPr>
    </w:p>
    <w:p w14:paraId="535D746F" w14:textId="77777777" w:rsidR="00D45EFE" w:rsidRDefault="00D45EFE" w:rsidP="00D45EFE">
      <w:pPr>
        <w:pStyle w:val="Heading2"/>
        <w:numPr>
          <w:ilvl w:val="1"/>
          <w:numId w:val="22"/>
        </w:numPr>
        <w:spacing w:before="0" w:after="0"/>
        <w:ind w:left="547" w:hanging="547"/>
        <w:rPr>
          <w:rFonts w:eastAsia="MS Gothic"/>
        </w:rPr>
      </w:pPr>
      <w:bookmarkStart w:id="104" w:name="_Toc499825613"/>
      <w:r w:rsidRPr="004B5775">
        <w:rPr>
          <w:rFonts w:eastAsia="MS Gothic"/>
        </w:rPr>
        <w:t xml:space="preserve">Enterprise to Auditor </w:t>
      </w:r>
      <w:r>
        <w:rPr>
          <w:rFonts w:eastAsia="MS Gothic"/>
        </w:rPr>
        <w:t xml:space="preserve">Ratio </w:t>
      </w:r>
      <w:proofErr w:type="gramStart"/>
      <w:r w:rsidRPr="008F1E62">
        <w:rPr>
          <w:rFonts w:eastAsia="MS Gothic"/>
        </w:rPr>
        <w:t>For</w:t>
      </w:r>
      <w:proofErr w:type="gramEnd"/>
      <w:r w:rsidRPr="008F1E62">
        <w:rPr>
          <w:rFonts w:eastAsia="MS Gothic"/>
        </w:rPr>
        <w:t xml:space="preserve"> Entities Required to Submit Audited Financial Statements to </w:t>
      </w:r>
      <w:r>
        <w:rPr>
          <w:rFonts w:eastAsia="MS Gothic"/>
        </w:rPr>
        <w:t xml:space="preserve">the </w:t>
      </w:r>
      <w:r w:rsidRPr="008F1E62">
        <w:rPr>
          <w:rFonts w:eastAsia="MS Gothic"/>
        </w:rPr>
        <w:t>Securities and Exchange Commission</w:t>
      </w:r>
      <w:bookmarkEnd w:id="104"/>
    </w:p>
    <w:p w14:paraId="4015BF19" w14:textId="1D2DEB11" w:rsidR="00703CEA" w:rsidRDefault="00703CEA" w:rsidP="00703CEA"/>
    <w:tbl>
      <w:tblPr>
        <w:tblStyle w:val="TableGrid"/>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703CEA" w14:paraId="7F2ABF18" w14:textId="77777777" w:rsidTr="00B47648">
        <w:tc>
          <w:tcPr>
            <w:tcW w:w="9026" w:type="dxa"/>
            <w:shd w:val="clear" w:color="auto" w:fill="4472C4"/>
            <w:vAlign w:val="center"/>
          </w:tcPr>
          <w:p w14:paraId="62A215CA" w14:textId="173F725A" w:rsidR="00703CEA" w:rsidRPr="006A35C5" w:rsidRDefault="00C626AD" w:rsidP="00656D26">
            <w:pPr>
              <w:pStyle w:val="BodyText4"/>
              <w:spacing w:line="276" w:lineRule="auto"/>
              <w:jc w:val="center"/>
              <w:rPr>
                <w:rFonts w:asciiTheme="minorHAnsi" w:hAnsiTheme="minorHAnsi"/>
                <w:b/>
                <w:color w:val="FFFFFF" w:themeColor="background1"/>
                <w:sz w:val="20"/>
              </w:rPr>
            </w:pPr>
            <w:r w:rsidRPr="006A35C5">
              <w:rPr>
                <w:rFonts w:asciiTheme="minorHAnsi" w:hAnsiTheme="minorHAnsi"/>
                <w:b/>
                <w:color w:val="FFFFFF" w:themeColor="background1"/>
                <w:sz w:val="20"/>
              </w:rPr>
              <w:t>GEOMAP B</w:t>
            </w:r>
          </w:p>
        </w:tc>
      </w:tr>
      <w:tr w:rsidR="00703CEA" w14:paraId="4FB65A58" w14:textId="77777777" w:rsidTr="00B47648">
        <w:tc>
          <w:tcPr>
            <w:tcW w:w="9026" w:type="dxa"/>
            <w:vAlign w:val="center"/>
          </w:tcPr>
          <w:p w14:paraId="25F1FE52" w14:textId="6209908B" w:rsidR="00703CEA" w:rsidRDefault="00703CEA" w:rsidP="00656D26">
            <w:pPr>
              <w:pStyle w:val="BodyText4"/>
              <w:spacing w:before="200" w:line="276" w:lineRule="auto"/>
              <w:jc w:val="center"/>
              <w:rPr>
                <w:rFonts w:asciiTheme="minorHAnsi" w:hAnsiTheme="minorHAnsi"/>
                <w:b/>
              </w:rPr>
            </w:pPr>
            <w:r w:rsidRPr="008F1E62">
              <w:rPr>
                <w:noProof/>
              </w:rPr>
              <w:drawing>
                <wp:inline distT="0" distB="0" distL="0" distR="0" wp14:anchorId="23FB11E5" wp14:editId="22D24ADA">
                  <wp:extent cx="5440680" cy="6475598"/>
                  <wp:effectExtent l="0" t="0" r="7620" b="1905"/>
                  <wp:docPr id="46" name="Picture 46" descr="SEC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 final"/>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593" b="6104"/>
                          <a:stretch/>
                        </pic:blipFill>
                        <pic:spPr bwMode="auto">
                          <a:xfrm>
                            <a:off x="0" y="0"/>
                            <a:ext cx="5440680" cy="64755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03CEA" w14:paraId="2C0BF797" w14:textId="77777777" w:rsidTr="00B47648">
        <w:tc>
          <w:tcPr>
            <w:tcW w:w="9026" w:type="dxa"/>
            <w:shd w:val="clear" w:color="auto" w:fill="4472C4"/>
            <w:vAlign w:val="center"/>
          </w:tcPr>
          <w:p w14:paraId="21B4B18B" w14:textId="77777777" w:rsidR="00703CEA" w:rsidRPr="00FA75F2" w:rsidRDefault="00703CEA" w:rsidP="00656D26">
            <w:pPr>
              <w:pStyle w:val="BodyText4"/>
              <w:spacing w:line="276" w:lineRule="auto"/>
              <w:jc w:val="center"/>
              <w:rPr>
                <w:rFonts w:asciiTheme="minorHAnsi" w:hAnsiTheme="minorHAnsi"/>
                <w:noProof/>
                <w:sz w:val="10"/>
                <w:szCs w:val="10"/>
              </w:rPr>
            </w:pPr>
          </w:p>
        </w:tc>
      </w:tr>
    </w:tbl>
    <w:p w14:paraId="398C9E4F" w14:textId="77777777" w:rsidR="00703CEA" w:rsidRPr="00703CEA" w:rsidRDefault="00703CEA" w:rsidP="00703CEA"/>
    <w:p w14:paraId="5CA40A28" w14:textId="77C207D4" w:rsidR="0090502D" w:rsidRDefault="0090502D" w:rsidP="0090502D"/>
    <w:p w14:paraId="3691BD02" w14:textId="3B872F5E" w:rsidR="00D45EFE" w:rsidRPr="007920E2" w:rsidRDefault="00D45EFE" w:rsidP="007920E2">
      <w:pPr>
        <w:pStyle w:val="BodyText4"/>
        <w:spacing w:after="200"/>
        <w:jc w:val="center"/>
        <w:rPr>
          <w:rFonts w:asciiTheme="minorHAnsi" w:hAnsiTheme="minorHAnsi"/>
          <w:b/>
          <w:bCs/>
          <w:color w:val="4472C4" w:themeColor="accent1"/>
          <w:sz w:val="24"/>
          <w:szCs w:val="12"/>
        </w:rPr>
      </w:pPr>
      <w:r w:rsidRPr="007920E2">
        <w:rPr>
          <w:rFonts w:asciiTheme="minorHAnsi" w:hAnsiTheme="minorHAnsi"/>
          <w:b/>
          <w:bCs/>
          <w:color w:val="4472C4" w:themeColor="accent1"/>
          <w:sz w:val="24"/>
          <w:szCs w:val="12"/>
        </w:rPr>
        <w:t xml:space="preserve">Enterprise to Auditor Ratio </w:t>
      </w:r>
      <w:r w:rsidR="007920E2">
        <w:rPr>
          <w:rFonts w:asciiTheme="minorHAnsi" w:hAnsiTheme="minorHAnsi"/>
          <w:b/>
          <w:bCs/>
          <w:color w:val="4472C4" w:themeColor="accent1"/>
          <w:sz w:val="24"/>
          <w:szCs w:val="12"/>
        </w:rPr>
        <w:t>f</w:t>
      </w:r>
      <w:r w:rsidRPr="007920E2">
        <w:rPr>
          <w:rFonts w:asciiTheme="minorHAnsi" w:hAnsiTheme="minorHAnsi"/>
          <w:b/>
          <w:bCs/>
          <w:color w:val="4472C4" w:themeColor="accent1"/>
          <w:sz w:val="24"/>
          <w:szCs w:val="12"/>
        </w:rPr>
        <w:t>or Entities Required to Submit Audited Financial Statements to the Securities and Exchange Commission</w:t>
      </w:r>
    </w:p>
    <w:tbl>
      <w:tblPr>
        <w:tblStyle w:val="GridTable2-Accent5"/>
        <w:tblW w:w="5000" w:type="pct"/>
        <w:tblBorders>
          <w:top w:val="single" w:sz="2" w:space="0" w:color="8C8D90"/>
          <w:left w:val="single" w:sz="2" w:space="0" w:color="8C8D90"/>
          <w:bottom w:val="single" w:sz="2" w:space="0" w:color="8C8D90"/>
          <w:right w:val="single" w:sz="2" w:space="0" w:color="8C8D90"/>
          <w:insideH w:val="single" w:sz="2" w:space="0" w:color="8C8D90"/>
        </w:tblBorders>
        <w:tblLayout w:type="fixed"/>
        <w:tblLook w:val="04A0" w:firstRow="1" w:lastRow="0" w:firstColumn="1" w:lastColumn="0" w:noHBand="0" w:noVBand="1"/>
      </w:tblPr>
      <w:tblGrid>
        <w:gridCol w:w="4041"/>
        <w:gridCol w:w="1799"/>
        <w:gridCol w:w="1243"/>
        <w:gridCol w:w="1937"/>
      </w:tblGrid>
      <w:tr w:rsidR="007920E2" w:rsidRPr="007920E2" w14:paraId="492C20EC" w14:textId="77777777" w:rsidTr="009555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20" w:type="dxa"/>
            <w:gridSpan w:val="4"/>
            <w:tcBorders>
              <w:top w:val="none" w:sz="0" w:space="0" w:color="auto"/>
              <w:bottom w:val="single" w:sz="2" w:space="0" w:color="FFFFFF" w:themeColor="background1"/>
            </w:tcBorders>
            <w:shd w:val="clear" w:color="auto" w:fill="4472C4"/>
            <w:noWrap/>
            <w:vAlign w:val="center"/>
          </w:tcPr>
          <w:p w14:paraId="4DBF910B" w14:textId="6DBC13E8" w:rsidR="00D45EFE" w:rsidRPr="007065A0" w:rsidRDefault="007E1503" w:rsidP="007065A0">
            <w:pPr>
              <w:spacing w:after="0"/>
              <w:jc w:val="center"/>
              <w:rPr>
                <w:rFonts w:eastAsia="Times New Roman" w:cs="Times New Roman"/>
                <w:color w:val="FFFFFF" w:themeColor="background1"/>
                <w:sz w:val="20"/>
                <w:szCs w:val="20"/>
              </w:rPr>
            </w:pPr>
            <w:r w:rsidRPr="007065A0">
              <w:rPr>
                <w:rFonts w:eastAsia="Times New Roman" w:cs="Times New Roman"/>
                <w:color w:val="FFFFFF" w:themeColor="background1"/>
                <w:sz w:val="20"/>
                <w:szCs w:val="20"/>
              </w:rPr>
              <w:t>TABLE B</w:t>
            </w:r>
          </w:p>
        </w:tc>
      </w:tr>
      <w:tr w:rsidR="007920E2" w:rsidRPr="007920E2" w14:paraId="41A14762"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top w:val="single" w:sz="2" w:space="0" w:color="FFFFFF" w:themeColor="background1"/>
              <w:right w:val="single" w:sz="2" w:space="0" w:color="FFFFFF" w:themeColor="background1"/>
            </w:tcBorders>
            <w:shd w:val="clear" w:color="auto" w:fill="4472C4"/>
            <w:noWrap/>
            <w:vAlign w:val="center"/>
            <w:hideMark/>
          </w:tcPr>
          <w:p w14:paraId="525BBF3C" w14:textId="77777777" w:rsidR="0090502D" w:rsidRPr="007065A0" w:rsidRDefault="0090502D" w:rsidP="007065A0">
            <w:pPr>
              <w:spacing w:after="0"/>
              <w:jc w:val="center"/>
              <w:rPr>
                <w:rFonts w:eastAsia="Times New Roman" w:cs="Times New Roman"/>
                <w:b w:val="0"/>
                <w:color w:val="FFFFFF" w:themeColor="background1"/>
                <w:sz w:val="20"/>
                <w:szCs w:val="20"/>
              </w:rPr>
            </w:pPr>
            <w:r w:rsidRPr="007065A0">
              <w:rPr>
                <w:rFonts w:eastAsia="Times New Roman" w:cs="Times New Roman"/>
                <w:color w:val="FFFFFF" w:themeColor="background1"/>
                <w:sz w:val="20"/>
                <w:szCs w:val="20"/>
              </w:rPr>
              <w:t>Region</w:t>
            </w:r>
          </w:p>
        </w:tc>
        <w:tc>
          <w:tcPr>
            <w:tcW w:w="1799" w:type="dxa"/>
            <w:tcBorders>
              <w:top w:val="single" w:sz="2" w:space="0" w:color="FFFFFF" w:themeColor="background1"/>
              <w:left w:val="single" w:sz="2" w:space="0" w:color="FFFFFF" w:themeColor="background1"/>
              <w:right w:val="single" w:sz="2" w:space="0" w:color="FFFFFF" w:themeColor="background1"/>
            </w:tcBorders>
            <w:shd w:val="clear" w:color="auto" w:fill="4472C4"/>
            <w:noWrap/>
            <w:vAlign w:val="center"/>
            <w:hideMark/>
          </w:tcPr>
          <w:p w14:paraId="24C44008" w14:textId="77777777" w:rsidR="0090502D" w:rsidRPr="007065A0" w:rsidRDefault="0090502D" w:rsidP="007065A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20"/>
                <w:szCs w:val="20"/>
              </w:rPr>
            </w:pPr>
            <w:r w:rsidRPr="007065A0">
              <w:rPr>
                <w:rFonts w:eastAsia="Times New Roman" w:cs="Times New Roman"/>
                <w:b/>
                <w:color w:val="FFFFFF" w:themeColor="background1"/>
                <w:sz w:val="20"/>
                <w:szCs w:val="20"/>
              </w:rPr>
              <w:t>SEC Accredited Auditors</w:t>
            </w:r>
          </w:p>
        </w:tc>
        <w:tc>
          <w:tcPr>
            <w:tcW w:w="1243" w:type="dxa"/>
            <w:tcBorders>
              <w:top w:val="single" w:sz="2" w:space="0" w:color="FFFFFF" w:themeColor="background1"/>
              <w:left w:val="single" w:sz="2" w:space="0" w:color="FFFFFF" w:themeColor="background1"/>
              <w:right w:val="single" w:sz="2" w:space="0" w:color="FFFFFF" w:themeColor="background1"/>
            </w:tcBorders>
            <w:shd w:val="clear" w:color="auto" w:fill="4472C4"/>
            <w:noWrap/>
            <w:vAlign w:val="center"/>
            <w:hideMark/>
          </w:tcPr>
          <w:p w14:paraId="17D94794" w14:textId="77777777" w:rsidR="0090502D" w:rsidRPr="007065A0" w:rsidRDefault="0090502D" w:rsidP="007065A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20"/>
                <w:szCs w:val="20"/>
              </w:rPr>
            </w:pPr>
            <w:r w:rsidRPr="007065A0">
              <w:rPr>
                <w:rFonts w:eastAsia="Times New Roman" w:cs="Times New Roman"/>
                <w:b/>
                <w:color w:val="FFFFFF" w:themeColor="background1"/>
                <w:sz w:val="20"/>
                <w:szCs w:val="20"/>
              </w:rPr>
              <w:t>Enterprises</w:t>
            </w:r>
          </w:p>
        </w:tc>
        <w:tc>
          <w:tcPr>
            <w:tcW w:w="1937" w:type="dxa"/>
            <w:tcBorders>
              <w:top w:val="single" w:sz="2" w:space="0" w:color="FFFFFF" w:themeColor="background1"/>
              <w:left w:val="single" w:sz="2" w:space="0" w:color="FFFFFF" w:themeColor="background1"/>
            </w:tcBorders>
            <w:shd w:val="clear" w:color="auto" w:fill="4472C4"/>
            <w:noWrap/>
            <w:vAlign w:val="center"/>
            <w:hideMark/>
          </w:tcPr>
          <w:p w14:paraId="059BB5FC" w14:textId="77777777" w:rsidR="0090502D" w:rsidRPr="007065A0" w:rsidRDefault="0090502D" w:rsidP="007065A0">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 w:val="20"/>
                <w:szCs w:val="20"/>
              </w:rPr>
            </w:pPr>
            <w:r w:rsidRPr="007065A0">
              <w:rPr>
                <w:rFonts w:eastAsia="Times New Roman" w:cs="Times New Roman"/>
                <w:b/>
                <w:color w:val="FFFFFF" w:themeColor="background1"/>
                <w:sz w:val="20"/>
                <w:szCs w:val="20"/>
              </w:rPr>
              <w:t>Enterprises per Auditors Ratio</w:t>
            </w:r>
          </w:p>
        </w:tc>
      </w:tr>
      <w:tr w:rsidR="007920E2" w:rsidRPr="007920E2" w14:paraId="18B8CE62"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633C5557"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Metropolitan Manila</w:t>
            </w:r>
          </w:p>
        </w:tc>
        <w:tc>
          <w:tcPr>
            <w:tcW w:w="1799" w:type="dxa"/>
            <w:tcBorders>
              <w:left w:val="single" w:sz="2" w:space="0" w:color="8C8D90"/>
              <w:right w:val="single" w:sz="2" w:space="0" w:color="8C8D90"/>
            </w:tcBorders>
            <w:shd w:val="clear" w:color="auto" w:fill="auto"/>
            <w:noWrap/>
            <w:vAlign w:val="center"/>
            <w:hideMark/>
          </w:tcPr>
          <w:p w14:paraId="1CA2C32C"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320</w:t>
            </w:r>
          </w:p>
        </w:tc>
        <w:tc>
          <w:tcPr>
            <w:tcW w:w="1243" w:type="dxa"/>
            <w:tcBorders>
              <w:left w:val="single" w:sz="2" w:space="0" w:color="8C8D90"/>
              <w:right w:val="single" w:sz="2" w:space="0" w:color="8C8D90"/>
            </w:tcBorders>
            <w:shd w:val="clear" w:color="auto" w:fill="auto"/>
            <w:noWrap/>
            <w:vAlign w:val="center"/>
            <w:hideMark/>
          </w:tcPr>
          <w:p w14:paraId="2B263D49"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347,554</w:t>
            </w:r>
          </w:p>
        </w:tc>
        <w:tc>
          <w:tcPr>
            <w:tcW w:w="1937" w:type="dxa"/>
            <w:tcBorders>
              <w:left w:val="single" w:sz="2" w:space="0" w:color="8C8D90"/>
            </w:tcBorders>
            <w:shd w:val="clear" w:color="auto" w:fill="auto"/>
            <w:noWrap/>
            <w:vAlign w:val="center"/>
            <w:hideMark/>
          </w:tcPr>
          <w:p w14:paraId="7509EC3D"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1086</w:t>
            </w:r>
          </w:p>
        </w:tc>
      </w:tr>
      <w:tr w:rsidR="007920E2" w:rsidRPr="007920E2" w14:paraId="484014ED"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04D24093"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Cordillera Administrative Region (CAR)</w:t>
            </w:r>
          </w:p>
        </w:tc>
        <w:tc>
          <w:tcPr>
            <w:tcW w:w="1799" w:type="dxa"/>
            <w:tcBorders>
              <w:left w:val="single" w:sz="2" w:space="0" w:color="8C8D90"/>
              <w:right w:val="single" w:sz="2" w:space="0" w:color="8C8D90"/>
            </w:tcBorders>
            <w:shd w:val="clear" w:color="auto" w:fill="auto"/>
            <w:noWrap/>
            <w:vAlign w:val="center"/>
            <w:hideMark/>
          </w:tcPr>
          <w:p w14:paraId="1103F902"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0</w:t>
            </w:r>
          </w:p>
        </w:tc>
        <w:tc>
          <w:tcPr>
            <w:tcW w:w="1243" w:type="dxa"/>
            <w:tcBorders>
              <w:left w:val="single" w:sz="2" w:space="0" w:color="8C8D90"/>
              <w:right w:val="single" w:sz="2" w:space="0" w:color="8C8D90"/>
            </w:tcBorders>
            <w:shd w:val="clear" w:color="auto" w:fill="auto"/>
            <w:noWrap/>
            <w:vAlign w:val="center"/>
            <w:hideMark/>
          </w:tcPr>
          <w:p w14:paraId="60747EA4"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12,373</w:t>
            </w:r>
          </w:p>
        </w:tc>
        <w:tc>
          <w:tcPr>
            <w:tcW w:w="1937" w:type="dxa"/>
            <w:tcBorders>
              <w:left w:val="single" w:sz="2" w:space="0" w:color="8C8D90"/>
            </w:tcBorders>
            <w:shd w:val="clear" w:color="auto" w:fill="auto"/>
            <w:noWrap/>
            <w:vAlign w:val="center"/>
            <w:hideMark/>
          </w:tcPr>
          <w:p w14:paraId="702B4D44"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No auditors</w:t>
            </w:r>
          </w:p>
        </w:tc>
      </w:tr>
      <w:tr w:rsidR="007920E2" w:rsidRPr="007920E2" w14:paraId="1A00CA5B"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5D6F9F3D" w14:textId="77777777" w:rsidR="0090502D" w:rsidRPr="007920E2" w:rsidRDefault="0090502D" w:rsidP="00955509">
            <w:pPr>
              <w:spacing w:after="0"/>
              <w:jc w:val="left"/>
              <w:rPr>
                <w:rFonts w:eastAsia="Times New Roman" w:cs="Times New Roman"/>
                <w:sz w:val="20"/>
                <w:szCs w:val="20"/>
              </w:rPr>
            </w:pPr>
            <w:proofErr w:type="spellStart"/>
            <w:r w:rsidRPr="007920E2">
              <w:rPr>
                <w:rFonts w:eastAsia="Times New Roman" w:cs="Times New Roman"/>
                <w:sz w:val="20"/>
                <w:szCs w:val="20"/>
              </w:rPr>
              <w:t>Ilocos</w:t>
            </w:r>
            <w:proofErr w:type="spellEnd"/>
            <w:r w:rsidRPr="007920E2">
              <w:rPr>
                <w:rFonts w:eastAsia="Times New Roman" w:cs="Times New Roman"/>
                <w:sz w:val="20"/>
                <w:szCs w:val="20"/>
              </w:rPr>
              <w:t xml:space="preserve"> Region (Region I)</w:t>
            </w:r>
          </w:p>
        </w:tc>
        <w:tc>
          <w:tcPr>
            <w:tcW w:w="1799" w:type="dxa"/>
            <w:tcBorders>
              <w:left w:val="single" w:sz="2" w:space="0" w:color="8C8D90"/>
              <w:right w:val="single" w:sz="2" w:space="0" w:color="8C8D90"/>
            </w:tcBorders>
            <w:shd w:val="clear" w:color="auto" w:fill="auto"/>
            <w:noWrap/>
            <w:vAlign w:val="center"/>
            <w:hideMark/>
          </w:tcPr>
          <w:p w14:paraId="1E3CCA84"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0</w:t>
            </w:r>
          </w:p>
        </w:tc>
        <w:tc>
          <w:tcPr>
            <w:tcW w:w="1243" w:type="dxa"/>
            <w:tcBorders>
              <w:left w:val="single" w:sz="2" w:space="0" w:color="8C8D90"/>
              <w:right w:val="single" w:sz="2" w:space="0" w:color="8C8D90"/>
            </w:tcBorders>
            <w:shd w:val="clear" w:color="auto" w:fill="auto"/>
            <w:noWrap/>
            <w:vAlign w:val="center"/>
            <w:hideMark/>
          </w:tcPr>
          <w:p w14:paraId="1D31FE40"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27,774</w:t>
            </w:r>
          </w:p>
        </w:tc>
        <w:tc>
          <w:tcPr>
            <w:tcW w:w="1937" w:type="dxa"/>
            <w:tcBorders>
              <w:left w:val="single" w:sz="2" w:space="0" w:color="8C8D90"/>
            </w:tcBorders>
            <w:shd w:val="clear" w:color="auto" w:fill="auto"/>
            <w:noWrap/>
            <w:vAlign w:val="center"/>
            <w:hideMark/>
          </w:tcPr>
          <w:p w14:paraId="21F39DFD"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No auditors</w:t>
            </w:r>
          </w:p>
        </w:tc>
      </w:tr>
      <w:tr w:rsidR="007920E2" w:rsidRPr="007920E2" w14:paraId="642E25BF"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2B5FB790"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Cagayan Valley (Region II)</w:t>
            </w:r>
          </w:p>
        </w:tc>
        <w:tc>
          <w:tcPr>
            <w:tcW w:w="1799" w:type="dxa"/>
            <w:tcBorders>
              <w:left w:val="single" w:sz="2" w:space="0" w:color="8C8D90"/>
              <w:right w:val="single" w:sz="2" w:space="0" w:color="8C8D90"/>
            </w:tcBorders>
            <w:shd w:val="clear" w:color="auto" w:fill="auto"/>
            <w:noWrap/>
            <w:vAlign w:val="center"/>
            <w:hideMark/>
          </w:tcPr>
          <w:p w14:paraId="1211D320"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w:t>
            </w:r>
          </w:p>
        </w:tc>
        <w:tc>
          <w:tcPr>
            <w:tcW w:w="1243" w:type="dxa"/>
            <w:tcBorders>
              <w:left w:val="single" w:sz="2" w:space="0" w:color="8C8D90"/>
              <w:right w:val="single" w:sz="2" w:space="0" w:color="8C8D90"/>
            </w:tcBorders>
            <w:shd w:val="clear" w:color="auto" w:fill="auto"/>
            <w:noWrap/>
            <w:vAlign w:val="center"/>
            <w:hideMark/>
          </w:tcPr>
          <w:p w14:paraId="50DD34DC"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12,789</w:t>
            </w:r>
          </w:p>
        </w:tc>
        <w:tc>
          <w:tcPr>
            <w:tcW w:w="1937" w:type="dxa"/>
            <w:tcBorders>
              <w:left w:val="single" w:sz="2" w:space="0" w:color="8C8D90"/>
            </w:tcBorders>
            <w:shd w:val="clear" w:color="auto" w:fill="auto"/>
            <w:noWrap/>
            <w:vAlign w:val="center"/>
            <w:hideMark/>
          </w:tcPr>
          <w:p w14:paraId="5141CBA4"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12789</w:t>
            </w:r>
          </w:p>
        </w:tc>
      </w:tr>
      <w:tr w:rsidR="007920E2" w:rsidRPr="007920E2" w14:paraId="34E94543"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596B020D"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Central Luzon (Region III)</w:t>
            </w:r>
          </w:p>
        </w:tc>
        <w:tc>
          <w:tcPr>
            <w:tcW w:w="1799" w:type="dxa"/>
            <w:tcBorders>
              <w:left w:val="single" w:sz="2" w:space="0" w:color="8C8D90"/>
              <w:right w:val="single" w:sz="2" w:space="0" w:color="8C8D90"/>
            </w:tcBorders>
            <w:shd w:val="clear" w:color="auto" w:fill="auto"/>
            <w:noWrap/>
            <w:vAlign w:val="center"/>
            <w:hideMark/>
          </w:tcPr>
          <w:p w14:paraId="793A9B9D"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23</w:t>
            </w:r>
          </w:p>
        </w:tc>
        <w:tc>
          <w:tcPr>
            <w:tcW w:w="1243" w:type="dxa"/>
            <w:tcBorders>
              <w:left w:val="single" w:sz="2" w:space="0" w:color="8C8D90"/>
              <w:right w:val="single" w:sz="2" w:space="0" w:color="8C8D90"/>
            </w:tcBorders>
            <w:shd w:val="clear" w:color="auto" w:fill="auto"/>
            <w:noWrap/>
            <w:vAlign w:val="center"/>
            <w:hideMark/>
          </w:tcPr>
          <w:p w14:paraId="5870CFA5"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51,308</w:t>
            </w:r>
          </w:p>
        </w:tc>
        <w:tc>
          <w:tcPr>
            <w:tcW w:w="1937" w:type="dxa"/>
            <w:tcBorders>
              <w:left w:val="single" w:sz="2" w:space="0" w:color="8C8D90"/>
            </w:tcBorders>
            <w:shd w:val="clear" w:color="auto" w:fill="auto"/>
            <w:noWrap/>
            <w:vAlign w:val="center"/>
            <w:hideMark/>
          </w:tcPr>
          <w:p w14:paraId="7ADABF49"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2231</w:t>
            </w:r>
          </w:p>
        </w:tc>
      </w:tr>
      <w:tr w:rsidR="007920E2" w:rsidRPr="007920E2" w14:paraId="684E64D9"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7412EAFC"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CALABARZON/ MIMAROPA (Region IV-A&amp;B)</w:t>
            </w:r>
          </w:p>
        </w:tc>
        <w:tc>
          <w:tcPr>
            <w:tcW w:w="1799" w:type="dxa"/>
            <w:tcBorders>
              <w:left w:val="single" w:sz="2" w:space="0" w:color="8C8D90"/>
              <w:right w:val="single" w:sz="2" w:space="0" w:color="8C8D90"/>
            </w:tcBorders>
            <w:shd w:val="clear" w:color="auto" w:fill="auto"/>
            <w:noWrap/>
            <w:vAlign w:val="center"/>
            <w:hideMark/>
          </w:tcPr>
          <w:p w14:paraId="14CDC8F9"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29</w:t>
            </w:r>
          </w:p>
        </w:tc>
        <w:tc>
          <w:tcPr>
            <w:tcW w:w="1243" w:type="dxa"/>
            <w:tcBorders>
              <w:left w:val="single" w:sz="2" w:space="0" w:color="8C8D90"/>
              <w:right w:val="single" w:sz="2" w:space="0" w:color="8C8D90"/>
            </w:tcBorders>
            <w:shd w:val="clear" w:color="auto" w:fill="auto"/>
            <w:noWrap/>
            <w:vAlign w:val="center"/>
            <w:hideMark/>
          </w:tcPr>
          <w:p w14:paraId="35A3C303"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72,319</w:t>
            </w:r>
          </w:p>
        </w:tc>
        <w:tc>
          <w:tcPr>
            <w:tcW w:w="1937" w:type="dxa"/>
            <w:tcBorders>
              <w:left w:val="single" w:sz="2" w:space="0" w:color="8C8D90"/>
            </w:tcBorders>
            <w:shd w:val="clear" w:color="auto" w:fill="auto"/>
            <w:noWrap/>
            <w:vAlign w:val="center"/>
            <w:hideMark/>
          </w:tcPr>
          <w:p w14:paraId="667D19A9"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2494</w:t>
            </w:r>
          </w:p>
        </w:tc>
      </w:tr>
      <w:tr w:rsidR="007920E2" w:rsidRPr="007920E2" w14:paraId="4FC81554"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227FCDB9"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Bicol Region (Region V)</w:t>
            </w:r>
          </w:p>
        </w:tc>
        <w:tc>
          <w:tcPr>
            <w:tcW w:w="1799" w:type="dxa"/>
            <w:tcBorders>
              <w:left w:val="single" w:sz="2" w:space="0" w:color="8C8D90"/>
              <w:right w:val="single" w:sz="2" w:space="0" w:color="8C8D90"/>
            </w:tcBorders>
            <w:shd w:val="clear" w:color="auto" w:fill="auto"/>
            <w:noWrap/>
            <w:vAlign w:val="center"/>
            <w:hideMark/>
          </w:tcPr>
          <w:p w14:paraId="1C03F379"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0</w:t>
            </w:r>
          </w:p>
        </w:tc>
        <w:tc>
          <w:tcPr>
            <w:tcW w:w="1243" w:type="dxa"/>
            <w:tcBorders>
              <w:left w:val="single" w:sz="2" w:space="0" w:color="8C8D90"/>
              <w:right w:val="single" w:sz="2" w:space="0" w:color="8C8D90"/>
            </w:tcBorders>
            <w:shd w:val="clear" w:color="auto" w:fill="auto"/>
            <w:noWrap/>
            <w:vAlign w:val="center"/>
            <w:hideMark/>
          </w:tcPr>
          <w:p w14:paraId="5EA02473"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14,554</w:t>
            </w:r>
          </w:p>
        </w:tc>
        <w:tc>
          <w:tcPr>
            <w:tcW w:w="1937" w:type="dxa"/>
            <w:tcBorders>
              <w:left w:val="single" w:sz="2" w:space="0" w:color="8C8D90"/>
            </w:tcBorders>
            <w:shd w:val="clear" w:color="auto" w:fill="auto"/>
            <w:noWrap/>
            <w:vAlign w:val="center"/>
            <w:hideMark/>
          </w:tcPr>
          <w:p w14:paraId="40A33229"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No auditors</w:t>
            </w:r>
          </w:p>
        </w:tc>
      </w:tr>
      <w:tr w:rsidR="007920E2" w:rsidRPr="007920E2" w14:paraId="63E60A48"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49E70777"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 xml:space="preserve">Western </w:t>
            </w:r>
            <w:proofErr w:type="spellStart"/>
            <w:r w:rsidRPr="007920E2">
              <w:rPr>
                <w:rFonts w:eastAsia="Times New Roman" w:cs="Times New Roman"/>
                <w:sz w:val="20"/>
                <w:szCs w:val="20"/>
              </w:rPr>
              <w:t>Visayas</w:t>
            </w:r>
            <w:proofErr w:type="spellEnd"/>
            <w:r w:rsidRPr="007920E2">
              <w:rPr>
                <w:rFonts w:eastAsia="Times New Roman" w:cs="Times New Roman"/>
                <w:sz w:val="20"/>
                <w:szCs w:val="20"/>
              </w:rPr>
              <w:t xml:space="preserve"> (Region VI)</w:t>
            </w:r>
          </w:p>
        </w:tc>
        <w:tc>
          <w:tcPr>
            <w:tcW w:w="1799" w:type="dxa"/>
            <w:tcBorders>
              <w:left w:val="single" w:sz="2" w:space="0" w:color="8C8D90"/>
              <w:right w:val="single" w:sz="2" w:space="0" w:color="8C8D90"/>
            </w:tcBorders>
            <w:shd w:val="clear" w:color="auto" w:fill="auto"/>
            <w:noWrap/>
            <w:vAlign w:val="center"/>
            <w:hideMark/>
          </w:tcPr>
          <w:p w14:paraId="3F1632CD"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15</w:t>
            </w:r>
          </w:p>
        </w:tc>
        <w:tc>
          <w:tcPr>
            <w:tcW w:w="1243" w:type="dxa"/>
            <w:tcBorders>
              <w:left w:val="single" w:sz="2" w:space="0" w:color="8C8D90"/>
              <w:right w:val="single" w:sz="2" w:space="0" w:color="8C8D90"/>
            </w:tcBorders>
            <w:shd w:val="clear" w:color="auto" w:fill="auto"/>
            <w:noWrap/>
            <w:vAlign w:val="center"/>
            <w:hideMark/>
          </w:tcPr>
          <w:p w14:paraId="51A7C2C1"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27,218</w:t>
            </w:r>
          </w:p>
        </w:tc>
        <w:tc>
          <w:tcPr>
            <w:tcW w:w="1937" w:type="dxa"/>
            <w:tcBorders>
              <w:left w:val="single" w:sz="2" w:space="0" w:color="8C8D90"/>
            </w:tcBorders>
            <w:shd w:val="clear" w:color="auto" w:fill="auto"/>
            <w:noWrap/>
            <w:vAlign w:val="center"/>
            <w:hideMark/>
          </w:tcPr>
          <w:p w14:paraId="2BE74F9D"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1815</w:t>
            </w:r>
          </w:p>
        </w:tc>
      </w:tr>
      <w:tr w:rsidR="007920E2" w:rsidRPr="007920E2" w14:paraId="7F13675A"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0B255A9B"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 xml:space="preserve">Central </w:t>
            </w:r>
            <w:proofErr w:type="spellStart"/>
            <w:r w:rsidRPr="007920E2">
              <w:rPr>
                <w:rFonts w:eastAsia="Times New Roman" w:cs="Times New Roman"/>
                <w:sz w:val="20"/>
                <w:szCs w:val="20"/>
              </w:rPr>
              <w:t>Visayas</w:t>
            </w:r>
            <w:proofErr w:type="spellEnd"/>
            <w:r w:rsidRPr="007920E2">
              <w:rPr>
                <w:rFonts w:eastAsia="Times New Roman" w:cs="Times New Roman"/>
                <w:sz w:val="20"/>
                <w:szCs w:val="20"/>
              </w:rPr>
              <w:t xml:space="preserve"> (Region VII)</w:t>
            </w:r>
          </w:p>
        </w:tc>
        <w:tc>
          <w:tcPr>
            <w:tcW w:w="1799" w:type="dxa"/>
            <w:tcBorders>
              <w:left w:val="single" w:sz="2" w:space="0" w:color="8C8D90"/>
              <w:right w:val="single" w:sz="2" w:space="0" w:color="8C8D90"/>
            </w:tcBorders>
            <w:shd w:val="clear" w:color="auto" w:fill="auto"/>
            <w:noWrap/>
            <w:vAlign w:val="center"/>
            <w:hideMark/>
          </w:tcPr>
          <w:p w14:paraId="331195BF"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31</w:t>
            </w:r>
          </w:p>
        </w:tc>
        <w:tc>
          <w:tcPr>
            <w:tcW w:w="1243" w:type="dxa"/>
            <w:tcBorders>
              <w:left w:val="single" w:sz="2" w:space="0" w:color="8C8D90"/>
              <w:right w:val="single" w:sz="2" w:space="0" w:color="8C8D90"/>
            </w:tcBorders>
            <w:shd w:val="clear" w:color="auto" w:fill="auto"/>
            <w:noWrap/>
            <w:vAlign w:val="center"/>
            <w:hideMark/>
          </w:tcPr>
          <w:p w14:paraId="44AA8505"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38,785</w:t>
            </w:r>
          </w:p>
        </w:tc>
        <w:tc>
          <w:tcPr>
            <w:tcW w:w="1937" w:type="dxa"/>
            <w:tcBorders>
              <w:left w:val="single" w:sz="2" w:space="0" w:color="8C8D90"/>
            </w:tcBorders>
            <w:shd w:val="clear" w:color="auto" w:fill="auto"/>
            <w:noWrap/>
            <w:vAlign w:val="center"/>
            <w:hideMark/>
          </w:tcPr>
          <w:p w14:paraId="5CBDF957"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1251</w:t>
            </w:r>
          </w:p>
        </w:tc>
      </w:tr>
      <w:tr w:rsidR="007920E2" w:rsidRPr="007920E2" w14:paraId="117EE122"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2670E55A"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 xml:space="preserve">Eastern </w:t>
            </w:r>
            <w:proofErr w:type="spellStart"/>
            <w:r w:rsidRPr="007920E2">
              <w:rPr>
                <w:rFonts w:eastAsia="Times New Roman" w:cs="Times New Roman"/>
                <w:sz w:val="20"/>
                <w:szCs w:val="20"/>
              </w:rPr>
              <w:t>Visayas</w:t>
            </w:r>
            <w:proofErr w:type="spellEnd"/>
            <w:r w:rsidRPr="007920E2">
              <w:rPr>
                <w:rFonts w:eastAsia="Times New Roman" w:cs="Times New Roman"/>
                <w:sz w:val="20"/>
                <w:szCs w:val="20"/>
              </w:rPr>
              <w:t xml:space="preserve"> (Region VIII)</w:t>
            </w:r>
          </w:p>
        </w:tc>
        <w:tc>
          <w:tcPr>
            <w:tcW w:w="1799" w:type="dxa"/>
            <w:tcBorders>
              <w:left w:val="single" w:sz="2" w:space="0" w:color="8C8D90"/>
              <w:right w:val="single" w:sz="2" w:space="0" w:color="8C8D90"/>
            </w:tcBorders>
            <w:shd w:val="clear" w:color="auto" w:fill="auto"/>
            <w:noWrap/>
            <w:vAlign w:val="center"/>
            <w:hideMark/>
          </w:tcPr>
          <w:p w14:paraId="541B78B3"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4</w:t>
            </w:r>
          </w:p>
        </w:tc>
        <w:tc>
          <w:tcPr>
            <w:tcW w:w="1243" w:type="dxa"/>
            <w:tcBorders>
              <w:left w:val="single" w:sz="2" w:space="0" w:color="8C8D90"/>
              <w:right w:val="single" w:sz="2" w:space="0" w:color="8C8D90"/>
            </w:tcBorders>
            <w:shd w:val="clear" w:color="auto" w:fill="auto"/>
            <w:noWrap/>
            <w:vAlign w:val="center"/>
            <w:hideMark/>
          </w:tcPr>
          <w:p w14:paraId="3CF23E0C"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7,685</w:t>
            </w:r>
          </w:p>
        </w:tc>
        <w:tc>
          <w:tcPr>
            <w:tcW w:w="1937" w:type="dxa"/>
            <w:tcBorders>
              <w:left w:val="single" w:sz="2" w:space="0" w:color="8C8D90"/>
            </w:tcBorders>
            <w:shd w:val="clear" w:color="auto" w:fill="auto"/>
            <w:noWrap/>
            <w:vAlign w:val="center"/>
            <w:hideMark/>
          </w:tcPr>
          <w:p w14:paraId="34433617"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1921</w:t>
            </w:r>
          </w:p>
        </w:tc>
      </w:tr>
      <w:tr w:rsidR="007920E2" w:rsidRPr="007920E2" w14:paraId="6B7DDD9D"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4B8F817C"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Zamboanga Peninsula (Region IX)</w:t>
            </w:r>
          </w:p>
        </w:tc>
        <w:tc>
          <w:tcPr>
            <w:tcW w:w="1799" w:type="dxa"/>
            <w:tcBorders>
              <w:left w:val="single" w:sz="2" w:space="0" w:color="8C8D90"/>
              <w:right w:val="single" w:sz="2" w:space="0" w:color="8C8D90"/>
            </w:tcBorders>
            <w:shd w:val="clear" w:color="auto" w:fill="auto"/>
            <w:noWrap/>
            <w:vAlign w:val="center"/>
            <w:hideMark/>
          </w:tcPr>
          <w:p w14:paraId="5B674B5C"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3</w:t>
            </w:r>
          </w:p>
        </w:tc>
        <w:tc>
          <w:tcPr>
            <w:tcW w:w="1243" w:type="dxa"/>
            <w:tcBorders>
              <w:left w:val="single" w:sz="2" w:space="0" w:color="8C8D90"/>
              <w:right w:val="single" w:sz="2" w:space="0" w:color="8C8D90"/>
            </w:tcBorders>
            <w:shd w:val="clear" w:color="auto" w:fill="auto"/>
            <w:noWrap/>
            <w:vAlign w:val="center"/>
            <w:hideMark/>
          </w:tcPr>
          <w:p w14:paraId="24C2F60B"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8,529</w:t>
            </w:r>
          </w:p>
        </w:tc>
        <w:tc>
          <w:tcPr>
            <w:tcW w:w="1937" w:type="dxa"/>
            <w:tcBorders>
              <w:left w:val="single" w:sz="2" w:space="0" w:color="8C8D90"/>
            </w:tcBorders>
            <w:shd w:val="clear" w:color="auto" w:fill="auto"/>
            <w:noWrap/>
            <w:vAlign w:val="center"/>
            <w:hideMark/>
          </w:tcPr>
          <w:p w14:paraId="6665D3DE"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2843</w:t>
            </w:r>
          </w:p>
        </w:tc>
      </w:tr>
      <w:tr w:rsidR="007920E2" w:rsidRPr="007920E2" w14:paraId="4669BDAD"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56ABB470"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Northern Mindanao (Region X)</w:t>
            </w:r>
          </w:p>
        </w:tc>
        <w:tc>
          <w:tcPr>
            <w:tcW w:w="1799" w:type="dxa"/>
            <w:tcBorders>
              <w:left w:val="single" w:sz="2" w:space="0" w:color="8C8D90"/>
              <w:right w:val="single" w:sz="2" w:space="0" w:color="8C8D90"/>
            </w:tcBorders>
            <w:shd w:val="clear" w:color="auto" w:fill="auto"/>
            <w:noWrap/>
            <w:vAlign w:val="center"/>
            <w:hideMark/>
          </w:tcPr>
          <w:p w14:paraId="143615D1"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5</w:t>
            </w:r>
          </w:p>
        </w:tc>
        <w:tc>
          <w:tcPr>
            <w:tcW w:w="1243" w:type="dxa"/>
            <w:tcBorders>
              <w:left w:val="single" w:sz="2" w:space="0" w:color="8C8D90"/>
              <w:right w:val="single" w:sz="2" w:space="0" w:color="8C8D90"/>
            </w:tcBorders>
            <w:shd w:val="clear" w:color="auto" w:fill="auto"/>
            <w:noWrap/>
            <w:vAlign w:val="center"/>
            <w:hideMark/>
          </w:tcPr>
          <w:p w14:paraId="79EFA054"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9,299</w:t>
            </w:r>
          </w:p>
        </w:tc>
        <w:tc>
          <w:tcPr>
            <w:tcW w:w="1937" w:type="dxa"/>
            <w:tcBorders>
              <w:left w:val="single" w:sz="2" w:space="0" w:color="8C8D90"/>
            </w:tcBorders>
            <w:shd w:val="clear" w:color="auto" w:fill="auto"/>
            <w:noWrap/>
            <w:vAlign w:val="center"/>
            <w:hideMark/>
          </w:tcPr>
          <w:p w14:paraId="78E6B990"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1860</w:t>
            </w:r>
          </w:p>
        </w:tc>
      </w:tr>
      <w:tr w:rsidR="007920E2" w:rsidRPr="007920E2" w14:paraId="1084005D"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619E7322"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Davao Region (Region XI)</w:t>
            </w:r>
          </w:p>
        </w:tc>
        <w:tc>
          <w:tcPr>
            <w:tcW w:w="1799" w:type="dxa"/>
            <w:tcBorders>
              <w:left w:val="single" w:sz="2" w:space="0" w:color="8C8D90"/>
              <w:right w:val="single" w:sz="2" w:space="0" w:color="8C8D90"/>
            </w:tcBorders>
            <w:shd w:val="clear" w:color="auto" w:fill="auto"/>
            <w:noWrap/>
            <w:vAlign w:val="center"/>
            <w:hideMark/>
          </w:tcPr>
          <w:p w14:paraId="16B3BEAA"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6</w:t>
            </w:r>
          </w:p>
        </w:tc>
        <w:tc>
          <w:tcPr>
            <w:tcW w:w="1243" w:type="dxa"/>
            <w:tcBorders>
              <w:left w:val="single" w:sz="2" w:space="0" w:color="8C8D90"/>
              <w:right w:val="single" w:sz="2" w:space="0" w:color="8C8D90"/>
            </w:tcBorders>
            <w:shd w:val="clear" w:color="auto" w:fill="auto"/>
            <w:noWrap/>
            <w:vAlign w:val="center"/>
            <w:hideMark/>
          </w:tcPr>
          <w:p w14:paraId="08A63509"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28,328</w:t>
            </w:r>
          </w:p>
        </w:tc>
        <w:tc>
          <w:tcPr>
            <w:tcW w:w="1937" w:type="dxa"/>
            <w:tcBorders>
              <w:left w:val="single" w:sz="2" w:space="0" w:color="8C8D90"/>
            </w:tcBorders>
            <w:shd w:val="clear" w:color="auto" w:fill="auto"/>
            <w:noWrap/>
            <w:vAlign w:val="center"/>
            <w:hideMark/>
          </w:tcPr>
          <w:p w14:paraId="6B4D535D"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4721</w:t>
            </w:r>
          </w:p>
        </w:tc>
      </w:tr>
      <w:tr w:rsidR="007920E2" w:rsidRPr="007920E2" w14:paraId="237AF2DA"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330EA0B7"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SOCCSKSARGEN (Region XII)</w:t>
            </w:r>
          </w:p>
        </w:tc>
        <w:tc>
          <w:tcPr>
            <w:tcW w:w="1799" w:type="dxa"/>
            <w:tcBorders>
              <w:left w:val="single" w:sz="2" w:space="0" w:color="8C8D90"/>
              <w:right w:val="single" w:sz="2" w:space="0" w:color="8C8D90"/>
            </w:tcBorders>
            <w:shd w:val="clear" w:color="auto" w:fill="auto"/>
            <w:noWrap/>
            <w:vAlign w:val="center"/>
            <w:hideMark/>
          </w:tcPr>
          <w:p w14:paraId="53385768"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5</w:t>
            </w:r>
          </w:p>
        </w:tc>
        <w:tc>
          <w:tcPr>
            <w:tcW w:w="1243" w:type="dxa"/>
            <w:tcBorders>
              <w:left w:val="single" w:sz="2" w:space="0" w:color="8C8D90"/>
              <w:right w:val="single" w:sz="2" w:space="0" w:color="8C8D90"/>
            </w:tcBorders>
            <w:shd w:val="clear" w:color="auto" w:fill="auto"/>
            <w:noWrap/>
            <w:vAlign w:val="center"/>
            <w:hideMark/>
          </w:tcPr>
          <w:p w14:paraId="337E2333"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6,902</w:t>
            </w:r>
          </w:p>
        </w:tc>
        <w:tc>
          <w:tcPr>
            <w:tcW w:w="1937" w:type="dxa"/>
            <w:tcBorders>
              <w:left w:val="single" w:sz="2" w:space="0" w:color="8C8D90"/>
            </w:tcBorders>
            <w:shd w:val="clear" w:color="auto" w:fill="auto"/>
            <w:noWrap/>
            <w:vAlign w:val="center"/>
            <w:hideMark/>
          </w:tcPr>
          <w:p w14:paraId="09191D05"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1380</w:t>
            </w:r>
          </w:p>
        </w:tc>
      </w:tr>
      <w:tr w:rsidR="007920E2" w:rsidRPr="007920E2" w14:paraId="6B23AC4D"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3EC36B37" w14:textId="77777777" w:rsidR="0090502D" w:rsidRPr="007920E2" w:rsidRDefault="0090502D" w:rsidP="00955509">
            <w:pPr>
              <w:spacing w:after="0"/>
              <w:jc w:val="left"/>
              <w:rPr>
                <w:rFonts w:eastAsia="Times New Roman" w:cs="Times New Roman"/>
                <w:sz w:val="20"/>
                <w:szCs w:val="20"/>
              </w:rPr>
            </w:pPr>
            <w:proofErr w:type="spellStart"/>
            <w:r w:rsidRPr="007920E2">
              <w:rPr>
                <w:rFonts w:eastAsia="Times New Roman" w:cs="Times New Roman"/>
                <w:sz w:val="20"/>
                <w:szCs w:val="20"/>
              </w:rPr>
              <w:t>Caraga</w:t>
            </w:r>
            <w:proofErr w:type="spellEnd"/>
            <w:r w:rsidRPr="007920E2">
              <w:rPr>
                <w:rFonts w:eastAsia="Times New Roman" w:cs="Times New Roman"/>
                <w:sz w:val="20"/>
                <w:szCs w:val="20"/>
              </w:rPr>
              <w:t xml:space="preserve"> (Region XIII)</w:t>
            </w:r>
          </w:p>
        </w:tc>
        <w:tc>
          <w:tcPr>
            <w:tcW w:w="1799" w:type="dxa"/>
            <w:tcBorders>
              <w:left w:val="single" w:sz="2" w:space="0" w:color="8C8D90"/>
              <w:right w:val="single" w:sz="2" w:space="0" w:color="8C8D90"/>
            </w:tcBorders>
            <w:shd w:val="clear" w:color="auto" w:fill="auto"/>
            <w:noWrap/>
            <w:vAlign w:val="center"/>
            <w:hideMark/>
          </w:tcPr>
          <w:p w14:paraId="69F4E489"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1</w:t>
            </w:r>
          </w:p>
        </w:tc>
        <w:tc>
          <w:tcPr>
            <w:tcW w:w="1243" w:type="dxa"/>
            <w:tcBorders>
              <w:left w:val="single" w:sz="2" w:space="0" w:color="8C8D90"/>
              <w:right w:val="single" w:sz="2" w:space="0" w:color="8C8D90"/>
            </w:tcBorders>
            <w:shd w:val="clear" w:color="auto" w:fill="auto"/>
            <w:noWrap/>
            <w:vAlign w:val="center"/>
            <w:hideMark/>
          </w:tcPr>
          <w:p w14:paraId="72F04783"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6,061</w:t>
            </w:r>
          </w:p>
        </w:tc>
        <w:tc>
          <w:tcPr>
            <w:tcW w:w="1937" w:type="dxa"/>
            <w:tcBorders>
              <w:left w:val="single" w:sz="2" w:space="0" w:color="8C8D90"/>
            </w:tcBorders>
            <w:shd w:val="clear" w:color="auto" w:fill="auto"/>
            <w:noWrap/>
            <w:vAlign w:val="center"/>
            <w:hideMark/>
          </w:tcPr>
          <w:p w14:paraId="06F47470" w14:textId="77777777" w:rsidR="0090502D" w:rsidRPr="007920E2" w:rsidRDefault="0090502D" w:rsidP="00955509">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6061</w:t>
            </w:r>
          </w:p>
        </w:tc>
      </w:tr>
      <w:tr w:rsidR="007920E2" w:rsidRPr="007920E2" w14:paraId="0E386ABC"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41" w:type="dxa"/>
            <w:tcBorders>
              <w:right w:val="single" w:sz="2" w:space="0" w:color="8C8D90"/>
            </w:tcBorders>
            <w:shd w:val="clear" w:color="auto" w:fill="auto"/>
            <w:noWrap/>
            <w:vAlign w:val="center"/>
            <w:hideMark/>
          </w:tcPr>
          <w:p w14:paraId="5295E7FA" w14:textId="77777777" w:rsidR="0090502D" w:rsidRPr="007920E2" w:rsidRDefault="0090502D" w:rsidP="00955509">
            <w:pPr>
              <w:spacing w:after="0"/>
              <w:jc w:val="left"/>
              <w:rPr>
                <w:rFonts w:eastAsia="Times New Roman" w:cs="Times New Roman"/>
                <w:sz w:val="20"/>
                <w:szCs w:val="20"/>
              </w:rPr>
            </w:pPr>
            <w:r w:rsidRPr="007920E2">
              <w:rPr>
                <w:rFonts w:eastAsia="Times New Roman" w:cs="Times New Roman"/>
                <w:sz w:val="20"/>
                <w:szCs w:val="20"/>
              </w:rPr>
              <w:t>Autonomous Region of Muslim Mindanao (ARMM)</w:t>
            </w:r>
          </w:p>
        </w:tc>
        <w:tc>
          <w:tcPr>
            <w:tcW w:w="1799" w:type="dxa"/>
            <w:tcBorders>
              <w:left w:val="single" w:sz="2" w:space="0" w:color="8C8D90"/>
              <w:right w:val="single" w:sz="2" w:space="0" w:color="8C8D90"/>
            </w:tcBorders>
            <w:shd w:val="clear" w:color="auto" w:fill="auto"/>
            <w:noWrap/>
            <w:vAlign w:val="center"/>
            <w:hideMark/>
          </w:tcPr>
          <w:p w14:paraId="5BF15223"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0</w:t>
            </w:r>
          </w:p>
        </w:tc>
        <w:tc>
          <w:tcPr>
            <w:tcW w:w="1243" w:type="dxa"/>
            <w:tcBorders>
              <w:left w:val="single" w:sz="2" w:space="0" w:color="8C8D90"/>
              <w:right w:val="single" w:sz="2" w:space="0" w:color="8C8D90"/>
            </w:tcBorders>
            <w:shd w:val="clear" w:color="auto" w:fill="auto"/>
            <w:noWrap/>
            <w:vAlign w:val="center"/>
            <w:hideMark/>
          </w:tcPr>
          <w:p w14:paraId="53E8ED45"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3,497</w:t>
            </w:r>
          </w:p>
        </w:tc>
        <w:tc>
          <w:tcPr>
            <w:tcW w:w="1937" w:type="dxa"/>
            <w:tcBorders>
              <w:left w:val="single" w:sz="2" w:space="0" w:color="8C8D90"/>
            </w:tcBorders>
            <w:shd w:val="clear" w:color="auto" w:fill="auto"/>
            <w:noWrap/>
            <w:vAlign w:val="center"/>
            <w:hideMark/>
          </w:tcPr>
          <w:p w14:paraId="29E340C4" w14:textId="77777777" w:rsidR="0090502D" w:rsidRPr="007920E2" w:rsidRDefault="0090502D" w:rsidP="00955509">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rPr>
            </w:pPr>
            <w:r w:rsidRPr="007920E2">
              <w:rPr>
                <w:rFonts w:eastAsia="Times New Roman" w:cs="Times New Roman"/>
                <w:sz w:val="20"/>
                <w:szCs w:val="20"/>
              </w:rPr>
              <w:t>No auditors</w:t>
            </w:r>
          </w:p>
        </w:tc>
      </w:tr>
    </w:tbl>
    <w:p w14:paraId="2563655F" w14:textId="77777777" w:rsidR="0090502D" w:rsidRPr="008F1E62" w:rsidRDefault="0090502D" w:rsidP="0090502D"/>
    <w:p w14:paraId="7134B464" w14:textId="673A2BF2" w:rsidR="0090502D" w:rsidRPr="008F1E62" w:rsidRDefault="0090502D" w:rsidP="0090502D">
      <w:r w:rsidRPr="008F1E62">
        <w:t xml:space="preserve">Although there are more than 600,000 active registered corporations </w:t>
      </w:r>
      <w:r w:rsidR="00BC7757">
        <w:t xml:space="preserve">as of December 31, 2016 </w:t>
      </w:r>
      <w:r w:rsidRPr="008F1E62">
        <w:t xml:space="preserve">filing audited financial statements with SEC, there are only 3,380 corporations </w:t>
      </w:r>
      <w:r w:rsidR="00BC7757">
        <w:t>(entities that fall under categories A,</w:t>
      </w:r>
      <w:r w:rsidR="00D45EFE">
        <w:t xml:space="preserve"> </w:t>
      </w:r>
      <w:r w:rsidR="00BC7757">
        <w:t>B and C of SRC Rule 68</w:t>
      </w:r>
      <w:proofErr w:type="gramStart"/>
      <w:r w:rsidR="00BC7757">
        <w:t xml:space="preserve">)  </w:t>
      </w:r>
      <w:r w:rsidRPr="008F1E62">
        <w:t>required</w:t>
      </w:r>
      <w:proofErr w:type="gramEnd"/>
      <w:r w:rsidRPr="008F1E62">
        <w:t xml:space="preserve"> to engage the services of SEC accredited external auditors. </w:t>
      </w:r>
    </w:p>
    <w:p w14:paraId="3201DE47" w14:textId="77777777" w:rsidR="0090502D" w:rsidRPr="008F1E62" w:rsidRDefault="0090502D" w:rsidP="0090502D">
      <w:pPr>
        <w:spacing w:after="160" w:line="256" w:lineRule="auto"/>
        <w:jc w:val="left"/>
        <w:rPr>
          <w:rFonts w:ascii="Century Gothic" w:eastAsia="MS Gothic" w:hAnsi="Century Gothic"/>
          <w:b/>
          <w:bCs/>
          <w:color w:val="00AB51"/>
          <w:kern w:val="32"/>
          <w:sz w:val="32"/>
          <w:szCs w:val="32"/>
        </w:rPr>
      </w:pPr>
      <w:r w:rsidRPr="008F1E62">
        <w:rPr>
          <w:rFonts w:ascii="Century Gothic" w:eastAsia="MS Gothic" w:hAnsi="Century Gothic"/>
          <w:caps/>
          <w:color w:val="00AB51"/>
          <w:kern w:val="32"/>
          <w:sz w:val="32"/>
          <w:szCs w:val="32"/>
        </w:rPr>
        <w:br w:type="page"/>
      </w:r>
    </w:p>
    <w:p w14:paraId="0CB90CEF" w14:textId="0FF86E79" w:rsidR="0090502D" w:rsidRDefault="0090502D" w:rsidP="00FF7A94">
      <w:pPr>
        <w:pStyle w:val="Heading2"/>
        <w:numPr>
          <w:ilvl w:val="1"/>
          <w:numId w:val="22"/>
        </w:numPr>
        <w:spacing w:before="500" w:after="0"/>
        <w:ind w:left="547" w:hanging="547"/>
        <w:rPr>
          <w:rFonts w:eastAsia="MS Gothic"/>
        </w:rPr>
      </w:pPr>
      <w:bookmarkStart w:id="105" w:name="_Toc499825614"/>
      <w:proofErr w:type="spellStart"/>
      <w:r w:rsidRPr="008F1E62">
        <w:rPr>
          <w:rFonts w:eastAsia="MS Gothic"/>
        </w:rPr>
        <w:t>Bangko</w:t>
      </w:r>
      <w:proofErr w:type="spellEnd"/>
      <w:r w:rsidRPr="008F1E62">
        <w:rPr>
          <w:rFonts w:eastAsia="MS Gothic"/>
        </w:rPr>
        <w:t xml:space="preserve"> </w:t>
      </w:r>
      <w:proofErr w:type="spellStart"/>
      <w:r w:rsidRPr="008F1E62">
        <w:rPr>
          <w:rFonts w:eastAsia="MS Gothic"/>
        </w:rPr>
        <w:t>Sentral</w:t>
      </w:r>
      <w:proofErr w:type="spellEnd"/>
      <w:r w:rsidRPr="008F1E62">
        <w:rPr>
          <w:rFonts w:eastAsia="MS Gothic"/>
        </w:rPr>
        <w:t xml:space="preserve"> ng </w:t>
      </w:r>
      <w:proofErr w:type="spellStart"/>
      <w:r w:rsidRPr="008F1E62">
        <w:rPr>
          <w:rFonts w:eastAsia="MS Gothic"/>
        </w:rPr>
        <w:t>Pilipinas</w:t>
      </w:r>
      <w:proofErr w:type="spellEnd"/>
      <w:r w:rsidRPr="008F1E62">
        <w:rPr>
          <w:rFonts w:eastAsia="MS Gothic"/>
        </w:rPr>
        <w:t xml:space="preserve"> </w:t>
      </w:r>
      <w:r w:rsidR="00451E1E">
        <w:rPr>
          <w:rFonts w:eastAsia="MS Gothic"/>
        </w:rPr>
        <w:t>Selected</w:t>
      </w:r>
      <w:r w:rsidRPr="008F1E62">
        <w:rPr>
          <w:rFonts w:eastAsia="MS Gothic"/>
        </w:rPr>
        <w:t xml:space="preserve"> Auditors and Enterprises</w:t>
      </w:r>
      <w:bookmarkEnd w:id="105"/>
    </w:p>
    <w:p w14:paraId="48B2BFBE" w14:textId="48A68F6F" w:rsidR="00C66A17" w:rsidRDefault="00C66A17" w:rsidP="00C66A17"/>
    <w:tbl>
      <w:tblPr>
        <w:tblStyle w:val="TableGrid"/>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C66A17" w14:paraId="6D82CFC1" w14:textId="77777777" w:rsidTr="00B47648">
        <w:tc>
          <w:tcPr>
            <w:tcW w:w="9026" w:type="dxa"/>
            <w:shd w:val="clear" w:color="auto" w:fill="4472C4"/>
            <w:vAlign w:val="center"/>
          </w:tcPr>
          <w:p w14:paraId="4E960D23" w14:textId="6103285B" w:rsidR="00C66A17" w:rsidRPr="006A35C5" w:rsidRDefault="00D45EFE" w:rsidP="00656D26">
            <w:pPr>
              <w:pStyle w:val="BodyText4"/>
              <w:spacing w:line="276" w:lineRule="auto"/>
              <w:jc w:val="center"/>
              <w:rPr>
                <w:rFonts w:asciiTheme="minorHAnsi" w:hAnsiTheme="minorHAnsi"/>
                <w:b/>
                <w:color w:val="FFFFFF" w:themeColor="background1"/>
                <w:sz w:val="20"/>
              </w:rPr>
            </w:pPr>
            <w:r w:rsidRPr="006A35C5">
              <w:rPr>
                <w:rFonts w:asciiTheme="minorHAnsi" w:hAnsiTheme="minorHAnsi"/>
                <w:b/>
                <w:color w:val="FFFFFF" w:themeColor="background1"/>
                <w:sz w:val="20"/>
              </w:rPr>
              <w:t>G</w:t>
            </w:r>
            <w:r>
              <w:rPr>
                <w:rFonts w:asciiTheme="minorHAnsi" w:hAnsiTheme="minorHAnsi"/>
                <w:b/>
                <w:color w:val="FFFFFF" w:themeColor="background1"/>
                <w:sz w:val="20"/>
              </w:rPr>
              <w:t>EOMAP</w:t>
            </w:r>
            <w:r w:rsidRPr="006A35C5">
              <w:rPr>
                <w:rFonts w:asciiTheme="minorHAnsi" w:hAnsiTheme="minorHAnsi"/>
                <w:b/>
                <w:color w:val="FFFFFF" w:themeColor="background1"/>
                <w:sz w:val="20"/>
              </w:rPr>
              <w:t xml:space="preserve"> </w:t>
            </w:r>
            <w:r w:rsidR="00C66A17" w:rsidRPr="006A35C5">
              <w:rPr>
                <w:rFonts w:asciiTheme="minorHAnsi" w:hAnsiTheme="minorHAnsi"/>
                <w:b/>
                <w:color w:val="FFFFFF" w:themeColor="background1"/>
                <w:sz w:val="20"/>
              </w:rPr>
              <w:t>C</w:t>
            </w:r>
          </w:p>
        </w:tc>
      </w:tr>
      <w:tr w:rsidR="00C66A17" w14:paraId="2E98FE24" w14:textId="77777777" w:rsidTr="00B47648">
        <w:tc>
          <w:tcPr>
            <w:tcW w:w="9026" w:type="dxa"/>
            <w:vAlign w:val="center"/>
          </w:tcPr>
          <w:p w14:paraId="4E69095C" w14:textId="50AA4E66" w:rsidR="00C66A17" w:rsidRDefault="00C66A17" w:rsidP="00656D26">
            <w:pPr>
              <w:pStyle w:val="BodyText4"/>
              <w:spacing w:before="200" w:line="276" w:lineRule="auto"/>
              <w:jc w:val="center"/>
              <w:rPr>
                <w:rFonts w:asciiTheme="minorHAnsi" w:hAnsiTheme="minorHAnsi"/>
                <w:b/>
              </w:rPr>
            </w:pPr>
            <w:r w:rsidRPr="008F1E62">
              <w:rPr>
                <w:noProof/>
              </w:rPr>
              <w:drawing>
                <wp:inline distT="0" distB="0" distL="0" distR="0" wp14:anchorId="308E7107" wp14:editId="6392E871">
                  <wp:extent cx="5403215" cy="6708775"/>
                  <wp:effectExtent l="0" t="0" r="6985" b="0"/>
                  <wp:docPr id="45" name="Picture 45" descr="BSP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P final"/>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 t="3215" r="753" b="5963"/>
                          <a:stretch/>
                        </pic:blipFill>
                        <pic:spPr bwMode="auto">
                          <a:xfrm>
                            <a:off x="0" y="0"/>
                            <a:ext cx="5403215" cy="6708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66A17" w14:paraId="30AA288E" w14:textId="77777777" w:rsidTr="00B47648">
        <w:tc>
          <w:tcPr>
            <w:tcW w:w="9026" w:type="dxa"/>
            <w:shd w:val="clear" w:color="auto" w:fill="4472C4"/>
            <w:vAlign w:val="center"/>
          </w:tcPr>
          <w:p w14:paraId="3E5A7E40" w14:textId="77777777" w:rsidR="00C66A17" w:rsidRPr="00FA75F2" w:rsidRDefault="00C66A17" w:rsidP="00656D26">
            <w:pPr>
              <w:pStyle w:val="BodyText4"/>
              <w:spacing w:line="276" w:lineRule="auto"/>
              <w:jc w:val="center"/>
              <w:rPr>
                <w:rFonts w:asciiTheme="minorHAnsi" w:hAnsiTheme="minorHAnsi"/>
                <w:noProof/>
                <w:sz w:val="10"/>
                <w:szCs w:val="10"/>
              </w:rPr>
            </w:pPr>
          </w:p>
        </w:tc>
      </w:tr>
    </w:tbl>
    <w:p w14:paraId="2A4FB316" w14:textId="77777777" w:rsidR="00C66A17" w:rsidRPr="00C66A17" w:rsidRDefault="00C66A17" w:rsidP="00C66A17"/>
    <w:p w14:paraId="3231D6B6" w14:textId="636E21B3" w:rsidR="0090502D" w:rsidRDefault="0090502D" w:rsidP="0090502D"/>
    <w:p w14:paraId="7FD9FC8B" w14:textId="77777777" w:rsidR="00F61E5B" w:rsidRDefault="00F61E5B" w:rsidP="00ED6F15">
      <w:pPr>
        <w:sectPr w:rsidR="00F61E5B" w:rsidSect="0002662F">
          <w:type w:val="nextColumn"/>
          <w:pgSz w:w="11906" w:h="16838" w:code="9"/>
          <w:pgMar w:top="1440" w:right="1440" w:bottom="1440" w:left="1440" w:header="720" w:footer="720" w:gutter="0"/>
          <w:cols w:space="720"/>
          <w:docGrid w:linePitch="360"/>
        </w:sectPr>
      </w:pPr>
    </w:p>
    <w:p w14:paraId="3B4DD770" w14:textId="34870E71" w:rsidR="00210F2B" w:rsidRDefault="0089238B" w:rsidP="00210F2B">
      <w:pPr>
        <w:pStyle w:val="BodyText4"/>
        <w:spacing w:after="200"/>
        <w:jc w:val="center"/>
        <w:rPr>
          <w:rFonts w:asciiTheme="minorHAnsi" w:hAnsiTheme="minorHAnsi"/>
          <w:b/>
          <w:bCs/>
          <w:color w:val="4472C4" w:themeColor="accent1"/>
          <w:sz w:val="24"/>
          <w:szCs w:val="12"/>
        </w:rPr>
      </w:pPr>
      <w:proofErr w:type="spellStart"/>
      <w:r w:rsidRPr="00210F2B">
        <w:rPr>
          <w:rFonts w:asciiTheme="minorHAnsi" w:hAnsiTheme="minorHAnsi"/>
          <w:b/>
          <w:bCs/>
          <w:color w:val="4472C4" w:themeColor="accent1"/>
          <w:sz w:val="24"/>
          <w:szCs w:val="12"/>
        </w:rPr>
        <w:t>Bangko</w:t>
      </w:r>
      <w:proofErr w:type="spellEnd"/>
      <w:r w:rsidRPr="00210F2B">
        <w:rPr>
          <w:rFonts w:asciiTheme="minorHAnsi" w:hAnsiTheme="minorHAnsi"/>
          <w:b/>
          <w:bCs/>
          <w:color w:val="4472C4" w:themeColor="accent1"/>
          <w:sz w:val="24"/>
          <w:szCs w:val="12"/>
        </w:rPr>
        <w:t xml:space="preserve"> </w:t>
      </w:r>
      <w:proofErr w:type="spellStart"/>
      <w:r w:rsidRPr="00210F2B">
        <w:rPr>
          <w:rFonts w:asciiTheme="minorHAnsi" w:hAnsiTheme="minorHAnsi"/>
          <w:b/>
          <w:bCs/>
          <w:color w:val="4472C4" w:themeColor="accent1"/>
          <w:sz w:val="24"/>
          <w:szCs w:val="12"/>
        </w:rPr>
        <w:t>Sentral</w:t>
      </w:r>
      <w:proofErr w:type="spellEnd"/>
      <w:r w:rsidRPr="00210F2B">
        <w:rPr>
          <w:rFonts w:asciiTheme="minorHAnsi" w:hAnsiTheme="minorHAnsi"/>
          <w:b/>
          <w:bCs/>
          <w:color w:val="4472C4" w:themeColor="accent1"/>
          <w:sz w:val="24"/>
          <w:szCs w:val="12"/>
        </w:rPr>
        <w:t xml:space="preserve"> ng </w:t>
      </w:r>
      <w:proofErr w:type="spellStart"/>
      <w:r w:rsidRPr="00210F2B">
        <w:rPr>
          <w:rFonts w:asciiTheme="minorHAnsi" w:hAnsiTheme="minorHAnsi"/>
          <w:b/>
          <w:bCs/>
          <w:color w:val="4472C4" w:themeColor="accent1"/>
          <w:sz w:val="24"/>
          <w:szCs w:val="12"/>
        </w:rPr>
        <w:t>Pilipinas</w:t>
      </w:r>
      <w:proofErr w:type="spellEnd"/>
      <w:r w:rsidRPr="00210F2B">
        <w:rPr>
          <w:rFonts w:asciiTheme="minorHAnsi" w:hAnsiTheme="minorHAnsi"/>
          <w:b/>
          <w:bCs/>
          <w:color w:val="4472C4" w:themeColor="accent1"/>
          <w:sz w:val="24"/>
          <w:szCs w:val="12"/>
        </w:rPr>
        <w:t xml:space="preserve"> Selected Auditors and Enterprises</w:t>
      </w:r>
    </w:p>
    <w:tbl>
      <w:tblPr>
        <w:tblStyle w:val="GridTable4-Accent5"/>
        <w:tblW w:w="5215" w:type="pct"/>
        <w:jc w:val="center"/>
        <w:tblCellMar>
          <w:left w:w="0" w:type="dxa"/>
          <w:right w:w="0" w:type="dxa"/>
        </w:tblCellMar>
        <w:tblLook w:val="04A0" w:firstRow="1" w:lastRow="0" w:firstColumn="1" w:lastColumn="0" w:noHBand="0" w:noVBand="1"/>
      </w:tblPr>
      <w:tblGrid>
        <w:gridCol w:w="4558"/>
        <w:gridCol w:w="20"/>
        <w:gridCol w:w="4836"/>
      </w:tblGrid>
      <w:tr w:rsidR="00210F2B" w:rsidRPr="005056AE" w14:paraId="1F242359" w14:textId="77777777" w:rsidTr="003E3BD2">
        <w:trPr>
          <w:cnfStyle w:val="100000000000" w:firstRow="1" w:lastRow="0" w:firstColumn="0" w:lastColumn="0" w:oddVBand="0" w:evenVBand="0" w:oddHBand="0" w:evenHBand="0" w:firstRowFirstColumn="0" w:firstRowLastColumn="0" w:lastRowFirstColumn="0" w:lastRowLastColumn="0"/>
          <w:trHeight w:val="127"/>
          <w:tblHeader/>
          <w:jc w:val="center"/>
        </w:trPr>
        <w:tc>
          <w:tcPr>
            <w:cnfStyle w:val="001000000000" w:firstRow="0" w:lastRow="0" w:firstColumn="1" w:lastColumn="0" w:oddVBand="0" w:evenVBand="0" w:oddHBand="0" w:evenHBand="0" w:firstRowFirstColumn="0" w:firstRowLastColumn="0" w:lastRowFirstColumn="0" w:lastRowLastColumn="0"/>
            <w:tcW w:w="9404" w:type="dxa"/>
            <w:gridSpan w:val="3"/>
            <w:tcBorders>
              <w:top w:val="nil"/>
              <w:left w:val="nil"/>
              <w:bottom w:val="single" w:sz="4" w:space="0" w:color="FFFFFF" w:themeColor="background1"/>
              <w:right w:val="nil"/>
            </w:tcBorders>
            <w:shd w:val="clear" w:color="auto" w:fill="4472C4"/>
          </w:tcPr>
          <w:p w14:paraId="2B560C57" w14:textId="490F2A29" w:rsidR="00210F2B" w:rsidRPr="007E1503" w:rsidRDefault="007E1503" w:rsidP="00251A15">
            <w:pPr>
              <w:pStyle w:val="BodyText4"/>
              <w:spacing w:line="276" w:lineRule="auto"/>
              <w:jc w:val="center"/>
              <w:rPr>
                <w:rFonts w:asciiTheme="minorHAnsi" w:hAnsiTheme="minorHAnsi"/>
                <w:b w:val="0"/>
                <w:sz w:val="20"/>
              </w:rPr>
            </w:pPr>
            <w:r w:rsidRPr="007E1503">
              <w:rPr>
                <w:rFonts w:asciiTheme="minorHAnsi" w:hAnsiTheme="minorHAnsi"/>
                <w:sz w:val="20"/>
              </w:rPr>
              <w:t>TABLE C</w:t>
            </w:r>
          </w:p>
        </w:tc>
      </w:tr>
      <w:tr w:rsidR="00210F2B" w:rsidRPr="005056AE" w14:paraId="0EC3457C" w14:textId="77777777" w:rsidTr="003E3BD2">
        <w:trPr>
          <w:cnfStyle w:val="100000000000" w:firstRow="1" w:lastRow="0" w:firstColumn="0" w:lastColumn="0" w:oddVBand="0" w:evenVBand="0" w:oddHBand="0" w:evenHBand="0" w:firstRowFirstColumn="0" w:firstRowLastColumn="0" w:lastRowFirstColumn="0" w:lastRowLastColumn="0"/>
          <w:trHeight w:val="127"/>
          <w:tblHeader/>
          <w:jc w:val="center"/>
        </w:trPr>
        <w:tc>
          <w:tcPr>
            <w:cnfStyle w:val="001000000000" w:firstRow="0" w:lastRow="0" w:firstColumn="1" w:lastColumn="0" w:oddVBand="0" w:evenVBand="0" w:oddHBand="0" w:evenHBand="0" w:firstRowFirstColumn="0" w:firstRowLastColumn="0" w:lastRowFirstColumn="0" w:lastRowLastColumn="0"/>
            <w:tcW w:w="4585" w:type="dxa"/>
            <w:tcBorders>
              <w:top w:val="single" w:sz="4" w:space="0" w:color="FFFFFF" w:themeColor="background1"/>
              <w:left w:val="nil"/>
              <w:bottom w:val="nil"/>
            </w:tcBorders>
            <w:shd w:val="clear" w:color="auto" w:fill="auto"/>
          </w:tcPr>
          <w:tbl>
            <w:tblPr>
              <w:tblStyle w:val="GridTable4-Accent5"/>
              <w:tblW w:w="4495" w:type="dxa"/>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Look w:val="04A0" w:firstRow="1" w:lastRow="0" w:firstColumn="1" w:lastColumn="0" w:noHBand="0" w:noVBand="1"/>
            </w:tblPr>
            <w:tblGrid>
              <w:gridCol w:w="1345"/>
              <w:gridCol w:w="900"/>
              <w:gridCol w:w="720"/>
              <w:gridCol w:w="1530"/>
            </w:tblGrid>
            <w:tr w:rsidR="00210F2B" w:rsidRPr="002B355C" w14:paraId="51E75FC8" w14:textId="77777777" w:rsidTr="009555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45" w:type="dxa"/>
                  <w:tcBorders>
                    <w:top w:val="nil"/>
                    <w:left w:val="single" w:sz="4" w:space="0" w:color="8C8D90"/>
                    <w:bottom w:val="single" w:sz="4" w:space="0" w:color="8C8D90"/>
                    <w:right w:val="single" w:sz="4" w:space="0" w:color="FFFFFF" w:themeColor="background1"/>
                  </w:tcBorders>
                  <w:shd w:val="clear" w:color="auto" w:fill="4472C4"/>
                  <w:noWrap/>
                  <w:vAlign w:val="center"/>
                  <w:hideMark/>
                </w:tcPr>
                <w:p w14:paraId="1B07D83C" w14:textId="77777777" w:rsidR="00210F2B" w:rsidRPr="00210F2B" w:rsidRDefault="00210F2B" w:rsidP="00210F2B">
                  <w:pPr>
                    <w:spacing w:after="0"/>
                    <w:jc w:val="center"/>
                    <w:rPr>
                      <w:rFonts w:eastAsia="Times New Roman" w:cs="Times New Roman"/>
                      <w:b w:val="0"/>
                      <w:sz w:val="14"/>
                      <w:szCs w:val="14"/>
                    </w:rPr>
                  </w:pPr>
                  <w:r w:rsidRPr="00210F2B">
                    <w:rPr>
                      <w:rFonts w:eastAsia="Times New Roman" w:cs="Times New Roman"/>
                      <w:b w:val="0"/>
                      <w:sz w:val="14"/>
                      <w:szCs w:val="14"/>
                    </w:rPr>
                    <w:t>Province</w:t>
                  </w:r>
                </w:p>
              </w:tc>
              <w:tc>
                <w:tcPr>
                  <w:tcW w:w="900"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16FF3E7C" w14:textId="77777777" w:rsidR="00210F2B" w:rsidRPr="00210F2B" w:rsidRDefault="00210F2B" w:rsidP="00210F2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210F2B">
                    <w:rPr>
                      <w:b w:val="0"/>
                      <w:sz w:val="14"/>
                      <w:szCs w:val="14"/>
                    </w:rPr>
                    <w:t>Enterprises</w:t>
                  </w:r>
                </w:p>
              </w:tc>
              <w:tc>
                <w:tcPr>
                  <w:tcW w:w="720"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590CC681" w14:textId="77777777" w:rsidR="00210F2B" w:rsidRPr="00210F2B" w:rsidRDefault="00210F2B" w:rsidP="00210F2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210F2B">
                    <w:rPr>
                      <w:rFonts w:eastAsia="Times New Roman" w:cs="Times New Roman"/>
                      <w:b w:val="0"/>
                      <w:sz w:val="14"/>
                      <w:szCs w:val="14"/>
                    </w:rPr>
                    <w:t>Auditors</w:t>
                  </w:r>
                </w:p>
              </w:tc>
              <w:tc>
                <w:tcPr>
                  <w:tcW w:w="1530" w:type="dxa"/>
                  <w:tcBorders>
                    <w:top w:val="nil"/>
                    <w:left w:val="single" w:sz="4" w:space="0" w:color="FFFFFF" w:themeColor="background1"/>
                    <w:bottom w:val="single" w:sz="4" w:space="0" w:color="8C8D90"/>
                    <w:right w:val="single" w:sz="4" w:space="0" w:color="8C8D90"/>
                  </w:tcBorders>
                  <w:shd w:val="clear" w:color="auto" w:fill="4472C4"/>
                  <w:noWrap/>
                  <w:vAlign w:val="center"/>
                  <w:hideMark/>
                </w:tcPr>
                <w:p w14:paraId="5A282A30" w14:textId="77777777" w:rsidR="00210F2B" w:rsidRPr="00210F2B" w:rsidRDefault="00210F2B" w:rsidP="00210F2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210F2B">
                    <w:rPr>
                      <w:rFonts w:eastAsia="Times New Roman" w:cs="Times New Roman"/>
                      <w:b w:val="0"/>
                      <w:sz w:val="14"/>
                      <w:szCs w:val="14"/>
                    </w:rPr>
                    <w:t>Enterprises per Auditors Ratio</w:t>
                  </w:r>
                </w:p>
              </w:tc>
            </w:tr>
            <w:tr w:rsidR="00210F2B" w:rsidRPr="002B355C" w14:paraId="752B319F"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8C8D90"/>
                  </w:tcBorders>
                  <w:shd w:val="clear" w:color="auto" w:fill="auto"/>
                  <w:noWrap/>
                  <w:hideMark/>
                </w:tcPr>
                <w:p w14:paraId="34526E86"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Abra</w:t>
                  </w:r>
                  <w:proofErr w:type="spellEnd"/>
                </w:p>
              </w:tc>
              <w:tc>
                <w:tcPr>
                  <w:tcW w:w="900" w:type="dxa"/>
                  <w:tcBorders>
                    <w:top w:val="single" w:sz="4" w:space="0" w:color="8C8D90"/>
                  </w:tcBorders>
                  <w:shd w:val="clear" w:color="auto" w:fill="auto"/>
                  <w:noWrap/>
                  <w:hideMark/>
                </w:tcPr>
                <w:p w14:paraId="5966CF9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tcBorders>
                    <w:top w:val="single" w:sz="4" w:space="0" w:color="8C8D90"/>
                  </w:tcBorders>
                  <w:shd w:val="clear" w:color="auto" w:fill="auto"/>
                  <w:noWrap/>
                  <w:hideMark/>
                </w:tcPr>
                <w:p w14:paraId="5837981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tcBorders>
                    <w:top w:val="single" w:sz="4" w:space="0" w:color="8C8D90"/>
                  </w:tcBorders>
                  <w:shd w:val="clear" w:color="auto" w:fill="auto"/>
                  <w:noWrap/>
                  <w:hideMark/>
                </w:tcPr>
                <w:p w14:paraId="67D1C2C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788F4279"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51BAA55"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Agusan</w:t>
                  </w:r>
                  <w:proofErr w:type="spellEnd"/>
                  <w:r w:rsidRPr="002B355C">
                    <w:rPr>
                      <w:rFonts w:eastAsia="Times New Roman" w:cs="Times New Roman"/>
                      <w:color w:val="000000"/>
                      <w:sz w:val="14"/>
                      <w:szCs w:val="14"/>
                    </w:rPr>
                    <w:t xml:space="preserve"> Del Norte</w:t>
                  </w:r>
                </w:p>
              </w:tc>
              <w:tc>
                <w:tcPr>
                  <w:tcW w:w="900" w:type="dxa"/>
                  <w:shd w:val="clear" w:color="auto" w:fill="auto"/>
                  <w:noWrap/>
                  <w:hideMark/>
                </w:tcPr>
                <w:p w14:paraId="6162453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1206FE25"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315081C5"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CAABCEA"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AF608FB"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Agusan</w:t>
                  </w:r>
                  <w:proofErr w:type="spellEnd"/>
                  <w:r w:rsidRPr="002B355C">
                    <w:rPr>
                      <w:rFonts w:eastAsia="Times New Roman" w:cs="Times New Roman"/>
                      <w:color w:val="000000"/>
                      <w:sz w:val="14"/>
                      <w:szCs w:val="14"/>
                    </w:rPr>
                    <w:t xml:space="preserve"> Del Sur</w:t>
                  </w:r>
                </w:p>
              </w:tc>
              <w:tc>
                <w:tcPr>
                  <w:tcW w:w="900" w:type="dxa"/>
                  <w:shd w:val="clear" w:color="auto" w:fill="auto"/>
                  <w:noWrap/>
                  <w:hideMark/>
                </w:tcPr>
                <w:p w14:paraId="3BC343C0"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4D0AE9E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36BD066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7B15D8C9"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D1E1249"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Aklan</w:t>
                  </w:r>
                </w:p>
              </w:tc>
              <w:tc>
                <w:tcPr>
                  <w:tcW w:w="900" w:type="dxa"/>
                  <w:shd w:val="clear" w:color="auto" w:fill="auto"/>
                  <w:noWrap/>
                  <w:hideMark/>
                </w:tcPr>
                <w:p w14:paraId="55B0339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5</w:t>
                  </w:r>
                </w:p>
              </w:tc>
              <w:tc>
                <w:tcPr>
                  <w:tcW w:w="720" w:type="dxa"/>
                  <w:shd w:val="clear" w:color="auto" w:fill="auto"/>
                  <w:noWrap/>
                  <w:hideMark/>
                </w:tcPr>
                <w:p w14:paraId="63B8F79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49FFF2E3"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11DCD0B"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02A8D8F"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Albay</w:t>
                  </w:r>
                </w:p>
              </w:tc>
              <w:tc>
                <w:tcPr>
                  <w:tcW w:w="900" w:type="dxa"/>
                  <w:shd w:val="clear" w:color="auto" w:fill="auto"/>
                  <w:noWrap/>
                  <w:hideMark/>
                </w:tcPr>
                <w:p w14:paraId="4B85683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5</w:t>
                  </w:r>
                </w:p>
              </w:tc>
              <w:tc>
                <w:tcPr>
                  <w:tcW w:w="720" w:type="dxa"/>
                  <w:shd w:val="clear" w:color="auto" w:fill="auto"/>
                  <w:noWrap/>
                  <w:hideMark/>
                </w:tcPr>
                <w:p w14:paraId="57FBC179"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703A215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6D3A78EF"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6F4FC894"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Antique</w:t>
                  </w:r>
                </w:p>
              </w:tc>
              <w:tc>
                <w:tcPr>
                  <w:tcW w:w="900" w:type="dxa"/>
                  <w:shd w:val="clear" w:color="auto" w:fill="auto"/>
                  <w:noWrap/>
                  <w:hideMark/>
                </w:tcPr>
                <w:p w14:paraId="62CECEB3"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32DC94DA"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53473148"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5C61F30D"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73E6A99"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Apayao</w:t>
                  </w:r>
                  <w:proofErr w:type="spellEnd"/>
                </w:p>
              </w:tc>
              <w:tc>
                <w:tcPr>
                  <w:tcW w:w="900" w:type="dxa"/>
                  <w:shd w:val="clear" w:color="auto" w:fill="auto"/>
                  <w:noWrap/>
                  <w:hideMark/>
                </w:tcPr>
                <w:p w14:paraId="308C6080"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145EDE27"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167D34DE"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9983814"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34B621B9"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Aurora</w:t>
                  </w:r>
                </w:p>
              </w:tc>
              <w:tc>
                <w:tcPr>
                  <w:tcW w:w="900" w:type="dxa"/>
                  <w:shd w:val="clear" w:color="auto" w:fill="auto"/>
                  <w:noWrap/>
                  <w:hideMark/>
                </w:tcPr>
                <w:p w14:paraId="4A38948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4</w:t>
                  </w:r>
                </w:p>
              </w:tc>
              <w:tc>
                <w:tcPr>
                  <w:tcW w:w="720" w:type="dxa"/>
                  <w:shd w:val="clear" w:color="auto" w:fill="auto"/>
                  <w:noWrap/>
                  <w:hideMark/>
                </w:tcPr>
                <w:p w14:paraId="77A76645"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6C0B53B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622351F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FAC1695"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Bataan</w:t>
                  </w:r>
                </w:p>
              </w:tc>
              <w:tc>
                <w:tcPr>
                  <w:tcW w:w="900" w:type="dxa"/>
                  <w:shd w:val="clear" w:color="auto" w:fill="auto"/>
                  <w:noWrap/>
                  <w:hideMark/>
                </w:tcPr>
                <w:p w14:paraId="77EB184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11</w:t>
                  </w:r>
                </w:p>
              </w:tc>
              <w:tc>
                <w:tcPr>
                  <w:tcW w:w="720" w:type="dxa"/>
                  <w:shd w:val="clear" w:color="auto" w:fill="auto"/>
                  <w:noWrap/>
                  <w:hideMark/>
                </w:tcPr>
                <w:p w14:paraId="110E9CC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78A1616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1A34E5DF"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00D242A"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Batanes</w:t>
                  </w:r>
                </w:p>
              </w:tc>
              <w:tc>
                <w:tcPr>
                  <w:tcW w:w="900" w:type="dxa"/>
                  <w:shd w:val="clear" w:color="auto" w:fill="auto"/>
                  <w:noWrap/>
                  <w:hideMark/>
                </w:tcPr>
                <w:p w14:paraId="13311D27"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5E3815F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28B09AF1"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137C01C4"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A635913"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Batangas</w:t>
                  </w:r>
                  <w:proofErr w:type="spellEnd"/>
                </w:p>
              </w:tc>
              <w:tc>
                <w:tcPr>
                  <w:tcW w:w="900" w:type="dxa"/>
                  <w:shd w:val="clear" w:color="auto" w:fill="auto"/>
                  <w:noWrap/>
                  <w:hideMark/>
                </w:tcPr>
                <w:p w14:paraId="505D2F87"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32</w:t>
                  </w:r>
                </w:p>
              </w:tc>
              <w:tc>
                <w:tcPr>
                  <w:tcW w:w="720" w:type="dxa"/>
                  <w:shd w:val="clear" w:color="auto" w:fill="auto"/>
                  <w:noWrap/>
                  <w:hideMark/>
                </w:tcPr>
                <w:p w14:paraId="21F5312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566C4AB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48F2F369"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75C6C29"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Benguet</w:t>
                  </w:r>
                </w:p>
              </w:tc>
              <w:tc>
                <w:tcPr>
                  <w:tcW w:w="900" w:type="dxa"/>
                  <w:shd w:val="clear" w:color="auto" w:fill="auto"/>
                  <w:noWrap/>
                  <w:hideMark/>
                </w:tcPr>
                <w:p w14:paraId="4FAE1DF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10</w:t>
                  </w:r>
                </w:p>
              </w:tc>
              <w:tc>
                <w:tcPr>
                  <w:tcW w:w="720" w:type="dxa"/>
                  <w:shd w:val="clear" w:color="auto" w:fill="auto"/>
                  <w:noWrap/>
                  <w:hideMark/>
                </w:tcPr>
                <w:p w14:paraId="65C041A1"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1BA2A079"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302FA24B"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B70D87D"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Bohol</w:t>
                  </w:r>
                </w:p>
              </w:tc>
              <w:tc>
                <w:tcPr>
                  <w:tcW w:w="900" w:type="dxa"/>
                  <w:shd w:val="clear" w:color="auto" w:fill="auto"/>
                  <w:noWrap/>
                  <w:hideMark/>
                </w:tcPr>
                <w:p w14:paraId="232E08FB"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5</w:t>
                  </w:r>
                </w:p>
              </w:tc>
              <w:tc>
                <w:tcPr>
                  <w:tcW w:w="720" w:type="dxa"/>
                  <w:shd w:val="clear" w:color="auto" w:fill="auto"/>
                  <w:noWrap/>
                  <w:hideMark/>
                </w:tcPr>
                <w:p w14:paraId="381B494B"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09D7A05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57BFEF33"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E71EBEB"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Bukidnon</w:t>
                  </w:r>
                </w:p>
              </w:tc>
              <w:tc>
                <w:tcPr>
                  <w:tcW w:w="900" w:type="dxa"/>
                  <w:shd w:val="clear" w:color="auto" w:fill="auto"/>
                  <w:noWrap/>
                  <w:hideMark/>
                </w:tcPr>
                <w:p w14:paraId="6374539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7</w:t>
                  </w:r>
                </w:p>
              </w:tc>
              <w:tc>
                <w:tcPr>
                  <w:tcW w:w="720" w:type="dxa"/>
                  <w:shd w:val="clear" w:color="auto" w:fill="auto"/>
                  <w:noWrap/>
                  <w:hideMark/>
                </w:tcPr>
                <w:p w14:paraId="00B78AB2"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1C50830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26314AD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9485153"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Bulacan</w:t>
                  </w:r>
                  <w:proofErr w:type="spellEnd"/>
                </w:p>
              </w:tc>
              <w:tc>
                <w:tcPr>
                  <w:tcW w:w="900" w:type="dxa"/>
                  <w:shd w:val="clear" w:color="auto" w:fill="auto"/>
                  <w:noWrap/>
                  <w:hideMark/>
                </w:tcPr>
                <w:p w14:paraId="6664E4E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19</w:t>
                  </w:r>
                </w:p>
              </w:tc>
              <w:tc>
                <w:tcPr>
                  <w:tcW w:w="720" w:type="dxa"/>
                  <w:shd w:val="clear" w:color="auto" w:fill="auto"/>
                  <w:noWrap/>
                  <w:hideMark/>
                </w:tcPr>
                <w:p w14:paraId="47AF10AB"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221F4F4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4886C3D"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C119B42"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Cagayan</w:t>
                  </w:r>
                </w:p>
              </w:tc>
              <w:tc>
                <w:tcPr>
                  <w:tcW w:w="900" w:type="dxa"/>
                  <w:shd w:val="clear" w:color="auto" w:fill="auto"/>
                  <w:noWrap/>
                  <w:hideMark/>
                </w:tcPr>
                <w:p w14:paraId="5A7E1BC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18</w:t>
                  </w:r>
                </w:p>
              </w:tc>
              <w:tc>
                <w:tcPr>
                  <w:tcW w:w="720" w:type="dxa"/>
                  <w:shd w:val="clear" w:color="auto" w:fill="auto"/>
                  <w:noWrap/>
                  <w:hideMark/>
                </w:tcPr>
                <w:p w14:paraId="32FD65B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3E34A41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016EF8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0AD1E21"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Camarines</w:t>
                  </w:r>
                  <w:proofErr w:type="spellEnd"/>
                  <w:r w:rsidRPr="002B355C">
                    <w:rPr>
                      <w:rFonts w:eastAsia="Times New Roman" w:cs="Times New Roman"/>
                      <w:color w:val="000000"/>
                      <w:sz w:val="14"/>
                      <w:szCs w:val="14"/>
                    </w:rPr>
                    <w:t xml:space="preserve"> Norte</w:t>
                  </w:r>
                </w:p>
              </w:tc>
              <w:tc>
                <w:tcPr>
                  <w:tcW w:w="900" w:type="dxa"/>
                  <w:shd w:val="clear" w:color="auto" w:fill="auto"/>
                  <w:noWrap/>
                  <w:hideMark/>
                </w:tcPr>
                <w:p w14:paraId="0C6993C9"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5</w:t>
                  </w:r>
                </w:p>
              </w:tc>
              <w:tc>
                <w:tcPr>
                  <w:tcW w:w="720" w:type="dxa"/>
                  <w:shd w:val="clear" w:color="auto" w:fill="auto"/>
                  <w:noWrap/>
                  <w:hideMark/>
                </w:tcPr>
                <w:p w14:paraId="4957378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31FADDA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6A1CC6AF"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AF07C18"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Camarines</w:t>
                  </w:r>
                  <w:proofErr w:type="spellEnd"/>
                  <w:r w:rsidRPr="002B355C">
                    <w:rPr>
                      <w:rFonts w:eastAsia="Times New Roman" w:cs="Times New Roman"/>
                      <w:color w:val="000000"/>
                      <w:sz w:val="14"/>
                      <w:szCs w:val="14"/>
                    </w:rPr>
                    <w:t xml:space="preserve"> Sur</w:t>
                  </w:r>
                </w:p>
              </w:tc>
              <w:tc>
                <w:tcPr>
                  <w:tcW w:w="900" w:type="dxa"/>
                  <w:shd w:val="clear" w:color="auto" w:fill="auto"/>
                  <w:noWrap/>
                  <w:hideMark/>
                </w:tcPr>
                <w:p w14:paraId="46D55AF8"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13</w:t>
                  </w:r>
                </w:p>
              </w:tc>
              <w:tc>
                <w:tcPr>
                  <w:tcW w:w="720" w:type="dxa"/>
                  <w:shd w:val="clear" w:color="auto" w:fill="auto"/>
                  <w:noWrap/>
                  <w:hideMark/>
                </w:tcPr>
                <w:p w14:paraId="020FB0B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2EFAE480"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4BBCFDC2"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6CFF23A7"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Capiz</w:t>
                  </w:r>
                  <w:proofErr w:type="spellEnd"/>
                </w:p>
              </w:tc>
              <w:tc>
                <w:tcPr>
                  <w:tcW w:w="900" w:type="dxa"/>
                  <w:shd w:val="clear" w:color="auto" w:fill="auto"/>
                  <w:noWrap/>
                  <w:hideMark/>
                </w:tcPr>
                <w:p w14:paraId="1307B615"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4</w:t>
                  </w:r>
                </w:p>
              </w:tc>
              <w:tc>
                <w:tcPr>
                  <w:tcW w:w="720" w:type="dxa"/>
                  <w:shd w:val="clear" w:color="auto" w:fill="auto"/>
                  <w:noWrap/>
                  <w:hideMark/>
                </w:tcPr>
                <w:p w14:paraId="29E0F33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35DF1F35"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56FC676F"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C5FDC96"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Catanduanes</w:t>
                  </w:r>
                  <w:proofErr w:type="spellEnd"/>
                </w:p>
              </w:tc>
              <w:tc>
                <w:tcPr>
                  <w:tcW w:w="900" w:type="dxa"/>
                  <w:shd w:val="clear" w:color="auto" w:fill="auto"/>
                  <w:noWrap/>
                  <w:hideMark/>
                </w:tcPr>
                <w:p w14:paraId="749E298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72ACF5D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706111FF"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4B45A9ED"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C18FAA5"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Cavite</w:t>
                  </w:r>
                </w:p>
              </w:tc>
              <w:tc>
                <w:tcPr>
                  <w:tcW w:w="900" w:type="dxa"/>
                  <w:shd w:val="clear" w:color="auto" w:fill="auto"/>
                  <w:noWrap/>
                  <w:hideMark/>
                </w:tcPr>
                <w:p w14:paraId="5554664E"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22</w:t>
                  </w:r>
                </w:p>
              </w:tc>
              <w:tc>
                <w:tcPr>
                  <w:tcW w:w="720" w:type="dxa"/>
                  <w:shd w:val="clear" w:color="auto" w:fill="auto"/>
                  <w:noWrap/>
                  <w:hideMark/>
                </w:tcPr>
                <w:p w14:paraId="21E59A6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00620425"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C4DF6BA"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A94C290"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Cebu</w:t>
                  </w:r>
                </w:p>
              </w:tc>
              <w:tc>
                <w:tcPr>
                  <w:tcW w:w="900" w:type="dxa"/>
                  <w:shd w:val="clear" w:color="auto" w:fill="auto"/>
                  <w:noWrap/>
                  <w:hideMark/>
                </w:tcPr>
                <w:p w14:paraId="47F8F1E4"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37</w:t>
                  </w:r>
                </w:p>
              </w:tc>
              <w:tc>
                <w:tcPr>
                  <w:tcW w:w="720" w:type="dxa"/>
                  <w:shd w:val="clear" w:color="auto" w:fill="auto"/>
                  <w:noWrap/>
                  <w:hideMark/>
                </w:tcPr>
                <w:p w14:paraId="3464A107"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7</w:t>
                  </w:r>
                </w:p>
              </w:tc>
              <w:tc>
                <w:tcPr>
                  <w:tcW w:w="1530" w:type="dxa"/>
                  <w:shd w:val="clear" w:color="auto" w:fill="auto"/>
                  <w:noWrap/>
                  <w:hideMark/>
                </w:tcPr>
                <w:p w14:paraId="13826449"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5.3</w:t>
                  </w:r>
                </w:p>
              </w:tc>
            </w:tr>
            <w:tr w:rsidR="00210F2B" w:rsidRPr="002B355C" w14:paraId="03315EA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5FEE582"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Compostela</w:t>
                  </w:r>
                  <w:proofErr w:type="spellEnd"/>
                  <w:r w:rsidRPr="002B355C">
                    <w:rPr>
                      <w:rFonts w:eastAsia="Times New Roman" w:cs="Times New Roman"/>
                      <w:color w:val="000000"/>
                      <w:sz w:val="14"/>
                      <w:szCs w:val="14"/>
                    </w:rPr>
                    <w:t xml:space="preserve"> Valley</w:t>
                  </w:r>
                </w:p>
              </w:tc>
              <w:tc>
                <w:tcPr>
                  <w:tcW w:w="900" w:type="dxa"/>
                  <w:shd w:val="clear" w:color="auto" w:fill="auto"/>
                  <w:noWrap/>
                  <w:hideMark/>
                </w:tcPr>
                <w:p w14:paraId="3EB77EF3"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208DF823"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0175119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54D6B0F3"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809AD87"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Davao Del Norte</w:t>
                  </w:r>
                </w:p>
              </w:tc>
              <w:tc>
                <w:tcPr>
                  <w:tcW w:w="900" w:type="dxa"/>
                  <w:shd w:val="clear" w:color="auto" w:fill="auto"/>
                  <w:noWrap/>
                  <w:hideMark/>
                </w:tcPr>
                <w:p w14:paraId="4652C621"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8</w:t>
                  </w:r>
                </w:p>
              </w:tc>
              <w:tc>
                <w:tcPr>
                  <w:tcW w:w="720" w:type="dxa"/>
                  <w:shd w:val="clear" w:color="auto" w:fill="auto"/>
                  <w:noWrap/>
                  <w:hideMark/>
                </w:tcPr>
                <w:p w14:paraId="7087C660"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1530" w:type="dxa"/>
                  <w:shd w:val="clear" w:color="auto" w:fill="auto"/>
                  <w:noWrap/>
                  <w:hideMark/>
                </w:tcPr>
                <w:p w14:paraId="23D24611"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4.0</w:t>
                  </w:r>
                </w:p>
              </w:tc>
            </w:tr>
            <w:tr w:rsidR="00210F2B" w:rsidRPr="002B355C" w14:paraId="6FB6DC7E"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B4F2BA6"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Davao Oriental</w:t>
                  </w:r>
                </w:p>
              </w:tc>
              <w:tc>
                <w:tcPr>
                  <w:tcW w:w="900" w:type="dxa"/>
                  <w:shd w:val="clear" w:color="auto" w:fill="auto"/>
                  <w:noWrap/>
                  <w:hideMark/>
                </w:tcPr>
                <w:p w14:paraId="374A632F"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3BCBE0C9"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177B4947"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2BCDA5CF"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535B459"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Dinagat</w:t>
                  </w:r>
                  <w:proofErr w:type="spellEnd"/>
                  <w:r w:rsidRPr="002B355C">
                    <w:rPr>
                      <w:rFonts w:eastAsia="Times New Roman" w:cs="Times New Roman"/>
                      <w:color w:val="000000"/>
                      <w:sz w:val="14"/>
                      <w:szCs w:val="14"/>
                    </w:rPr>
                    <w:t xml:space="preserve"> Islands</w:t>
                  </w:r>
                </w:p>
              </w:tc>
              <w:tc>
                <w:tcPr>
                  <w:tcW w:w="900" w:type="dxa"/>
                  <w:shd w:val="clear" w:color="auto" w:fill="auto"/>
                  <w:noWrap/>
                  <w:hideMark/>
                </w:tcPr>
                <w:p w14:paraId="0854ADC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339C416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0C86D608"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6BA812F4"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B5EB2D2"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Eastern Samar</w:t>
                  </w:r>
                </w:p>
              </w:tc>
              <w:tc>
                <w:tcPr>
                  <w:tcW w:w="900" w:type="dxa"/>
                  <w:shd w:val="clear" w:color="auto" w:fill="auto"/>
                  <w:noWrap/>
                  <w:hideMark/>
                </w:tcPr>
                <w:p w14:paraId="4AFED3BE"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2D0DF55E"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0B8AECB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18045827"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9EBF8C1"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Guimaras</w:t>
                  </w:r>
                  <w:proofErr w:type="spellEnd"/>
                </w:p>
              </w:tc>
              <w:tc>
                <w:tcPr>
                  <w:tcW w:w="900" w:type="dxa"/>
                  <w:shd w:val="clear" w:color="auto" w:fill="auto"/>
                  <w:noWrap/>
                  <w:hideMark/>
                </w:tcPr>
                <w:p w14:paraId="5CB2BCF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5008E437"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0027F590"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5E385B13"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9B6848B"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Ifugao</w:t>
                  </w:r>
                </w:p>
              </w:tc>
              <w:tc>
                <w:tcPr>
                  <w:tcW w:w="900" w:type="dxa"/>
                  <w:shd w:val="clear" w:color="auto" w:fill="auto"/>
                  <w:noWrap/>
                  <w:hideMark/>
                </w:tcPr>
                <w:p w14:paraId="6A07AF6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43E1E06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4B6AE0A1"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6F3E1D7"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330AD8E5"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Ilocos</w:t>
                  </w:r>
                  <w:proofErr w:type="spellEnd"/>
                  <w:r w:rsidRPr="002B355C">
                    <w:rPr>
                      <w:rFonts w:eastAsia="Times New Roman" w:cs="Times New Roman"/>
                      <w:color w:val="000000"/>
                      <w:sz w:val="14"/>
                      <w:szCs w:val="14"/>
                    </w:rPr>
                    <w:t xml:space="preserve"> Norte</w:t>
                  </w:r>
                </w:p>
              </w:tc>
              <w:tc>
                <w:tcPr>
                  <w:tcW w:w="900" w:type="dxa"/>
                  <w:shd w:val="clear" w:color="auto" w:fill="auto"/>
                  <w:noWrap/>
                  <w:hideMark/>
                </w:tcPr>
                <w:p w14:paraId="422F9FB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380FC145"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4F7642F7"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355F8D5A"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52B9BFE"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Ilocos</w:t>
                  </w:r>
                  <w:proofErr w:type="spellEnd"/>
                  <w:r w:rsidRPr="002B355C">
                    <w:rPr>
                      <w:rFonts w:eastAsia="Times New Roman" w:cs="Times New Roman"/>
                      <w:color w:val="000000"/>
                      <w:sz w:val="14"/>
                      <w:szCs w:val="14"/>
                    </w:rPr>
                    <w:t xml:space="preserve"> Sur</w:t>
                  </w:r>
                </w:p>
              </w:tc>
              <w:tc>
                <w:tcPr>
                  <w:tcW w:w="900" w:type="dxa"/>
                  <w:shd w:val="clear" w:color="auto" w:fill="auto"/>
                  <w:noWrap/>
                  <w:hideMark/>
                </w:tcPr>
                <w:p w14:paraId="050C438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9</w:t>
                  </w:r>
                </w:p>
              </w:tc>
              <w:tc>
                <w:tcPr>
                  <w:tcW w:w="720" w:type="dxa"/>
                  <w:shd w:val="clear" w:color="auto" w:fill="auto"/>
                  <w:noWrap/>
                  <w:hideMark/>
                </w:tcPr>
                <w:p w14:paraId="42876D3B"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60764C7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3710491"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DBE8AAA"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Iloilo</w:t>
                  </w:r>
                </w:p>
              </w:tc>
              <w:tc>
                <w:tcPr>
                  <w:tcW w:w="900" w:type="dxa"/>
                  <w:shd w:val="clear" w:color="auto" w:fill="auto"/>
                  <w:noWrap/>
                  <w:hideMark/>
                </w:tcPr>
                <w:p w14:paraId="01DA74DA"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30</w:t>
                  </w:r>
                </w:p>
              </w:tc>
              <w:tc>
                <w:tcPr>
                  <w:tcW w:w="720" w:type="dxa"/>
                  <w:shd w:val="clear" w:color="auto" w:fill="auto"/>
                  <w:noWrap/>
                  <w:hideMark/>
                </w:tcPr>
                <w:p w14:paraId="34C1818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1530" w:type="dxa"/>
                  <w:shd w:val="clear" w:color="auto" w:fill="auto"/>
                  <w:noWrap/>
                  <w:hideMark/>
                </w:tcPr>
                <w:p w14:paraId="7E93B418"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30.0</w:t>
                  </w:r>
                </w:p>
              </w:tc>
            </w:tr>
            <w:tr w:rsidR="00210F2B" w:rsidRPr="002B355C" w14:paraId="3A7AEB77"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1C8EE4B"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Kalinga</w:t>
                  </w:r>
                </w:p>
              </w:tc>
              <w:tc>
                <w:tcPr>
                  <w:tcW w:w="900" w:type="dxa"/>
                  <w:shd w:val="clear" w:color="auto" w:fill="auto"/>
                  <w:noWrap/>
                  <w:hideMark/>
                </w:tcPr>
                <w:p w14:paraId="346A6EE4"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722CEAC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4037DF3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394CEB8D"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8A80DB3"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La Union</w:t>
                  </w:r>
                </w:p>
              </w:tc>
              <w:tc>
                <w:tcPr>
                  <w:tcW w:w="900" w:type="dxa"/>
                  <w:shd w:val="clear" w:color="auto" w:fill="auto"/>
                  <w:noWrap/>
                  <w:hideMark/>
                </w:tcPr>
                <w:p w14:paraId="02223AD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11</w:t>
                  </w:r>
                </w:p>
              </w:tc>
              <w:tc>
                <w:tcPr>
                  <w:tcW w:w="720" w:type="dxa"/>
                  <w:shd w:val="clear" w:color="auto" w:fill="auto"/>
                  <w:noWrap/>
                  <w:hideMark/>
                </w:tcPr>
                <w:p w14:paraId="7638D18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7CCC00F0"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50C5F8B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6F55D82"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Laguna</w:t>
                  </w:r>
                </w:p>
              </w:tc>
              <w:tc>
                <w:tcPr>
                  <w:tcW w:w="900" w:type="dxa"/>
                  <w:shd w:val="clear" w:color="auto" w:fill="auto"/>
                  <w:noWrap/>
                  <w:hideMark/>
                </w:tcPr>
                <w:p w14:paraId="1E11238A"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35</w:t>
                  </w:r>
                </w:p>
              </w:tc>
              <w:tc>
                <w:tcPr>
                  <w:tcW w:w="720" w:type="dxa"/>
                  <w:shd w:val="clear" w:color="auto" w:fill="auto"/>
                  <w:noWrap/>
                  <w:hideMark/>
                </w:tcPr>
                <w:p w14:paraId="128D1A69"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5</w:t>
                  </w:r>
                </w:p>
              </w:tc>
              <w:tc>
                <w:tcPr>
                  <w:tcW w:w="1530" w:type="dxa"/>
                  <w:shd w:val="clear" w:color="auto" w:fill="auto"/>
                  <w:noWrap/>
                  <w:hideMark/>
                </w:tcPr>
                <w:p w14:paraId="4A3AE73D"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7.0</w:t>
                  </w:r>
                </w:p>
              </w:tc>
            </w:tr>
            <w:tr w:rsidR="00210F2B" w:rsidRPr="002B355C" w14:paraId="3D938C5C"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5E41B83"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Lanao Del Norte</w:t>
                  </w:r>
                </w:p>
              </w:tc>
              <w:tc>
                <w:tcPr>
                  <w:tcW w:w="900" w:type="dxa"/>
                  <w:shd w:val="clear" w:color="auto" w:fill="auto"/>
                  <w:noWrap/>
                  <w:hideMark/>
                </w:tcPr>
                <w:p w14:paraId="2B005AEA"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4</w:t>
                  </w:r>
                </w:p>
              </w:tc>
              <w:tc>
                <w:tcPr>
                  <w:tcW w:w="720" w:type="dxa"/>
                  <w:shd w:val="clear" w:color="auto" w:fill="auto"/>
                  <w:noWrap/>
                  <w:hideMark/>
                </w:tcPr>
                <w:p w14:paraId="47AC932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42973330"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5A19DF20"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607C69AE"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Lanao Del Sur</w:t>
                  </w:r>
                </w:p>
              </w:tc>
              <w:tc>
                <w:tcPr>
                  <w:tcW w:w="900" w:type="dxa"/>
                  <w:shd w:val="clear" w:color="auto" w:fill="auto"/>
                  <w:noWrap/>
                  <w:hideMark/>
                </w:tcPr>
                <w:p w14:paraId="1FEF2443"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344ECEF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4E66D583"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34533779"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D91B4FA"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Leyte</w:t>
                  </w:r>
                </w:p>
              </w:tc>
              <w:tc>
                <w:tcPr>
                  <w:tcW w:w="900" w:type="dxa"/>
                  <w:shd w:val="clear" w:color="auto" w:fill="auto"/>
                  <w:noWrap/>
                  <w:hideMark/>
                </w:tcPr>
                <w:p w14:paraId="49D8B94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7</w:t>
                  </w:r>
                </w:p>
              </w:tc>
              <w:tc>
                <w:tcPr>
                  <w:tcW w:w="720" w:type="dxa"/>
                  <w:shd w:val="clear" w:color="auto" w:fill="auto"/>
                  <w:noWrap/>
                  <w:hideMark/>
                </w:tcPr>
                <w:p w14:paraId="1A49C10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1A7FCFCA"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6403A22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783F48C"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Maguindanao</w:t>
                  </w:r>
                </w:p>
              </w:tc>
              <w:tc>
                <w:tcPr>
                  <w:tcW w:w="900" w:type="dxa"/>
                  <w:shd w:val="clear" w:color="auto" w:fill="auto"/>
                  <w:noWrap/>
                  <w:hideMark/>
                </w:tcPr>
                <w:p w14:paraId="1C4985AA"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4B998653"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5BC30780"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3E6249C9"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A7168AB"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Masbate</w:t>
                  </w:r>
                </w:p>
              </w:tc>
              <w:tc>
                <w:tcPr>
                  <w:tcW w:w="900" w:type="dxa"/>
                  <w:shd w:val="clear" w:color="auto" w:fill="auto"/>
                  <w:noWrap/>
                  <w:hideMark/>
                </w:tcPr>
                <w:p w14:paraId="6BC95D88"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27161C8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530" w:type="dxa"/>
                  <w:shd w:val="clear" w:color="auto" w:fill="auto"/>
                  <w:noWrap/>
                  <w:hideMark/>
                </w:tcPr>
                <w:p w14:paraId="16510CB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bl>
          <w:p w14:paraId="49BBDED3" w14:textId="77777777" w:rsidR="00210F2B" w:rsidRPr="005056AE" w:rsidRDefault="00210F2B" w:rsidP="00251A15">
            <w:pPr>
              <w:pStyle w:val="BodyText4"/>
              <w:spacing w:line="276" w:lineRule="auto"/>
              <w:jc w:val="center"/>
              <w:rPr>
                <w:rFonts w:asciiTheme="minorHAnsi" w:hAnsiTheme="minorHAnsi"/>
                <w:b w:val="0"/>
                <w:bCs w:val="0"/>
                <w:sz w:val="16"/>
                <w:szCs w:val="16"/>
              </w:rPr>
            </w:pPr>
          </w:p>
        </w:tc>
        <w:tc>
          <w:tcPr>
            <w:tcW w:w="28" w:type="dxa"/>
            <w:tcBorders>
              <w:top w:val="single" w:sz="4" w:space="0" w:color="FFFFFF" w:themeColor="background1"/>
              <w:bottom w:val="nil"/>
            </w:tcBorders>
            <w:shd w:val="clear" w:color="auto" w:fill="auto"/>
          </w:tcPr>
          <w:p w14:paraId="47602B14" w14:textId="77777777" w:rsidR="00210F2B" w:rsidRPr="005056AE" w:rsidRDefault="00210F2B" w:rsidP="00251A15">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6"/>
                <w:szCs w:val="16"/>
              </w:rPr>
            </w:pPr>
          </w:p>
        </w:tc>
        <w:tc>
          <w:tcPr>
            <w:tcW w:w="4790" w:type="dxa"/>
            <w:tcBorders>
              <w:top w:val="single" w:sz="4" w:space="0" w:color="FFFFFF" w:themeColor="background1"/>
              <w:bottom w:val="nil"/>
              <w:right w:val="nil"/>
            </w:tcBorders>
            <w:shd w:val="clear" w:color="auto" w:fill="auto"/>
          </w:tcPr>
          <w:tbl>
            <w:tblPr>
              <w:tblStyle w:val="GridTable4-Accent5"/>
              <w:tblW w:w="4826" w:type="dxa"/>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Look w:val="04A0" w:firstRow="1" w:lastRow="0" w:firstColumn="1" w:lastColumn="0" w:noHBand="0" w:noVBand="1"/>
            </w:tblPr>
            <w:tblGrid>
              <w:gridCol w:w="1345"/>
              <w:gridCol w:w="900"/>
              <w:gridCol w:w="720"/>
              <w:gridCol w:w="1861"/>
            </w:tblGrid>
            <w:tr w:rsidR="00210F2B" w:rsidRPr="00210F2B" w14:paraId="281A11BE" w14:textId="77777777" w:rsidTr="0095550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45" w:type="dxa"/>
                  <w:tcBorders>
                    <w:top w:val="nil"/>
                    <w:left w:val="single" w:sz="4" w:space="0" w:color="8C8D90"/>
                    <w:bottom w:val="single" w:sz="4" w:space="0" w:color="8C8D90"/>
                    <w:right w:val="single" w:sz="4" w:space="0" w:color="FFFFFF" w:themeColor="background1"/>
                  </w:tcBorders>
                  <w:shd w:val="clear" w:color="auto" w:fill="4472C4"/>
                  <w:noWrap/>
                  <w:vAlign w:val="center"/>
                  <w:hideMark/>
                </w:tcPr>
                <w:p w14:paraId="7D8CEFC1" w14:textId="77777777" w:rsidR="00210F2B" w:rsidRPr="00210F2B" w:rsidRDefault="00210F2B" w:rsidP="00210F2B">
                  <w:pPr>
                    <w:spacing w:after="0"/>
                    <w:jc w:val="center"/>
                    <w:rPr>
                      <w:rFonts w:eastAsia="Times New Roman" w:cs="Times New Roman"/>
                      <w:b w:val="0"/>
                      <w:sz w:val="14"/>
                      <w:szCs w:val="14"/>
                    </w:rPr>
                  </w:pPr>
                  <w:r w:rsidRPr="00210F2B">
                    <w:rPr>
                      <w:rFonts w:eastAsia="Times New Roman" w:cs="Times New Roman"/>
                      <w:b w:val="0"/>
                      <w:sz w:val="14"/>
                      <w:szCs w:val="14"/>
                    </w:rPr>
                    <w:t>Province</w:t>
                  </w:r>
                </w:p>
              </w:tc>
              <w:tc>
                <w:tcPr>
                  <w:tcW w:w="900"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22D6B654" w14:textId="77777777" w:rsidR="00210F2B" w:rsidRPr="00210F2B" w:rsidRDefault="00210F2B" w:rsidP="00210F2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210F2B">
                    <w:rPr>
                      <w:b w:val="0"/>
                      <w:sz w:val="14"/>
                      <w:szCs w:val="14"/>
                    </w:rPr>
                    <w:t>Enterprises</w:t>
                  </w:r>
                </w:p>
              </w:tc>
              <w:tc>
                <w:tcPr>
                  <w:tcW w:w="720" w:type="dxa"/>
                  <w:tcBorders>
                    <w:top w:val="nil"/>
                    <w:left w:val="single" w:sz="4" w:space="0" w:color="FFFFFF" w:themeColor="background1"/>
                    <w:bottom w:val="single" w:sz="4" w:space="0" w:color="8C8D90"/>
                    <w:right w:val="single" w:sz="4" w:space="0" w:color="FFFFFF" w:themeColor="background1"/>
                  </w:tcBorders>
                  <w:shd w:val="clear" w:color="auto" w:fill="4472C4"/>
                  <w:noWrap/>
                  <w:vAlign w:val="center"/>
                  <w:hideMark/>
                </w:tcPr>
                <w:p w14:paraId="221D67B2" w14:textId="77777777" w:rsidR="00210F2B" w:rsidRPr="00210F2B" w:rsidRDefault="00210F2B" w:rsidP="00210F2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210F2B">
                    <w:rPr>
                      <w:rFonts w:eastAsia="Times New Roman" w:cs="Times New Roman"/>
                      <w:b w:val="0"/>
                      <w:sz w:val="14"/>
                      <w:szCs w:val="14"/>
                    </w:rPr>
                    <w:t>Auditors</w:t>
                  </w:r>
                </w:p>
              </w:tc>
              <w:tc>
                <w:tcPr>
                  <w:tcW w:w="1861" w:type="dxa"/>
                  <w:tcBorders>
                    <w:top w:val="nil"/>
                    <w:left w:val="single" w:sz="4" w:space="0" w:color="FFFFFF" w:themeColor="background1"/>
                    <w:bottom w:val="single" w:sz="4" w:space="0" w:color="8C8D90"/>
                    <w:right w:val="single" w:sz="4" w:space="0" w:color="8C8D90"/>
                  </w:tcBorders>
                  <w:shd w:val="clear" w:color="auto" w:fill="4472C4"/>
                  <w:noWrap/>
                  <w:vAlign w:val="center"/>
                  <w:hideMark/>
                </w:tcPr>
                <w:p w14:paraId="5D1FCD76" w14:textId="77777777" w:rsidR="00210F2B" w:rsidRPr="00210F2B" w:rsidRDefault="00210F2B" w:rsidP="00210F2B">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sz w:val="14"/>
                      <w:szCs w:val="14"/>
                    </w:rPr>
                  </w:pPr>
                  <w:r w:rsidRPr="00210F2B">
                    <w:rPr>
                      <w:rFonts w:eastAsia="Times New Roman" w:cs="Times New Roman"/>
                      <w:b w:val="0"/>
                      <w:sz w:val="14"/>
                      <w:szCs w:val="14"/>
                    </w:rPr>
                    <w:t>Enterprises per Auditors Ratio</w:t>
                  </w:r>
                </w:p>
              </w:tc>
            </w:tr>
            <w:tr w:rsidR="00C66A55" w:rsidRPr="002B355C" w14:paraId="3A32638D"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tcBorders>
                    <w:top w:val="single" w:sz="4" w:space="0" w:color="8C8D90"/>
                  </w:tcBorders>
                  <w:shd w:val="clear" w:color="auto" w:fill="auto"/>
                  <w:noWrap/>
                  <w:hideMark/>
                </w:tcPr>
                <w:p w14:paraId="0B2772C1"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Metropolitan Manila</w:t>
                  </w:r>
                </w:p>
              </w:tc>
              <w:tc>
                <w:tcPr>
                  <w:tcW w:w="900" w:type="dxa"/>
                  <w:tcBorders>
                    <w:top w:val="single" w:sz="4" w:space="0" w:color="8C8D90"/>
                  </w:tcBorders>
                  <w:shd w:val="clear" w:color="auto" w:fill="auto"/>
                  <w:noWrap/>
                  <w:hideMark/>
                </w:tcPr>
                <w:p w14:paraId="036A099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148</w:t>
                  </w:r>
                </w:p>
              </w:tc>
              <w:tc>
                <w:tcPr>
                  <w:tcW w:w="720" w:type="dxa"/>
                  <w:tcBorders>
                    <w:top w:val="single" w:sz="4" w:space="0" w:color="8C8D90"/>
                  </w:tcBorders>
                  <w:shd w:val="clear" w:color="auto" w:fill="auto"/>
                  <w:noWrap/>
                  <w:hideMark/>
                </w:tcPr>
                <w:p w14:paraId="15FEB78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61</w:t>
                  </w:r>
                </w:p>
              </w:tc>
              <w:tc>
                <w:tcPr>
                  <w:tcW w:w="1861" w:type="dxa"/>
                  <w:tcBorders>
                    <w:top w:val="single" w:sz="4" w:space="0" w:color="8C8D90"/>
                  </w:tcBorders>
                  <w:shd w:val="clear" w:color="auto" w:fill="auto"/>
                  <w:noWrap/>
                  <w:hideMark/>
                </w:tcPr>
                <w:p w14:paraId="67D38F6E"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2.4</w:t>
                  </w:r>
                </w:p>
              </w:tc>
            </w:tr>
            <w:tr w:rsidR="00210F2B" w:rsidRPr="002B355C" w14:paraId="2A513464"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3A21E3FA"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Misamis</w:t>
                  </w:r>
                  <w:proofErr w:type="spellEnd"/>
                  <w:r w:rsidRPr="002B355C">
                    <w:rPr>
                      <w:rFonts w:eastAsia="Times New Roman" w:cs="Times New Roman"/>
                      <w:color w:val="000000"/>
                      <w:sz w:val="14"/>
                      <w:szCs w:val="14"/>
                    </w:rPr>
                    <w:t xml:space="preserve"> Occidental</w:t>
                  </w:r>
                </w:p>
              </w:tc>
              <w:tc>
                <w:tcPr>
                  <w:tcW w:w="900" w:type="dxa"/>
                  <w:shd w:val="clear" w:color="auto" w:fill="auto"/>
                  <w:noWrap/>
                  <w:hideMark/>
                </w:tcPr>
                <w:p w14:paraId="4133B9C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10</w:t>
                  </w:r>
                </w:p>
              </w:tc>
              <w:tc>
                <w:tcPr>
                  <w:tcW w:w="720" w:type="dxa"/>
                  <w:shd w:val="clear" w:color="auto" w:fill="auto"/>
                  <w:noWrap/>
                  <w:hideMark/>
                </w:tcPr>
                <w:p w14:paraId="786BA7F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55188FC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65B0DD1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853AB69"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Misamis</w:t>
                  </w:r>
                  <w:proofErr w:type="spellEnd"/>
                  <w:r w:rsidRPr="002B355C">
                    <w:rPr>
                      <w:rFonts w:eastAsia="Times New Roman" w:cs="Times New Roman"/>
                      <w:color w:val="000000"/>
                      <w:sz w:val="14"/>
                      <w:szCs w:val="14"/>
                    </w:rPr>
                    <w:t xml:space="preserve"> Oriental</w:t>
                  </w:r>
                </w:p>
              </w:tc>
              <w:tc>
                <w:tcPr>
                  <w:tcW w:w="900" w:type="dxa"/>
                  <w:shd w:val="clear" w:color="auto" w:fill="auto"/>
                  <w:noWrap/>
                  <w:hideMark/>
                </w:tcPr>
                <w:p w14:paraId="0CE38EC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12</w:t>
                  </w:r>
                </w:p>
              </w:tc>
              <w:tc>
                <w:tcPr>
                  <w:tcW w:w="720" w:type="dxa"/>
                  <w:shd w:val="clear" w:color="auto" w:fill="auto"/>
                  <w:noWrap/>
                  <w:hideMark/>
                </w:tcPr>
                <w:p w14:paraId="10E8FB2E"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1861" w:type="dxa"/>
                  <w:shd w:val="clear" w:color="auto" w:fill="auto"/>
                  <w:noWrap/>
                  <w:hideMark/>
                </w:tcPr>
                <w:p w14:paraId="54F8BE7E"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6.0</w:t>
                  </w:r>
                </w:p>
              </w:tc>
            </w:tr>
            <w:tr w:rsidR="00210F2B" w:rsidRPr="002B355C" w14:paraId="107E6A05"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D1F663E"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Mountain Province</w:t>
                  </w:r>
                </w:p>
              </w:tc>
              <w:tc>
                <w:tcPr>
                  <w:tcW w:w="900" w:type="dxa"/>
                  <w:shd w:val="clear" w:color="auto" w:fill="auto"/>
                  <w:noWrap/>
                  <w:hideMark/>
                </w:tcPr>
                <w:p w14:paraId="48A24804"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14B1A61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7E3D4B4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43602BDB"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CB5F956"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Negros Occidental</w:t>
                  </w:r>
                </w:p>
              </w:tc>
              <w:tc>
                <w:tcPr>
                  <w:tcW w:w="900" w:type="dxa"/>
                  <w:shd w:val="clear" w:color="auto" w:fill="auto"/>
                  <w:noWrap/>
                  <w:hideMark/>
                </w:tcPr>
                <w:p w14:paraId="4C2B48EF"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13</w:t>
                  </w:r>
                </w:p>
              </w:tc>
              <w:tc>
                <w:tcPr>
                  <w:tcW w:w="720" w:type="dxa"/>
                  <w:shd w:val="clear" w:color="auto" w:fill="auto"/>
                  <w:noWrap/>
                  <w:hideMark/>
                </w:tcPr>
                <w:p w14:paraId="3399D9D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1861" w:type="dxa"/>
                  <w:shd w:val="clear" w:color="auto" w:fill="auto"/>
                  <w:noWrap/>
                  <w:hideMark/>
                </w:tcPr>
                <w:p w14:paraId="30478904"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6.5</w:t>
                  </w:r>
                </w:p>
              </w:tc>
            </w:tr>
            <w:tr w:rsidR="00210F2B" w:rsidRPr="002B355C" w14:paraId="4271C3F8"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B7F3C62"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Negros Oriental</w:t>
                  </w:r>
                </w:p>
              </w:tc>
              <w:tc>
                <w:tcPr>
                  <w:tcW w:w="900" w:type="dxa"/>
                  <w:shd w:val="clear" w:color="auto" w:fill="auto"/>
                  <w:noWrap/>
                  <w:hideMark/>
                </w:tcPr>
                <w:p w14:paraId="3B3C74E9"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12</w:t>
                  </w:r>
                </w:p>
              </w:tc>
              <w:tc>
                <w:tcPr>
                  <w:tcW w:w="720" w:type="dxa"/>
                  <w:shd w:val="clear" w:color="auto" w:fill="auto"/>
                  <w:noWrap/>
                  <w:hideMark/>
                </w:tcPr>
                <w:p w14:paraId="195DEB69"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431CC9A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72C5DB93"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177DDEF"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 xml:space="preserve">North </w:t>
                  </w:r>
                  <w:proofErr w:type="spellStart"/>
                  <w:r w:rsidRPr="002B355C">
                    <w:rPr>
                      <w:rFonts w:eastAsia="Times New Roman" w:cs="Times New Roman"/>
                      <w:color w:val="000000"/>
                      <w:sz w:val="14"/>
                      <w:szCs w:val="14"/>
                    </w:rPr>
                    <w:t>Cotabato</w:t>
                  </w:r>
                  <w:proofErr w:type="spellEnd"/>
                </w:p>
              </w:tc>
              <w:tc>
                <w:tcPr>
                  <w:tcW w:w="900" w:type="dxa"/>
                  <w:shd w:val="clear" w:color="auto" w:fill="auto"/>
                  <w:noWrap/>
                  <w:hideMark/>
                </w:tcPr>
                <w:p w14:paraId="0E89CF54"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57E37127"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4B78C261"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2317B6CD"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2B859C87"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Nueva Ecija</w:t>
                  </w:r>
                </w:p>
              </w:tc>
              <w:tc>
                <w:tcPr>
                  <w:tcW w:w="900" w:type="dxa"/>
                  <w:shd w:val="clear" w:color="auto" w:fill="auto"/>
                  <w:noWrap/>
                  <w:hideMark/>
                </w:tcPr>
                <w:p w14:paraId="3FD29FEA"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16</w:t>
                  </w:r>
                </w:p>
              </w:tc>
              <w:tc>
                <w:tcPr>
                  <w:tcW w:w="720" w:type="dxa"/>
                  <w:shd w:val="clear" w:color="auto" w:fill="auto"/>
                  <w:noWrap/>
                  <w:hideMark/>
                </w:tcPr>
                <w:p w14:paraId="0E4DA8A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1861" w:type="dxa"/>
                  <w:shd w:val="clear" w:color="auto" w:fill="auto"/>
                  <w:noWrap/>
                  <w:hideMark/>
                </w:tcPr>
                <w:p w14:paraId="544CD86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16.0</w:t>
                  </w:r>
                </w:p>
              </w:tc>
            </w:tr>
            <w:tr w:rsidR="00C66A55" w:rsidRPr="002B355C" w14:paraId="713BCB83"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FCC8AD9"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Nueva Vizcaya</w:t>
                  </w:r>
                </w:p>
              </w:tc>
              <w:tc>
                <w:tcPr>
                  <w:tcW w:w="900" w:type="dxa"/>
                  <w:shd w:val="clear" w:color="auto" w:fill="auto"/>
                  <w:noWrap/>
                  <w:hideMark/>
                </w:tcPr>
                <w:p w14:paraId="44F77F6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11</w:t>
                  </w:r>
                </w:p>
              </w:tc>
              <w:tc>
                <w:tcPr>
                  <w:tcW w:w="720" w:type="dxa"/>
                  <w:shd w:val="clear" w:color="auto" w:fill="auto"/>
                  <w:noWrap/>
                  <w:hideMark/>
                </w:tcPr>
                <w:p w14:paraId="65DF3A5A"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3FCE87C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1A7D2E71"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DFB41D9"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Occidental Mindoro</w:t>
                  </w:r>
                </w:p>
              </w:tc>
              <w:tc>
                <w:tcPr>
                  <w:tcW w:w="900" w:type="dxa"/>
                  <w:shd w:val="clear" w:color="auto" w:fill="auto"/>
                  <w:noWrap/>
                  <w:hideMark/>
                </w:tcPr>
                <w:p w14:paraId="4B19F2F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3D8B5629"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2575279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5E6F0B0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F6B6351"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Oriental Mindoro</w:t>
                  </w:r>
                </w:p>
              </w:tc>
              <w:tc>
                <w:tcPr>
                  <w:tcW w:w="900" w:type="dxa"/>
                  <w:shd w:val="clear" w:color="auto" w:fill="auto"/>
                  <w:noWrap/>
                  <w:hideMark/>
                </w:tcPr>
                <w:p w14:paraId="65CDF217"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14</w:t>
                  </w:r>
                </w:p>
              </w:tc>
              <w:tc>
                <w:tcPr>
                  <w:tcW w:w="720" w:type="dxa"/>
                  <w:shd w:val="clear" w:color="auto" w:fill="auto"/>
                  <w:noWrap/>
                  <w:hideMark/>
                </w:tcPr>
                <w:p w14:paraId="28CD4A21"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66A18B6F"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1FC8BB0E"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6507B083"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Palawan</w:t>
                  </w:r>
                </w:p>
              </w:tc>
              <w:tc>
                <w:tcPr>
                  <w:tcW w:w="900" w:type="dxa"/>
                  <w:shd w:val="clear" w:color="auto" w:fill="auto"/>
                  <w:noWrap/>
                  <w:hideMark/>
                </w:tcPr>
                <w:p w14:paraId="730B73A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6</w:t>
                  </w:r>
                </w:p>
              </w:tc>
              <w:tc>
                <w:tcPr>
                  <w:tcW w:w="720" w:type="dxa"/>
                  <w:shd w:val="clear" w:color="auto" w:fill="auto"/>
                  <w:noWrap/>
                  <w:hideMark/>
                </w:tcPr>
                <w:p w14:paraId="19615E69"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476F9C37"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0E06E25E"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2BCD017"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Pampanga</w:t>
                  </w:r>
                </w:p>
              </w:tc>
              <w:tc>
                <w:tcPr>
                  <w:tcW w:w="900" w:type="dxa"/>
                  <w:shd w:val="clear" w:color="auto" w:fill="auto"/>
                  <w:noWrap/>
                  <w:hideMark/>
                </w:tcPr>
                <w:p w14:paraId="5087F18C"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19</w:t>
                  </w:r>
                </w:p>
              </w:tc>
              <w:tc>
                <w:tcPr>
                  <w:tcW w:w="720" w:type="dxa"/>
                  <w:shd w:val="clear" w:color="auto" w:fill="auto"/>
                  <w:noWrap/>
                  <w:hideMark/>
                </w:tcPr>
                <w:p w14:paraId="0A4A76FB"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1861" w:type="dxa"/>
                  <w:shd w:val="clear" w:color="auto" w:fill="auto"/>
                  <w:noWrap/>
                  <w:hideMark/>
                </w:tcPr>
                <w:p w14:paraId="65C33CF8"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9.5</w:t>
                  </w:r>
                </w:p>
              </w:tc>
            </w:tr>
            <w:tr w:rsidR="00210F2B" w:rsidRPr="002B355C" w14:paraId="70144440"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3926F5AF"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Pangasinan</w:t>
                  </w:r>
                  <w:proofErr w:type="spellEnd"/>
                </w:p>
              </w:tc>
              <w:tc>
                <w:tcPr>
                  <w:tcW w:w="900" w:type="dxa"/>
                  <w:shd w:val="clear" w:color="auto" w:fill="auto"/>
                  <w:noWrap/>
                  <w:hideMark/>
                </w:tcPr>
                <w:p w14:paraId="26AC03A2"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20</w:t>
                  </w:r>
                </w:p>
              </w:tc>
              <w:tc>
                <w:tcPr>
                  <w:tcW w:w="720" w:type="dxa"/>
                  <w:shd w:val="clear" w:color="auto" w:fill="auto"/>
                  <w:noWrap/>
                  <w:hideMark/>
                </w:tcPr>
                <w:p w14:paraId="3014152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0D7C2E98"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12600852"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48B2C95"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Quezon</w:t>
                  </w:r>
                </w:p>
              </w:tc>
              <w:tc>
                <w:tcPr>
                  <w:tcW w:w="900" w:type="dxa"/>
                  <w:shd w:val="clear" w:color="auto" w:fill="auto"/>
                  <w:noWrap/>
                  <w:hideMark/>
                </w:tcPr>
                <w:p w14:paraId="7A3A282B"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20</w:t>
                  </w:r>
                </w:p>
              </w:tc>
              <w:tc>
                <w:tcPr>
                  <w:tcW w:w="720" w:type="dxa"/>
                  <w:shd w:val="clear" w:color="auto" w:fill="auto"/>
                  <w:noWrap/>
                  <w:hideMark/>
                </w:tcPr>
                <w:p w14:paraId="2423E3DF"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1861" w:type="dxa"/>
                  <w:shd w:val="clear" w:color="auto" w:fill="auto"/>
                  <w:noWrap/>
                  <w:hideMark/>
                </w:tcPr>
                <w:p w14:paraId="0FE9AB5F"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20.0</w:t>
                  </w:r>
                </w:p>
              </w:tc>
            </w:tr>
            <w:tr w:rsidR="00210F2B" w:rsidRPr="002B355C" w14:paraId="2CB73E6D"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92BFD18"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Quirino</w:t>
                  </w:r>
                  <w:proofErr w:type="spellEnd"/>
                </w:p>
              </w:tc>
              <w:tc>
                <w:tcPr>
                  <w:tcW w:w="900" w:type="dxa"/>
                  <w:shd w:val="clear" w:color="auto" w:fill="auto"/>
                  <w:noWrap/>
                  <w:hideMark/>
                </w:tcPr>
                <w:p w14:paraId="77994A3F"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4EC24C7F"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0EFD767C"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2FB94629"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CE2AB1A"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Rizal</w:t>
                  </w:r>
                </w:p>
              </w:tc>
              <w:tc>
                <w:tcPr>
                  <w:tcW w:w="900" w:type="dxa"/>
                  <w:shd w:val="clear" w:color="auto" w:fill="auto"/>
                  <w:noWrap/>
                  <w:hideMark/>
                </w:tcPr>
                <w:p w14:paraId="6ECAAD34"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9</w:t>
                  </w:r>
                </w:p>
              </w:tc>
              <w:tc>
                <w:tcPr>
                  <w:tcW w:w="720" w:type="dxa"/>
                  <w:shd w:val="clear" w:color="auto" w:fill="auto"/>
                  <w:noWrap/>
                  <w:hideMark/>
                </w:tcPr>
                <w:p w14:paraId="70639CE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38870AE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41A09FB5"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1C5665D"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Romblon</w:t>
                  </w:r>
                </w:p>
              </w:tc>
              <w:tc>
                <w:tcPr>
                  <w:tcW w:w="900" w:type="dxa"/>
                  <w:shd w:val="clear" w:color="auto" w:fill="auto"/>
                  <w:noWrap/>
                  <w:hideMark/>
                </w:tcPr>
                <w:p w14:paraId="3CF4E4F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1A008FD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229B79E9"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6C3CD50F"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A1BC835"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Samar</w:t>
                  </w:r>
                </w:p>
              </w:tc>
              <w:tc>
                <w:tcPr>
                  <w:tcW w:w="900" w:type="dxa"/>
                  <w:shd w:val="clear" w:color="auto" w:fill="auto"/>
                  <w:noWrap/>
                  <w:hideMark/>
                </w:tcPr>
                <w:p w14:paraId="26DC70D9"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71E1F545"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048B3A00"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2D85D14A"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4C69017"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Sarangani</w:t>
                  </w:r>
                  <w:proofErr w:type="spellEnd"/>
                </w:p>
              </w:tc>
              <w:tc>
                <w:tcPr>
                  <w:tcW w:w="900" w:type="dxa"/>
                  <w:shd w:val="clear" w:color="auto" w:fill="auto"/>
                  <w:noWrap/>
                  <w:hideMark/>
                </w:tcPr>
                <w:p w14:paraId="0092B513"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173950FA"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0CE44DB5"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29BCC7FD"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01BACC61"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Sorsogon</w:t>
                  </w:r>
                </w:p>
              </w:tc>
              <w:tc>
                <w:tcPr>
                  <w:tcW w:w="900" w:type="dxa"/>
                  <w:shd w:val="clear" w:color="auto" w:fill="auto"/>
                  <w:noWrap/>
                  <w:hideMark/>
                </w:tcPr>
                <w:p w14:paraId="763F61D1"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3</w:t>
                  </w:r>
                </w:p>
              </w:tc>
              <w:tc>
                <w:tcPr>
                  <w:tcW w:w="720" w:type="dxa"/>
                  <w:shd w:val="clear" w:color="auto" w:fill="auto"/>
                  <w:noWrap/>
                  <w:hideMark/>
                </w:tcPr>
                <w:p w14:paraId="78987670"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0C04A864"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6A59DA81"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A510F93"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 xml:space="preserve">South </w:t>
                  </w:r>
                  <w:proofErr w:type="spellStart"/>
                  <w:r w:rsidRPr="002B355C">
                    <w:rPr>
                      <w:rFonts w:eastAsia="Times New Roman" w:cs="Times New Roman"/>
                      <w:color w:val="000000"/>
                      <w:sz w:val="14"/>
                      <w:szCs w:val="14"/>
                    </w:rPr>
                    <w:t>Cotabato</w:t>
                  </w:r>
                  <w:proofErr w:type="spellEnd"/>
                </w:p>
              </w:tc>
              <w:tc>
                <w:tcPr>
                  <w:tcW w:w="900" w:type="dxa"/>
                  <w:shd w:val="clear" w:color="auto" w:fill="auto"/>
                  <w:noWrap/>
                  <w:hideMark/>
                </w:tcPr>
                <w:p w14:paraId="22CF4C00"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5</w:t>
                  </w:r>
                </w:p>
              </w:tc>
              <w:tc>
                <w:tcPr>
                  <w:tcW w:w="720" w:type="dxa"/>
                  <w:shd w:val="clear" w:color="auto" w:fill="auto"/>
                  <w:noWrap/>
                  <w:hideMark/>
                </w:tcPr>
                <w:p w14:paraId="05A36E6D"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69CFF794"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152651A9"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4207CBA"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Southern Leyte</w:t>
                  </w:r>
                </w:p>
              </w:tc>
              <w:tc>
                <w:tcPr>
                  <w:tcW w:w="900" w:type="dxa"/>
                  <w:shd w:val="clear" w:color="auto" w:fill="auto"/>
                  <w:noWrap/>
                  <w:hideMark/>
                </w:tcPr>
                <w:p w14:paraId="3D5DBAB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4</w:t>
                  </w:r>
                </w:p>
              </w:tc>
              <w:tc>
                <w:tcPr>
                  <w:tcW w:w="720" w:type="dxa"/>
                  <w:shd w:val="clear" w:color="auto" w:fill="auto"/>
                  <w:noWrap/>
                  <w:hideMark/>
                </w:tcPr>
                <w:p w14:paraId="4FD0114F"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7C34EAF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67D4DD9C"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A176ABA"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 xml:space="preserve">Sultan </w:t>
                  </w:r>
                  <w:proofErr w:type="spellStart"/>
                  <w:r w:rsidRPr="002B355C">
                    <w:rPr>
                      <w:rFonts w:eastAsia="Times New Roman" w:cs="Times New Roman"/>
                      <w:color w:val="000000"/>
                      <w:sz w:val="14"/>
                      <w:szCs w:val="14"/>
                    </w:rPr>
                    <w:t>Kudarat</w:t>
                  </w:r>
                  <w:proofErr w:type="spellEnd"/>
                </w:p>
              </w:tc>
              <w:tc>
                <w:tcPr>
                  <w:tcW w:w="900" w:type="dxa"/>
                  <w:shd w:val="clear" w:color="auto" w:fill="auto"/>
                  <w:noWrap/>
                  <w:hideMark/>
                </w:tcPr>
                <w:p w14:paraId="6F665375"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439CB34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6D977E4A"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0F57213D"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6C4685E8"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Surigao</w:t>
                  </w:r>
                  <w:proofErr w:type="spellEnd"/>
                  <w:r w:rsidRPr="002B355C">
                    <w:rPr>
                      <w:rFonts w:eastAsia="Times New Roman" w:cs="Times New Roman"/>
                      <w:color w:val="000000"/>
                      <w:sz w:val="14"/>
                      <w:szCs w:val="14"/>
                    </w:rPr>
                    <w:t xml:space="preserve"> Del Norte</w:t>
                  </w:r>
                </w:p>
              </w:tc>
              <w:tc>
                <w:tcPr>
                  <w:tcW w:w="900" w:type="dxa"/>
                  <w:shd w:val="clear" w:color="auto" w:fill="auto"/>
                  <w:noWrap/>
                  <w:hideMark/>
                </w:tcPr>
                <w:p w14:paraId="688C061F"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2</w:t>
                  </w:r>
                </w:p>
              </w:tc>
              <w:tc>
                <w:tcPr>
                  <w:tcW w:w="720" w:type="dxa"/>
                  <w:shd w:val="clear" w:color="auto" w:fill="auto"/>
                  <w:noWrap/>
                  <w:hideMark/>
                </w:tcPr>
                <w:p w14:paraId="5ED3C261"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7CD4EB63"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76BD1411"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1CA2E6C5"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Surigao</w:t>
                  </w:r>
                  <w:proofErr w:type="spellEnd"/>
                  <w:r w:rsidRPr="002B355C">
                    <w:rPr>
                      <w:rFonts w:eastAsia="Times New Roman" w:cs="Times New Roman"/>
                      <w:color w:val="000000"/>
                      <w:sz w:val="14"/>
                      <w:szCs w:val="14"/>
                    </w:rPr>
                    <w:t xml:space="preserve"> Del Sur</w:t>
                  </w:r>
                </w:p>
              </w:tc>
              <w:tc>
                <w:tcPr>
                  <w:tcW w:w="900" w:type="dxa"/>
                  <w:shd w:val="clear" w:color="auto" w:fill="auto"/>
                  <w:noWrap/>
                  <w:hideMark/>
                </w:tcPr>
                <w:p w14:paraId="307BE397"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4</w:t>
                  </w:r>
                </w:p>
              </w:tc>
              <w:tc>
                <w:tcPr>
                  <w:tcW w:w="720" w:type="dxa"/>
                  <w:shd w:val="clear" w:color="auto" w:fill="auto"/>
                  <w:noWrap/>
                  <w:hideMark/>
                </w:tcPr>
                <w:p w14:paraId="1BD6F16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1FF78BDB"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25EEFB0F"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4EB7C344" w14:textId="77777777" w:rsidR="00210F2B" w:rsidRPr="002B355C" w:rsidRDefault="00210F2B" w:rsidP="00210F2B">
                  <w:pPr>
                    <w:spacing w:after="0"/>
                    <w:jc w:val="left"/>
                    <w:rPr>
                      <w:rFonts w:eastAsia="Times New Roman" w:cs="Times New Roman"/>
                      <w:color w:val="000000"/>
                      <w:sz w:val="14"/>
                      <w:szCs w:val="14"/>
                    </w:rPr>
                  </w:pPr>
                  <w:proofErr w:type="spellStart"/>
                  <w:r w:rsidRPr="002B355C">
                    <w:rPr>
                      <w:rFonts w:eastAsia="Times New Roman" w:cs="Times New Roman"/>
                      <w:color w:val="000000"/>
                      <w:sz w:val="14"/>
                      <w:szCs w:val="14"/>
                    </w:rPr>
                    <w:t>Tarlac</w:t>
                  </w:r>
                  <w:proofErr w:type="spellEnd"/>
                </w:p>
              </w:tc>
              <w:tc>
                <w:tcPr>
                  <w:tcW w:w="900" w:type="dxa"/>
                  <w:shd w:val="clear" w:color="auto" w:fill="auto"/>
                  <w:noWrap/>
                  <w:hideMark/>
                </w:tcPr>
                <w:p w14:paraId="7ACAE18A"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8</w:t>
                  </w:r>
                </w:p>
              </w:tc>
              <w:tc>
                <w:tcPr>
                  <w:tcW w:w="720" w:type="dxa"/>
                  <w:shd w:val="clear" w:color="auto" w:fill="auto"/>
                  <w:noWrap/>
                  <w:hideMark/>
                </w:tcPr>
                <w:p w14:paraId="543B632B"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0558422A"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A6C654E"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C2231F5"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Zambales</w:t>
                  </w:r>
                </w:p>
              </w:tc>
              <w:tc>
                <w:tcPr>
                  <w:tcW w:w="900" w:type="dxa"/>
                  <w:shd w:val="clear" w:color="auto" w:fill="auto"/>
                  <w:noWrap/>
                  <w:hideMark/>
                </w:tcPr>
                <w:p w14:paraId="26E37718"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11</w:t>
                  </w:r>
                </w:p>
              </w:tc>
              <w:tc>
                <w:tcPr>
                  <w:tcW w:w="720" w:type="dxa"/>
                  <w:shd w:val="clear" w:color="auto" w:fill="auto"/>
                  <w:noWrap/>
                  <w:hideMark/>
                </w:tcPr>
                <w:p w14:paraId="7F5CAD8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217B18A0"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13AC7AD8"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7B771722"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Zamboanga Del Norte</w:t>
                  </w:r>
                </w:p>
              </w:tc>
              <w:tc>
                <w:tcPr>
                  <w:tcW w:w="900" w:type="dxa"/>
                  <w:shd w:val="clear" w:color="auto" w:fill="auto"/>
                  <w:noWrap/>
                  <w:hideMark/>
                </w:tcPr>
                <w:p w14:paraId="22BF5D3A"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9</w:t>
                  </w:r>
                </w:p>
              </w:tc>
              <w:tc>
                <w:tcPr>
                  <w:tcW w:w="720" w:type="dxa"/>
                  <w:shd w:val="clear" w:color="auto" w:fill="auto"/>
                  <w:noWrap/>
                  <w:hideMark/>
                </w:tcPr>
                <w:p w14:paraId="226846E0"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1573B9D2"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1F3C6DE7"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5AF163DE"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Zamboanga Del Sur</w:t>
                  </w:r>
                </w:p>
              </w:tc>
              <w:tc>
                <w:tcPr>
                  <w:tcW w:w="900" w:type="dxa"/>
                  <w:shd w:val="clear" w:color="auto" w:fill="auto"/>
                  <w:noWrap/>
                  <w:hideMark/>
                </w:tcPr>
                <w:p w14:paraId="79912CB6"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7</w:t>
                  </w:r>
                </w:p>
              </w:tc>
              <w:tc>
                <w:tcPr>
                  <w:tcW w:w="720" w:type="dxa"/>
                  <w:shd w:val="clear" w:color="auto" w:fill="auto"/>
                  <w:noWrap/>
                  <w:hideMark/>
                </w:tcPr>
                <w:p w14:paraId="516D45FE"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6822EF1F" w14:textId="77777777" w:rsidR="00210F2B" w:rsidRPr="002B355C" w:rsidRDefault="00210F2B" w:rsidP="00210F2B">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C66A55" w:rsidRPr="002B355C" w14:paraId="6860E53C"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45" w:type="dxa"/>
                  <w:shd w:val="clear" w:color="auto" w:fill="auto"/>
                  <w:noWrap/>
                  <w:hideMark/>
                </w:tcPr>
                <w:p w14:paraId="6C50F123" w14:textId="77777777" w:rsidR="00210F2B" w:rsidRPr="002B355C" w:rsidRDefault="00210F2B" w:rsidP="00210F2B">
                  <w:pPr>
                    <w:spacing w:after="0"/>
                    <w:jc w:val="left"/>
                    <w:rPr>
                      <w:rFonts w:eastAsia="Times New Roman" w:cs="Times New Roman"/>
                      <w:color w:val="000000"/>
                      <w:sz w:val="14"/>
                      <w:szCs w:val="14"/>
                    </w:rPr>
                  </w:pPr>
                  <w:r w:rsidRPr="002B355C">
                    <w:rPr>
                      <w:rFonts w:eastAsia="Times New Roman" w:cs="Times New Roman"/>
                      <w:color w:val="000000"/>
                      <w:sz w:val="14"/>
                      <w:szCs w:val="14"/>
                    </w:rPr>
                    <w:t>Zamboanga Sibugay</w:t>
                  </w:r>
                </w:p>
              </w:tc>
              <w:tc>
                <w:tcPr>
                  <w:tcW w:w="900" w:type="dxa"/>
                  <w:shd w:val="clear" w:color="auto" w:fill="auto"/>
                  <w:noWrap/>
                  <w:hideMark/>
                </w:tcPr>
                <w:p w14:paraId="783FAAB9"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1</w:t>
                  </w:r>
                </w:p>
              </w:tc>
              <w:tc>
                <w:tcPr>
                  <w:tcW w:w="720" w:type="dxa"/>
                  <w:shd w:val="clear" w:color="auto" w:fill="auto"/>
                  <w:noWrap/>
                  <w:hideMark/>
                </w:tcPr>
                <w:p w14:paraId="3D85615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0</w:t>
                  </w:r>
                </w:p>
              </w:tc>
              <w:tc>
                <w:tcPr>
                  <w:tcW w:w="1861" w:type="dxa"/>
                  <w:shd w:val="clear" w:color="auto" w:fill="auto"/>
                  <w:noWrap/>
                  <w:hideMark/>
                </w:tcPr>
                <w:p w14:paraId="40F3E9E6" w14:textId="77777777" w:rsidR="00210F2B" w:rsidRPr="002B355C" w:rsidRDefault="00210F2B" w:rsidP="00210F2B">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4"/>
                      <w:szCs w:val="14"/>
                    </w:rPr>
                  </w:pPr>
                  <w:r w:rsidRPr="002B355C">
                    <w:rPr>
                      <w:rFonts w:eastAsia="Times New Roman" w:cs="Times New Roman"/>
                      <w:color w:val="000000"/>
                      <w:sz w:val="14"/>
                      <w:szCs w:val="14"/>
                    </w:rPr>
                    <w:t>No auditors</w:t>
                  </w:r>
                </w:p>
              </w:tc>
            </w:tr>
            <w:tr w:rsidR="00210F2B" w:rsidRPr="002B355C" w14:paraId="093CDA37" w14:textId="77777777" w:rsidTr="00C66A55">
              <w:trPr>
                <w:trHeight w:val="20"/>
              </w:trPr>
              <w:tc>
                <w:tcPr>
                  <w:cnfStyle w:val="001000000000" w:firstRow="0" w:lastRow="0" w:firstColumn="1" w:lastColumn="0" w:oddVBand="0" w:evenVBand="0" w:oddHBand="0" w:evenHBand="0" w:firstRowFirstColumn="0" w:firstRowLastColumn="0" w:lastRowFirstColumn="0" w:lastRowLastColumn="0"/>
                  <w:tcW w:w="4826" w:type="dxa"/>
                  <w:gridSpan w:val="4"/>
                  <w:shd w:val="clear" w:color="auto" w:fill="auto"/>
                  <w:noWrap/>
                </w:tcPr>
                <w:p w14:paraId="68470FFA" w14:textId="77777777" w:rsidR="00210F2B" w:rsidRPr="002B355C" w:rsidRDefault="00210F2B" w:rsidP="00210F2B">
                  <w:pPr>
                    <w:spacing w:after="0"/>
                    <w:jc w:val="left"/>
                    <w:rPr>
                      <w:rFonts w:eastAsia="Times New Roman" w:cs="Times New Roman"/>
                      <w:color w:val="000000"/>
                      <w:sz w:val="14"/>
                      <w:szCs w:val="14"/>
                    </w:rPr>
                  </w:pPr>
                  <w:r w:rsidRPr="002B355C">
                    <w:rPr>
                      <w:rFonts w:cstheme="majorHAnsi"/>
                      <w:sz w:val="14"/>
                      <w:szCs w:val="14"/>
                    </w:rPr>
                    <w:t>While there are no auditors in certain regions, entities may engage the services of auditors in regions with available auditors or in Metro Manila (especially for large scale entities).  </w:t>
                  </w:r>
                </w:p>
              </w:tc>
            </w:tr>
            <w:tr w:rsidR="00210F2B" w:rsidRPr="002B355C" w14:paraId="63DF72A7" w14:textId="77777777" w:rsidTr="00C66A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26" w:type="dxa"/>
                  <w:gridSpan w:val="4"/>
                  <w:shd w:val="clear" w:color="auto" w:fill="auto"/>
                  <w:noWrap/>
                </w:tcPr>
                <w:p w14:paraId="7E8C3523" w14:textId="77777777" w:rsidR="00210F2B" w:rsidRPr="002B355C" w:rsidRDefault="00210F2B" w:rsidP="00210F2B">
                  <w:pPr>
                    <w:spacing w:before="100" w:beforeAutospacing="1" w:after="100" w:afterAutospacing="1" w:line="240" w:lineRule="auto"/>
                    <w:jc w:val="left"/>
                    <w:rPr>
                      <w:rFonts w:cstheme="majorHAnsi"/>
                      <w:sz w:val="14"/>
                      <w:szCs w:val="14"/>
                    </w:rPr>
                  </w:pPr>
                  <w:r w:rsidRPr="002B355C">
                    <w:rPr>
                      <w:rFonts w:cstheme="majorHAnsi"/>
                      <w:sz w:val="14"/>
                      <w:szCs w:val="14"/>
                    </w:rPr>
                    <w:t xml:space="preserve">Data as of 31 December 2016, from </w:t>
                  </w:r>
                  <w:proofErr w:type="spellStart"/>
                  <w:r w:rsidRPr="002B355C">
                    <w:rPr>
                      <w:rFonts w:cstheme="majorHAnsi"/>
                      <w:sz w:val="14"/>
                      <w:szCs w:val="14"/>
                    </w:rPr>
                    <w:t>Bangko</w:t>
                  </w:r>
                  <w:proofErr w:type="spellEnd"/>
                  <w:r w:rsidRPr="002B355C">
                    <w:rPr>
                      <w:rFonts w:cstheme="majorHAnsi"/>
                      <w:sz w:val="14"/>
                      <w:szCs w:val="14"/>
                    </w:rPr>
                    <w:t xml:space="preserve"> </w:t>
                  </w:r>
                  <w:proofErr w:type="spellStart"/>
                  <w:r w:rsidRPr="002B355C">
                    <w:rPr>
                      <w:rFonts w:cstheme="majorHAnsi"/>
                      <w:sz w:val="14"/>
                      <w:szCs w:val="14"/>
                    </w:rPr>
                    <w:t>Sentral</w:t>
                  </w:r>
                  <w:proofErr w:type="spellEnd"/>
                  <w:r w:rsidRPr="002B355C">
                    <w:rPr>
                      <w:rFonts w:cstheme="majorHAnsi"/>
                      <w:sz w:val="14"/>
                      <w:szCs w:val="14"/>
                    </w:rPr>
                    <w:t xml:space="preserve"> ng </w:t>
                  </w:r>
                  <w:proofErr w:type="spellStart"/>
                  <w:r w:rsidRPr="002B355C">
                    <w:rPr>
                      <w:rFonts w:cstheme="majorHAnsi"/>
                      <w:sz w:val="14"/>
                      <w:szCs w:val="14"/>
                    </w:rPr>
                    <w:t>Pilipinas</w:t>
                  </w:r>
                  <w:proofErr w:type="spellEnd"/>
                </w:p>
              </w:tc>
            </w:tr>
          </w:tbl>
          <w:p w14:paraId="1BC279B1" w14:textId="77777777" w:rsidR="00210F2B" w:rsidRPr="005056AE" w:rsidRDefault="00210F2B" w:rsidP="00251A15">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3C41DCB8" w14:textId="68FC3D75" w:rsidR="00210F2B" w:rsidRDefault="00210F2B" w:rsidP="00210F2B">
      <w:pPr>
        <w:pStyle w:val="BodyText4"/>
        <w:spacing w:after="200"/>
        <w:jc w:val="center"/>
        <w:rPr>
          <w:rFonts w:asciiTheme="minorHAnsi" w:hAnsiTheme="minorHAnsi"/>
          <w:b/>
          <w:bCs/>
          <w:color w:val="4472C4" w:themeColor="accent1"/>
          <w:sz w:val="24"/>
          <w:szCs w:val="12"/>
        </w:rPr>
      </w:pPr>
    </w:p>
    <w:p w14:paraId="2FCEA292" w14:textId="235930D2" w:rsidR="00210F2B" w:rsidRDefault="00210F2B" w:rsidP="00210F2B">
      <w:pPr>
        <w:pStyle w:val="BodyText4"/>
        <w:spacing w:after="200"/>
        <w:jc w:val="center"/>
        <w:rPr>
          <w:rFonts w:asciiTheme="minorHAnsi" w:hAnsiTheme="minorHAnsi"/>
          <w:b/>
          <w:bCs/>
          <w:color w:val="4472C4" w:themeColor="accent1"/>
          <w:sz w:val="24"/>
          <w:szCs w:val="12"/>
        </w:rPr>
      </w:pPr>
    </w:p>
    <w:p w14:paraId="2FB29C97" w14:textId="0BDBFD51" w:rsidR="00210F2B" w:rsidRDefault="00210F2B" w:rsidP="00210F2B">
      <w:pPr>
        <w:pStyle w:val="BodyText4"/>
        <w:spacing w:after="200"/>
        <w:jc w:val="center"/>
        <w:rPr>
          <w:rFonts w:asciiTheme="minorHAnsi" w:hAnsiTheme="minorHAnsi"/>
          <w:b/>
          <w:bCs/>
          <w:color w:val="4472C4" w:themeColor="accent1"/>
          <w:sz w:val="24"/>
          <w:szCs w:val="12"/>
        </w:rPr>
      </w:pPr>
    </w:p>
    <w:p w14:paraId="1191BDBB" w14:textId="781FC52C" w:rsidR="00210F2B" w:rsidRDefault="00210F2B" w:rsidP="00210F2B">
      <w:pPr>
        <w:pStyle w:val="BodyText4"/>
        <w:spacing w:after="200"/>
        <w:jc w:val="center"/>
        <w:rPr>
          <w:rFonts w:asciiTheme="minorHAnsi" w:hAnsiTheme="minorHAnsi"/>
          <w:b/>
          <w:bCs/>
          <w:color w:val="4472C4" w:themeColor="accent1"/>
          <w:sz w:val="24"/>
          <w:szCs w:val="12"/>
        </w:rPr>
      </w:pPr>
    </w:p>
    <w:p w14:paraId="75DC21FE" w14:textId="3FD9CE5D" w:rsidR="00210F2B" w:rsidRDefault="00210F2B" w:rsidP="00210F2B">
      <w:pPr>
        <w:pStyle w:val="BodyText4"/>
        <w:spacing w:after="200"/>
        <w:jc w:val="center"/>
        <w:rPr>
          <w:rFonts w:asciiTheme="minorHAnsi" w:hAnsiTheme="minorHAnsi"/>
          <w:b/>
          <w:bCs/>
          <w:color w:val="4472C4" w:themeColor="accent1"/>
          <w:sz w:val="24"/>
          <w:szCs w:val="12"/>
        </w:rPr>
      </w:pPr>
    </w:p>
    <w:p w14:paraId="21CEAB3D" w14:textId="2E050818" w:rsidR="00210F2B" w:rsidRDefault="00210F2B" w:rsidP="00210F2B">
      <w:pPr>
        <w:pStyle w:val="BodyText4"/>
        <w:spacing w:after="200"/>
        <w:jc w:val="center"/>
        <w:rPr>
          <w:rFonts w:asciiTheme="minorHAnsi" w:hAnsiTheme="minorHAnsi"/>
          <w:b/>
          <w:bCs/>
          <w:color w:val="4472C4" w:themeColor="accent1"/>
          <w:sz w:val="24"/>
          <w:szCs w:val="12"/>
        </w:rPr>
      </w:pPr>
    </w:p>
    <w:p w14:paraId="12143FE3" w14:textId="26273F4C" w:rsidR="00210F2B" w:rsidRDefault="00210F2B" w:rsidP="00210F2B">
      <w:pPr>
        <w:pStyle w:val="BodyText4"/>
        <w:spacing w:after="200"/>
        <w:jc w:val="center"/>
        <w:rPr>
          <w:rFonts w:asciiTheme="minorHAnsi" w:hAnsiTheme="minorHAnsi"/>
          <w:b/>
          <w:bCs/>
          <w:color w:val="4472C4" w:themeColor="accent1"/>
          <w:sz w:val="24"/>
          <w:szCs w:val="12"/>
        </w:rPr>
      </w:pPr>
    </w:p>
    <w:p w14:paraId="4AB41AAE" w14:textId="77777777" w:rsidR="00210F2B" w:rsidRDefault="00210F2B" w:rsidP="00210F2B">
      <w:pPr>
        <w:pStyle w:val="BodyText4"/>
        <w:spacing w:after="200"/>
        <w:jc w:val="center"/>
        <w:rPr>
          <w:rFonts w:asciiTheme="minorHAnsi" w:hAnsiTheme="minorHAnsi"/>
          <w:b/>
          <w:bCs/>
          <w:color w:val="4472C4" w:themeColor="accent1"/>
          <w:sz w:val="24"/>
          <w:szCs w:val="12"/>
        </w:rPr>
      </w:pPr>
    </w:p>
    <w:p w14:paraId="700443BB" w14:textId="0055D060" w:rsidR="00210F2B" w:rsidRDefault="00210F2B"/>
    <w:p w14:paraId="4961FA7F" w14:textId="77777777" w:rsidR="00600FD1" w:rsidRDefault="00600FD1">
      <w:pPr>
        <w:spacing w:after="160" w:line="259" w:lineRule="auto"/>
        <w:jc w:val="left"/>
        <w:rPr>
          <w:rFonts w:eastAsia="MS Gothic"/>
        </w:rPr>
        <w:sectPr w:rsidR="00600FD1" w:rsidSect="00210F2B">
          <w:pgSz w:w="11906" w:h="16838" w:code="9"/>
          <w:pgMar w:top="1440" w:right="1440" w:bottom="1440" w:left="1440" w:header="720" w:footer="720" w:gutter="0"/>
          <w:cols w:space="720"/>
          <w:docGrid w:linePitch="360"/>
        </w:sectPr>
      </w:pPr>
    </w:p>
    <w:p w14:paraId="7FB95521" w14:textId="67259090" w:rsidR="0090502D" w:rsidRDefault="0090502D" w:rsidP="0002662F">
      <w:pPr>
        <w:pStyle w:val="Heading2"/>
        <w:numPr>
          <w:ilvl w:val="1"/>
          <w:numId w:val="22"/>
        </w:numPr>
        <w:spacing w:before="0" w:after="0"/>
        <w:ind w:left="547" w:hanging="547"/>
        <w:rPr>
          <w:rFonts w:eastAsia="MS Gothic"/>
        </w:rPr>
      </w:pPr>
      <w:bookmarkStart w:id="106" w:name="_Toc499825615"/>
      <w:r w:rsidRPr="008F1E62">
        <w:rPr>
          <w:rFonts w:eastAsia="MS Gothic"/>
        </w:rPr>
        <w:t>Insurance Commission</w:t>
      </w:r>
      <w:r w:rsidR="00B969BE">
        <w:rPr>
          <w:rFonts w:eastAsia="MS Gothic"/>
        </w:rPr>
        <w:t xml:space="preserve"> Accredited</w:t>
      </w:r>
      <w:r w:rsidR="00B969BE" w:rsidRPr="008F1E62">
        <w:rPr>
          <w:rFonts w:eastAsia="MS Gothic"/>
        </w:rPr>
        <w:t xml:space="preserve"> Auditors and Enterprises</w:t>
      </w:r>
      <w:bookmarkEnd w:id="106"/>
    </w:p>
    <w:p w14:paraId="0BF56F16" w14:textId="26A0A547" w:rsidR="00ED6F15" w:rsidRDefault="00ED6F15" w:rsidP="00ED6F15"/>
    <w:tbl>
      <w:tblPr>
        <w:tblStyle w:val="TableGrid"/>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ED6F15" w14:paraId="39077BA6" w14:textId="77777777" w:rsidTr="00753245">
        <w:tc>
          <w:tcPr>
            <w:tcW w:w="9026" w:type="dxa"/>
            <w:shd w:val="clear" w:color="auto" w:fill="4472C4"/>
            <w:vAlign w:val="center"/>
          </w:tcPr>
          <w:p w14:paraId="272E5F37" w14:textId="3F436329" w:rsidR="00ED6F15" w:rsidRPr="006A35C5" w:rsidRDefault="0089238B" w:rsidP="00656D26">
            <w:pPr>
              <w:pStyle w:val="BodyText4"/>
              <w:spacing w:line="276" w:lineRule="auto"/>
              <w:jc w:val="center"/>
              <w:rPr>
                <w:rFonts w:asciiTheme="minorHAnsi" w:hAnsiTheme="minorHAnsi"/>
                <w:b/>
                <w:color w:val="FFFFFF" w:themeColor="background1"/>
                <w:sz w:val="20"/>
              </w:rPr>
            </w:pPr>
            <w:r w:rsidRPr="006A35C5">
              <w:rPr>
                <w:rFonts w:asciiTheme="minorHAnsi" w:hAnsiTheme="minorHAnsi"/>
                <w:b/>
                <w:color w:val="FFFFFF" w:themeColor="background1"/>
                <w:sz w:val="20"/>
              </w:rPr>
              <w:t>G</w:t>
            </w:r>
            <w:r>
              <w:rPr>
                <w:rFonts w:asciiTheme="minorHAnsi" w:hAnsiTheme="minorHAnsi"/>
                <w:b/>
                <w:color w:val="FFFFFF" w:themeColor="background1"/>
                <w:sz w:val="20"/>
              </w:rPr>
              <w:t>EOMAP</w:t>
            </w:r>
            <w:r w:rsidRPr="006A35C5">
              <w:rPr>
                <w:rFonts w:asciiTheme="minorHAnsi" w:hAnsiTheme="minorHAnsi"/>
                <w:b/>
                <w:color w:val="FFFFFF" w:themeColor="background1"/>
                <w:sz w:val="20"/>
              </w:rPr>
              <w:t xml:space="preserve"> </w:t>
            </w:r>
            <w:r w:rsidR="00ED6F15" w:rsidRPr="006A35C5">
              <w:rPr>
                <w:rFonts w:asciiTheme="minorHAnsi" w:hAnsiTheme="minorHAnsi"/>
                <w:b/>
                <w:color w:val="FFFFFF" w:themeColor="background1"/>
                <w:sz w:val="20"/>
              </w:rPr>
              <w:t>D</w:t>
            </w:r>
          </w:p>
        </w:tc>
      </w:tr>
      <w:tr w:rsidR="00ED6F15" w14:paraId="245C133E" w14:textId="77777777" w:rsidTr="00753245">
        <w:tc>
          <w:tcPr>
            <w:tcW w:w="9026" w:type="dxa"/>
            <w:vAlign w:val="center"/>
          </w:tcPr>
          <w:p w14:paraId="6F1F71C2" w14:textId="7ADBDFB7" w:rsidR="00ED6F15" w:rsidRDefault="00ED6F15" w:rsidP="00656D26">
            <w:pPr>
              <w:pStyle w:val="BodyText4"/>
              <w:spacing w:before="200" w:line="276" w:lineRule="auto"/>
              <w:jc w:val="center"/>
              <w:rPr>
                <w:rFonts w:asciiTheme="minorHAnsi" w:hAnsiTheme="minorHAnsi"/>
                <w:b/>
              </w:rPr>
            </w:pPr>
            <w:r w:rsidRPr="008F1E62">
              <w:rPr>
                <w:rFonts w:ascii="Century Gothic" w:eastAsia="MS Gothic" w:hAnsi="Century Gothic"/>
                <w:noProof/>
                <w:color w:val="00AB51"/>
                <w:kern w:val="32"/>
                <w:sz w:val="32"/>
                <w:szCs w:val="32"/>
              </w:rPr>
              <w:drawing>
                <wp:inline distT="0" distB="0" distL="0" distR="0" wp14:anchorId="60225BD3" wp14:editId="2129A0AB">
                  <wp:extent cx="5440680" cy="6812280"/>
                  <wp:effectExtent l="0" t="0" r="7620" b="7620"/>
                  <wp:docPr id="44" name="Picture 44" descr="IC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 final"/>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7625"/>
                          <a:stretch/>
                        </pic:blipFill>
                        <pic:spPr bwMode="auto">
                          <a:xfrm>
                            <a:off x="0" y="0"/>
                            <a:ext cx="5440680" cy="68122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6F15" w14:paraId="6CB91882" w14:textId="77777777" w:rsidTr="00753245">
        <w:tc>
          <w:tcPr>
            <w:tcW w:w="9026" w:type="dxa"/>
            <w:shd w:val="clear" w:color="auto" w:fill="4472C4"/>
            <w:vAlign w:val="center"/>
          </w:tcPr>
          <w:p w14:paraId="7B5AFD6C" w14:textId="77777777" w:rsidR="00ED6F15" w:rsidRPr="00FA75F2" w:rsidRDefault="00ED6F15" w:rsidP="00656D26">
            <w:pPr>
              <w:pStyle w:val="BodyText4"/>
              <w:spacing w:line="276" w:lineRule="auto"/>
              <w:jc w:val="center"/>
              <w:rPr>
                <w:rFonts w:asciiTheme="minorHAnsi" w:hAnsiTheme="minorHAnsi"/>
                <w:noProof/>
                <w:sz w:val="10"/>
                <w:szCs w:val="10"/>
              </w:rPr>
            </w:pPr>
          </w:p>
        </w:tc>
      </w:tr>
    </w:tbl>
    <w:p w14:paraId="3A4C964A" w14:textId="77777777" w:rsidR="00ED6F15" w:rsidRPr="00ED6F15" w:rsidRDefault="00ED6F15" w:rsidP="00ED6F15"/>
    <w:p w14:paraId="277E5C41" w14:textId="4BB25EB6" w:rsidR="00925E2A" w:rsidRDefault="00925E2A" w:rsidP="0002662F">
      <w:pPr>
        <w:jc w:val="center"/>
      </w:pPr>
    </w:p>
    <w:p w14:paraId="24B24E46" w14:textId="77777777" w:rsidR="008D0240" w:rsidRDefault="008D0240">
      <w:pPr>
        <w:spacing w:after="160" w:line="259" w:lineRule="auto"/>
        <w:jc w:val="left"/>
        <w:rPr>
          <w:rFonts w:eastAsia="Times New Roman" w:cs="Times New Roman"/>
          <w:b/>
          <w:bCs/>
          <w:color w:val="4472C4" w:themeColor="accent1"/>
          <w:sz w:val="24"/>
          <w:szCs w:val="12"/>
        </w:rPr>
      </w:pPr>
      <w:r>
        <w:rPr>
          <w:b/>
          <w:bCs/>
          <w:color w:val="4472C4" w:themeColor="accent1"/>
          <w:sz w:val="24"/>
          <w:szCs w:val="12"/>
        </w:rPr>
        <w:br w:type="page"/>
      </w:r>
    </w:p>
    <w:p w14:paraId="14E83699" w14:textId="63B15261" w:rsidR="00210F2B" w:rsidRPr="008D0240" w:rsidRDefault="00210F2B" w:rsidP="008D0240">
      <w:pPr>
        <w:pStyle w:val="BodyText4"/>
        <w:spacing w:after="200"/>
        <w:jc w:val="center"/>
        <w:rPr>
          <w:rFonts w:asciiTheme="minorHAnsi" w:hAnsiTheme="minorHAnsi"/>
          <w:b/>
          <w:bCs/>
          <w:color w:val="4472C4" w:themeColor="accent1"/>
          <w:sz w:val="24"/>
          <w:szCs w:val="12"/>
        </w:rPr>
      </w:pPr>
      <w:r w:rsidRPr="008D0240">
        <w:rPr>
          <w:rFonts w:asciiTheme="minorHAnsi" w:hAnsiTheme="minorHAnsi"/>
          <w:b/>
          <w:bCs/>
          <w:color w:val="4472C4" w:themeColor="accent1"/>
          <w:sz w:val="24"/>
          <w:szCs w:val="12"/>
        </w:rPr>
        <w:t>Insurance Commission Accredited Auditors and Enterprises</w:t>
      </w:r>
    </w:p>
    <w:tbl>
      <w:tblPr>
        <w:tblStyle w:val="GridTable2-Accent5"/>
        <w:tblW w:w="5000" w:type="pct"/>
        <w:tblBorders>
          <w:top w:val="single" w:sz="2" w:space="0" w:color="8C8D90"/>
          <w:left w:val="single" w:sz="2" w:space="0" w:color="8C8D90"/>
          <w:bottom w:val="single" w:sz="2" w:space="0" w:color="8C8D90"/>
          <w:right w:val="single" w:sz="2" w:space="0" w:color="8C8D90"/>
          <w:insideH w:val="single" w:sz="2" w:space="0" w:color="8C8D90"/>
        </w:tblBorders>
        <w:tblLook w:val="04A0" w:firstRow="1" w:lastRow="0" w:firstColumn="1" w:lastColumn="0" w:noHBand="0" w:noVBand="1"/>
      </w:tblPr>
      <w:tblGrid>
        <w:gridCol w:w="1957"/>
        <w:gridCol w:w="2044"/>
        <w:gridCol w:w="1615"/>
        <w:gridCol w:w="3404"/>
      </w:tblGrid>
      <w:tr w:rsidR="00925E2A" w:rsidRPr="00753245" w14:paraId="53E547D8" w14:textId="77777777" w:rsidTr="009555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gridSpan w:val="4"/>
            <w:tcBorders>
              <w:top w:val="none" w:sz="0" w:space="0" w:color="auto"/>
              <w:bottom w:val="single" w:sz="2" w:space="0" w:color="FFFFFF" w:themeColor="background1"/>
            </w:tcBorders>
            <w:shd w:val="clear" w:color="auto" w:fill="4472C4"/>
            <w:noWrap/>
            <w:vAlign w:val="center"/>
          </w:tcPr>
          <w:p w14:paraId="3B5C02D4" w14:textId="6BC648EF" w:rsidR="00925E2A" w:rsidRPr="00955509" w:rsidRDefault="007E1503" w:rsidP="00955509">
            <w:pPr>
              <w:spacing w:after="0"/>
              <w:jc w:val="center"/>
              <w:rPr>
                <w:rFonts w:ascii="Calibri" w:eastAsia="Times New Roman" w:hAnsi="Calibri" w:cs="Times New Roman"/>
                <w:color w:val="FFFFFF" w:themeColor="background1"/>
                <w:sz w:val="20"/>
              </w:rPr>
            </w:pPr>
            <w:r w:rsidRPr="00955509">
              <w:rPr>
                <w:rFonts w:ascii="Calibri" w:eastAsia="Times New Roman" w:hAnsi="Calibri" w:cs="Times New Roman"/>
                <w:color w:val="FFFFFF" w:themeColor="background1"/>
                <w:sz w:val="20"/>
              </w:rPr>
              <w:t>TABLE D</w:t>
            </w:r>
          </w:p>
        </w:tc>
      </w:tr>
      <w:tr w:rsidR="00925E2A" w:rsidRPr="00753245" w14:paraId="3A2B9CA9"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tcBorders>
              <w:top w:val="single" w:sz="2" w:space="0" w:color="FFFFFF" w:themeColor="background1"/>
              <w:right w:val="single" w:sz="2" w:space="0" w:color="FFFFFF" w:themeColor="background1"/>
            </w:tcBorders>
            <w:shd w:val="clear" w:color="auto" w:fill="4472C4"/>
            <w:noWrap/>
            <w:vAlign w:val="center"/>
          </w:tcPr>
          <w:p w14:paraId="37513936" w14:textId="0367EDD1" w:rsidR="00925E2A" w:rsidRPr="00955509" w:rsidRDefault="00925E2A" w:rsidP="00955509">
            <w:pPr>
              <w:spacing w:after="0"/>
              <w:jc w:val="center"/>
              <w:rPr>
                <w:rFonts w:ascii="Calibri" w:eastAsia="Times New Roman" w:hAnsi="Calibri" w:cs="Times New Roman"/>
                <w:color w:val="FFFFFF" w:themeColor="background1"/>
                <w:sz w:val="20"/>
              </w:rPr>
            </w:pPr>
            <w:r w:rsidRPr="00955509">
              <w:rPr>
                <w:rFonts w:ascii="Calibri" w:eastAsia="Times New Roman" w:hAnsi="Calibri" w:cs="Times New Roman"/>
                <w:color w:val="FFFFFF" w:themeColor="background1"/>
                <w:sz w:val="20"/>
              </w:rPr>
              <w:t>Province</w:t>
            </w:r>
          </w:p>
        </w:tc>
        <w:tc>
          <w:tcPr>
            <w:tcW w:w="0" w:type="pct"/>
            <w:tcBorders>
              <w:top w:val="single" w:sz="2" w:space="0" w:color="FFFFFF" w:themeColor="background1"/>
              <w:left w:val="single" w:sz="2" w:space="0" w:color="FFFFFF" w:themeColor="background1"/>
              <w:right w:val="single" w:sz="2" w:space="0" w:color="FFFFFF" w:themeColor="background1"/>
            </w:tcBorders>
            <w:shd w:val="clear" w:color="auto" w:fill="4472C4"/>
            <w:noWrap/>
            <w:vAlign w:val="center"/>
          </w:tcPr>
          <w:p w14:paraId="420CA3C2" w14:textId="25E56AA9" w:rsidR="00925E2A" w:rsidRPr="00955509" w:rsidRDefault="00925E2A" w:rsidP="0095550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FFFFFF" w:themeColor="background1"/>
                <w:sz w:val="20"/>
              </w:rPr>
            </w:pPr>
            <w:r w:rsidRPr="00955509">
              <w:rPr>
                <w:rFonts w:ascii="Calibri" w:eastAsia="Times New Roman" w:hAnsi="Calibri" w:cs="Times New Roman"/>
                <w:b/>
                <w:color w:val="FFFFFF" w:themeColor="background1"/>
                <w:sz w:val="20"/>
              </w:rPr>
              <w:t>Insurance Companies</w:t>
            </w:r>
          </w:p>
        </w:tc>
        <w:tc>
          <w:tcPr>
            <w:tcW w:w="0" w:type="pct"/>
            <w:tcBorders>
              <w:top w:val="single" w:sz="2" w:space="0" w:color="FFFFFF" w:themeColor="background1"/>
              <w:left w:val="single" w:sz="2" w:space="0" w:color="FFFFFF" w:themeColor="background1"/>
              <w:right w:val="single" w:sz="2" w:space="0" w:color="FFFFFF" w:themeColor="background1"/>
            </w:tcBorders>
            <w:shd w:val="clear" w:color="auto" w:fill="4472C4"/>
            <w:noWrap/>
            <w:vAlign w:val="center"/>
          </w:tcPr>
          <w:p w14:paraId="79F32CD4" w14:textId="2C31B044" w:rsidR="00925E2A" w:rsidRPr="00955509" w:rsidRDefault="00925E2A" w:rsidP="0095550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FFFFFF" w:themeColor="background1"/>
                <w:sz w:val="20"/>
              </w:rPr>
            </w:pPr>
            <w:r w:rsidRPr="00955509">
              <w:rPr>
                <w:rFonts w:ascii="Calibri" w:eastAsia="Times New Roman" w:hAnsi="Calibri" w:cs="Times New Roman"/>
                <w:b/>
                <w:color w:val="FFFFFF" w:themeColor="background1"/>
                <w:sz w:val="20"/>
              </w:rPr>
              <w:t>Auditors</w:t>
            </w:r>
          </w:p>
        </w:tc>
        <w:tc>
          <w:tcPr>
            <w:tcW w:w="0" w:type="pct"/>
            <w:tcBorders>
              <w:top w:val="single" w:sz="2" w:space="0" w:color="FFFFFF" w:themeColor="background1"/>
              <w:left w:val="single" w:sz="2" w:space="0" w:color="FFFFFF" w:themeColor="background1"/>
            </w:tcBorders>
            <w:shd w:val="clear" w:color="auto" w:fill="4472C4"/>
            <w:noWrap/>
            <w:vAlign w:val="center"/>
          </w:tcPr>
          <w:p w14:paraId="010BBBAD" w14:textId="2405A92B" w:rsidR="00925E2A" w:rsidRPr="00955509" w:rsidRDefault="00925E2A" w:rsidP="00955509">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FFFFFF" w:themeColor="background1"/>
                <w:sz w:val="20"/>
              </w:rPr>
            </w:pPr>
            <w:r w:rsidRPr="00955509">
              <w:rPr>
                <w:rFonts w:ascii="Calibri" w:eastAsia="Times New Roman" w:hAnsi="Calibri" w:cs="Times New Roman"/>
                <w:b/>
                <w:color w:val="FFFFFF" w:themeColor="background1"/>
                <w:sz w:val="20"/>
              </w:rPr>
              <w:t>Enterprises per Auditors Ratio</w:t>
            </w:r>
          </w:p>
        </w:tc>
      </w:tr>
      <w:tr w:rsidR="00925E2A" w:rsidRPr="00753245" w14:paraId="5ED5E601"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1085" w:type="pct"/>
            <w:tcBorders>
              <w:right w:val="single" w:sz="2" w:space="0" w:color="8C8D90"/>
            </w:tcBorders>
            <w:shd w:val="clear" w:color="auto" w:fill="auto"/>
            <w:noWrap/>
            <w:hideMark/>
          </w:tcPr>
          <w:p w14:paraId="569D9312" w14:textId="77777777" w:rsidR="0090502D" w:rsidRPr="00753245" w:rsidRDefault="0090502D" w:rsidP="0090502D">
            <w:pPr>
              <w:spacing w:after="0"/>
              <w:jc w:val="left"/>
              <w:rPr>
                <w:rFonts w:ascii="Calibri" w:eastAsia="Times New Roman" w:hAnsi="Calibri" w:cs="Times New Roman"/>
                <w:color w:val="000000"/>
                <w:sz w:val="20"/>
              </w:rPr>
            </w:pPr>
            <w:proofErr w:type="spellStart"/>
            <w:r w:rsidRPr="00753245">
              <w:rPr>
                <w:rFonts w:ascii="Calibri" w:eastAsia="Times New Roman" w:hAnsi="Calibri" w:cs="Times New Roman"/>
                <w:color w:val="000000"/>
                <w:sz w:val="20"/>
              </w:rPr>
              <w:t>Bulacan</w:t>
            </w:r>
            <w:proofErr w:type="spellEnd"/>
          </w:p>
        </w:tc>
        <w:tc>
          <w:tcPr>
            <w:tcW w:w="1133" w:type="pct"/>
            <w:tcBorders>
              <w:left w:val="single" w:sz="2" w:space="0" w:color="8C8D90"/>
              <w:right w:val="single" w:sz="2" w:space="0" w:color="8C8D90"/>
            </w:tcBorders>
            <w:shd w:val="clear" w:color="auto" w:fill="auto"/>
            <w:noWrap/>
            <w:hideMark/>
          </w:tcPr>
          <w:p w14:paraId="761FF9E5"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0</w:t>
            </w:r>
          </w:p>
        </w:tc>
        <w:tc>
          <w:tcPr>
            <w:tcW w:w="895" w:type="pct"/>
            <w:tcBorders>
              <w:left w:val="single" w:sz="2" w:space="0" w:color="8C8D90"/>
              <w:right w:val="single" w:sz="2" w:space="0" w:color="8C8D90"/>
            </w:tcBorders>
            <w:shd w:val="clear" w:color="auto" w:fill="auto"/>
            <w:noWrap/>
            <w:hideMark/>
          </w:tcPr>
          <w:p w14:paraId="43C2B6A9"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c>
          <w:tcPr>
            <w:tcW w:w="1887" w:type="pct"/>
            <w:tcBorders>
              <w:left w:val="single" w:sz="2" w:space="0" w:color="8C8D90"/>
            </w:tcBorders>
            <w:shd w:val="clear" w:color="auto" w:fill="auto"/>
            <w:noWrap/>
            <w:hideMark/>
          </w:tcPr>
          <w:p w14:paraId="1FE63D99"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0</w:t>
            </w:r>
          </w:p>
        </w:tc>
      </w:tr>
      <w:tr w:rsidR="00925E2A" w:rsidRPr="00753245" w14:paraId="4BDC84FE"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5" w:type="pct"/>
            <w:tcBorders>
              <w:right w:val="single" w:sz="2" w:space="0" w:color="8C8D90"/>
            </w:tcBorders>
            <w:shd w:val="clear" w:color="auto" w:fill="auto"/>
            <w:noWrap/>
          </w:tcPr>
          <w:p w14:paraId="4EE5A2E2" w14:textId="77777777" w:rsidR="0090502D" w:rsidRPr="00753245" w:rsidRDefault="0090502D" w:rsidP="0090502D">
            <w:pPr>
              <w:spacing w:after="0"/>
              <w:jc w:val="left"/>
              <w:rPr>
                <w:rFonts w:ascii="Calibri" w:eastAsia="Times New Roman" w:hAnsi="Calibri" w:cs="Times New Roman"/>
                <w:color w:val="000000"/>
                <w:sz w:val="20"/>
              </w:rPr>
            </w:pPr>
            <w:r w:rsidRPr="00753245">
              <w:rPr>
                <w:rFonts w:ascii="Calibri" w:eastAsia="Times New Roman" w:hAnsi="Calibri" w:cs="Times New Roman"/>
                <w:color w:val="000000"/>
                <w:sz w:val="20"/>
              </w:rPr>
              <w:t>Cagayan de Oro</w:t>
            </w:r>
          </w:p>
        </w:tc>
        <w:tc>
          <w:tcPr>
            <w:tcW w:w="1133" w:type="pct"/>
            <w:tcBorders>
              <w:left w:val="single" w:sz="2" w:space="0" w:color="8C8D90"/>
              <w:right w:val="single" w:sz="2" w:space="0" w:color="8C8D90"/>
            </w:tcBorders>
            <w:shd w:val="clear" w:color="auto" w:fill="auto"/>
            <w:noWrap/>
          </w:tcPr>
          <w:p w14:paraId="5AA68EDE"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c>
          <w:tcPr>
            <w:tcW w:w="895" w:type="pct"/>
            <w:tcBorders>
              <w:left w:val="single" w:sz="2" w:space="0" w:color="8C8D90"/>
              <w:right w:val="single" w:sz="2" w:space="0" w:color="8C8D90"/>
            </w:tcBorders>
            <w:shd w:val="clear" w:color="auto" w:fill="auto"/>
            <w:noWrap/>
          </w:tcPr>
          <w:p w14:paraId="42C3C186"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c>
          <w:tcPr>
            <w:tcW w:w="1887" w:type="pct"/>
            <w:tcBorders>
              <w:left w:val="single" w:sz="2" w:space="0" w:color="8C8D90"/>
            </w:tcBorders>
            <w:shd w:val="clear" w:color="auto" w:fill="auto"/>
            <w:noWrap/>
          </w:tcPr>
          <w:p w14:paraId="6AE41A94"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r>
      <w:tr w:rsidR="00925E2A" w:rsidRPr="00753245" w14:paraId="0778EEA7"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1085" w:type="pct"/>
            <w:tcBorders>
              <w:right w:val="single" w:sz="2" w:space="0" w:color="8C8D90"/>
            </w:tcBorders>
            <w:shd w:val="clear" w:color="auto" w:fill="auto"/>
            <w:noWrap/>
            <w:hideMark/>
          </w:tcPr>
          <w:p w14:paraId="65E6ED65" w14:textId="77777777" w:rsidR="0090502D" w:rsidRPr="00753245" w:rsidRDefault="0090502D" w:rsidP="0090502D">
            <w:pPr>
              <w:spacing w:after="0"/>
              <w:jc w:val="left"/>
              <w:rPr>
                <w:rFonts w:ascii="Calibri" w:eastAsia="Times New Roman" w:hAnsi="Calibri" w:cs="Times New Roman"/>
                <w:color w:val="000000"/>
                <w:sz w:val="20"/>
              </w:rPr>
            </w:pPr>
            <w:r w:rsidRPr="00753245">
              <w:rPr>
                <w:rFonts w:ascii="Calibri" w:eastAsia="Times New Roman" w:hAnsi="Calibri" w:cs="Times New Roman"/>
                <w:color w:val="000000"/>
                <w:sz w:val="20"/>
              </w:rPr>
              <w:t>Cebu</w:t>
            </w:r>
          </w:p>
        </w:tc>
        <w:tc>
          <w:tcPr>
            <w:tcW w:w="1133" w:type="pct"/>
            <w:tcBorders>
              <w:left w:val="single" w:sz="2" w:space="0" w:color="8C8D90"/>
              <w:right w:val="single" w:sz="2" w:space="0" w:color="8C8D90"/>
            </w:tcBorders>
            <w:shd w:val="clear" w:color="auto" w:fill="auto"/>
            <w:noWrap/>
            <w:hideMark/>
          </w:tcPr>
          <w:p w14:paraId="672E35D3"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c>
          <w:tcPr>
            <w:tcW w:w="895" w:type="pct"/>
            <w:tcBorders>
              <w:left w:val="single" w:sz="2" w:space="0" w:color="8C8D90"/>
              <w:right w:val="single" w:sz="2" w:space="0" w:color="8C8D90"/>
            </w:tcBorders>
            <w:shd w:val="clear" w:color="auto" w:fill="auto"/>
            <w:noWrap/>
            <w:hideMark/>
          </w:tcPr>
          <w:p w14:paraId="72D3BC56"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2</w:t>
            </w:r>
          </w:p>
        </w:tc>
        <w:tc>
          <w:tcPr>
            <w:tcW w:w="1887" w:type="pct"/>
            <w:tcBorders>
              <w:left w:val="single" w:sz="2" w:space="0" w:color="8C8D90"/>
            </w:tcBorders>
            <w:shd w:val="clear" w:color="auto" w:fill="auto"/>
            <w:noWrap/>
            <w:hideMark/>
          </w:tcPr>
          <w:p w14:paraId="3FED2388"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0</w:t>
            </w:r>
          </w:p>
        </w:tc>
      </w:tr>
      <w:tr w:rsidR="00925E2A" w:rsidRPr="00753245" w14:paraId="2CDFF1E5"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5" w:type="pct"/>
            <w:tcBorders>
              <w:right w:val="single" w:sz="2" w:space="0" w:color="8C8D90"/>
            </w:tcBorders>
            <w:shd w:val="clear" w:color="auto" w:fill="auto"/>
            <w:noWrap/>
            <w:hideMark/>
          </w:tcPr>
          <w:p w14:paraId="456832C4" w14:textId="77777777" w:rsidR="0090502D" w:rsidRPr="00753245" w:rsidRDefault="0090502D" w:rsidP="0090502D">
            <w:pPr>
              <w:spacing w:after="0"/>
              <w:jc w:val="left"/>
              <w:rPr>
                <w:rFonts w:ascii="Calibri" w:eastAsia="Times New Roman" w:hAnsi="Calibri" w:cs="Times New Roman"/>
                <w:color w:val="000000"/>
                <w:sz w:val="20"/>
              </w:rPr>
            </w:pPr>
            <w:r w:rsidRPr="00753245">
              <w:rPr>
                <w:rFonts w:ascii="Calibri" w:eastAsia="Times New Roman" w:hAnsi="Calibri" w:cs="Times New Roman"/>
                <w:color w:val="000000"/>
                <w:sz w:val="20"/>
              </w:rPr>
              <w:t>Laguna</w:t>
            </w:r>
          </w:p>
        </w:tc>
        <w:tc>
          <w:tcPr>
            <w:tcW w:w="1133" w:type="pct"/>
            <w:tcBorders>
              <w:left w:val="single" w:sz="2" w:space="0" w:color="8C8D90"/>
              <w:right w:val="single" w:sz="2" w:space="0" w:color="8C8D90"/>
            </w:tcBorders>
            <w:shd w:val="clear" w:color="auto" w:fill="auto"/>
            <w:noWrap/>
            <w:hideMark/>
          </w:tcPr>
          <w:p w14:paraId="49706896"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0</w:t>
            </w:r>
          </w:p>
        </w:tc>
        <w:tc>
          <w:tcPr>
            <w:tcW w:w="895" w:type="pct"/>
            <w:tcBorders>
              <w:left w:val="single" w:sz="2" w:space="0" w:color="8C8D90"/>
              <w:right w:val="single" w:sz="2" w:space="0" w:color="8C8D90"/>
            </w:tcBorders>
            <w:shd w:val="clear" w:color="auto" w:fill="auto"/>
            <w:noWrap/>
            <w:hideMark/>
          </w:tcPr>
          <w:p w14:paraId="78692518"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c>
          <w:tcPr>
            <w:tcW w:w="1887" w:type="pct"/>
            <w:tcBorders>
              <w:left w:val="single" w:sz="2" w:space="0" w:color="8C8D90"/>
            </w:tcBorders>
            <w:shd w:val="clear" w:color="auto" w:fill="auto"/>
            <w:noWrap/>
            <w:hideMark/>
          </w:tcPr>
          <w:p w14:paraId="74C10B6B"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0</w:t>
            </w:r>
          </w:p>
        </w:tc>
      </w:tr>
      <w:tr w:rsidR="00925E2A" w:rsidRPr="00753245" w14:paraId="0EFEDDA9" w14:textId="77777777" w:rsidTr="00955509">
        <w:trPr>
          <w:trHeight w:val="300"/>
        </w:trPr>
        <w:tc>
          <w:tcPr>
            <w:cnfStyle w:val="001000000000" w:firstRow="0" w:lastRow="0" w:firstColumn="1" w:lastColumn="0" w:oddVBand="0" w:evenVBand="0" w:oddHBand="0" w:evenHBand="0" w:firstRowFirstColumn="0" w:firstRowLastColumn="0" w:lastRowFirstColumn="0" w:lastRowLastColumn="0"/>
            <w:tcW w:w="1085" w:type="pct"/>
            <w:tcBorders>
              <w:right w:val="single" w:sz="2" w:space="0" w:color="8C8D90"/>
            </w:tcBorders>
            <w:shd w:val="clear" w:color="auto" w:fill="auto"/>
            <w:noWrap/>
            <w:hideMark/>
          </w:tcPr>
          <w:p w14:paraId="264FB8EE" w14:textId="77777777" w:rsidR="0090502D" w:rsidRPr="00753245" w:rsidRDefault="0090502D" w:rsidP="0090502D">
            <w:pPr>
              <w:spacing w:after="0"/>
              <w:jc w:val="left"/>
              <w:rPr>
                <w:rFonts w:ascii="Calibri" w:eastAsia="Times New Roman" w:hAnsi="Calibri" w:cs="Times New Roman"/>
                <w:color w:val="000000"/>
                <w:sz w:val="20"/>
              </w:rPr>
            </w:pPr>
            <w:r w:rsidRPr="00753245">
              <w:rPr>
                <w:rFonts w:ascii="Calibri" w:eastAsia="Times New Roman" w:hAnsi="Calibri" w:cs="Times New Roman"/>
                <w:color w:val="000000"/>
                <w:sz w:val="20"/>
              </w:rPr>
              <w:t>Nueva Ecija</w:t>
            </w:r>
          </w:p>
        </w:tc>
        <w:tc>
          <w:tcPr>
            <w:tcW w:w="1133" w:type="pct"/>
            <w:tcBorders>
              <w:left w:val="single" w:sz="2" w:space="0" w:color="8C8D90"/>
              <w:right w:val="single" w:sz="2" w:space="0" w:color="8C8D90"/>
            </w:tcBorders>
            <w:shd w:val="clear" w:color="auto" w:fill="auto"/>
            <w:noWrap/>
            <w:hideMark/>
          </w:tcPr>
          <w:p w14:paraId="5B765B06"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0</w:t>
            </w:r>
          </w:p>
        </w:tc>
        <w:tc>
          <w:tcPr>
            <w:tcW w:w="895" w:type="pct"/>
            <w:tcBorders>
              <w:left w:val="single" w:sz="2" w:space="0" w:color="8C8D90"/>
              <w:right w:val="single" w:sz="2" w:space="0" w:color="8C8D90"/>
            </w:tcBorders>
            <w:shd w:val="clear" w:color="auto" w:fill="auto"/>
            <w:noWrap/>
            <w:hideMark/>
          </w:tcPr>
          <w:p w14:paraId="668EE9D7"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c>
          <w:tcPr>
            <w:tcW w:w="1887" w:type="pct"/>
            <w:tcBorders>
              <w:left w:val="single" w:sz="2" w:space="0" w:color="8C8D90"/>
            </w:tcBorders>
            <w:shd w:val="clear" w:color="auto" w:fill="auto"/>
            <w:noWrap/>
            <w:hideMark/>
          </w:tcPr>
          <w:p w14:paraId="13ADD631" w14:textId="77777777" w:rsidR="0090502D" w:rsidRPr="00753245" w:rsidRDefault="0090502D" w:rsidP="0090502D">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0</w:t>
            </w:r>
          </w:p>
        </w:tc>
      </w:tr>
      <w:tr w:rsidR="00925E2A" w:rsidRPr="00753245" w14:paraId="1CF5864A" w14:textId="77777777" w:rsidTr="009555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85" w:type="pct"/>
            <w:tcBorders>
              <w:right w:val="single" w:sz="2" w:space="0" w:color="8C8D90"/>
            </w:tcBorders>
            <w:shd w:val="clear" w:color="auto" w:fill="auto"/>
            <w:noWrap/>
            <w:hideMark/>
          </w:tcPr>
          <w:p w14:paraId="628A5749" w14:textId="77777777" w:rsidR="0090502D" w:rsidRPr="00753245" w:rsidRDefault="0090502D" w:rsidP="0090502D">
            <w:pPr>
              <w:spacing w:after="0"/>
              <w:jc w:val="left"/>
              <w:rPr>
                <w:rFonts w:ascii="Calibri" w:eastAsia="Times New Roman" w:hAnsi="Calibri" w:cs="Times New Roman"/>
                <w:color w:val="000000"/>
                <w:sz w:val="20"/>
              </w:rPr>
            </w:pPr>
            <w:r w:rsidRPr="00753245">
              <w:rPr>
                <w:rFonts w:ascii="Calibri" w:eastAsia="Times New Roman" w:hAnsi="Calibri" w:cs="Times New Roman"/>
                <w:color w:val="000000"/>
                <w:sz w:val="20"/>
              </w:rPr>
              <w:t>Metropolitan Manila</w:t>
            </w:r>
          </w:p>
        </w:tc>
        <w:tc>
          <w:tcPr>
            <w:tcW w:w="1133" w:type="pct"/>
            <w:tcBorders>
              <w:left w:val="single" w:sz="2" w:space="0" w:color="8C8D90"/>
              <w:right w:val="single" w:sz="2" w:space="0" w:color="8C8D90"/>
            </w:tcBorders>
            <w:shd w:val="clear" w:color="auto" w:fill="auto"/>
            <w:noWrap/>
            <w:hideMark/>
          </w:tcPr>
          <w:p w14:paraId="704382E1"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99</w:t>
            </w:r>
          </w:p>
        </w:tc>
        <w:tc>
          <w:tcPr>
            <w:tcW w:w="895" w:type="pct"/>
            <w:tcBorders>
              <w:left w:val="single" w:sz="2" w:space="0" w:color="8C8D90"/>
              <w:right w:val="single" w:sz="2" w:space="0" w:color="8C8D90"/>
            </w:tcBorders>
            <w:shd w:val="clear" w:color="auto" w:fill="auto"/>
            <w:noWrap/>
            <w:hideMark/>
          </w:tcPr>
          <w:p w14:paraId="6900D923"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92</w:t>
            </w:r>
          </w:p>
        </w:tc>
        <w:tc>
          <w:tcPr>
            <w:tcW w:w="1887" w:type="pct"/>
            <w:tcBorders>
              <w:left w:val="single" w:sz="2" w:space="0" w:color="8C8D90"/>
            </w:tcBorders>
            <w:shd w:val="clear" w:color="auto" w:fill="auto"/>
            <w:noWrap/>
            <w:hideMark/>
          </w:tcPr>
          <w:p w14:paraId="60970707" w14:textId="77777777" w:rsidR="0090502D" w:rsidRPr="00753245" w:rsidRDefault="0090502D" w:rsidP="0090502D">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rPr>
            </w:pPr>
            <w:r w:rsidRPr="00753245">
              <w:rPr>
                <w:rFonts w:ascii="Calibri" w:eastAsia="Times New Roman" w:hAnsi="Calibri" w:cs="Times New Roman"/>
                <w:color w:val="000000"/>
                <w:sz w:val="20"/>
              </w:rPr>
              <w:t>1</w:t>
            </w:r>
          </w:p>
        </w:tc>
      </w:tr>
      <w:tr w:rsidR="009F3045" w:rsidRPr="00753245" w14:paraId="1EDCE48C" w14:textId="77777777" w:rsidTr="00973DE0">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auto"/>
            <w:noWrap/>
            <w:vAlign w:val="center"/>
          </w:tcPr>
          <w:p w14:paraId="57B39160" w14:textId="0024F4CE" w:rsidR="009F3045" w:rsidRPr="00753245" w:rsidRDefault="009F3045" w:rsidP="002F659A">
            <w:pPr>
              <w:spacing w:after="0"/>
              <w:jc w:val="left"/>
              <w:rPr>
                <w:rFonts w:ascii="Calibri" w:eastAsia="Times New Roman" w:hAnsi="Calibri" w:cs="Times New Roman"/>
                <w:color w:val="000000"/>
                <w:sz w:val="20"/>
              </w:rPr>
            </w:pPr>
            <w:r w:rsidRPr="00753245">
              <w:rPr>
                <w:rFonts w:ascii="Calibri" w:eastAsia="Times New Roman" w:hAnsi="Calibri" w:cs="Times New Roman"/>
                <w:color w:val="000000"/>
                <w:sz w:val="20"/>
              </w:rPr>
              <w:t>Data as of August 1, 2017</w:t>
            </w:r>
          </w:p>
        </w:tc>
      </w:tr>
    </w:tbl>
    <w:p w14:paraId="122D8A32" w14:textId="77777777" w:rsidR="0090502D" w:rsidRPr="008F1E62" w:rsidRDefault="0090502D" w:rsidP="0090502D">
      <w:pPr>
        <w:spacing w:after="0"/>
      </w:pPr>
    </w:p>
    <w:p w14:paraId="4B7E6B16" w14:textId="77777777" w:rsidR="0090502D" w:rsidRPr="008F1E62" w:rsidRDefault="0090502D" w:rsidP="0090502D">
      <w:pPr>
        <w:spacing w:after="0"/>
      </w:pPr>
    </w:p>
    <w:p w14:paraId="4BDF05BB" w14:textId="77777777" w:rsidR="0090502D" w:rsidRPr="008F1E62" w:rsidRDefault="0090502D" w:rsidP="0090502D">
      <w:pPr>
        <w:spacing w:after="0"/>
      </w:pPr>
    </w:p>
    <w:p w14:paraId="45EBAF80" w14:textId="77777777" w:rsidR="0090502D" w:rsidRPr="008F1E62" w:rsidRDefault="0090502D" w:rsidP="0090502D">
      <w:pPr>
        <w:spacing w:after="0"/>
      </w:pPr>
    </w:p>
    <w:p w14:paraId="7DB88FCC" w14:textId="77777777" w:rsidR="0090502D" w:rsidRPr="008F1E62" w:rsidRDefault="0090502D" w:rsidP="0090502D">
      <w:pPr>
        <w:spacing w:after="0"/>
      </w:pPr>
    </w:p>
    <w:p w14:paraId="2C717E32" w14:textId="5D6A7F48" w:rsidR="0090502D" w:rsidRPr="008F1E62" w:rsidRDefault="0090502D" w:rsidP="0090502D">
      <w:pPr>
        <w:spacing w:after="160" w:line="256" w:lineRule="auto"/>
        <w:jc w:val="left"/>
        <w:rPr>
          <w:rFonts w:ascii="Century Gothic" w:eastAsia="MS Gothic" w:hAnsi="Century Gothic" w:cs="Times New Roman"/>
          <w:b/>
          <w:bCs/>
          <w:color w:val="00AB51"/>
          <w:sz w:val="28"/>
          <w:szCs w:val="28"/>
        </w:rPr>
      </w:pPr>
      <w:r w:rsidRPr="008F1E62">
        <w:rPr>
          <w:rFonts w:eastAsia="MS Gothic"/>
        </w:rPr>
        <w:br w:type="page"/>
      </w:r>
    </w:p>
    <w:p w14:paraId="19030C06" w14:textId="7EB58AD1" w:rsidR="0090502D" w:rsidRDefault="0090502D" w:rsidP="00FF7A94">
      <w:pPr>
        <w:pStyle w:val="Heading2"/>
        <w:numPr>
          <w:ilvl w:val="1"/>
          <w:numId w:val="22"/>
        </w:numPr>
        <w:spacing w:before="500" w:after="0"/>
        <w:ind w:left="547" w:hanging="547"/>
        <w:rPr>
          <w:rFonts w:eastAsia="MS Gothic"/>
        </w:rPr>
      </w:pPr>
      <w:bookmarkStart w:id="107" w:name="_Toc499825616"/>
      <w:r w:rsidRPr="008F1E62">
        <w:rPr>
          <w:rFonts w:eastAsia="MS Gothic"/>
        </w:rPr>
        <w:t>Board of Accountancy – CPAs Accredited as Accounting Teachers</w:t>
      </w:r>
      <w:bookmarkEnd w:id="107"/>
    </w:p>
    <w:p w14:paraId="159B5E40" w14:textId="5F603305" w:rsidR="007D0E03" w:rsidRDefault="007D0E03" w:rsidP="007D0E03"/>
    <w:tbl>
      <w:tblPr>
        <w:tblStyle w:val="TableGrid"/>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7D0E03" w14:paraId="5C670638" w14:textId="77777777" w:rsidTr="00753245">
        <w:tc>
          <w:tcPr>
            <w:tcW w:w="9026" w:type="dxa"/>
            <w:shd w:val="clear" w:color="auto" w:fill="4472C4"/>
            <w:vAlign w:val="center"/>
          </w:tcPr>
          <w:p w14:paraId="5920DA64" w14:textId="51289E24" w:rsidR="007D0E03" w:rsidRPr="006A35C5" w:rsidRDefault="007D0E03" w:rsidP="00656D26">
            <w:pPr>
              <w:pStyle w:val="BodyText4"/>
              <w:spacing w:line="276" w:lineRule="auto"/>
              <w:jc w:val="center"/>
              <w:rPr>
                <w:rFonts w:asciiTheme="minorHAnsi" w:hAnsiTheme="minorHAnsi"/>
                <w:b/>
                <w:sz w:val="20"/>
              </w:rPr>
            </w:pPr>
            <w:proofErr w:type="spellStart"/>
            <w:r w:rsidRPr="006A35C5">
              <w:rPr>
                <w:rFonts w:asciiTheme="minorHAnsi" w:hAnsiTheme="minorHAnsi"/>
                <w:b/>
                <w:color w:val="FFFFFF" w:themeColor="background1"/>
                <w:sz w:val="20"/>
              </w:rPr>
              <w:t>Geomap</w:t>
            </w:r>
            <w:proofErr w:type="spellEnd"/>
            <w:r w:rsidRPr="006A35C5">
              <w:rPr>
                <w:rFonts w:asciiTheme="minorHAnsi" w:hAnsiTheme="minorHAnsi"/>
                <w:b/>
                <w:color w:val="FFFFFF" w:themeColor="background1"/>
                <w:sz w:val="20"/>
              </w:rPr>
              <w:t xml:space="preserve"> E</w:t>
            </w:r>
          </w:p>
        </w:tc>
      </w:tr>
      <w:tr w:rsidR="007D0E03" w14:paraId="2FAFF47B" w14:textId="77777777" w:rsidTr="00753245">
        <w:tc>
          <w:tcPr>
            <w:tcW w:w="9026" w:type="dxa"/>
            <w:vAlign w:val="center"/>
          </w:tcPr>
          <w:p w14:paraId="77666EA7" w14:textId="5EA7004A" w:rsidR="007D0E03" w:rsidRDefault="007D0E03" w:rsidP="00656D26">
            <w:pPr>
              <w:pStyle w:val="BodyText4"/>
              <w:spacing w:before="200" w:line="276" w:lineRule="auto"/>
              <w:jc w:val="center"/>
              <w:rPr>
                <w:rFonts w:asciiTheme="minorHAnsi" w:hAnsiTheme="minorHAnsi"/>
                <w:b/>
              </w:rPr>
            </w:pPr>
            <w:r w:rsidRPr="008F1E62">
              <w:rPr>
                <w:noProof/>
                <w:szCs w:val="24"/>
              </w:rPr>
              <w:drawing>
                <wp:inline distT="0" distB="0" distL="0" distR="0" wp14:anchorId="47C2EF39" wp14:editId="1C603D78">
                  <wp:extent cx="5730240" cy="6767830"/>
                  <wp:effectExtent l="0" t="0" r="3810" b="0"/>
                  <wp:docPr id="43" name="Picture 43" descr="BOA accounting teachers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A accounting teachers final"/>
                          <pic:cNvPicPr>
                            <a:picLocks noChangeAspect="1" noChangeArrowheads="1"/>
                          </pic:cNvPicPr>
                        </pic:nvPicPr>
                        <pic:blipFill rotWithShape="1">
                          <a:blip r:embed="rId41">
                            <a:extLst>
                              <a:ext uri="{28A0092B-C50C-407E-A947-70E740481C1C}">
                                <a14:useLocalDpi xmlns:a14="http://schemas.microsoft.com/office/drawing/2010/main" val="0"/>
                              </a:ext>
                            </a:extLst>
                          </a:blip>
                          <a:srcRect t="3658" b="5697"/>
                          <a:stretch/>
                        </pic:blipFill>
                        <pic:spPr bwMode="auto">
                          <a:xfrm>
                            <a:off x="0" y="0"/>
                            <a:ext cx="5730240" cy="67678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0E03" w14:paraId="7B484714" w14:textId="77777777" w:rsidTr="00753245">
        <w:tc>
          <w:tcPr>
            <w:tcW w:w="9026" w:type="dxa"/>
            <w:shd w:val="clear" w:color="auto" w:fill="4472C4"/>
            <w:vAlign w:val="center"/>
          </w:tcPr>
          <w:p w14:paraId="0C42D73F" w14:textId="77777777" w:rsidR="007D0E03" w:rsidRPr="00FA75F2" w:rsidRDefault="007D0E03" w:rsidP="00656D26">
            <w:pPr>
              <w:pStyle w:val="BodyText4"/>
              <w:spacing w:line="276" w:lineRule="auto"/>
              <w:jc w:val="center"/>
              <w:rPr>
                <w:rFonts w:asciiTheme="minorHAnsi" w:hAnsiTheme="minorHAnsi"/>
                <w:noProof/>
                <w:sz w:val="10"/>
                <w:szCs w:val="10"/>
              </w:rPr>
            </w:pPr>
          </w:p>
        </w:tc>
      </w:tr>
    </w:tbl>
    <w:p w14:paraId="27A229A7" w14:textId="77777777" w:rsidR="0090502D" w:rsidRPr="008F1E62" w:rsidRDefault="0090502D" w:rsidP="0090502D">
      <w:pPr>
        <w:pStyle w:val="Caption"/>
        <w:spacing w:before="2" w:after="2"/>
        <w:jc w:val="center"/>
        <w:rPr>
          <w:sz w:val="24"/>
          <w:szCs w:val="24"/>
          <w:lang w:val="en-US"/>
        </w:rPr>
      </w:pPr>
    </w:p>
    <w:p w14:paraId="665C636D" w14:textId="77777777" w:rsidR="00B9579A" w:rsidRDefault="0090502D" w:rsidP="0090502D">
      <w:pPr>
        <w:spacing w:after="160" w:line="256" w:lineRule="auto"/>
        <w:jc w:val="left"/>
        <w:rPr>
          <w:rFonts w:ascii="Century Gothic" w:eastAsia="MS Gothic" w:hAnsi="Century Gothic" w:cs="Arial"/>
          <w:caps/>
          <w:color w:val="00AB51"/>
          <w:kern w:val="32"/>
          <w:sz w:val="32"/>
          <w:szCs w:val="32"/>
        </w:rPr>
        <w:sectPr w:rsidR="00B9579A" w:rsidSect="00210F2B">
          <w:type w:val="nextColumn"/>
          <w:pgSz w:w="11906" w:h="16838" w:code="9"/>
          <w:pgMar w:top="1440" w:right="1440" w:bottom="1440" w:left="1440" w:header="720" w:footer="720" w:gutter="0"/>
          <w:cols w:space="720"/>
          <w:docGrid w:linePitch="360"/>
        </w:sectPr>
      </w:pPr>
      <w:r w:rsidRPr="008F1E62">
        <w:rPr>
          <w:rFonts w:ascii="Century Gothic" w:eastAsia="MS Gothic" w:hAnsi="Century Gothic" w:cs="Arial"/>
          <w:caps/>
          <w:color w:val="00AB51"/>
          <w:kern w:val="32"/>
          <w:sz w:val="32"/>
          <w:szCs w:val="32"/>
        </w:rPr>
        <w:br w:type="page"/>
      </w:r>
    </w:p>
    <w:p w14:paraId="06DB5D14" w14:textId="4A70151B" w:rsidR="00925E2A" w:rsidRPr="00D3093D" w:rsidRDefault="00925E2A" w:rsidP="00D3093D">
      <w:pPr>
        <w:pStyle w:val="BodyText4"/>
        <w:spacing w:after="200"/>
        <w:jc w:val="center"/>
        <w:rPr>
          <w:rFonts w:asciiTheme="minorHAnsi" w:hAnsiTheme="minorHAnsi"/>
          <w:b/>
          <w:bCs/>
          <w:color w:val="4472C4" w:themeColor="accent1"/>
          <w:sz w:val="24"/>
          <w:szCs w:val="12"/>
        </w:rPr>
      </w:pPr>
      <w:r w:rsidRPr="00D3093D">
        <w:rPr>
          <w:rFonts w:asciiTheme="minorHAnsi" w:hAnsiTheme="minorHAnsi"/>
          <w:b/>
          <w:bCs/>
          <w:color w:val="4472C4" w:themeColor="accent1"/>
          <w:sz w:val="24"/>
          <w:szCs w:val="12"/>
        </w:rPr>
        <w:t>Board of Accountancy – CPAs Accredited as Accounting Teachers</w:t>
      </w:r>
    </w:p>
    <w:tbl>
      <w:tblPr>
        <w:tblStyle w:val="GridTable4-Accent5"/>
        <w:tblW w:w="5215" w:type="pct"/>
        <w:jc w:val="center"/>
        <w:tblCellMar>
          <w:left w:w="0" w:type="dxa"/>
          <w:right w:w="0" w:type="dxa"/>
        </w:tblCellMar>
        <w:tblLook w:val="04A0" w:firstRow="1" w:lastRow="0" w:firstColumn="1" w:lastColumn="0" w:noHBand="0" w:noVBand="1"/>
      </w:tblPr>
      <w:tblGrid>
        <w:gridCol w:w="4590"/>
        <w:gridCol w:w="28"/>
        <w:gridCol w:w="4796"/>
      </w:tblGrid>
      <w:tr w:rsidR="00251A15" w:rsidRPr="005056AE" w14:paraId="2BA57D99" w14:textId="77777777" w:rsidTr="003E3BD2">
        <w:trPr>
          <w:cnfStyle w:val="100000000000" w:firstRow="1" w:lastRow="0" w:firstColumn="0" w:lastColumn="0" w:oddVBand="0" w:evenVBand="0" w:oddHBand="0" w:evenHBand="0" w:firstRowFirstColumn="0" w:firstRowLastColumn="0" w:lastRowFirstColumn="0" w:lastRowLastColumn="0"/>
          <w:trHeight w:val="127"/>
          <w:tblHeader/>
          <w:jc w:val="center"/>
        </w:trPr>
        <w:tc>
          <w:tcPr>
            <w:cnfStyle w:val="001000000000" w:firstRow="0" w:lastRow="0" w:firstColumn="1" w:lastColumn="0" w:oddVBand="0" w:evenVBand="0" w:oddHBand="0" w:evenHBand="0" w:firstRowFirstColumn="0" w:firstRowLastColumn="0" w:lastRowFirstColumn="0" w:lastRowLastColumn="0"/>
            <w:tcW w:w="9414" w:type="dxa"/>
            <w:gridSpan w:val="3"/>
            <w:tcBorders>
              <w:top w:val="nil"/>
              <w:left w:val="nil"/>
              <w:bottom w:val="single" w:sz="4" w:space="0" w:color="FFFFFF" w:themeColor="background1"/>
              <w:right w:val="nil"/>
            </w:tcBorders>
            <w:shd w:val="clear" w:color="auto" w:fill="4472C4"/>
            <w:vAlign w:val="center"/>
          </w:tcPr>
          <w:p w14:paraId="2EEF4136" w14:textId="48914A8F" w:rsidR="00251A15" w:rsidRPr="007E1503" w:rsidRDefault="007E1503" w:rsidP="003B0C4C">
            <w:pPr>
              <w:pStyle w:val="BodyText4"/>
              <w:spacing w:line="276" w:lineRule="auto"/>
              <w:jc w:val="center"/>
              <w:rPr>
                <w:rFonts w:asciiTheme="minorHAnsi" w:hAnsiTheme="minorHAnsi"/>
                <w:b w:val="0"/>
                <w:sz w:val="20"/>
              </w:rPr>
            </w:pPr>
            <w:r w:rsidRPr="007E1503">
              <w:rPr>
                <w:rFonts w:asciiTheme="minorHAnsi" w:hAnsiTheme="minorHAnsi"/>
                <w:sz w:val="20"/>
              </w:rPr>
              <w:t>TABLE E</w:t>
            </w:r>
          </w:p>
        </w:tc>
      </w:tr>
      <w:tr w:rsidR="00251A15" w:rsidRPr="005056AE" w14:paraId="648E23A7" w14:textId="77777777" w:rsidTr="003E3BD2">
        <w:trPr>
          <w:cnfStyle w:val="100000000000" w:firstRow="1" w:lastRow="0" w:firstColumn="0" w:lastColumn="0" w:oddVBand="0" w:evenVBand="0" w:oddHBand="0" w:evenHBand="0" w:firstRowFirstColumn="0" w:firstRowLastColumn="0" w:lastRowFirstColumn="0" w:lastRowLastColumn="0"/>
          <w:trHeight w:val="127"/>
          <w:tblHeader/>
          <w:jc w:val="center"/>
        </w:trPr>
        <w:tc>
          <w:tcPr>
            <w:cnfStyle w:val="001000000000" w:firstRow="0" w:lastRow="0" w:firstColumn="1" w:lastColumn="0" w:oddVBand="0" w:evenVBand="0" w:oddHBand="0" w:evenHBand="0" w:firstRowFirstColumn="0" w:firstRowLastColumn="0" w:lastRowFirstColumn="0" w:lastRowLastColumn="0"/>
            <w:tcW w:w="4590" w:type="dxa"/>
            <w:tcBorders>
              <w:top w:val="single" w:sz="4" w:space="0" w:color="FFFFFF" w:themeColor="background1"/>
              <w:left w:val="nil"/>
              <w:bottom w:val="nil"/>
            </w:tcBorders>
            <w:shd w:val="clear" w:color="auto" w:fill="auto"/>
          </w:tcPr>
          <w:tbl>
            <w:tblPr>
              <w:tblStyle w:val="GridTable4-Accent5"/>
              <w:tblW w:w="4495" w:type="dxa"/>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Look w:val="04A0" w:firstRow="1" w:lastRow="0" w:firstColumn="1" w:lastColumn="0" w:noHBand="0" w:noVBand="1"/>
            </w:tblPr>
            <w:tblGrid>
              <w:gridCol w:w="2335"/>
              <w:gridCol w:w="2160"/>
            </w:tblGrid>
            <w:tr w:rsidR="008F337C" w:rsidRPr="002B355C" w14:paraId="437F5C15" w14:textId="77777777" w:rsidTr="009B1A2F">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2335" w:type="dxa"/>
                  <w:tcBorders>
                    <w:top w:val="nil"/>
                    <w:left w:val="none" w:sz="0" w:space="0" w:color="auto"/>
                    <w:bottom w:val="none" w:sz="0" w:space="0" w:color="auto"/>
                    <w:right w:val="single" w:sz="4" w:space="0" w:color="FFFFFF" w:themeColor="background1"/>
                  </w:tcBorders>
                  <w:shd w:val="clear" w:color="auto" w:fill="4472C4"/>
                  <w:noWrap/>
                  <w:vAlign w:val="center"/>
                  <w:hideMark/>
                </w:tcPr>
                <w:p w14:paraId="2B93D698" w14:textId="77777777" w:rsidR="008F337C" w:rsidRPr="00251A15" w:rsidRDefault="008F337C" w:rsidP="008F337C">
                  <w:pPr>
                    <w:spacing w:after="0" w:line="240" w:lineRule="auto"/>
                    <w:jc w:val="center"/>
                    <w:rPr>
                      <w:rFonts w:eastAsia="Times New Roman" w:cs="Calibri"/>
                      <w:bCs w:val="0"/>
                      <w:sz w:val="16"/>
                      <w:szCs w:val="16"/>
                    </w:rPr>
                  </w:pPr>
                  <w:r w:rsidRPr="00251A15">
                    <w:rPr>
                      <w:rFonts w:eastAsia="MS Gothic"/>
                      <w:caps/>
                      <w:kern w:val="32"/>
                      <w:sz w:val="16"/>
                      <w:szCs w:val="16"/>
                    </w:rPr>
                    <w:br w:type="page"/>
                  </w:r>
                  <w:r w:rsidRPr="00251A15">
                    <w:rPr>
                      <w:rFonts w:eastAsia="Times New Roman" w:cs="Calibri"/>
                      <w:bCs w:val="0"/>
                      <w:sz w:val="16"/>
                      <w:szCs w:val="16"/>
                    </w:rPr>
                    <w:t>Province</w:t>
                  </w:r>
                </w:p>
              </w:tc>
              <w:tc>
                <w:tcPr>
                  <w:tcW w:w="2160" w:type="dxa"/>
                  <w:tcBorders>
                    <w:top w:val="nil"/>
                    <w:left w:val="single" w:sz="4" w:space="0" w:color="FFFFFF" w:themeColor="background1"/>
                    <w:bottom w:val="none" w:sz="0" w:space="0" w:color="auto"/>
                    <w:right w:val="none" w:sz="0" w:space="0" w:color="auto"/>
                  </w:tcBorders>
                  <w:shd w:val="clear" w:color="auto" w:fill="4472C4"/>
                  <w:noWrap/>
                  <w:vAlign w:val="center"/>
                  <w:hideMark/>
                </w:tcPr>
                <w:p w14:paraId="619C47E7" w14:textId="77777777" w:rsidR="008F337C" w:rsidRPr="00251A15" w:rsidRDefault="008F337C" w:rsidP="008F33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r w:rsidRPr="00251A15">
                    <w:rPr>
                      <w:rFonts w:eastAsia="Times New Roman" w:cs="Calibri"/>
                      <w:b w:val="0"/>
                      <w:bCs w:val="0"/>
                      <w:sz w:val="16"/>
                      <w:szCs w:val="16"/>
                    </w:rPr>
                    <w:t>BOA Accredited CPA Teachers</w:t>
                  </w:r>
                </w:p>
              </w:tc>
            </w:tr>
            <w:tr w:rsidR="008F337C" w:rsidRPr="002B355C" w14:paraId="0C78FDEE"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07FC7271"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Abra</w:t>
                  </w:r>
                  <w:proofErr w:type="spellEnd"/>
                </w:p>
              </w:tc>
              <w:tc>
                <w:tcPr>
                  <w:tcW w:w="2160" w:type="dxa"/>
                  <w:shd w:val="clear" w:color="auto" w:fill="auto"/>
                  <w:noWrap/>
                  <w:hideMark/>
                </w:tcPr>
                <w:p w14:paraId="7ABF003C"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w:t>
                  </w:r>
                </w:p>
              </w:tc>
            </w:tr>
            <w:tr w:rsidR="008F337C" w:rsidRPr="002B355C" w14:paraId="4E3AB52E"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8B237F4"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Agusan</w:t>
                  </w:r>
                  <w:proofErr w:type="spellEnd"/>
                  <w:r w:rsidRPr="002B355C">
                    <w:rPr>
                      <w:rFonts w:eastAsia="Times New Roman" w:cs="Calibri"/>
                      <w:color w:val="000000"/>
                      <w:sz w:val="16"/>
                      <w:szCs w:val="16"/>
                    </w:rPr>
                    <w:t xml:space="preserve"> Del Norte</w:t>
                  </w:r>
                </w:p>
              </w:tc>
              <w:tc>
                <w:tcPr>
                  <w:tcW w:w="2160" w:type="dxa"/>
                  <w:shd w:val="clear" w:color="auto" w:fill="auto"/>
                  <w:noWrap/>
                  <w:hideMark/>
                </w:tcPr>
                <w:p w14:paraId="081950BA"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w:t>
                  </w:r>
                </w:p>
              </w:tc>
            </w:tr>
            <w:tr w:rsidR="008F337C" w:rsidRPr="002B355C" w14:paraId="3DBB9BE8"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3D4575BC"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Agusan</w:t>
                  </w:r>
                  <w:proofErr w:type="spellEnd"/>
                  <w:r w:rsidRPr="002B355C">
                    <w:rPr>
                      <w:rFonts w:eastAsia="Times New Roman" w:cs="Calibri"/>
                      <w:color w:val="000000"/>
                      <w:sz w:val="16"/>
                      <w:szCs w:val="16"/>
                    </w:rPr>
                    <w:t xml:space="preserve"> Del Sur</w:t>
                  </w:r>
                </w:p>
              </w:tc>
              <w:tc>
                <w:tcPr>
                  <w:tcW w:w="2160" w:type="dxa"/>
                  <w:shd w:val="clear" w:color="auto" w:fill="auto"/>
                  <w:noWrap/>
                  <w:hideMark/>
                </w:tcPr>
                <w:p w14:paraId="2CC286D6"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2E059CD"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6158D6CA"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Aklan</w:t>
                  </w:r>
                </w:p>
              </w:tc>
              <w:tc>
                <w:tcPr>
                  <w:tcW w:w="2160" w:type="dxa"/>
                  <w:shd w:val="clear" w:color="auto" w:fill="auto"/>
                  <w:noWrap/>
                  <w:hideMark/>
                </w:tcPr>
                <w:p w14:paraId="2834F679"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7</w:t>
                  </w:r>
                </w:p>
              </w:tc>
            </w:tr>
            <w:tr w:rsidR="008F337C" w:rsidRPr="002B355C" w14:paraId="0DDA5C97"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43E1B8C8"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Albay</w:t>
                  </w:r>
                </w:p>
              </w:tc>
              <w:tc>
                <w:tcPr>
                  <w:tcW w:w="2160" w:type="dxa"/>
                  <w:shd w:val="clear" w:color="auto" w:fill="auto"/>
                  <w:noWrap/>
                  <w:hideMark/>
                </w:tcPr>
                <w:p w14:paraId="457AAA0C"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10</w:t>
                  </w:r>
                </w:p>
              </w:tc>
            </w:tr>
            <w:tr w:rsidR="008F337C" w:rsidRPr="002B355C" w14:paraId="03AD8D2C"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0D1EB240"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Antique</w:t>
                  </w:r>
                </w:p>
              </w:tc>
              <w:tc>
                <w:tcPr>
                  <w:tcW w:w="2160" w:type="dxa"/>
                  <w:shd w:val="clear" w:color="auto" w:fill="auto"/>
                  <w:noWrap/>
                  <w:hideMark/>
                </w:tcPr>
                <w:p w14:paraId="6DA8E6DD"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w:t>
                  </w:r>
                </w:p>
              </w:tc>
            </w:tr>
            <w:tr w:rsidR="008F337C" w:rsidRPr="002B355C" w14:paraId="2A05B72D"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340D7F37"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Apayao</w:t>
                  </w:r>
                  <w:proofErr w:type="spellEnd"/>
                </w:p>
              </w:tc>
              <w:tc>
                <w:tcPr>
                  <w:tcW w:w="2160" w:type="dxa"/>
                  <w:shd w:val="clear" w:color="auto" w:fill="auto"/>
                  <w:noWrap/>
                  <w:hideMark/>
                </w:tcPr>
                <w:p w14:paraId="04D63D99"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2D63F2CC"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385113B6"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Aurora</w:t>
                  </w:r>
                </w:p>
              </w:tc>
              <w:tc>
                <w:tcPr>
                  <w:tcW w:w="2160" w:type="dxa"/>
                  <w:shd w:val="clear" w:color="auto" w:fill="auto"/>
                  <w:noWrap/>
                  <w:hideMark/>
                </w:tcPr>
                <w:p w14:paraId="196E0935"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3FEDCCF0"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6E664CF4"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Basilan</w:t>
                  </w:r>
                </w:p>
              </w:tc>
              <w:tc>
                <w:tcPr>
                  <w:tcW w:w="2160" w:type="dxa"/>
                  <w:shd w:val="clear" w:color="auto" w:fill="auto"/>
                  <w:noWrap/>
                  <w:hideMark/>
                </w:tcPr>
                <w:p w14:paraId="65A32C77"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6E0B3E9A"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20DBE8C2"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Bataan</w:t>
                  </w:r>
                </w:p>
              </w:tc>
              <w:tc>
                <w:tcPr>
                  <w:tcW w:w="2160" w:type="dxa"/>
                  <w:shd w:val="clear" w:color="auto" w:fill="auto"/>
                  <w:noWrap/>
                  <w:hideMark/>
                </w:tcPr>
                <w:p w14:paraId="2F7D1E96"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7</w:t>
                  </w:r>
                </w:p>
              </w:tc>
            </w:tr>
            <w:tr w:rsidR="008F337C" w:rsidRPr="002B355C" w14:paraId="0E0782B1"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406D792E"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Batanes</w:t>
                  </w:r>
                </w:p>
              </w:tc>
              <w:tc>
                <w:tcPr>
                  <w:tcW w:w="2160" w:type="dxa"/>
                  <w:shd w:val="clear" w:color="auto" w:fill="auto"/>
                  <w:noWrap/>
                  <w:hideMark/>
                </w:tcPr>
                <w:p w14:paraId="42CEAE74"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02B96AB9"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512D7F04"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Batangas</w:t>
                  </w:r>
                  <w:proofErr w:type="spellEnd"/>
                </w:p>
              </w:tc>
              <w:tc>
                <w:tcPr>
                  <w:tcW w:w="2160" w:type="dxa"/>
                  <w:shd w:val="clear" w:color="auto" w:fill="auto"/>
                  <w:noWrap/>
                  <w:hideMark/>
                </w:tcPr>
                <w:p w14:paraId="596E9791"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21</w:t>
                  </w:r>
                </w:p>
              </w:tc>
            </w:tr>
            <w:tr w:rsidR="008F337C" w:rsidRPr="002B355C" w14:paraId="09A39335"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E3FF4E7"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Benguet</w:t>
                  </w:r>
                </w:p>
              </w:tc>
              <w:tc>
                <w:tcPr>
                  <w:tcW w:w="2160" w:type="dxa"/>
                  <w:shd w:val="clear" w:color="auto" w:fill="auto"/>
                  <w:noWrap/>
                  <w:hideMark/>
                </w:tcPr>
                <w:p w14:paraId="16A31684"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25</w:t>
                  </w:r>
                </w:p>
              </w:tc>
            </w:tr>
            <w:tr w:rsidR="008F337C" w:rsidRPr="002B355C" w14:paraId="6972507F"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63531625"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Biliran</w:t>
                  </w:r>
                  <w:proofErr w:type="spellEnd"/>
                </w:p>
              </w:tc>
              <w:tc>
                <w:tcPr>
                  <w:tcW w:w="2160" w:type="dxa"/>
                  <w:shd w:val="clear" w:color="auto" w:fill="auto"/>
                  <w:noWrap/>
                  <w:hideMark/>
                </w:tcPr>
                <w:p w14:paraId="058564A2"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17B7920"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61871A6F"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Bohol</w:t>
                  </w:r>
                </w:p>
              </w:tc>
              <w:tc>
                <w:tcPr>
                  <w:tcW w:w="2160" w:type="dxa"/>
                  <w:shd w:val="clear" w:color="auto" w:fill="auto"/>
                  <w:noWrap/>
                  <w:hideMark/>
                </w:tcPr>
                <w:p w14:paraId="170E0FA9"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6A9EB2ED"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48E272FA"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Bukidnon</w:t>
                  </w:r>
                </w:p>
              </w:tc>
              <w:tc>
                <w:tcPr>
                  <w:tcW w:w="2160" w:type="dxa"/>
                  <w:shd w:val="clear" w:color="auto" w:fill="auto"/>
                  <w:noWrap/>
                  <w:hideMark/>
                </w:tcPr>
                <w:p w14:paraId="3261BD0F"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11</w:t>
                  </w:r>
                </w:p>
              </w:tc>
            </w:tr>
            <w:tr w:rsidR="008F337C" w:rsidRPr="002B355C" w14:paraId="69F29D7A"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65431D11"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Bulacan</w:t>
                  </w:r>
                  <w:proofErr w:type="spellEnd"/>
                </w:p>
              </w:tc>
              <w:tc>
                <w:tcPr>
                  <w:tcW w:w="2160" w:type="dxa"/>
                  <w:shd w:val="clear" w:color="auto" w:fill="auto"/>
                  <w:noWrap/>
                  <w:hideMark/>
                </w:tcPr>
                <w:p w14:paraId="5ABEEF63"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29</w:t>
                  </w:r>
                </w:p>
              </w:tc>
            </w:tr>
            <w:tr w:rsidR="008F337C" w:rsidRPr="002B355C" w14:paraId="6C0441CE"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B903C78"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Cagayan</w:t>
                  </w:r>
                </w:p>
              </w:tc>
              <w:tc>
                <w:tcPr>
                  <w:tcW w:w="2160" w:type="dxa"/>
                  <w:shd w:val="clear" w:color="auto" w:fill="auto"/>
                  <w:noWrap/>
                  <w:hideMark/>
                </w:tcPr>
                <w:p w14:paraId="076C97B2"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9</w:t>
                  </w:r>
                </w:p>
              </w:tc>
            </w:tr>
            <w:tr w:rsidR="008F337C" w:rsidRPr="002B355C" w14:paraId="54AD454B"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7A5D7A3D"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Camarines</w:t>
                  </w:r>
                  <w:proofErr w:type="spellEnd"/>
                  <w:r w:rsidRPr="002B355C">
                    <w:rPr>
                      <w:rFonts w:eastAsia="Times New Roman" w:cs="Calibri"/>
                      <w:color w:val="000000"/>
                      <w:sz w:val="16"/>
                      <w:szCs w:val="16"/>
                    </w:rPr>
                    <w:t xml:space="preserve"> Norte</w:t>
                  </w:r>
                </w:p>
              </w:tc>
              <w:tc>
                <w:tcPr>
                  <w:tcW w:w="2160" w:type="dxa"/>
                  <w:shd w:val="clear" w:color="auto" w:fill="auto"/>
                  <w:noWrap/>
                  <w:hideMark/>
                </w:tcPr>
                <w:p w14:paraId="6F27607B"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w:t>
                  </w:r>
                </w:p>
              </w:tc>
            </w:tr>
            <w:tr w:rsidR="008F337C" w:rsidRPr="002B355C" w14:paraId="54686DF8"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6483CC5"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Camarines</w:t>
                  </w:r>
                  <w:proofErr w:type="spellEnd"/>
                  <w:r w:rsidRPr="002B355C">
                    <w:rPr>
                      <w:rFonts w:eastAsia="Times New Roman" w:cs="Calibri"/>
                      <w:color w:val="000000"/>
                      <w:sz w:val="16"/>
                      <w:szCs w:val="16"/>
                    </w:rPr>
                    <w:t xml:space="preserve"> Sur</w:t>
                  </w:r>
                </w:p>
              </w:tc>
              <w:tc>
                <w:tcPr>
                  <w:tcW w:w="2160" w:type="dxa"/>
                  <w:shd w:val="clear" w:color="auto" w:fill="auto"/>
                  <w:noWrap/>
                  <w:hideMark/>
                </w:tcPr>
                <w:p w14:paraId="6C5001F8"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21</w:t>
                  </w:r>
                </w:p>
              </w:tc>
            </w:tr>
            <w:tr w:rsidR="008F337C" w:rsidRPr="002B355C" w14:paraId="4D13C571"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454FAC11"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Camiguin</w:t>
                  </w:r>
                  <w:proofErr w:type="spellEnd"/>
                </w:p>
              </w:tc>
              <w:tc>
                <w:tcPr>
                  <w:tcW w:w="2160" w:type="dxa"/>
                  <w:shd w:val="clear" w:color="auto" w:fill="auto"/>
                  <w:noWrap/>
                  <w:hideMark/>
                </w:tcPr>
                <w:p w14:paraId="1C88F460"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79728D5D"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0A8A4D3B"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Capiz</w:t>
                  </w:r>
                  <w:proofErr w:type="spellEnd"/>
                </w:p>
              </w:tc>
              <w:tc>
                <w:tcPr>
                  <w:tcW w:w="2160" w:type="dxa"/>
                  <w:shd w:val="clear" w:color="auto" w:fill="auto"/>
                  <w:noWrap/>
                  <w:hideMark/>
                </w:tcPr>
                <w:p w14:paraId="76C1875A"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16</w:t>
                  </w:r>
                </w:p>
              </w:tc>
            </w:tr>
            <w:tr w:rsidR="008F337C" w:rsidRPr="002B355C" w14:paraId="6AED51C3"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3AA62AC9"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Catanduanes</w:t>
                  </w:r>
                  <w:proofErr w:type="spellEnd"/>
                </w:p>
              </w:tc>
              <w:tc>
                <w:tcPr>
                  <w:tcW w:w="2160" w:type="dxa"/>
                  <w:shd w:val="clear" w:color="auto" w:fill="auto"/>
                  <w:noWrap/>
                  <w:hideMark/>
                </w:tcPr>
                <w:p w14:paraId="13C4408E"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10</w:t>
                  </w:r>
                </w:p>
              </w:tc>
            </w:tr>
            <w:tr w:rsidR="008F337C" w:rsidRPr="002B355C" w14:paraId="1879B039"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2D669F4D"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Cavite</w:t>
                  </w:r>
                </w:p>
              </w:tc>
              <w:tc>
                <w:tcPr>
                  <w:tcW w:w="2160" w:type="dxa"/>
                  <w:shd w:val="clear" w:color="auto" w:fill="auto"/>
                  <w:noWrap/>
                  <w:hideMark/>
                </w:tcPr>
                <w:p w14:paraId="54FA1162"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63</w:t>
                  </w:r>
                </w:p>
              </w:tc>
            </w:tr>
            <w:tr w:rsidR="008F337C" w:rsidRPr="002B355C" w14:paraId="007B12FB"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0F6A4976"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Cebu</w:t>
                  </w:r>
                </w:p>
              </w:tc>
              <w:tc>
                <w:tcPr>
                  <w:tcW w:w="2160" w:type="dxa"/>
                  <w:shd w:val="clear" w:color="auto" w:fill="auto"/>
                  <w:noWrap/>
                  <w:hideMark/>
                </w:tcPr>
                <w:p w14:paraId="7B90E3AB"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42</w:t>
                  </w:r>
                </w:p>
              </w:tc>
            </w:tr>
            <w:tr w:rsidR="008F337C" w:rsidRPr="002B355C" w14:paraId="4F32D1DA"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0C93E467"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Compostela</w:t>
                  </w:r>
                  <w:proofErr w:type="spellEnd"/>
                  <w:r w:rsidRPr="002B355C">
                    <w:rPr>
                      <w:rFonts w:eastAsia="Times New Roman" w:cs="Calibri"/>
                      <w:color w:val="000000"/>
                      <w:sz w:val="16"/>
                      <w:szCs w:val="16"/>
                    </w:rPr>
                    <w:t xml:space="preserve"> Valley</w:t>
                  </w:r>
                </w:p>
              </w:tc>
              <w:tc>
                <w:tcPr>
                  <w:tcW w:w="2160" w:type="dxa"/>
                  <w:shd w:val="clear" w:color="auto" w:fill="auto"/>
                  <w:noWrap/>
                  <w:hideMark/>
                </w:tcPr>
                <w:p w14:paraId="20AE0642"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CDE20A4"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6BA97F68"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Davao Del Norte</w:t>
                  </w:r>
                </w:p>
              </w:tc>
              <w:tc>
                <w:tcPr>
                  <w:tcW w:w="2160" w:type="dxa"/>
                  <w:shd w:val="clear" w:color="auto" w:fill="auto"/>
                  <w:noWrap/>
                  <w:hideMark/>
                </w:tcPr>
                <w:p w14:paraId="6089ADD1"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w:t>
                  </w:r>
                </w:p>
              </w:tc>
            </w:tr>
            <w:tr w:rsidR="008F337C" w:rsidRPr="002B355C" w14:paraId="42ACFEDC"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096F4C5"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Davao Del Sur</w:t>
                  </w:r>
                </w:p>
              </w:tc>
              <w:tc>
                <w:tcPr>
                  <w:tcW w:w="2160" w:type="dxa"/>
                  <w:shd w:val="clear" w:color="auto" w:fill="auto"/>
                  <w:noWrap/>
                  <w:hideMark/>
                </w:tcPr>
                <w:p w14:paraId="0A38DE18"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27</w:t>
                  </w:r>
                </w:p>
              </w:tc>
            </w:tr>
            <w:tr w:rsidR="008F337C" w:rsidRPr="002B355C" w14:paraId="655BF8D8"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01BA03FC"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Davao Oriental</w:t>
                  </w:r>
                </w:p>
              </w:tc>
              <w:tc>
                <w:tcPr>
                  <w:tcW w:w="2160" w:type="dxa"/>
                  <w:shd w:val="clear" w:color="auto" w:fill="auto"/>
                  <w:noWrap/>
                  <w:hideMark/>
                </w:tcPr>
                <w:p w14:paraId="583787A7"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5E9D25AA"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4666BE2"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Eastern Samar</w:t>
                  </w:r>
                </w:p>
              </w:tc>
              <w:tc>
                <w:tcPr>
                  <w:tcW w:w="2160" w:type="dxa"/>
                  <w:shd w:val="clear" w:color="auto" w:fill="auto"/>
                  <w:noWrap/>
                  <w:hideMark/>
                </w:tcPr>
                <w:p w14:paraId="384588C8"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AC07FB7"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4DBACFC3"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Guimaras</w:t>
                  </w:r>
                  <w:proofErr w:type="spellEnd"/>
                </w:p>
              </w:tc>
              <w:tc>
                <w:tcPr>
                  <w:tcW w:w="2160" w:type="dxa"/>
                  <w:shd w:val="clear" w:color="auto" w:fill="auto"/>
                  <w:noWrap/>
                  <w:hideMark/>
                </w:tcPr>
                <w:p w14:paraId="12C13FFD"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82743B6"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65F048CC"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Ifugao</w:t>
                  </w:r>
                </w:p>
              </w:tc>
              <w:tc>
                <w:tcPr>
                  <w:tcW w:w="2160" w:type="dxa"/>
                  <w:shd w:val="clear" w:color="auto" w:fill="auto"/>
                  <w:noWrap/>
                  <w:hideMark/>
                </w:tcPr>
                <w:p w14:paraId="4E25B896"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74A44085"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355D6234"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Ilocos</w:t>
                  </w:r>
                  <w:proofErr w:type="spellEnd"/>
                  <w:r w:rsidRPr="002B355C">
                    <w:rPr>
                      <w:rFonts w:eastAsia="Times New Roman" w:cs="Calibri"/>
                      <w:color w:val="000000"/>
                      <w:sz w:val="16"/>
                      <w:szCs w:val="16"/>
                    </w:rPr>
                    <w:t xml:space="preserve"> Norte</w:t>
                  </w:r>
                </w:p>
              </w:tc>
              <w:tc>
                <w:tcPr>
                  <w:tcW w:w="2160" w:type="dxa"/>
                  <w:shd w:val="clear" w:color="auto" w:fill="auto"/>
                  <w:noWrap/>
                  <w:hideMark/>
                </w:tcPr>
                <w:p w14:paraId="5A8D2A7F"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5</w:t>
                  </w:r>
                </w:p>
              </w:tc>
            </w:tr>
            <w:tr w:rsidR="008F337C" w:rsidRPr="002B355C" w14:paraId="21217C9C"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5C4C2E38"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Ilocos</w:t>
                  </w:r>
                  <w:proofErr w:type="spellEnd"/>
                  <w:r w:rsidRPr="002B355C">
                    <w:rPr>
                      <w:rFonts w:eastAsia="Times New Roman" w:cs="Calibri"/>
                      <w:color w:val="000000"/>
                      <w:sz w:val="16"/>
                      <w:szCs w:val="16"/>
                    </w:rPr>
                    <w:t xml:space="preserve"> Sur</w:t>
                  </w:r>
                </w:p>
              </w:tc>
              <w:tc>
                <w:tcPr>
                  <w:tcW w:w="2160" w:type="dxa"/>
                  <w:shd w:val="clear" w:color="auto" w:fill="auto"/>
                  <w:noWrap/>
                  <w:hideMark/>
                </w:tcPr>
                <w:p w14:paraId="7195F694"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w:t>
                  </w:r>
                </w:p>
              </w:tc>
            </w:tr>
            <w:tr w:rsidR="008F337C" w:rsidRPr="002B355C" w14:paraId="670751A8"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CB6356E"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Iloilo</w:t>
                  </w:r>
                </w:p>
              </w:tc>
              <w:tc>
                <w:tcPr>
                  <w:tcW w:w="2160" w:type="dxa"/>
                  <w:shd w:val="clear" w:color="auto" w:fill="auto"/>
                  <w:noWrap/>
                  <w:hideMark/>
                </w:tcPr>
                <w:p w14:paraId="152C7EC0"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45</w:t>
                  </w:r>
                </w:p>
              </w:tc>
            </w:tr>
            <w:tr w:rsidR="008F337C" w:rsidRPr="002B355C" w14:paraId="02D9D99E"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ED485EE"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Isabela</w:t>
                  </w:r>
                </w:p>
              </w:tc>
              <w:tc>
                <w:tcPr>
                  <w:tcW w:w="2160" w:type="dxa"/>
                  <w:shd w:val="clear" w:color="auto" w:fill="auto"/>
                  <w:noWrap/>
                  <w:hideMark/>
                </w:tcPr>
                <w:p w14:paraId="5A22C484"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19</w:t>
                  </w:r>
                </w:p>
              </w:tc>
            </w:tr>
            <w:tr w:rsidR="008F337C" w:rsidRPr="002B355C" w14:paraId="75FA11FB"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7A7E37D2"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Kalinga</w:t>
                  </w:r>
                </w:p>
              </w:tc>
              <w:tc>
                <w:tcPr>
                  <w:tcW w:w="2160" w:type="dxa"/>
                  <w:shd w:val="clear" w:color="auto" w:fill="auto"/>
                  <w:noWrap/>
                  <w:hideMark/>
                </w:tcPr>
                <w:p w14:paraId="573060B0"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w:t>
                  </w:r>
                </w:p>
              </w:tc>
            </w:tr>
            <w:tr w:rsidR="008F337C" w:rsidRPr="002B355C" w14:paraId="443D5F24"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590C66B"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La Union</w:t>
                  </w:r>
                </w:p>
              </w:tc>
              <w:tc>
                <w:tcPr>
                  <w:tcW w:w="2160" w:type="dxa"/>
                  <w:shd w:val="clear" w:color="auto" w:fill="auto"/>
                  <w:noWrap/>
                  <w:hideMark/>
                </w:tcPr>
                <w:p w14:paraId="6E18B0A3"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6</w:t>
                  </w:r>
                </w:p>
              </w:tc>
            </w:tr>
            <w:tr w:rsidR="008F337C" w:rsidRPr="002B355C" w14:paraId="47F4AF23" w14:textId="77777777" w:rsidTr="009B1A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0177C0B9"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Laguna</w:t>
                  </w:r>
                </w:p>
              </w:tc>
              <w:tc>
                <w:tcPr>
                  <w:tcW w:w="2160" w:type="dxa"/>
                  <w:shd w:val="clear" w:color="auto" w:fill="auto"/>
                  <w:noWrap/>
                  <w:hideMark/>
                </w:tcPr>
                <w:p w14:paraId="6A29281C"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42</w:t>
                  </w:r>
                </w:p>
              </w:tc>
            </w:tr>
            <w:tr w:rsidR="008F337C" w:rsidRPr="002B355C" w14:paraId="060E2A56" w14:textId="77777777" w:rsidTr="009B1A2F">
              <w:trPr>
                <w:trHeight w:val="20"/>
              </w:trPr>
              <w:tc>
                <w:tcPr>
                  <w:cnfStyle w:val="001000000000" w:firstRow="0" w:lastRow="0" w:firstColumn="1" w:lastColumn="0" w:oddVBand="0" w:evenVBand="0" w:oddHBand="0" w:evenHBand="0" w:firstRowFirstColumn="0" w:firstRowLastColumn="0" w:lastRowFirstColumn="0" w:lastRowLastColumn="0"/>
                  <w:tcW w:w="2335" w:type="dxa"/>
                  <w:shd w:val="clear" w:color="auto" w:fill="auto"/>
                  <w:noWrap/>
                  <w:hideMark/>
                </w:tcPr>
                <w:p w14:paraId="10EFA56A"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Lanao Del Norte</w:t>
                  </w:r>
                </w:p>
              </w:tc>
              <w:tc>
                <w:tcPr>
                  <w:tcW w:w="2160" w:type="dxa"/>
                  <w:shd w:val="clear" w:color="auto" w:fill="auto"/>
                  <w:noWrap/>
                  <w:hideMark/>
                </w:tcPr>
                <w:p w14:paraId="54A982DD"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9</w:t>
                  </w:r>
                </w:p>
              </w:tc>
            </w:tr>
          </w:tbl>
          <w:p w14:paraId="64701BD4" w14:textId="77777777" w:rsidR="00251A15" w:rsidRPr="005056AE" w:rsidRDefault="00251A15" w:rsidP="003E72E8">
            <w:pPr>
              <w:pStyle w:val="BodyText4"/>
              <w:spacing w:line="276" w:lineRule="auto"/>
              <w:jc w:val="center"/>
              <w:rPr>
                <w:rFonts w:asciiTheme="minorHAnsi" w:hAnsiTheme="minorHAnsi"/>
                <w:b w:val="0"/>
                <w:bCs w:val="0"/>
                <w:sz w:val="16"/>
                <w:szCs w:val="16"/>
              </w:rPr>
            </w:pPr>
          </w:p>
        </w:tc>
        <w:tc>
          <w:tcPr>
            <w:tcW w:w="28" w:type="dxa"/>
            <w:tcBorders>
              <w:top w:val="single" w:sz="4" w:space="0" w:color="FFFFFF" w:themeColor="background1"/>
              <w:bottom w:val="nil"/>
            </w:tcBorders>
            <w:shd w:val="clear" w:color="auto" w:fill="auto"/>
          </w:tcPr>
          <w:p w14:paraId="3BE87CC4" w14:textId="77777777" w:rsidR="00251A15" w:rsidRPr="005056AE" w:rsidRDefault="00251A15" w:rsidP="00251A15">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6"/>
                <w:szCs w:val="16"/>
              </w:rPr>
            </w:pPr>
          </w:p>
        </w:tc>
        <w:tc>
          <w:tcPr>
            <w:tcW w:w="4796" w:type="dxa"/>
            <w:tcBorders>
              <w:top w:val="single" w:sz="4" w:space="0" w:color="FFFFFF" w:themeColor="background1"/>
              <w:bottom w:val="nil"/>
              <w:right w:val="nil"/>
            </w:tcBorders>
            <w:shd w:val="clear" w:color="auto" w:fill="auto"/>
          </w:tcPr>
          <w:tbl>
            <w:tblPr>
              <w:tblStyle w:val="GridTable4-Accent5"/>
              <w:tblW w:w="0" w:type="auto"/>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Look w:val="04A0" w:firstRow="1" w:lastRow="0" w:firstColumn="1" w:lastColumn="0" w:noHBand="0" w:noVBand="1"/>
            </w:tblPr>
            <w:tblGrid>
              <w:gridCol w:w="2306"/>
              <w:gridCol w:w="2430"/>
            </w:tblGrid>
            <w:tr w:rsidR="008F337C" w:rsidRPr="00251A15" w14:paraId="19564B66" w14:textId="77777777" w:rsidTr="002707B7">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2306" w:type="dxa"/>
                  <w:tcBorders>
                    <w:top w:val="nil"/>
                    <w:right w:val="single" w:sz="4" w:space="0" w:color="FFFFFF" w:themeColor="background1"/>
                  </w:tcBorders>
                  <w:shd w:val="clear" w:color="auto" w:fill="4472C4"/>
                  <w:noWrap/>
                  <w:vAlign w:val="center"/>
                  <w:hideMark/>
                </w:tcPr>
                <w:p w14:paraId="60BE18B4" w14:textId="77777777" w:rsidR="008F337C" w:rsidRPr="00251A15" w:rsidRDefault="008F337C" w:rsidP="008F337C">
                  <w:pPr>
                    <w:spacing w:after="0" w:line="240" w:lineRule="auto"/>
                    <w:jc w:val="center"/>
                    <w:rPr>
                      <w:rFonts w:eastAsia="Times New Roman" w:cs="Calibri"/>
                      <w:bCs w:val="0"/>
                      <w:sz w:val="16"/>
                      <w:szCs w:val="16"/>
                    </w:rPr>
                  </w:pPr>
                  <w:r w:rsidRPr="00251A15">
                    <w:rPr>
                      <w:rFonts w:eastAsia="MS Gothic"/>
                      <w:caps/>
                      <w:kern w:val="32"/>
                      <w:sz w:val="16"/>
                      <w:szCs w:val="16"/>
                    </w:rPr>
                    <w:br w:type="page"/>
                  </w:r>
                  <w:r w:rsidRPr="00251A15">
                    <w:rPr>
                      <w:rFonts w:eastAsia="Times New Roman" w:cs="Calibri"/>
                      <w:bCs w:val="0"/>
                      <w:sz w:val="16"/>
                      <w:szCs w:val="16"/>
                    </w:rPr>
                    <w:t>Province</w:t>
                  </w:r>
                </w:p>
              </w:tc>
              <w:tc>
                <w:tcPr>
                  <w:tcW w:w="2430" w:type="dxa"/>
                  <w:tcBorders>
                    <w:top w:val="nil"/>
                    <w:left w:val="single" w:sz="4" w:space="0" w:color="FFFFFF" w:themeColor="background1"/>
                  </w:tcBorders>
                  <w:shd w:val="clear" w:color="auto" w:fill="4472C4"/>
                  <w:noWrap/>
                  <w:vAlign w:val="center"/>
                  <w:hideMark/>
                </w:tcPr>
                <w:p w14:paraId="77C69BDC" w14:textId="77777777" w:rsidR="008F337C" w:rsidRPr="00251A15" w:rsidRDefault="008F337C" w:rsidP="008F337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sz w:val="16"/>
                      <w:szCs w:val="16"/>
                    </w:rPr>
                  </w:pPr>
                  <w:r w:rsidRPr="00251A15">
                    <w:rPr>
                      <w:rFonts w:eastAsia="Times New Roman" w:cs="Calibri"/>
                      <w:b w:val="0"/>
                      <w:bCs w:val="0"/>
                      <w:sz w:val="16"/>
                      <w:szCs w:val="16"/>
                    </w:rPr>
                    <w:t>BOA Accredited CPA Teachers</w:t>
                  </w:r>
                </w:p>
              </w:tc>
            </w:tr>
            <w:tr w:rsidR="008F337C" w:rsidRPr="002B355C" w14:paraId="17CB7AC9"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1E9740ED"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Lanao Del Sur</w:t>
                  </w:r>
                </w:p>
              </w:tc>
              <w:tc>
                <w:tcPr>
                  <w:tcW w:w="2430" w:type="dxa"/>
                  <w:shd w:val="clear" w:color="auto" w:fill="auto"/>
                  <w:noWrap/>
                  <w:hideMark/>
                </w:tcPr>
                <w:p w14:paraId="2BA298C5"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A48C341"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43233DA"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Leyte</w:t>
                  </w:r>
                </w:p>
              </w:tc>
              <w:tc>
                <w:tcPr>
                  <w:tcW w:w="2430" w:type="dxa"/>
                  <w:shd w:val="clear" w:color="auto" w:fill="auto"/>
                  <w:noWrap/>
                  <w:hideMark/>
                </w:tcPr>
                <w:p w14:paraId="44FC334C"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25</w:t>
                  </w:r>
                </w:p>
              </w:tc>
            </w:tr>
            <w:tr w:rsidR="008F337C" w:rsidRPr="002B355C" w14:paraId="4D16E6AD"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4774384"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Maguindanao</w:t>
                  </w:r>
                </w:p>
              </w:tc>
              <w:tc>
                <w:tcPr>
                  <w:tcW w:w="2430" w:type="dxa"/>
                  <w:shd w:val="clear" w:color="auto" w:fill="auto"/>
                  <w:noWrap/>
                  <w:hideMark/>
                </w:tcPr>
                <w:p w14:paraId="1E6613EB"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624AF535"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029C5F8E"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Marinduque</w:t>
                  </w:r>
                  <w:proofErr w:type="spellEnd"/>
                </w:p>
              </w:tc>
              <w:tc>
                <w:tcPr>
                  <w:tcW w:w="2430" w:type="dxa"/>
                  <w:shd w:val="clear" w:color="auto" w:fill="auto"/>
                  <w:noWrap/>
                  <w:hideMark/>
                </w:tcPr>
                <w:p w14:paraId="440A82DB"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6447DE3"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0ADE770"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Masbate</w:t>
                  </w:r>
                </w:p>
              </w:tc>
              <w:tc>
                <w:tcPr>
                  <w:tcW w:w="2430" w:type="dxa"/>
                  <w:shd w:val="clear" w:color="auto" w:fill="auto"/>
                  <w:noWrap/>
                  <w:hideMark/>
                </w:tcPr>
                <w:p w14:paraId="5A94B72F"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5D8D3C47"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5C9E31F3"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Metropolitan Manila</w:t>
                  </w:r>
                </w:p>
              </w:tc>
              <w:tc>
                <w:tcPr>
                  <w:tcW w:w="2430" w:type="dxa"/>
                  <w:shd w:val="clear" w:color="auto" w:fill="auto"/>
                  <w:noWrap/>
                  <w:hideMark/>
                </w:tcPr>
                <w:p w14:paraId="3BEF11DE"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303</w:t>
                  </w:r>
                </w:p>
              </w:tc>
            </w:tr>
            <w:tr w:rsidR="008F337C" w:rsidRPr="002B355C" w14:paraId="036CC3E2"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0E4E4657"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Misamis</w:t>
                  </w:r>
                  <w:proofErr w:type="spellEnd"/>
                  <w:r w:rsidRPr="002B355C">
                    <w:rPr>
                      <w:rFonts w:eastAsia="Times New Roman" w:cs="Calibri"/>
                      <w:color w:val="000000"/>
                      <w:sz w:val="16"/>
                      <w:szCs w:val="16"/>
                    </w:rPr>
                    <w:t xml:space="preserve"> Occidental</w:t>
                  </w:r>
                </w:p>
              </w:tc>
              <w:tc>
                <w:tcPr>
                  <w:tcW w:w="2430" w:type="dxa"/>
                  <w:shd w:val="clear" w:color="auto" w:fill="auto"/>
                  <w:noWrap/>
                  <w:hideMark/>
                </w:tcPr>
                <w:p w14:paraId="6BED2336"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2</w:t>
                  </w:r>
                </w:p>
              </w:tc>
            </w:tr>
            <w:tr w:rsidR="008F337C" w:rsidRPr="002B355C" w14:paraId="44B801FD"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EA372EA"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Misamis</w:t>
                  </w:r>
                  <w:proofErr w:type="spellEnd"/>
                  <w:r w:rsidRPr="002B355C">
                    <w:rPr>
                      <w:rFonts w:eastAsia="Times New Roman" w:cs="Calibri"/>
                      <w:color w:val="000000"/>
                      <w:sz w:val="16"/>
                      <w:szCs w:val="16"/>
                    </w:rPr>
                    <w:t xml:space="preserve"> Oriental</w:t>
                  </w:r>
                </w:p>
              </w:tc>
              <w:tc>
                <w:tcPr>
                  <w:tcW w:w="2430" w:type="dxa"/>
                  <w:shd w:val="clear" w:color="auto" w:fill="auto"/>
                  <w:noWrap/>
                  <w:hideMark/>
                </w:tcPr>
                <w:p w14:paraId="5F7C7597"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13</w:t>
                  </w:r>
                </w:p>
              </w:tc>
            </w:tr>
            <w:tr w:rsidR="008F337C" w:rsidRPr="002B355C" w14:paraId="4B28871C"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62312279"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Mountain Province</w:t>
                  </w:r>
                </w:p>
              </w:tc>
              <w:tc>
                <w:tcPr>
                  <w:tcW w:w="2430" w:type="dxa"/>
                  <w:shd w:val="clear" w:color="auto" w:fill="auto"/>
                  <w:noWrap/>
                  <w:hideMark/>
                </w:tcPr>
                <w:p w14:paraId="12045473"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w:t>
                  </w:r>
                </w:p>
              </w:tc>
            </w:tr>
            <w:tr w:rsidR="008F337C" w:rsidRPr="002B355C" w14:paraId="5C9449C0"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6CD41403"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Negros Occidental</w:t>
                  </w:r>
                </w:p>
              </w:tc>
              <w:tc>
                <w:tcPr>
                  <w:tcW w:w="2430" w:type="dxa"/>
                  <w:shd w:val="clear" w:color="auto" w:fill="auto"/>
                  <w:noWrap/>
                  <w:hideMark/>
                </w:tcPr>
                <w:p w14:paraId="1F10A4F0"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19</w:t>
                  </w:r>
                </w:p>
              </w:tc>
            </w:tr>
            <w:tr w:rsidR="008F337C" w:rsidRPr="002B355C" w14:paraId="7C43A2ED"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3FDE3E4A"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Negros Oriental</w:t>
                  </w:r>
                </w:p>
              </w:tc>
              <w:tc>
                <w:tcPr>
                  <w:tcW w:w="2430" w:type="dxa"/>
                  <w:shd w:val="clear" w:color="auto" w:fill="auto"/>
                  <w:noWrap/>
                  <w:hideMark/>
                </w:tcPr>
                <w:p w14:paraId="4C087A2B"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12</w:t>
                  </w:r>
                </w:p>
              </w:tc>
            </w:tr>
            <w:tr w:rsidR="008F337C" w:rsidRPr="002B355C" w14:paraId="578B3D94"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49CE6019"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 xml:space="preserve">North </w:t>
                  </w:r>
                  <w:proofErr w:type="spellStart"/>
                  <w:r w:rsidRPr="002B355C">
                    <w:rPr>
                      <w:rFonts w:eastAsia="Times New Roman" w:cs="Calibri"/>
                      <w:color w:val="000000"/>
                      <w:sz w:val="16"/>
                      <w:szCs w:val="16"/>
                    </w:rPr>
                    <w:t>Cotabato</w:t>
                  </w:r>
                  <w:proofErr w:type="spellEnd"/>
                </w:p>
              </w:tc>
              <w:tc>
                <w:tcPr>
                  <w:tcW w:w="2430" w:type="dxa"/>
                  <w:shd w:val="clear" w:color="auto" w:fill="auto"/>
                  <w:noWrap/>
                  <w:hideMark/>
                </w:tcPr>
                <w:p w14:paraId="0D497E9E"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10</w:t>
                  </w:r>
                </w:p>
              </w:tc>
            </w:tr>
            <w:tr w:rsidR="008F337C" w:rsidRPr="002B355C" w14:paraId="3436EB6A"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13C629DD"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Northern Samar</w:t>
                  </w:r>
                </w:p>
              </w:tc>
              <w:tc>
                <w:tcPr>
                  <w:tcW w:w="2430" w:type="dxa"/>
                  <w:shd w:val="clear" w:color="auto" w:fill="auto"/>
                  <w:noWrap/>
                  <w:hideMark/>
                </w:tcPr>
                <w:p w14:paraId="3440C79F"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w:t>
                  </w:r>
                </w:p>
              </w:tc>
            </w:tr>
            <w:tr w:rsidR="008F337C" w:rsidRPr="002B355C" w14:paraId="27EF42EC"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39F21461"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Nueva Ecija</w:t>
                  </w:r>
                </w:p>
              </w:tc>
              <w:tc>
                <w:tcPr>
                  <w:tcW w:w="2430" w:type="dxa"/>
                  <w:shd w:val="clear" w:color="auto" w:fill="auto"/>
                  <w:noWrap/>
                  <w:hideMark/>
                </w:tcPr>
                <w:p w14:paraId="1704A309"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w:t>
                  </w:r>
                </w:p>
              </w:tc>
            </w:tr>
            <w:tr w:rsidR="008F337C" w:rsidRPr="002B355C" w14:paraId="30EC541A"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20E7297C"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Nueva Vizcaya</w:t>
                  </w:r>
                </w:p>
              </w:tc>
              <w:tc>
                <w:tcPr>
                  <w:tcW w:w="2430" w:type="dxa"/>
                  <w:shd w:val="clear" w:color="auto" w:fill="auto"/>
                  <w:noWrap/>
                  <w:hideMark/>
                </w:tcPr>
                <w:p w14:paraId="5F2F340A"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w:t>
                  </w:r>
                </w:p>
              </w:tc>
            </w:tr>
            <w:tr w:rsidR="008F337C" w:rsidRPr="002B355C" w14:paraId="15929447"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5633592"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Occidental Mindoro</w:t>
                  </w:r>
                </w:p>
              </w:tc>
              <w:tc>
                <w:tcPr>
                  <w:tcW w:w="2430" w:type="dxa"/>
                  <w:shd w:val="clear" w:color="auto" w:fill="auto"/>
                  <w:noWrap/>
                  <w:hideMark/>
                </w:tcPr>
                <w:p w14:paraId="7A0B10DB"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64C1C1CD"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334F1EDE"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Oriental Mindoro</w:t>
                  </w:r>
                </w:p>
              </w:tc>
              <w:tc>
                <w:tcPr>
                  <w:tcW w:w="2430" w:type="dxa"/>
                  <w:shd w:val="clear" w:color="auto" w:fill="auto"/>
                  <w:noWrap/>
                  <w:hideMark/>
                </w:tcPr>
                <w:p w14:paraId="7D5FF187"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w:t>
                  </w:r>
                </w:p>
              </w:tc>
            </w:tr>
            <w:tr w:rsidR="008F337C" w:rsidRPr="002B355C" w14:paraId="04F7D54A"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834B5C1"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Palawan</w:t>
                  </w:r>
                </w:p>
              </w:tc>
              <w:tc>
                <w:tcPr>
                  <w:tcW w:w="2430" w:type="dxa"/>
                  <w:shd w:val="clear" w:color="auto" w:fill="auto"/>
                  <w:noWrap/>
                  <w:hideMark/>
                </w:tcPr>
                <w:p w14:paraId="192D969D"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5</w:t>
                  </w:r>
                </w:p>
              </w:tc>
            </w:tr>
            <w:tr w:rsidR="008F337C" w:rsidRPr="002B355C" w14:paraId="219B7C06"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32BE199A"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Pampanga</w:t>
                  </w:r>
                </w:p>
              </w:tc>
              <w:tc>
                <w:tcPr>
                  <w:tcW w:w="2430" w:type="dxa"/>
                  <w:shd w:val="clear" w:color="auto" w:fill="auto"/>
                  <w:noWrap/>
                  <w:hideMark/>
                </w:tcPr>
                <w:p w14:paraId="41E8F8BF"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46</w:t>
                  </w:r>
                </w:p>
              </w:tc>
            </w:tr>
            <w:tr w:rsidR="008F337C" w:rsidRPr="002B355C" w14:paraId="4D1DB859"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64F1B457"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Pangasinan</w:t>
                  </w:r>
                  <w:proofErr w:type="spellEnd"/>
                </w:p>
              </w:tc>
              <w:tc>
                <w:tcPr>
                  <w:tcW w:w="2430" w:type="dxa"/>
                  <w:shd w:val="clear" w:color="auto" w:fill="auto"/>
                  <w:noWrap/>
                  <w:hideMark/>
                </w:tcPr>
                <w:p w14:paraId="27A0565B"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17</w:t>
                  </w:r>
                </w:p>
              </w:tc>
            </w:tr>
            <w:tr w:rsidR="008F337C" w:rsidRPr="002B355C" w14:paraId="7534EB32"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08361FA1"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Quezon</w:t>
                  </w:r>
                </w:p>
              </w:tc>
              <w:tc>
                <w:tcPr>
                  <w:tcW w:w="2430" w:type="dxa"/>
                  <w:shd w:val="clear" w:color="auto" w:fill="auto"/>
                  <w:noWrap/>
                  <w:hideMark/>
                </w:tcPr>
                <w:p w14:paraId="1F68092E"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9</w:t>
                  </w:r>
                </w:p>
              </w:tc>
            </w:tr>
            <w:tr w:rsidR="008F337C" w:rsidRPr="002B355C" w14:paraId="64548353"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0A2FD3EE"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Quirino</w:t>
                  </w:r>
                  <w:proofErr w:type="spellEnd"/>
                </w:p>
              </w:tc>
              <w:tc>
                <w:tcPr>
                  <w:tcW w:w="2430" w:type="dxa"/>
                  <w:shd w:val="clear" w:color="auto" w:fill="auto"/>
                  <w:noWrap/>
                  <w:hideMark/>
                </w:tcPr>
                <w:p w14:paraId="67E20130"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2A6CD630"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193EEEC8"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Rizal</w:t>
                  </w:r>
                </w:p>
              </w:tc>
              <w:tc>
                <w:tcPr>
                  <w:tcW w:w="2430" w:type="dxa"/>
                  <w:shd w:val="clear" w:color="auto" w:fill="auto"/>
                  <w:noWrap/>
                  <w:hideMark/>
                </w:tcPr>
                <w:p w14:paraId="1E5B2A27"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36</w:t>
                  </w:r>
                </w:p>
              </w:tc>
            </w:tr>
            <w:tr w:rsidR="008F337C" w:rsidRPr="002B355C" w14:paraId="5DF0DEF0"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2C61B5DF"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Romblon</w:t>
                  </w:r>
                </w:p>
              </w:tc>
              <w:tc>
                <w:tcPr>
                  <w:tcW w:w="2430" w:type="dxa"/>
                  <w:shd w:val="clear" w:color="auto" w:fill="auto"/>
                  <w:noWrap/>
                  <w:hideMark/>
                </w:tcPr>
                <w:p w14:paraId="3B8AFBF6"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597FBEF7"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CA57D78"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Samar</w:t>
                  </w:r>
                </w:p>
              </w:tc>
              <w:tc>
                <w:tcPr>
                  <w:tcW w:w="2430" w:type="dxa"/>
                  <w:shd w:val="clear" w:color="auto" w:fill="auto"/>
                  <w:noWrap/>
                  <w:hideMark/>
                </w:tcPr>
                <w:p w14:paraId="73CB4E17"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w:t>
                  </w:r>
                </w:p>
              </w:tc>
            </w:tr>
            <w:tr w:rsidR="008F337C" w:rsidRPr="002B355C" w14:paraId="34572E55"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14CDF841"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Siquijor</w:t>
                  </w:r>
                </w:p>
              </w:tc>
              <w:tc>
                <w:tcPr>
                  <w:tcW w:w="2430" w:type="dxa"/>
                  <w:shd w:val="clear" w:color="auto" w:fill="auto"/>
                  <w:noWrap/>
                  <w:hideMark/>
                </w:tcPr>
                <w:p w14:paraId="3CB98604"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2092FD59"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0F99356B"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Sorsogon</w:t>
                  </w:r>
                </w:p>
              </w:tc>
              <w:tc>
                <w:tcPr>
                  <w:tcW w:w="2430" w:type="dxa"/>
                  <w:shd w:val="clear" w:color="auto" w:fill="auto"/>
                  <w:noWrap/>
                  <w:hideMark/>
                </w:tcPr>
                <w:p w14:paraId="03A308BD"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w:t>
                  </w:r>
                </w:p>
              </w:tc>
            </w:tr>
            <w:tr w:rsidR="008F337C" w:rsidRPr="002B355C" w14:paraId="4B73D372"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420E0C22"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 xml:space="preserve">South </w:t>
                  </w:r>
                  <w:proofErr w:type="spellStart"/>
                  <w:r w:rsidRPr="002B355C">
                    <w:rPr>
                      <w:rFonts w:eastAsia="Times New Roman" w:cs="Calibri"/>
                      <w:color w:val="000000"/>
                      <w:sz w:val="16"/>
                      <w:szCs w:val="16"/>
                    </w:rPr>
                    <w:t>Cotabato</w:t>
                  </w:r>
                  <w:proofErr w:type="spellEnd"/>
                </w:p>
              </w:tc>
              <w:tc>
                <w:tcPr>
                  <w:tcW w:w="2430" w:type="dxa"/>
                  <w:shd w:val="clear" w:color="auto" w:fill="auto"/>
                  <w:noWrap/>
                  <w:hideMark/>
                </w:tcPr>
                <w:p w14:paraId="2FF45529"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12</w:t>
                  </w:r>
                </w:p>
              </w:tc>
            </w:tr>
            <w:tr w:rsidR="008F337C" w:rsidRPr="002B355C" w14:paraId="714C1904"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3583962E"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Southern Leyte</w:t>
                  </w:r>
                </w:p>
              </w:tc>
              <w:tc>
                <w:tcPr>
                  <w:tcW w:w="2430" w:type="dxa"/>
                  <w:shd w:val="clear" w:color="auto" w:fill="auto"/>
                  <w:noWrap/>
                  <w:hideMark/>
                </w:tcPr>
                <w:p w14:paraId="14252D6B"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63506825"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0F68A2AC"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 xml:space="preserve">Sultan </w:t>
                  </w:r>
                  <w:proofErr w:type="spellStart"/>
                  <w:r w:rsidRPr="002B355C">
                    <w:rPr>
                      <w:rFonts w:eastAsia="Times New Roman" w:cs="Calibri"/>
                      <w:color w:val="000000"/>
                      <w:sz w:val="16"/>
                      <w:szCs w:val="16"/>
                    </w:rPr>
                    <w:t>Kudarat</w:t>
                  </w:r>
                  <w:proofErr w:type="spellEnd"/>
                </w:p>
              </w:tc>
              <w:tc>
                <w:tcPr>
                  <w:tcW w:w="2430" w:type="dxa"/>
                  <w:shd w:val="clear" w:color="auto" w:fill="auto"/>
                  <w:noWrap/>
                  <w:hideMark/>
                </w:tcPr>
                <w:p w14:paraId="3C354979"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3</w:t>
                  </w:r>
                </w:p>
              </w:tc>
            </w:tr>
            <w:tr w:rsidR="008F337C" w:rsidRPr="002B355C" w14:paraId="26700CE0"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1EB82E55"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Sulu</w:t>
                  </w:r>
                </w:p>
              </w:tc>
              <w:tc>
                <w:tcPr>
                  <w:tcW w:w="2430" w:type="dxa"/>
                  <w:shd w:val="clear" w:color="auto" w:fill="auto"/>
                  <w:noWrap/>
                  <w:hideMark/>
                </w:tcPr>
                <w:p w14:paraId="1AD63305"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13A6695B"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33AAC0D9"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Surigao</w:t>
                  </w:r>
                  <w:proofErr w:type="spellEnd"/>
                  <w:r w:rsidRPr="002B355C">
                    <w:rPr>
                      <w:rFonts w:eastAsia="Times New Roman" w:cs="Calibri"/>
                      <w:color w:val="000000"/>
                      <w:sz w:val="16"/>
                      <w:szCs w:val="16"/>
                    </w:rPr>
                    <w:t xml:space="preserve"> Del Norte</w:t>
                  </w:r>
                </w:p>
              </w:tc>
              <w:tc>
                <w:tcPr>
                  <w:tcW w:w="2430" w:type="dxa"/>
                  <w:shd w:val="clear" w:color="auto" w:fill="auto"/>
                  <w:noWrap/>
                  <w:hideMark/>
                </w:tcPr>
                <w:p w14:paraId="38B505A5"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71309006"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2247670"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Surigao</w:t>
                  </w:r>
                  <w:proofErr w:type="spellEnd"/>
                  <w:r w:rsidRPr="002B355C">
                    <w:rPr>
                      <w:rFonts w:eastAsia="Times New Roman" w:cs="Calibri"/>
                      <w:color w:val="000000"/>
                      <w:sz w:val="16"/>
                      <w:szCs w:val="16"/>
                    </w:rPr>
                    <w:t xml:space="preserve"> Del Sur</w:t>
                  </w:r>
                </w:p>
              </w:tc>
              <w:tc>
                <w:tcPr>
                  <w:tcW w:w="2430" w:type="dxa"/>
                  <w:shd w:val="clear" w:color="auto" w:fill="auto"/>
                  <w:noWrap/>
                  <w:hideMark/>
                </w:tcPr>
                <w:p w14:paraId="7BE0913B"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4DB11371"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6F121F4D"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Tarlac</w:t>
                  </w:r>
                  <w:proofErr w:type="spellEnd"/>
                </w:p>
              </w:tc>
              <w:tc>
                <w:tcPr>
                  <w:tcW w:w="2430" w:type="dxa"/>
                  <w:shd w:val="clear" w:color="auto" w:fill="auto"/>
                  <w:noWrap/>
                  <w:hideMark/>
                </w:tcPr>
                <w:p w14:paraId="2547C72F"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5</w:t>
                  </w:r>
                </w:p>
              </w:tc>
            </w:tr>
            <w:tr w:rsidR="008F337C" w:rsidRPr="002B355C" w14:paraId="58A8EE1E"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1D43A6D3" w14:textId="77777777" w:rsidR="008F337C" w:rsidRPr="002B355C" w:rsidRDefault="008F337C" w:rsidP="008F337C">
                  <w:pPr>
                    <w:spacing w:after="0" w:line="240" w:lineRule="auto"/>
                    <w:jc w:val="left"/>
                    <w:rPr>
                      <w:rFonts w:eastAsia="Times New Roman" w:cs="Calibri"/>
                      <w:color w:val="000000"/>
                      <w:sz w:val="16"/>
                      <w:szCs w:val="16"/>
                    </w:rPr>
                  </w:pPr>
                  <w:proofErr w:type="spellStart"/>
                  <w:r w:rsidRPr="002B355C">
                    <w:rPr>
                      <w:rFonts w:eastAsia="Times New Roman" w:cs="Calibri"/>
                      <w:color w:val="000000"/>
                      <w:sz w:val="16"/>
                      <w:szCs w:val="16"/>
                    </w:rPr>
                    <w:t>Tawi-Tawi</w:t>
                  </w:r>
                  <w:proofErr w:type="spellEnd"/>
                </w:p>
              </w:tc>
              <w:tc>
                <w:tcPr>
                  <w:tcW w:w="2430" w:type="dxa"/>
                  <w:shd w:val="clear" w:color="auto" w:fill="auto"/>
                  <w:noWrap/>
                  <w:hideMark/>
                </w:tcPr>
                <w:p w14:paraId="4763BF26"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r w:rsidR="008F337C" w:rsidRPr="002B355C" w14:paraId="62D39B67"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63C3E284"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Zambales</w:t>
                  </w:r>
                </w:p>
              </w:tc>
              <w:tc>
                <w:tcPr>
                  <w:tcW w:w="2430" w:type="dxa"/>
                  <w:shd w:val="clear" w:color="auto" w:fill="auto"/>
                  <w:noWrap/>
                  <w:hideMark/>
                </w:tcPr>
                <w:p w14:paraId="6CD5D830"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w:t>
                  </w:r>
                </w:p>
              </w:tc>
            </w:tr>
            <w:tr w:rsidR="008F337C" w:rsidRPr="002B355C" w14:paraId="1EA68F2C"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6AFDA2E5"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Zamboanga Del Norte</w:t>
                  </w:r>
                </w:p>
              </w:tc>
              <w:tc>
                <w:tcPr>
                  <w:tcW w:w="2430" w:type="dxa"/>
                  <w:shd w:val="clear" w:color="auto" w:fill="auto"/>
                  <w:noWrap/>
                  <w:hideMark/>
                </w:tcPr>
                <w:p w14:paraId="1F5F1B49"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6</w:t>
                  </w:r>
                </w:p>
              </w:tc>
            </w:tr>
            <w:tr w:rsidR="008F337C" w:rsidRPr="002B355C" w14:paraId="0D877EE6" w14:textId="77777777" w:rsidTr="002707B7">
              <w:trPr>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76CF41AE"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Zamboanga Del Sur</w:t>
                  </w:r>
                </w:p>
              </w:tc>
              <w:tc>
                <w:tcPr>
                  <w:tcW w:w="2430" w:type="dxa"/>
                  <w:shd w:val="clear" w:color="auto" w:fill="auto"/>
                  <w:noWrap/>
                  <w:hideMark/>
                </w:tcPr>
                <w:p w14:paraId="0817A0FB" w14:textId="77777777" w:rsidR="008F337C" w:rsidRPr="002B355C" w:rsidRDefault="008F337C" w:rsidP="008F33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14</w:t>
                  </w:r>
                </w:p>
              </w:tc>
            </w:tr>
            <w:tr w:rsidR="008F337C" w:rsidRPr="002B355C" w14:paraId="23C4FD6E" w14:textId="77777777" w:rsidTr="002707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6" w:type="dxa"/>
                  <w:shd w:val="clear" w:color="auto" w:fill="auto"/>
                  <w:noWrap/>
                  <w:hideMark/>
                </w:tcPr>
                <w:p w14:paraId="221BFC7F" w14:textId="77777777" w:rsidR="008F337C" w:rsidRPr="002B355C" w:rsidRDefault="008F337C" w:rsidP="008F337C">
                  <w:pPr>
                    <w:spacing w:after="0" w:line="240" w:lineRule="auto"/>
                    <w:jc w:val="left"/>
                    <w:rPr>
                      <w:rFonts w:eastAsia="Times New Roman" w:cs="Calibri"/>
                      <w:color w:val="000000"/>
                      <w:sz w:val="16"/>
                      <w:szCs w:val="16"/>
                    </w:rPr>
                  </w:pPr>
                  <w:r w:rsidRPr="002B355C">
                    <w:rPr>
                      <w:rFonts w:eastAsia="Times New Roman" w:cs="Calibri"/>
                      <w:color w:val="000000"/>
                      <w:sz w:val="16"/>
                      <w:szCs w:val="16"/>
                    </w:rPr>
                    <w:t>Zamboanga Sibugay</w:t>
                  </w:r>
                </w:p>
              </w:tc>
              <w:tc>
                <w:tcPr>
                  <w:tcW w:w="2430" w:type="dxa"/>
                  <w:shd w:val="clear" w:color="auto" w:fill="auto"/>
                  <w:noWrap/>
                  <w:hideMark/>
                </w:tcPr>
                <w:p w14:paraId="26B25DCB" w14:textId="77777777" w:rsidR="008F337C" w:rsidRPr="002B355C" w:rsidRDefault="008F337C" w:rsidP="008F33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rPr>
                  </w:pPr>
                  <w:r w:rsidRPr="002B355C">
                    <w:rPr>
                      <w:rFonts w:eastAsia="Times New Roman" w:cs="Calibri"/>
                      <w:color w:val="000000"/>
                      <w:sz w:val="16"/>
                      <w:szCs w:val="16"/>
                    </w:rPr>
                    <w:t>0</w:t>
                  </w:r>
                </w:p>
              </w:tc>
            </w:tr>
          </w:tbl>
          <w:p w14:paraId="09B0F405" w14:textId="77777777" w:rsidR="00251A15" w:rsidRPr="005056AE" w:rsidRDefault="00251A15" w:rsidP="003E72E8">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48E67A36" w14:textId="5EEB2582" w:rsidR="00251A15" w:rsidRDefault="00251A15" w:rsidP="00B9579A">
      <w:pPr>
        <w:pStyle w:val="BodyText4"/>
        <w:spacing w:line="276" w:lineRule="auto"/>
        <w:jc w:val="center"/>
        <w:rPr>
          <w:rFonts w:asciiTheme="minorHAnsi" w:hAnsiTheme="minorHAnsi"/>
          <w:b/>
          <w:bCs/>
          <w:color w:val="4472C4" w:themeColor="accent1"/>
          <w:sz w:val="24"/>
          <w:szCs w:val="24"/>
        </w:rPr>
      </w:pPr>
    </w:p>
    <w:p w14:paraId="7E0AC743" w14:textId="51A98C68" w:rsidR="00251A15" w:rsidRDefault="00251A15" w:rsidP="00B9579A">
      <w:pPr>
        <w:pStyle w:val="BodyText4"/>
        <w:spacing w:line="276" w:lineRule="auto"/>
        <w:jc w:val="center"/>
        <w:rPr>
          <w:rFonts w:asciiTheme="minorHAnsi" w:hAnsiTheme="minorHAnsi"/>
          <w:b/>
          <w:bCs/>
          <w:color w:val="4472C4" w:themeColor="accent1"/>
          <w:sz w:val="24"/>
          <w:szCs w:val="24"/>
        </w:rPr>
      </w:pPr>
    </w:p>
    <w:p w14:paraId="707C6039" w14:textId="676421F7" w:rsidR="00251A15" w:rsidRDefault="00251A15" w:rsidP="00B9579A">
      <w:pPr>
        <w:pStyle w:val="BodyText4"/>
        <w:spacing w:line="276" w:lineRule="auto"/>
        <w:jc w:val="center"/>
        <w:rPr>
          <w:rFonts w:asciiTheme="minorHAnsi" w:hAnsiTheme="minorHAnsi"/>
          <w:b/>
          <w:bCs/>
          <w:color w:val="4472C4" w:themeColor="accent1"/>
          <w:sz w:val="24"/>
          <w:szCs w:val="24"/>
        </w:rPr>
      </w:pPr>
    </w:p>
    <w:p w14:paraId="0777DDA5" w14:textId="581341E7" w:rsidR="00251A15" w:rsidRDefault="00251A15" w:rsidP="00B9579A">
      <w:pPr>
        <w:pStyle w:val="BodyText4"/>
        <w:spacing w:line="276" w:lineRule="auto"/>
        <w:jc w:val="center"/>
        <w:rPr>
          <w:rFonts w:asciiTheme="minorHAnsi" w:hAnsiTheme="minorHAnsi"/>
          <w:b/>
          <w:bCs/>
          <w:color w:val="4472C4" w:themeColor="accent1"/>
          <w:sz w:val="24"/>
          <w:szCs w:val="24"/>
        </w:rPr>
      </w:pPr>
    </w:p>
    <w:p w14:paraId="75D42563" w14:textId="78B2FFEB" w:rsidR="00251A15" w:rsidRDefault="00251A15" w:rsidP="00B9579A">
      <w:pPr>
        <w:pStyle w:val="BodyText4"/>
        <w:spacing w:line="276" w:lineRule="auto"/>
        <w:jc w:val="center"/>
        <w:rPr>
          <w:rFonts w:asciiTheme="minorHAnsi" w:hAnsiTheme="minorHAnsi"/>
          <w:b/>
          <w:bCs/>
          <w:color w:val="4472C4" w:themeColor="accent1"/>
          <w:sz w:val="24"/>
          <w:szCs w:val="24"/>
        </w:rPr>
      </w:pPr>
    </w:p>
    <w:p w14:paraId="0610CF90" w14:textId="15FE6969" w:rsidR="00251A15" w:rsidRDefault="00251A15" w:rsidP="00B9579A">
      <w:pPr>
        <w:pStyle w:val="BodyText4"/>
        <w:spacing w:line="276" w:lineRule="auto"/>
        <w:jc w:val="center"/>
        <w:rPr>
          <w:rFonts w:asciiTheme="minorHAnsi" w:hAnsiTheme="minorHAnsi"/>
          <w:b/>
          <w:bCs/>
          <w:color w:val="4472C4" w:themeColor="accent1"/>
          <w:sz w:val="24"/>
          <w:szCs w:val="24"/>
        </w:rPr>
      </w:pPr>
    </w:p>
    <w:p w14:paraId="5C1EA601" w14:textId="0E98E160" w:rsidR="00251A15" w:rsidRDefault="00251A15" w:rsidP="00B9579A">
      <w:pPr>
        <w:pStyle w:val="BodyText4"/>
        <w:spacing w:line="276" w:lineRule="auto"/>
        <w:jc w:val="center"/>
        <w:rPr>
          <w:rFonts w:asciiTheme="minorHAnsi" w:hAnsiTheme="minorHAnsi"/>
          <w:b/>
          <w:bCs/>
          <w:color w:val="4472C4" w:themeColor="accent1"/>
          <w:sz w:val="24"/>
          <w:szCs w:val="24"/>
        </w:rPr>
      </w:pPr>
    </w:p>
    <w:p w14:paraId="1A0AE3B0" w14:textId="27F28FBB" w:rsidR="00251A15" w:rsidRDefault="00251A15" w:rsidP="00B9579A">
      <w:pPr>
        <w:pStyle w:val="BodyText4"/>
        <w:spacing w:line="276" w:lineRule="auto"/>
        <w:jc w:val="center"/>
        <w:rPr>
          <w:rFonts w:asciiTheme="minorHAnsi" w:hAnsiTheme="minorHAnsi"/>
          <w:b/>
          <w:bCs/>
          <w:color w:val="4472C4" w:themeColor="accent1"/>
          <w:sz w:val="24"/>
          <w:szCs w:val="24"/>
        </w:rPr>
      </w:pPr>
    </w:p>
    <w:p w14:paraId="1F80D1F3" w14:textId="7DE8E244" w:rsidR="00251A15" w:rsidRDefault="00251A15" w:rsidP="00B9579A">
      <w:pPr>
        <w:pStyle w:val="BodyText4"/>
        <w:spacing w:line="276" w:lineRule="auto"/>
        <w:jc w:val="center"/>
        <w:rPr>
          <w:rFonts w:asciiTheme="minorHAnsi" w:hAnsiTheme="minorHAnsi"/>
          <w:b/>
          <w:bCs/>
          <w:color w:val="4472C4" w:themeColor="accent1"/>
          <w:sz w:val="24"/>
          <w:szCs w:val="24"/>
        </w:rPr>
      </w:pPr>
    </w:p>
    <w:p w14:paraId="6A3D480E" w14:textId="4B0D9A48" w:rsidR="00251A15" w:rsidRDefault="00251A15" w:rsidP="00B9579A">
      <w:pPr>
        <w:pStyle w:val="BodyText4"/>
        <w:spacing w:line="276" w:lineRule="auto"/>
        <w:jc w:val="center"/>
        <w:rPr>
          <w:rFonts w:asciiTheme="minorHAnsi" w:hAnsiTheme="minorHAnsi"/>
          <w:b/>
          <w:bCs/>
          <w:color w:val="4472C4" w:themeColor="accent1"/>
          <w:sz w:val="24"/>
          <w:szCs w:val="24"/>
        </w:rPr>
      </w:pPr>
    </w:p>
    <w:p w14:paraId="63E4917F" w14:textId="3F59D9C2" w:rsidR="00251A15" w:rsidRDefault="00251A15" w:rsidP="00B9579A">
      <w:pPr>
        <w:pStyle w:val="BodyText4"/>
        <w:spacing w:line="276" w:lineRule="auto"/>
        <w:jc w:val="center"/>
        <w:rPr>
          <w:rFonts w:asciiTheme="minorHAnsi" w:hAnsiTheme="minorHAnsi"/>
          <w:b/>
          <w:bCs/>
          <w:color w:val="4472C4" w:themeColor="accent1"/>
          <w:sz w:val="24"/>
          <w:szCs w:val="24"/>
        </w:rPr>
      </w:pPr>
    </w:p>
    <w:p w14:paraId="7503BB2B" w14:textId="1CE19496" w:rsidR="008F337C" w:rsidRDefault="008F337C" w:rsidP="00B9579A">
      <w:pPr>
        <w:pStyle w:val="BodyText4"/>
        <w:spacing w:line="276" w:lineRule="auto"/>
        <w:jc w:val="center"/>
        <w:rPr>
          <w:rFonts w:asciiTheme="minorHAnsi" w:hAnsiTheme="minorHAnsi"/>
          <w:b/>
          <w:bCs/>
          <w:color w:val="4472C4" w:themeColor="accent1"/>
          <w:sz w:val="24"/>
          <w:szCs w:val="24"/>
        </w:rPr>
      </w:pPr>
    </w:p>
    <w:p w14:paraId="58DBAFEB" w14:textId="77777777" w:rsidR="008D0240" w:rsidRDefault="008D0240" w:rsidP="00B9579A">
      <w:pPr>
        <w:pStyle w:val="BodyText4"/>
        <w:spacing w:line="276" w:lineRule="auto"/>
        <w:jc w:val="center"/>
        <w:rPr>
          <w:rFonts w:asciiTheme="minorHAnsi" w:hAnsiTheme="minorHAnsi"/>
          <w:b/>
          <w:bCs/>
          <w:color w:val="4472C4" w:themeColor="accent1"/>
          <w:sz w:val="24"/>
          <w:szCs w:val="24"/>
        </w:rPr>
      </w:pPr>
    </w:p>
    <w:p w14:paraId="2C85A790" w14:textId="0D45BA60" w:rsidR="008F337C" w:rsidRDefault="008F337C"/>
    <w:p w14:paraId="1324B51A" w14:textId="77777777" w:rsidR="00B9579A" w:rsidRDefault="00B9579A" w:rsidP="0090502D">
      <w:pPr>
        <w:spacing w:after="160" w:line="256" w:lineRule="auto"/>
        <w:jc w:val="left"/>
        <w:rPr>
          <w:rFonts w:ascii="Century Gothic" w:eastAsia="MS Gothic" w:hAnsi="Century Gothic" w:cs="Arial"/>
          <w:b/>
          <w:bCs/>
          <w:color w:val="00AB51"/>
          <w:kern w:val="32"/>
          <w:sz w:val="32"/>
          <w:szCs w:val="32"/>
        </w:rPr>
        <w:sectPr w:rsidR="00B9579A" w:rsidSect="00210F2B">
          <w:pgSz w:w="11906" w:h="16838" w:code="9"/>
          <w:pgMar w:top="1440" w:right="1440" w:bottom="1440" w:left="1440" w:header="720" w:footer="720" w:gutter="0"/>
          <w:cols w:space="720"/>
          <w:docGrid w:linePitch="360"/>
        </w:sectPr>
      </w:pPr>
    </w:p>
    <w:p w14:paraId="02445A3A" w14:textId="5191FA17" w:rsidR="0090502D" w:rsidRDefault="0090502D" w:rsidP="00350A09">
      <w:pPr>
        <w:pStyle w:val="Heading2"/>
        <w:numPr>
          <w:ilvl w:val="1"/>
          <w:numId w:val="22"/>
        </w:numPr>
        <w:spacing w:before="0" w:after="0"/>
        <w:ind w:left="547" w:hanging="547"/>
        <w:rPr>
          <w:rFonts w:eastAsia="MS Gothic"/>
        </w:rPr>
      </w:pPr>
      <w:bookmarkStart w:id="108" w:name="_Toc499727574"/>
      <w:bookmarkStart w:id="109" w:name="_Toc499727981"/>
      <w:bookmarkStart w:id="110" w:name="_Toc499728897"/>
      <w:bookmarkStart w:id="111" w:name="_Toc499825617"/>
      <w:bookmarkEnd w:id="108"/>
      <w:bookmarkEnd w:id="109"/>
      <w:bookmarkEnd w:id="110"/>
      <w:r w:rsidRPr="008F1E62">
        <w:rPr>
          <w:rFonts w:eastAsia="MS Gothic"/>
        </w:rPr>
        <w:t>Board of Accountancy – CPAs Accredited in Commerce and Industry</w:t>
      </w:r>
      <w:bookmarkEnd w:id="111"/>
    </w:p>
    <w:p w14:paraId="530CC591" w14:textId="2C0428D0" w:rsidR="00D51C47" w:rsidRDefault="00D51C47" w:rsidP="00D51C47"/>
    <w:tbl>
      <w:tblPr>
        <w:tblStyle w:val="TableGrid"/>
        <w:tblW w:w="0" w:type="auto"/>
        <w:tblBorders>
          <w:top w:val="single" w:sz="4" w:space="0" w:color="4472C4"/>
          <w:left w:val="single" w:sz="4" w:space="0" w:color="4472C4"/>
          <w:bottom w:val="single" w:sz="4" w:space="0" w:color="4472C4"/>
          <w:right w:val="single" w:sz="4" w:space="0" w:color="4472C4"/>
          <w:insideH w:val="none" w:sz="0" w:space="0" w:color="auto"/>
          <w:insideV w:val="none" w:sz="0" w:space="0" w:color="auto"/>
        </w:tblBorders>
        <w:tblCellMar>
          <w:top w:w="43" w:type="dxa"/>
          <w:left w:w="115" w:type="dxa"/>
          <w:bottom w:w="43" w:type="dxa"/>
          <w:right w:w="115" w:type="dxa"/>
        </w:tblCellMar>
        <w:tblLook w:val="04A0" w:firstRow="1" w:lastRow="0" w:firstColumn="1" w:lastColumn="0" w:noHBand="0" w:noVBand="1"/>
      </w:tblPr>
      <w:tblGrid>
        <w:gridCol w:w="9016"/>
      </w:tblGrid>
      <w:tr w:rsidR="00D51C47" w14:paraId="1C7AE01A" w14:textId="77777777" w:rsidTr="00753245">
        <w:tc>
          <w:tcPr>
            <w:tcW w:w="9026" w:type="dxa"/>
            <w:shd w:val="clear" w:color="auto" w:fill="4472C4"/>
            <w:vAlign w:val="center"/>
          </w:tcPr>
          <w:p w14:paraId="7A5EA8B3" w14:textId="53CAB142" w:rsidR="00D51C47" w:rsidRPr="006A35C5" w:rsidRDefault="007171DA" w:rsidP="00656D26">
            <w:pPr>
              <w:pStyle w:val="BodyText4"/>
              <w:spacing w:line="276" w:lineRule="auto"/>
              <w:jc w:val="center"/>
              <w:rPr>
                <w:rFonts w:asciiTheme="minorHAnsi" w:hAnsiTheme="minorHAnsi"/>
                <w:b/>
                <w:color w:val="FFFFFF" w:themeColor="background1"/>
                <w:sz w:val="20"/>
              </w:rPr>
            </w:pPr>
            <w:r w:rsidRPr="006A35C5">
              <w:rPr>
                <w:rFonts w:asciiTheme="minorHAnsi" w:hAnsiTheme="minorHAnsi"/>
                <w:b/>
                <w:color w:val="FFFFFF" w:themeColor="background1"/>
                <w:sz w:val="20"/>
              </w:rPr>
              <w:t>G</w:t>
            </w:r>
            <w:r>
              <w:rPr>
                <w:rFonts w:asciiTheme="minorHAnsi" w:hAnsiTheme="minorHAnsi"/>
                <w:b/>
                <w:color w:val="FFFFFF" w:themeColor="background1"/>
                <w:sz w:val="20"/>
              </w:rPr>
              <w:t>EOMAP</w:t>
            </w:r>
            <w:r w:rsidRPr="006A35C5">
              <w:rPr>
                <w:rFonts w:asciiTheme="minorHAnsi" w:hAnsiTheme="minorHAnsi"/>
                <w:b/>
                <w:color w:val="FFFFFF" w:themeColor="background1"/>
                <w:sz w:val="20"/>
              </w:rPr>
              <w:t xml:space="preserve"> </w:t>
            </w:r>
            <w:r w:rsidR="00D51C47" w:rsidRPr="006A35C5">
              <w:rPr>
                <w:rFonts w:asciiTheme="minorHAnsi" w:hAnsiTheme="minorHAnsi"/>
                <w:b/>
                <w:color w:val="FFFFFF" w:themeColor="background1"/>
                <w:sz w:val="20"/>
              </w:rPr>
              <w:t>F</w:t>
            </w:r>
          </w:p>
        </w:tc>
      </w:tr>
      <w:tr w:rsidR="00D51C47" w14:paraId="1E0B2018" w14:textId="77777777" w:rsidTr="00753245">
        <w:tc>
          <w:tcPr>
            <w:tcW w:w="9026" w:type="dxa"/>
            <w:vAlign w:val="center"/>
          </w:tcPr>
          <w:p w14:paraId="30F40FB3" w14:textId="0A753F82" w:rsidR="00D51C47" w:rsidRDefault="00D51C47" w:rsidP="00656D26">
            <w:pPr>
              <w:pStyle w:val="BodyText4"/>
              <w:spacing w:before="200" w:line="276" w:lineRule="auto"/>
              <w:jc w:val="center"/>
              <w:rPr>
                <w:rFonts w:asciiTheme="minorHAnsi" w:hAnsiTheme="minorHAnsi"/>
                <w:b/>
              </w:rPr>
            </w:pPr>
            <w:r w:rsidRPr="008F1E62">
              <w:rPr>
                <w:rFonts w:ascii="Century Gothic" w:eastAsia="MS Gothic" w:hAnsi="Century Gothic" w:cs="Arial"/>
                <w:noProof/>
                <w:color w:val="00AB51"/>
                <w:kern w:val="32"/>
                <w:sz w:val="32"/>
                <w:szCs w:val="32"/>
              </w:rPr>
              <w:drawing>
                <wp:inline distT="0" distB="0" distL="0" distR="0" wp14:anchorId="4F122735" wp14:editId="0676F2F3">
                  <wp:extent cx="5730240" cy="6899275"/>
                  <wp:effectExtent l="0" t="0" r="3810" b="0"/>
                  <wp:docPr id="42" name="Picture 42" descr="BIR-BOA 10M vs Industry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R-BOA 10M vs Industry final"/>
                          <pic:cNvPicPr>
                            <a:picLocks noChangeAspect="1" noChangeArrowheads="1"/>
                          </pic:cNvPicPr>
                        </pic:nvPicPr>
                        <pic:blipFill rotWithShape="1">
                          <a:blip r:embed="rId42">
                            <a:extLst>
                              <a:ext uri="{28A0092B-C50C-407E-A947-70E740481C1C}">
                                <a14:useLocalDpi xmlns:a14="http://schemas.microsoft.com/office/drawing/2010/main" val="0"/>
                              </a:ext>
                            </a:extLst>
                          </a:blip>
                          <a:srcRect t="2685" b="5578"/>
                          <a:stretch/>
                        </pic:blipFill>
                        <pic:spPr bwMode="auto">
                          <a:xfrm>
                            <a:off x="0" y="0"/>
                            <a:ext cx="5730240" cy="6899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C47" w14:paraId="0A8CB5DB" w14:textId="77777777" w:rsidTr="00753245">
        <w:tc>
          <w:tcPr>
            <w:tcW w:w="9026" w:type="dxa"/>
            <w:shd w:val="clear" w:color="auto" w:fill="4472C4"/>
            <w:vAlign w:val="center"/>
          </w:tcPr>
          <w:p w14:paraId="2BDAF8EF" w14:textId="77777777" w:rsidR="00D51C47" w:rsidRPr="00FA75F2" w:rsidRDefault="00D51C47" w:rsidP="00656D26">
            <w:pPr>
              <w:pStyle w:val="BodyText4"/>
              <w:spacing w:line="276" w:lineRule="auto"/>
              <w:jc w:val="center"/>
              <w:rPr>
                <w:rFonts w:asciiTheme="minorHAnsi" w:hAnsiTheme="minorHAnsi"/>
                <w:noProof/>
                <w:sz w:val="10"/>
                <w:szCs w:val="10"/>
              </w:rPr>
            </w:pPr>
          </w:p>
        </w:tc>
      </w:tr>
    </w:tbl>
    <w:p w14:paraId="369E84EF" w14:textId="77777777" w:rsidR="00D51C47" w:rsidRPr="00D51C47" w:rsidRDefault="00D51C47" w:rsidP="00D51C47"/>
    <w:p w14:paraId="1D80BD2E" w14:textId="77777777" w:rsidR="00D66ABD" w:rsidRDefault="00D66ABD" w:rsidP="00F76E53">
      <w:pPr>
        <w:rPr>
          <w:caps/>
        </w:rPr>
        <w:sectPr w:rsidR="00D66ABD" w:rsidSect="00210F2B">
          <w:type w:val="nextColumn"/>
          <w:pgSz w:w="11906" w:h="16838" w:code="9"/>
          <w:pgMar w:top="1440" w:right="1440" w:bottom="1440" w:left="1440" w:header="720" w:footer="720" w:gutter="0"/>
          <w:cols w:space="720"/>
          <w:docGrid w:linePitch="360"/>
        </w:sectPr>
      </w:pPr>
    </w:p>
    <w:p w14:paraId="71BC3626" w14:textId="444DB453" w:rsidR="007171DA" w:rsidRDefault="007171DA" w:rsidP="003B43C7">
      <w:pPr>
        <w:pStyle w:val="BodyText4"/>
        <w:spacing w:after="200"/>
        <w:jc w:val="center"/>
        <w:rPr>
          <w:rFonts w:asciiTheme="minorHAnsi" w:hAnsiTheme="minorHAnsi"/>
          <w:b/>
          <w:bCs/>
          <w:color w:val="4472C4" w:themeColor="accent1"/>
          <w:sz w:val="24"/>
          <w:szCs w:val="12"/>
        </w:rPr>
      </w:pPr>
      <w:r w:rsidRPr="003B43C7">
        <w:rPr>
          <w:rFonts w:asciiTheme="minorHAnsi" w:hAnsiTheme="minorHAnsi"/>
          <w:b/>
          <w:bCs/>
          <w:color w:val="4472C4" w:themeColor="accent1"/>
          <w:sz w:val="24"/>
          <w:szCs w:val="12"/>
        </w:rPr>
        <w:t>Board of Accountancy – CPAs Accredited in Commerce and Industry</w:t>
      </w:r>
    </w:p>
    <w:tbl>
      <w:tblPr>
        <w:tblStyle w:val="GridTable4-Accent5"/>
        <w:tblW w:w="5000" w:type="pct"/>
        <w:jc w:val="center"/>
        <w:tblCellMar>
          <w:left w:w="0" w:type="dxa"/>
          <w:right w:w="0" w:type="dxa"/>
        </w:tblCellMar>
        <w:tblLook w:val="04A0" w:firstRow="1" w:lastRow="0" w:firstColumn="1" w:lastColumn="0" w:noHBand="0" w:noVBand="1"/>
      </w:tblPr>
      <w:tblGrid>
        <w:gridCol w:w="4397"/>
        <w:gridCol w:w="78"/>
        <w:gridCol w:w="4551"/>
      </w:tblGrid>
      <w:tr w:rsidR="00A07F14" w:rsidRPr="005056AE" w14:paraId="3FDC3D14" w14:textId="77777777" w:rsidTr="002A396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gridSpan w:val="3"/>
            <w:tcBorders>
              <w:top w:val="nil"/>
              <w:left w:val="nil"/>
              <w:bottom w:val="single" w:sz="4" w:space="0" w:color="FFFFFF" w:themeColor="background1"/>
              <w:right w:val="nil"/>
            </w:tcBorders>
            <w:shd w:val="clear" w:color="auto" w:fill="4472C4"/>
            <w:vAlign w:val="center"/>
          </w:tcPr>
          <w:p w14:paraId="20F3B10E" w14:textId="15B59BFA" w:rsidR="00A07F14" w:rsidRPr="007E1503" w:rsidRDefault="007E1503" w:rsidP="003E72E8">
            <w:pPr>
              <w:pStyle w:val="BodyText4"/>
              <w:spacing w:line="276" w:lineRule="auto"/>
              <w:jc w:val="center"/>
              <w:rPr>
                <w:rFonts w:asciiTheme="minorHAnsi" w:hAnsiTheme="minorHAnsi"/>
                <w:b w:val="0"/>
                <w:szCs w:val="22"/>
              </w:rPr>
            </w:pPr>
            <w:r w:rsidRPr="007E1503">
              <w:rPr>
                <w:rFonts w:asciiTheme="minorHAnsi" w:hAnsiTheme="minorHAnsi"/>
                <w:sz w:val="20"/>
                <w:szCs w:val="22"/>
              </w:rPr>
              <w:t>TABLE F</w:t>
            </w:r>
          </w:p>
        </w:tc>
      </w:tr>
      <w:tr w:rsidR="007E1503" w:rsidRPr="005056AE" w14:paraId="078EC820" w14:textId="77777777" w:rsidTr="002A396B">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493" w:type="pct"/>
            <w:tcBorders>
              <w:top w:val="single" w:sz="4" w:space="0" w:color="FFFFFF" w:themeColor="background1"/>
              <w:left w:val="nil"/>
              <w:bottom w:val="nil"/>
            </w:tcBorders>
            <w:shd w:val="clear" w:color="auto" w:fill="auto"/>
          </w:tcPr>
          <w:tbl>
            <w:tblPr>
              <w:tblStyle w:val="GridTable4-Accent5"/>
              <w:tblW w:w="0" w:type="auto"/>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CellMar>
                <w:left w:w="115" w:type="dxa"/>
                <w:right w:w="115" w:type="dxa"/>
              </w:tblCellMar>
              <w:tblLook w:val="04A0" w:firstRow="1" w:lastRow="0" w:firstColumn="1" w:lastColumn="0" w:noHBand="0" w:noVBand="1"/>
            </w:tblPr>
            <w:tblGrid>
              <w:gridCol w:w="1389"/>
              <w:gridCol w:w="1126"/>
              <w:gridCol w:w="901"/>
              <w:gridCol w:w="931"/>
            </w:tblGrid>
            <w:tr w:rsidR="007E1503" w:rsidRPr="002B355C" w14:paraId="35F015E1" w14:textId="77777777" w:rsidTr="00BC5FDF">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1389" w:type="dxa"/>
                  <w:tcBorders>
                    <w:top w:val="nil"/>
                    <w:right w:val="single" w:sz="4" w:space="0" w:color="FFFFFF" w:themeColor="background1"/>
                  </w:tcBorders>
                  <w:shd w:val="clear" w:color="auto" w:fill="4472C4"/>
                  <w:noWrap/>
                  <w:vAlign w:val="center"/>
                  <w:hideMark/>
                </w:tcPr>
                <w:p w14:paraId="7FBA6C19" w14:textId="77777777" w:rsidR="007E1503" w:rsidRPr="00A07F14" w:rsidRDefault="007E1503" w:rsidP="007E1503">
                  <w:pPr>
                    <w:spacing w:after="0" w:line="240" w:lineRule="auto"/>
                    <w:jc w:val="center"/>
                    <w:rPr>
                      <w:rFonts w:eastAsia="Times New Roman" w:cs="Calibri"/>
                      <w:bCs w:val="0"/>
                      <w:sz w:val="15"/>
                      <w:szCs w:val="15"/>
                    </w:rPr>
                  </w:pPr>
                  <w:r w:rsidRPr="00A07F14">
                    <w:rPr>
                      <w:rFonts w:eastAsia="MS Gothic" w:cs="Arial"/>
                      <w:kern w:val="32"/>
                      <w:sz w:val="15"/>
                      <w:szCs w:val="15"/>
                    </w:rPr>
                    <w:br w:type="page"/>
                  </w:r>
                  <w:r w:rsidRPr="00A07F14">
                    <w:rPr>
                      <w:rFonts w:eastAsia="Times New Roman" w:cs="Calibri"/>
                      <w:bCs w:val="0"/>
                      <w:sz w:val="15"/>
                      <w:szCs w:val="15"/>
                    </w:rPr>
                    <w:t>Province</w:t>
                  </w:r>
                </w:p>
              </w:tc>
              <w:tc>
                <w:tcPr>
                  <w:tcW w:w="1126" w:type="dxa"/>
                  <w:tcBorders>
                    <w:top w:val="nil"/>
                    <w:left w:val="single" w:sz="4" w:space="0" w:color="FFFFFF" w:themeColor="background1"/>
                    <w:right w:val="single" w:sz="4" w:space="0" w:color="FFFFFF" w:themeColor="background1"/>
                  </w:tcBorders>
                  <w:shd w:val="clear" w:color="auto" w:fill="4472C4"/>
                  <w:noWrap/>
                  <w:vAlign w:val="center"/>
                  <w:hideMark/>
                </w:tcPr>
                <w:p w14:paraId="2DD1EF72" w14:textId="77777777" w:rsidR="007E1503" w:rsidRPr="00A07F14" w:rsidRDefault="007E1503" w:rsidP="007E15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15"/>
                      <w:szCs w:val="15"/>
                    </w:rPr>
                  </w:pPr>
                  <w:r w:rsidRPr="00A07F14">
                    <w:rPr>
                      <w:rFonts w:eastAsia="Times New Roman" w:cs="Calibri"/>
                      <w:bCs w:val="0"/>
                      <w:sz w:val="15"/>
                      <w:szCs w:val="15"/>
                    </w:rPr>
                    <w:t>Entities with gross income &gt; 10M</w:t>
                  </w:r>
                </w:p>
              </w:tc>
              <w:tc>
                <w:tcPr>
                  <w:tcW w:w="720" w:type="dxa"/>
                  <w:tcBorders>
                    <w:top w:val="nil"/>
                    <w:left w:val="single" w:sz="4" w:space="0" w:color="FFFFFF" w:themeColor="background1"/>
                    <w:right w:val="single" w:sz="4" w:space="0" w:color="FFFFFF" w:themeColor="background1"/>
                  </w:tcBorders>
                  <w:shd w:val="clear" w:color="auto" w:fill="4472C4"/>
                  <w:noWrap/>
                  <w:vAlign w:val="center"/>
                  <w:hideMark/>
                </w:tcPr>
                <w:p w14:paraId="69DBC5B3" w14:textId="77777777" w:rsidR="007E1503" w:rsidRPr="00A07F14" w:rsidRDefault="007E1503" w:rsidP="007E15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15"/>
                      <w:szCs w:val="15"/>
                    </w:rPr>
                  </w:pPr>
                  <w:r w:rsidRPr="00A07F14">
                    <w:rPr>
                      <w:rFonts w:eastAsia="Times New Roman" w:cs="Calibri"/>
                      <w:bCs w:val="0"/>
                      <w:sz w:val="15"/>
                      <w:szCs w:val="15"/>
                    </w:rPr>
                    <w:t>CPAs Accredited</w:t>
                  </w:r>
                </w:p>
              </w:tc>
              <w:tc>
                <w:tcPr>
                  <w:tcW w:w="931" w:type="dxa"/>
                  <w:tcBorders>
                    <w:top w:val="nil"/>
                    <w:left w:val="single" w:sz="4" w:space="0" w:color="FFFFFF" w:themeColor="background1"/>
                  </w:tcBorders>
                  <w:shd w:val="clear" w:color="auto" w:fill="4472C4"/>
                  <w:noWrap/>
                  <w:vAlign w:val="center"/>
                  <w:hideMark/>
                </w:tcPr>
                <w:p w14:paraId="2F3C4356" w14:textId="77777777" w:rsidR="007E1503" w:rsidRPr="00A07F14" w:rsidRDefault="007E1503" w:rsidP="007E15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15"/>
                      <w:szCs w:val="15"/>
                    </w:rPr>
                  </w:pPr>
                  <w:r w:rsidRPr="00A07F14">
                    <w:rPr>
                      <w:rFonts w:eastAsia="Times New Roman" w:cs="Calibri"/>
                      <w:bCs w:val="0"/>
                      <w:sz w:val="15"/>
                      <w:szCs w:val="15"/>
                    </w:rPr>
                    <w:t>Enterprises per CPA Ratio</w:t>
                  </w:r>
                </w:p>
              </w:tc>
            </w:tr>
            <w:tr w:rsidR="007E1503" w:rsidRPr="002B355C" w14:paraId="603A3E33"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56843832"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Abra</w:t>
                  </w:r>
                  <w:proofErr w:type="spellEnd"/>
                </w:p>
              </w:tc>
              <w:tc>
                <w:tcPr>
                  <w:tcW w:w="1126" w:type="dxa"/>
                  <w:shd w:val="clear" w:color="auto" w:fill="auto"/>
                  <w:noWrap/>
                  <w:vAlign w:val="center"/>
                  <w:hideMark/>
                </w:tcPr>
                <w:p w14:paraId="296CBFBD"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41</w:t>
                  </w:r>
                </w:p>
              </w:tc>
              <w:tc>
                <w:tcPr>
                  <w:tcW w:w="720" w:type="dxa"/>
                  <w:shd w:val="clear" w:color="auto" w:fill="auto"/>
                  <w:noWrap/>
                  <w:vAlign w:val="center"/>
                  <w:hideMark/>
                </w:tcPr>
                <w:p w14:paraId="4C048CE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659D57B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7B73CE98"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35711201"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Agusan</w:t>
                  </w:r>
                  <w:proofErr w:type="spellEnd"/>
                  <w:r w:rsidRPr="002B355C">
                    <w:rPr>
                      <w:rFonts w:eastAsia="Times New Roman" w:cs="Calibri"/>
                      <w:color w:val="000000"/>
                      <w:sz w:val="15"/>
                      <w:szCs w:val="15"/>
                    </w:rPr>
                    <w:t xml:space="preserve"> Del Norte</w:t>
                  </w:r>
                </w:p>
              </w:tc>
              <w:tc>
                <w:tcPr>
                  <w:tcW w:w="1126" w:type="dxa"/>
                  <w:shd w:val="clear" w:color="auto" w:fill="auto"/>
                  <w:noWrap/>
                  <w:vAlign w:val="center"/>
                  <w:hideMark/>
                </w:tcPr>
                <w:p w14:paraId="4DCC844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242</w:t>
                  </w:r>
                </w:p>
              </w:tc>
              <w:tc>
                <w:tcPr>
                  <w:tcW w:w="720" w:type="dxa"/>
                  <w:shd w:val="clear" w:color="auto" w:fill="auto"/>
                  <w:noWrap/>
                  <w:vAlign w:val="center"/>
                  <w:hideMark/>
                </w:tcPr>
                <w:p w14:paraId="39FBA8C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5</w:t>
                  </w:r>
                </w:p>
              </w:tc>
              <w:tc>
                <w:tcPr>
                  <w:tcW w:w="931" w:type="dxa"/>
                  <w:shd w:val="clear" w:color="auto" w:fill="auto"/>
                  <w:noWrap/>
                  <w:vAlign w:val="center"/>
                  <w:hideMark/>
                </w:tcPr>
                <w:p w14:paraId="0686C65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48</w:t>
                  </w:r>
                </w:p>
              </w:tc>
            </w:tr>
            <w:tr w:rsidR="007E1503" w:rsidRPr="002B355C" w14:paraId="43B2A519"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24C99901"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Agusan</w:t>
                  </w:r>
                  <w:proofErr w:type="spellEnd"/>
                  <w:r w:rsidRPr="002B355C">
                    <w:rPr>
                      <w:rFonts w:eastAsia="Times New Roman" w:cs="Calibri"/>
                      <w:color w:val="000000"/>
                      <w:sz w:val="15"/>
                      <w:szCs w:val="15"/>
                    </w:rPr>
                    <w:t xml:space="preserve"> Del Sur</w:t>
                  </w:r>
                </w:p>
              </w:tc>
              <w:tc>
                <w:tcPr>
                  <w:tcW w:w="1126" w:type="dxa"/>
                  <w:shd w:val="clear" w:color="auto" w:fill="auto"/>
                  <w:noWrap/>
                  <w:vAlign w:val="center"/>
                  <w:hideMark/>
                </w:tcPr>
                <w:p w14:paraId="64FF7189"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75</w:t>
                  </w:r>
                </w:p>
              </w:tc>
              <w:tc>
                <w:tcPr>
                  <w:tcW w:w="720" w:type="dxa"/>
                  <w:shd w:val="clear" w:color="auto" w:fill="auto"/>
                  <w:noWrap/>
                  <w:vAlign w:val="center"/>
                  <w:hideMark/>
                </w:tcPr>
                <w:p w14:paraId="36B37B1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1E8732C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7704325C"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37749683"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Aklan</w:t>
                  </w:r>
                </w:p>
              </w:tc>
              <w:tc>
                <w:tcPr>
                  <w:tcW w:w="1126" w:type="dxa"/>
                  <w:shd w:val="clear" w:color="auto" w:fill="auto"/>
                  <w:noWrap/>
                  <w:vAlign w:val="center"/>
                  <w:hideMark/>
                </w:tcPr>
                <w:p w14:paraId="0EBEDEA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219</w:t>
                  </w:r>
                </w:p>
              </w:tc>
              <w:tc>
                <w:tcPr>
                  <w:tcW w:w="720" w:type="dxa"/>
                  <w:shd w:val="clear" w:color="auto" w:fill="auto"/>
                  <w:noWrap/>
                  <w:vAlign w:val="center"/>
                  <w:hideMark/>
                </w:tcPr>
                <w:p w14:paraId="4B7190CD"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7</w:t>
                  </w:r>
                </w:p>
              </w:tc>
              <w:tc>
                <w:tcPr>
                  <w:tcW w:w="931" w:type="dxa"/>
                  <w:shd w:val="clear" w:color="auto" w:fill="auto"/>
                  <w:noWrap/>
                  <w:vAlign w:val="center"/>
                  <w:hideMark/>
                </w:tcPr>
                <w:p w14:paraId="5ECCEF46"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31</w:t>
                  </w:r>
                </w:p>
              </w:tc>
            </w:tr>
            <w:tr w:rsidR="007E1503" w:rsidRPr="002B355C" w14:paraId="5B2B0713"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770CDCC5"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Albay</w:t>
                  </w:r>
                </w:p>
              </w:tc>
              <w:tc>
                <w:tcPr>
                  <w:tcW w:w="1126" w:type="dxa"/>
                  <w:shd w:val="clear" w:color="auto" w:fill="auto"/>
                  <w:noWrap/>
                  <w:vAlign w:val="center"/>
                  <w:hideMark/>
                </w:tcPr>
                <w:p w14:paraId="437E5A64"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430</w:t>
                  </w:r>
                </w:p>
              </w:tc>
              <w:tc>
                <w:tcPr>
                  <w:tcW w:w="720" w:type="dxa"/>
                  <w:shd w:val="clear" w:color="auto" w:fill="auto"/>
                  <w:noWrap/>
                  <w:vAlign w:val="center"/>
                  <w:hideMark/>
                </w:tcPr>
                <w:p w14:paraId="615E8CA9"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9</w:t>
                  </w:r>
                </w:p>
              </w:tc>
              <w:tc>
                <w:tcPr>
                  <w:tcW w:w="931" w:type="dxa"/>
                  <w:shd w:val="clear" w:color="auto" w:fill="auto"/>
                  <w:noWrap/>
                  <w:vAlign w:val="center"/>
                  <w:hideMark/>
                </w:tcPr>
                <w:p w14:paraId="0347238A"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48</w:t>
                  </w:r>
                </w:p>
              </w:tc>
            </w:tr>
            <w:tr w:rsidR="007E1503" w:rsidRPr="002B355C" w14:paraId="07675393"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CBB489C"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Antique</w:t>
                  </w:r>
                </w:p>
              </w:tc>
              <w:tc>
                <w:tcPr>
                  <w:tcW w:w="1126" w:type="dxa"/>
                  <w:shd w:val="clear" w:color="auto" w:fill="auto"/>
                  <w:noWrap/>
                  <w:vAlign w:val="center"/>
                  <w:hideMark/>
                </w:tcPr>
                <w:p w14:paraId="57DD57F2"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94</w:t>
                  </w:r>
                </w:p>
              </w:tc>
              <w:tc>
                <w:tcPr>
                  <w:tcW w:w="720" w:type="dxa"/>
                  <w:shd w:val="clear" w:color="auto" w:fill="auto"/>
                  <w:noWrap/>
                  <w:vAlign w:val="center"/>
                  <w:hideMark/>
                </w:tcPr>
                <w:p w14:paraId="6183BF7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w:t>
                  </w:r>
                </w:p>
              </w:tc>
              <w:tc>
                <w:tcPr>
                  <w:tcW w:w="931" w:type="dxa"/>
                  <w:shd w:val="clear" w:color="auto" w:fill="auto"/>
                  <w:noWrap/>
                  <w:vAlign w:val="center"/>
                  <w:hideMark/>
                </w:tcPr>
                <w:p w14:paraId="16564A26"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31</w:t>
                  </w:r>
                </w:p>
              </w:tc>
            </w:tr>
            <w:tr w:rsidR="007E1503" w:rsidRPr="002B355C" w14:paraId="2CC4AF52"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21FDD19F"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Apayao</w:t>
                  </w:r>
                  <w:proofErr w:type="spellEnd"/>
                </w:p>
              </w:tc>
              <w:tc>
                <w:tcPr>
                  <w:tcW w:w="1126" w:type="dxa"/>
                  <w:shd w:val="clear" w:color="auto" w:fill="auto"/>
                  <w:noWrap/>
                  <w:vAlign w:val="center"/>
                  <w:hideMark/>
                </w:tcPr>
                <w:p w14:paraId="215F827A"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720" w:type="dxa"/>
                  <w:shd w:val="clear" w:color="auto" w:fill="auto"/>
                  <w:noWrap/>
                  <w:vAlign w:val="center"/>
                  <w:hideMark/>
                </w:tcPr>
                <w:p w14:paraId="681D414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455D70F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564DE460"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086979C"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Aurora</w:t>
                  </w:r>
                </w:p>
              </w:tc>
              <w:tc>
                <w:tcPr>
                  <w:tcW w:w="1126" w:type="dxa"/>
                  <w:shd w:val="clear" w:color="auto" w:fill="auto"/>
                  <w:noWrap/>
                  <w:vAlign w:val="center"/>
                  <w:hideMark/>
                </w:tcPr>
                <w:p w14:paraId="167305B4"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41</w:t>
                  </w:r>
                </w:p>
              </w:tc>
              <w:tc>
                <w:tcPr>
                  <w:tcW w:w="720" w:type="dxa"/>
                  <w:shd w:val="clear" w:color="auto" w:fill="auto"/>
                  <w:noWrap/>
                  <w:vAlign w:val="center"/>
                  <w:hideMark/>
                </w:tcPr>
                <w:p w14:paraId="55AE8F8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24C5E0CD"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698B6C8B"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053F10CB"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Basilan</w:t>
                  </w:r>
                </w:p>
              </w:tc>
              <w:tc>
                <w:tcPr>
                  <w:tcW w:w="1126" w:type="dxa"/>
                  <w:shd w:val="clear" w:color="auto" w:fill="auto"/>
                  <w:noWrap/>
                  <w:vAlign w:val="center"/>
                  <w:hideMark/>
                </w:tcPr>
                <w:p w14:paraId="5F73EE05"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17</w:t>
                  </w:r>
                </w:p>
              </w:tc>
              <w:tc>
                <w:tcPr>
                  <w:tcW w:w="720" w:type="dxa"/>
                  <w:shd w:val="clear" w:color="auto" w:fill="auto"/>
                  <w:noWrap/>
                  <w:vAlign w:val="center"/>
                  <w:hideMark/>
                </w:tcPr>
                <w:p w14:paraId="7D7F317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1398D76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1C35356A"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24CFF534"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Bataan</w:t>
                  </w:r>
                </w:p>
              </w:tc>
              <w:tc>
                <w:tcPr>
                  <w:tcW w:w="1126" w:type="dxa"/>
                  <w:shd w:val="clear" w:color="auto" w:fill="auto"/>
                  <w:noWrap/>
                  <w:vAlign w:val="center"/>
                  <w:hideMark/>
                </w:tcPr>
                <w:p w14:paraId="58FE842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393</w:t>
                  </w:r>
                </w:p>
              </w:tc>
              <w:tc>
                <w:tcPr>
                  <w:tcW w:w="720" w:type="dxa"/>
                  <w:shd w:val="clear" w:color="auto" w:fill="auto"/>
                  <w:noWrap/>
                  <w:vAlign w:val="center"/>
                  <w:hideMark/>
                </w:tcPr>
                <w:p w14:paraId="3721028B"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19</w:t>
                  </w:r>
                </w:p>
              </w:tc>
              <w:tc>
                <w:tcPr>
                  <w:tcW w:w="931" w:type="dxa"/>
                  <w:shd w:val="clear" w:color="auto" w:fill="auto"/>
                  <w:noWrap/>
                  <w:vAlign w:val="center"/>
                  <w:hideMark/>
                </w:tcPr>
                <w:p w14:paraId="086B6CA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21</w:t>
                  </w:r>
                </w:p>
              </w:tc>
            </w:tr>
            <w:tr w:rsidR="007E1503" w:rsidRPr="002B355C" w14:paraId="6277A19A"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404EF40E"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Batanes</w:t>
                  </w:r>
                </w:p>
              </w:tc>
              <w:tc>
                <w:tcPr>
                  <w:tcW w:w="1126" w:type="dxa"/>
                  <w:shd w:val="clear" w:color="auto" w:fill="auto"/>
                  <w:noWrap/>
                  <w:vAlign w:val="center"/>
                  <w:hideMark/>
                </w:tcPr>
                <w:p w14:paraId="2FF5A10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720" w:type="dxa"/>
                  <w:shd w:val="clear" w:color="auto" w:fill="auto"/>
                  <w:noWrap/>
                  <w:vAlign w:val="center"/>
                  <w:hideMark/>
                </w:tcPr>
                <w:p w14:paraId="7D2FE24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3109DD3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5338D62E"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227F7401"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Batangas</w:t>
                  </w:r>
                  <w:proofErr w:type="spellEnd"/>
                </w:p>
              </w:tc>
              <w:tc>
                <w:tcPr>
                  <w:tcW w:w="1126" w:type="dxa"/>
                  <w:shd w:val="clear" w:color="auto" w:fill="auto"/>
                  <w:noWrap/>
                  <w:vAlign w:val="center"/>
                  <w:hideMark/>
                </w:tcPr>
                <w:p w14:paraId="0E9202C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1465</w:t>
                  </w:r>
                </w:p>
              </w:tc>
              <w:tc>
                <w:tcPr>
                  <w:tcW w:w="720" w:type="dxa"/>
                  <w:shd w:val="clear" w:color="auto" w:fill="auto"/>
                  <w:noWrap/>
                  <w:vAlign w:val="center"/>
                  <w:hideMark/>
                </w:tcPr>
                <w:p w14:paraId="1281AA3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74</w:t>
                  </w:r>
                </w:p>
              </w:tc>
              <w:tc>
                <w:tcPr>
                  <w:tcW w:w="931" w:type="dxa"/>
                  <w:shd w:val="clear" w:color="auto" w:fill="auto"/>
                  <w:noWrap/>
                  <w:vAlign w:val="center"/>
                  <w:hideMark/>
                </w:tcPr>
                <w:p w14:paraId="136CE27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20</w:t>
                  </w:r>
                </w:p>
              </w:tc>
            </w:tr>
            <w:tr w:rsidR="007E1503" w:rsidRPr="002B355C" w14:paraId="56BB0F4B"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467D9294"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Benguet</w:t>
                  </w:r>
                </w:p>
              </w:tc>
              <w:tc>
                <w:tcPr>
                  <w:tcW w:w="1126" w:type="dxa"/>
                  <w:shd w:val="clear" w:color="auto" w:fill="auto"/>
                  <w:noWrap/>
                  <w:vAlign w:val="center"/>
                  <w:hideMark/>
                </w:tcPr>
                <w:p w14:paraId="5A6D18D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485</w:t>
                  </w:r>
                </w:p>
              </w:tc>
              <w:tc>
                <w:tcPr>
                  <w:tcW w:w="720" w:type="dxa"/>
                  <w:shd w:val="clear" w:color="auto" w:fill="auto"/>
                  <w:noWrap/>
                  <w:vAlign w:val="center"/>
                  <w:hideMark/>
                </w:tcPr>
                <w:p w14:paraId="26600C7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45</w:t>
                  </w:r>
                </w:p>
              </w:tc>
              <w:tc>
                <w:tcPr>
                  <w:tcW w:w="931" w:type="dxa"/>
                  <w:shd w:val="clear" w:color="auto" w:fill="auto"/>
                  <w:noWrap/>
                  <w:vAlign w:val="center"/>
                  <w:hideMark/>
                </w:tcPr>
                <w:p w14:paraId="4DC9EDF8"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11</w:t>
                  </w:r>
                </w:p>
              </w:tc>
            </w:tr>
            <w:tr w:rsidR="007E1503" w:rsidRPr="002B355C" w14:paraId="7299711C"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6146A608"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Biliran</w:t>
                  </w:r>
                  <w:proofErr w:type="spellEnd"/>
                </w:p>
              </w:tc>
              <w:tc>
                <w:tcPr>
                  <w:tcW w:w="1126" w:type="dxa"/>
                  <w:shd w:val="clear" w:color="auto" w:fill="auto"/>
                  <w:noWrap/>
                  <w:vAlign w:val="center"/>
                  <w:hideMark/>
                </w:tcPr>
                <w:p w14:paraId="6E5C6F6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720" w:type="dxa"/>
                  <w:shd w:val="clear" w:color="auto" w:fill="auto"/>
                  <w:noWrap/>
                  <w:vAlign w:val="center"/>
                  <w:hideMark/>
                </w:tcPr>
                <w:p w14:paraId="6B2B7F5D"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7EC1F9C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r>
            <w:tr w:rsidR="007E1503" w:rsidRPr="002B355C" w14:paraId="7CBCA988"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03952335"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Bohol</w:t>
                  </w:r>
                </w:p>
              </w:tc>
              <w:tc>
                <w:tcPr>
                  <w:tcW w:w="1126" w:type="dxa"/>
                  <w:shd w:val="clear" w:color="auto" w:fill="auto"/>
                  <w:noWrap/>
                  <w:vAlign w:val="center"/>
                  <w:hideMark/>
                </w:tcPr>
                <w:p w14:paraId="0B74484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228</w:t>
                  </w:r>
                </w:p>
              </w:tc>
              <w:tc>
                <w:tcPr>
                  <w:tcW w:w="720" w:type="dxa"/>
                  <w:shd w:val="clear" w:color="auto" w:fill="auto"/>
                  <w:noWrap/>
                  <w:vAlign w:val="center"/>
                  <w:hideMark/>
                </w:tcPr>
                <w:p w14:paraId="0704883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16</w:t>
                  </w:r>
                </w:p>
              </w:tc>
              <w:tc>
                <w:tcPr>
                  <w:tcW w:w="931" w:type="dxa"/>
                  <w:shd w:val="clear" w:color="auto" w:fill="auto"/>
                  <w:noWrap/>
                  <w:vAlign w:val="center"/>
                  <w:hideMark/>
                </w:tcPr>
                <w:p w14:paraId="53EB162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14</w:t>
                  </w:r>
                </w:p>
              </w:tc>
            </w:tr>
            <w:tr w:rsidR="007E1503" w:rsidRPr="002B355C" w14:paraId="0BDA93D7"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6CC0B36D"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Bukidnon</w:t>
                  </w:r>
                </w:p>
              </w:tc>
              <w:tc>
                <w:tcPr>
                  <w:tcW w:w="1126" w:type="dxa"/>
                  <w:shd w:val="clear" w:color="auto" w:fill="auto"/>
                  <w:noWrap/>
                  <w:vAlign w:val="center"/>
                  <w:hideMark/>
                </w:tcPr>
                <w:p w14:paraId="37B04187"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341</w:t>
                  </w:r>
                </w:p>
              </w:tc>
              <w:tc>
                <w:tcPr>
                  <w:tcW w:w="720" w:type="dxa"/>
                  <w:shd w:val="clear" w:color="auto" w:fill="auto"/>
                  <w:noWrap/>
                  <w:vAlign w:val="center"/>
                  <w:hideMark/>
                </w:tcPr>
                <w:p w14:paraId="7FCEA54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4</w:t>
                  </w:r>
                </w:p>
              </w:tc>
              <w:tc>
                <w:tcPr>
                  <w:tcW w:w="931" w:type="dxa"/>
                  <w:shd w:val="clear" w:color="auto" w:fill="auto"/>
                  <w:noWrap/>
                  <w:vAlign w:val="center"/>
                  <w:hideMark/>
                </w:tcPr>
                <w:p w14:paraId="35A8128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85</w:t>
                  </w:r>
                </w:p>
              </w:tc>
            </w:tr>
            <w:tr w:rsidR="007E1503" w:rsidRPr="002B355C" w14:paraId="104CA4AF"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5B6662B0"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Bulacan</w:t>
                  </w:r>
                  <w:proofErr w:type="spellEnd"/>
                </w:p>
              </w:tc>
              <w:tc>
                <w:tcPr>
                  <w:tcW w:w="1126" w:type="dxa"/>
                  <w:shd w:val="clear" w:color="auto" w:fill="auto"/>
                  <w:noWrap/>
                  <w:vAlign w:val="center"/>
                  <w:hideMark/>
                </w:tcPr>
                <w:p w14:paraId="01E4F40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1894</w:t>
                  </w:r>
                </w:p>
              </w:tc>
              <w:tc>
                <w:tcPr>
                  <w:tcW w:w="720" w:type="dxa"/>
                  <w:shd w:val="clear" w:color="auto" w:fill="auto"/>
                  <w:noWrap/>
                  <w:vAlign w:val="center"/>
                  <w:hideMark/>
                </w:tcPr>
                <w:p w14:paraId="4771535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30</w:t>
                  </w:r>
                </w:p>
              </w:tc>
              <w:tc>
                <w:tcPr>
                  <w:tcW w:w="931" w:type="dxa"/>
                  <w:shd w:val="clear" w:color="auto" w:fill="auto"/>
                  <w:noWrap/>
                  <w:vAlign w:val="center"/>
                  <w:hideMark/>
                </w:tcPr>
                <w:p w14:paraId="61979C1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63</w:t>
                  </w:r>
                </w:p>
              </w:tc>
            </w:tr>
            <w:tr w:rsidR="007E1503" w:rsidRPr="002B355C" w14:paraId="2984D5AA"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67567E20"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Cagayan</w:t>
                  </w:r>
                </w:p>
              </w:tc>
              <w:tc>
                <w:tcPr>
                  <w:tcW w:w="1126" w:type="dxa"/>
                  <w:shd w:val="clear" w:color="auto" w:fill="auto"/>
                  <w:noWrap/>
                  <w:vAlign w:val="center"/>
                  <w:hideMark/>
                </w:tcPr>
                <w:p w14:paraId="7C31866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428</w:t>
                  </w:r>
                </w:p>
              </w:tc>
              <w:tc>
                <w:tcPr>
                  <w:tcW w:w="720" w:type="dxa"/>
                  <w:shd w:val="clear" w:color="auto" w:fill="auto"/>
                  <w:noWrap/>
                  <w:vAlign w:val="center"/>
                  <w:hideMark/>
                </w:tcPr>
                <w:p w14:paraId="12FF575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7</w:t>
                  </w:r>
                </w:p>
              </w:tc>
              <w:tc>
                <w:tcPr>
                  <w:tcW w:w="931" w:type="dxa"/>
                  <w:shd w:val="clear" w:color="auto" w:fill="auto"/>
                  <w:noWrap/>
                  <w:vAlign w:val="center"/>
                  <w:hideMark/>
                </w:tcPr>
                <w:p w14:paraId="68C6B11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61</w:t>
                  </w:r>
                </w:p>
              </w:tc>
            </w:tr>
            <w:tr w:rsidR="007E1503" w:rsidRPr="002B355C" w14:paraId="39F769CB"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68059C78"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Camarines</w:t>
                  </w:r>
                  <w:proofErr w:type="spellEnd"/>
                  <w:r w:rsidRPr="002B355C">
                    <w:rPr>
                      <w:rFonts w:eastAsia="Times New Roman" w:cs="Calibri"/>
                      <w:color w:val="000000"/>
                      <w:sz w:val="15"/>
                      <w:szCs w:val="15"/>
                    </w:rPr>
                    <w:t xml:space="preserve"> Norte</w:t>
                  </w:r>
                </w:p>
              </w:tc>
              <w:tc>
                <w:tcPr>
                  <w:tcW w:w="1126" w:type="dxa"/>
                  <w:shd w:val="clear" w:color="auto" w:fill="auto"/>
                  <w:noWrap/>
                  <w:vAlign w:val="center"/>
                  <w:hideMark/>
                </w:tcPr>
                <w:p w14:paraId="3A508CE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140</w:t>
                  </w:r>
                </w:p>
              </w:tc>
              <w:tc>
                <w:tcPr>
                  <w:tcW w:w="720" w:type="dxa"/>
                  <w:shd w:val="clear" w:color="auto" w:fill="auto"/>
                  <w:noWrap/>
                  <w:vAlign w:val="center"/>
                  <w:hideMark/>
                </w:tcPr>
                <w:p w14:paraId="3F3A1D3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337F694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140</w:t>
                  </w:r>
                </w:p>
              </w:tc>
            </w:tr>
            <w:tr w:rsidR="007E1503" w:rsidRPr="002B355C" w14:paraId="07FE2A4E"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63A25AC6"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Camarines</w:t>
                  </w:r>
                  <w:proofErr w:type="spellEnd"/>
                  <w:r w:rsidRPr="002B355C">
                    <w:rPr>
                      <w:rFonts w:eastAsia="Times New Roman" w:cs="Calibri"/>
                      <w:color w:val="000000"/>
                      <w:sz w:val="15"/>
                      <w:szCs w:val="15"/>
                    </w:rPr>
                    <w:t xml:space="preserve"> Sur</w:t>
                  </w:r>
                </w:p>
              </w:tc>
              <w:tc>
                <w:tcPr>
                  <w:tcW w:w="1126" w:type="dxa"/>
                  <w:shd w:val="clear" w:color="auto" w:fill="auto"/>
                  <w:noWrap/>
                  <w:vAlign w:val="center"/>
                  <w:hideMark/>
                </w:tcPr>
                <w:p w14:paraId="66814973"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429</w:t>
                  </w:r>
                </w:p>
              </w:tc>
              <w:tc>
                <w:tcPr>
                  <w:tcW w:w="720" w:type="dxa"/>
                  <w:shd w:val="clear" w:color="auto" w:fill="auto"/>
                  <w:noWrap/>
                  <w:vAlign w:val="center"/>
                  <w:hideMark/>
                </w:tcPr>
                <w:p w14:paraId="08EBB3B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17</w:t>
                  </w:r>
                </w:p>
              </w:tc>
              <w:tc>
                <w:tcPr>
                  <w:tcW w:w="931" w:type="dxa"/>
                  <w:shd w:val="clear" w:color="auto" w:fill="auto"/>
                  <w:noWrap/>
                  <w:vAlign w:val="center"/>
                  <w:hideMark/>
                </w:tcPr>
                <w:p w14:paraId="555A65B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25</w:t>
                  </w:r>
                </w:p>
              </w:tc>
            </w:tr>
            <w:tr w:rsidR="007E1503" w:rsidRPr="002B355C" w14:paraId="207DE79C"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3CA9A49D"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Camiguin</w:t>
                  </w:r>
                  <w:proofErr w:type="spellEnd"/>
                </w:p>
              </w:tc>
              <w:tc>
                <w:tcPr>
                  <w:tcW w:w="1126" w:type="dxa"/>
                  <w:shd w:val="clear" w:color="auto" w:fill="auto"/>
                  <w:noWrap/>
                  <w:vAlign w:val="center"/>
                  <w:hideMark/>
                </w:tcPr>
                <w:p w14:paraId="531CF04D"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720" w:type="dxa"/>
                  <w:shd w:val="clear" w:color="auto" w:fill="auto"/>
                  <w:noWrap/>
                  <w:vAlign w:val="center"/>
                  <w:hideMark/>
                </w:tcPr>
                <w:p w14:paraId="183BAEF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44B2F56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r>
            <w:tr w:rsidR="007E1503" w:rsidRPr="002B355C" w14:paraId="159B03A2"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92B0811"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Capiz</w:t>
                  </w:r>
                  <w:proofErr w:type="spellEnd"/>
                </w:p>
              </w:tc>
              <w:tc>
                <w:tcPr>
                  <w:tcW w:w="1126" w:type="dxa"/>
                  <w:shd w:val="clear" w:color="auto" w:fill="auto"/>
                  <w:noWrap/>
                  <w:vAlign w:val="center"/>
                  <w:hideMark/>
                </w:tcPr>
                <w:p w14:paraId="22E13717"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139</w:t>
                  </w:r>
                </w:p>
              </w:tc>
              <w:tc>
                <w:tcPr>
                  <w:tcW w:w="720" w:type="dxa"/>
                  <w:shd w:val="clear" w:color="auto" w:fill="auto"/>
                  <w:noWrap/>
                  <w:vAlign w:val="center"/>
                  <w:hideMark/>
                </w:tcPr>
                <w:p w14:paraId="350B28B3"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10</w:t>
                  </w:r>
                </w:p>
              </w:tc>
              <w:tc>
                <w:tcPr>
                  <w:tcW w:w="931" w:type="dxa"/>
                  <w:shd w:val="clear" w:color="auto" w:fill="auto"/>
                  <w:noWrap/>
                  <w:vAlign w:val="center"/>
                  <w:hideMark/>
                </w:tcPr>
                <w:p w14:paraId="08252F7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14</w:t>
                  </w:r>
                </w:p>
              </w:tc>
            </w:tr>
            <w:tr w:rsidR="007E1503" w:rsidRPr="002B355C" w14:paraId="73E986CD"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76E72D0C"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Catanduanes</w:t>
                  </w:r>
                  <w:proofErr w:type="spellEnd"/>
                </w:p>
              </w:tc>
              <w:tc>
                <w:tcPr>
                  <w:tcW w:w="1126" w:type="dxa"/>
                  <w:shd w:val="clear" w:color="auto" w:fill="auto"/>
                  <w:noWrap/>
                  <w:vAlign w:val="center"/>
                  <w:hideMark/>
                </w:tcPr>
                <w:p w14:paraId="1DB82557"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77</w:t>
                  </w:r>
                </w:p>
              </w:tc>
              <w:tc>
                <w:tcPr>
                  <w:tcW w:w="720" w:type="dxa"/>
                  <w:shd w:val="clear" w:color="auto" w:fill="auto"/>
                  <w:noWrap/>
                  <w:vAlign w:val="center"/>
                  <w:hideMark/>
                </w:tcPr>
                <w:p w14:paraId="3C7D375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2AC21D44"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77</w:t>
                  </w:r>
                </w:p>
              </w:tc>
            </w:tr>
            <w:tr w:rsidR="007E1503" w:rsidRPr="002B355C" w14:paraId="34853298"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60E56327"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Cavite</w:t>
                  </w:r>
                </w:p>
              </w:tc>
              <w:tc>
                <w:tcPr>
                  <w:tcW w:w="1126" w:type="dxa"/>
                  <w:shd w:val="clear" w:color="auto" w:fill="auto"/>
                  <w:noWrap/>
                  <w:vAlign w:val="center"/>
                  <w:hideMark/>
                </w:tcPr>
                <w:p w14:paraId="5B19B29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2367</w:t>
                  </w:r>
                </w:p>
              </w:tc>
              <w:tc>
                <w:tcPr>
                  <w:tcW w:w="720" w:type="dxa"/>
                  <w:shd w:val="clear" w:color="auto" w:fill="auto"/>
                  <w:noWrap/>
                  <w:vAlign w:val="center"/>
                  <w:hideMark/>
                </w:tcPr>
                <w:p w14:paraId="03E572D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104</w:t>
                  </w:r>
                </w:p>
              </w:tc>
              <w:tc>
                <w:tcPr>
                  <w:tcW w:w="931" w:type="dxa"/>
                  <w:shd w:val="clear" w:color="auto" w:fill="auto"/>
                  <w:noWrap/>
                  <w:vAlign w:val="center"/>
                  <w:hideMark/>
                </w:tcPr>
                <w:p w14:paraId="1473AB74"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23</w:t>
                  </w:r>
                </w:p>
              </w:tc>
            </w:tr>
            <w:tr w:rsidR="007E1503" w:rsidRPr="002B355C" w14:paraId="6A797895"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74F2C68F"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Cebu</w:t>
                  </w:r>
                </w:p>
              </w:tc>
              <w:tc>
                <w:tcPr>
                  <w:tcW w:w="1126" w:type="dxa"/>
                  <w:shd w:val="clear" w:color="auto" w:fill="auto"/>
                  <w:noWrap/>
                  <w:vAlign w:val="center"/>
                  <w:hideMark/>
                </w:tcPr>
                <w:p w14:paraId="20B857E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4191</w:t>
                  </w:r>
                </w:p>
              </w:tc>
              <w:tc>
                <w:tcPr>
                  <w:tcW w:w="720" w:type="dxa"/>
                  <w:shd w:val="clear" w:color="auto" w:fill="auto"/>
                  <w:noWrap/>
                  <w:vAlign w:val="center"/>
                  <w:hideMark/>
                </w:tcPr>
                <w:p w14:paraId="5B103D5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263</w:t>
                  </w:r>
                </w:p>
              </w:tc>
              <w:tc>
                <w:tcPr>
                  <w:tcW w:w="931" w:type="dxa"/>
                  <w:shd w:val="clear" w:color="auto" w:fill="auto"/>
                  <w:noWrap/>
                  <w:vAlign w:val="center"/>
                  <w:hideMark/>
                </w:tcPr>
                <w:p w14:paraId="190EDE79"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16</w:t>
                  </w:r>
                </w:p>
              </w:tc>
            </w:tr>
            <w:tr w:rsidR="007E1503" w:rsidRPr="002B355C" w14:paraId="7BBCD051"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5113E7E9"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Compostela</w:t>
                  </w:r>
                  <w:proofErr w:type="spellEnd"/>
                  <w:r w:rsidRPr="002B355C">
                    <w:rPr>
                      <w:rFonts w:eastAsia="Times New Roman" w:cs="Calibri"/>
                      <w:color w:val="000000"/>
                      <w:sz w:val="15"/>
                      <w:szCs w:val="15"/>
                    </w:rPr>
                    <w:t xml:space="preserve"> Valley</w:t>
                  </w:r>
                </w:p>
              </w:tc>
              <w:tc>
                <w:tcPr>
                  <w:tcW w:w="1126" w:type="dxa"/>
                  <w:shd w:val="clear" w:color="auto" w:fill="auto"/>
                  <w:noWrap/>
                  <w:vAlign w:val="center"/>
                  <w:hideMark/>
                </w:tcPr>
                <w:p w14:paraId="03B4B22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720" w:type="dxa"/>
                  <w:shd w:val="clear" w:color="auto" w:fill="auto"/>
                  <w:noWrap/>
                  <w:vAlign w:val="center"/>
                  <w:hideMark/>
                </w:tcPr>
                <w:p w14:paraId="4624751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7FABC54B"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r>
            <w:tr w:rsidR="007E1503" w:rsidRPr="002B355C" w14:paraId="2D3C2213"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590C038"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Davao Del Norte</w:t>
                  </w:r>
                </w:p>
              </w:tc>
              <w:tc>
                <w:tcPr>
                  <w:tcW w:w="1126" w:type="dxa"/>
                  <w:shd w:val="clear" w:color="auto" w:fill="auto"/>
                  <w:noWrap/>
                  <w:vAlign w:val="center"/>
                  <w:hideMark/>
                </w:tcPr>
                <w:p w14:paraId="6D2AE38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404</w:t>
                  </w:r>
                </w:p>
              </w:tc>
              <w:tc>
                <w:tcPr>
                  <w:tcW w:w="720" w:type="dxa"/>
                  <w:shd w:val="clear" w:color="auto" w:fill="auto"/>
                  <w:noWrap/>
                  <w:vAlign w:val="center"/>
                  <w:hideMark/>
                </w:tcPr>
                <w:p w14:paraId="2166D0CA"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18</w:t>
                  </w:r>
                </w:p>
              </w:tc>
              <w:tc>
                <w:tcPr>
                  <w:tcW w:w="931" w:type="dxa"/>
                  <w:shd w:val="clear" w:color="auto" w:fill="auto"/>
                  <w:noWrap/>
                  <w:vAlign w:val="center"/>
                  <w:hideMark/>
                </w:tcPr>
                <w:p w14:paraId="006491D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22</w:t>
                  </w:r>
                </w:p>
              </w:tc>
            </w:tr>
            <w:tr w:rsidR="007E1503" w:rsidRPr="002B355C" w14:paraId="7A195F31"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76F4107C"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Davao Del Sur</w:t>
                  </w:r>
                </w:p>
              </w:tc>
              <w:tc>
                <w:tcPr>
                  <w:tcW w:w="1126" w:type="dxa"/>
                  <w:shd w:val="clear" w:color="auto" w:fill="auto"/>
                  <w:noWrap/>
                  <w:vAlign w:val="center"/>
                  <w:hideMark/>
                </w:tcPr>
                <w:p w14:paraId="0C296E9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1873</w:t>
                  </w:r>
                </w:p>
              </w:tc>
              <w:tc>
                <w:tcPr>
                  <w:tcW w:w="720" w:type="dxa"/>
                  <w:shd w:val="clear" w:color="auto" w:fill="auto"/>
                  <w:noWrap/>
                  <w:vAlign w:val="center"/>
                  <w:hideMark/>
                </w:tcPr>
                <w:p w14:paraId="2C8569C2"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82</w:t>
                  </w:r>
                </w:p>
              </w:tc>
              <w:tc>
                <w:tcPr>
                  <w:tcW w:w="931" w:type="dxa"/>
                  <w:shd w:val="clear" w:color="auto" w:fill="auto"/>
                  <w:noWrap/>
                  <w:vAlign w:val="center"/>
                  <w:hideMark/>
                </w:tcPr>
                <w:p w14:paraId="15370076"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23</w:t>
                  </w:r>
                </w:p>
              </w:tc>
            </w:tr>
            <w:tr w:rsidR="007E1503" w:rsidRPr="002B355C" w14:paraId="5A236625"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3A65E113"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Davao Oriental</w:t>
                  </w:r>
                </w:p>
              </w:tc>
              <w:tc>
                <w:tcPr>
                  <w:tcW w:w="1126" w:type="dxa"/>
                  <w:shd w:val="clear" w:color="auto" w:fill="auto"/>
                  <w:noWrap/>
                  <w:vAlign w:val="center"/>
                  <w:hideMark/>
                </w:tcPr>
                <w:p w14:paraId="71785C8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55</w:t>
                  </w:r>
                </w:p>
              </w:tc>
              <w:tc>
                <w:tcPr>
                  <w:tcW w:w="720" w:type="dxa"/>
                  <w:shd w:val="clear" w:color="auto" w:fill="auto"/>
                  <w:noWrap/>
                  <w:vAlign w:val="center"/>
                  <w:hideMark/>
                </w:tcPr>
                <w:p w14:paraId="3183BECE"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263BAB3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55</w:t>
                  </w:r>
                </w:p>
              </w:tc>
            </w:tr>
            <w:tr w:rsidR="007E1503" w:rsidRPr="002B355C" w14:paraId="5D630EFB"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B127023"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Eastern Samar</w:t>
                  </w:r>
                </w:p>
              </w:tc>
              <w:tc>
                <w:tcPr>
                  <w:tcW w:w="1126" w:type="dxa"/>
                  <w:shd w:val="clear" w:color="auto" w:fill="auto"/>
                  <w:noWrap/>
                  <w:vAlign w:val="center"/>
                  <w:hideMark/>
                </w:tcPr>
                <w:p w14:paraId="2D64A843"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55</w:t>
                  </w:r>
                </w:p>
              </w:tc>
              <w:tc>
                <w:tcPr>
                  <w:tcW w:w="720" w:type="dxa"/>
                  <w:shd w:val="clear" w:color="auto" w:fill="auto"/>
                  <w:noWrap/>
                  <w:vAlign w:val="center"/>
                  <w:hideMark/>
                </w:tcPr>
                <w:p w14:paraId="0997D90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216C937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55</w:t>
                  </w:r>
                </w:p>
              </w:tc>
            </w:tr>
            <w:tr w:rsidR="007E1503" w:rsidRPr="002B355C" w14:paraId="6A9BD2DD"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3C429497"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Guimaras</w:t>
                  </w:r>
                  <w:proofErr w:type="spellEnd"/>
                </w:p>
              </w:tc>
              <w:tc>
                <w:tcPr>
                  <w:tcW w:w="1126" w:type="dxa"/>
                  <w:shd w:val="clear" w:color="auto" w:fill="auto"/>
                  <w:noWrap/>
                  <w:vAlign w:val="center"/>
                  <w:hideMark/>
                </w:tcPr>
                <w:p w14:paraId="614B43CA"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720" w:type="dxa"/>
                  <w:shd w:val="clear" w:color="auto" w:fill="auto"/>
                  <w:noWrap/>
                  <w:vAlign w:val="center"/>
                  <w:hideMark/>
                </w:tcPr>
                <w:p w14:paraId="1F747B8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52B4513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r>
            <w:tr w:rsidR="007E1503" w:rsidRPr="002B355C" w14:paraId="4A5F408E"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76F5511B"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Ifugao</w:t>
                  </w:r>
                </w:p>
              </w:tc>
              <w:tc>
                <w:tcPr>
                  <w:tcW w:w="1126" w:type="dxa"/>
                  <w:shd w:val="clear" w:color="auto" w:fill="auto"/>
                  <w:noWrap/>
                  <w:vAlign w:val="center"/>
                  <w:hideMark/>
                </w:tcPr>
                <w:p w14:paraId="3C357D6F"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43</w:t>
                  </w:r>
                </w:p>
              </w:tc>
              <w:tc>
                <w:tcPr>
                  <w:tcW w:w="720" w:type="dxa"/>
                  <w:shd w:val="clear" w:color="auto" w:fill="auto"/>
                  <w:noWrap/>
                  <w:vAlign w:val="center"/>
                  <w:hideMark/>
                </w:tcPr>
                <w:p w14:paraId="6B19D247"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58A4EE85"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1D263D0B"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433C5211"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Ilocos</w:t>
                  </w:r>
                  <w:proofErr w:type="spellEnd"/>
                  <w:r w:rsidRPr="002B355C">
                    <w:rPr>
                      <w:rFonts w:eastAsia="Times New Roman" w:cs="Calibri"/>
                      <w:color w:val="000000"/>
                      <w:sz w:val="15"/>
                      <w:szCs w:val="15"/>
                    </w:rPr>
                    <w:t xml:space="preserve"> Norte</w:t>
                  </w:r>
                </w:p>
              </w:tc>
              <w:tc>
                <w:tcPr>
                  <w:tcW w:w="1126" w:type="dxa"/>
                  <w:shd w:val="clear" w:color="auto" w:fill="auto"/>
                  <w:noWrap/>
                  <w:vAlign w:val="center"/>
                  <w:hideMark/>
                </w:tcPr>
                <w:p w14:paraId="7C251EC7"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237</w:t>
                  </w:r>
                </w:p>
              </w:tc>
              <w:tc>
                <w:tcPr>
                  <w:tcW w:w="720" w:type="dxa"/>
                  <w:shd w:val="clear" w:color="auto" w:fill="auto"/>
                  <w:noWrap/>
                  <w:vAlign w:val="center"/>
                  <w:hideMark/>
                </w:tcPr>
                <w:p w14:paraId="371AB8D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6</w:t>
                  </w:r>
                </w:p>
              </w:tc>
              <w:tc>
                <w:tcPr>
                  <w:tcW w:w="931" w:type="dxa"/>
                  <w:shd w:val="clear" w:color="auto" w:fill="auto"/>
                  <w:noWrap/>
                  <w:vAlign w:val="center"/>
                  <w:hideMark/>
                </w:tcPr>
                <w:p w14:paraId="1733112A"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40</w:t>
                  </w:r>
                </w:p>
              </w:tc>
            </w:tr>
            <w:tr w:rsidR="007E1503" w:rsidRPr="002B355C" w14:paraId="2BDEE171"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5F009F18"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Ilocos</w:t>
                  </w:r>
                  <w:proofErr w:type="spellEnd"/>
                  <w:r w:rsidRPr="002B355C">
                    <w:rPr>
                      <w:rFonts w:eastAsia="Times New Roman" w:cs="Calibri"/>
                      <w:color w:val="000000"/>
                      <w:sz w:val="15"/>
                      <w:szCs w:val="15"/>
                    </w:rPr>
                    <w:t xml:space="preserve"> Sur</w:t>
                  </w:r>
                </w:p>
              </w:tc>
              <w:tc>
                <w:tcPr>
                  <w:tcW w:w="1126" w:type="dxa"/>
                  <w:shd w:val="clear" w:color="auto" w:fill="auto"/>
                  <w:noWrap/>
                  <w:vAlign w:val="center"/>
                  <w:hideMark/>
                </w:tcPr>
                <w:p w14:paraId="35E43C3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253</w:t>
                  </w:r>
                </w:p>
              </w:tc>
              <w:tc>
                <w:tcPr>
                  <w:tcW w:w="720" w:type="dxa"/>
                  <w:shd w:val="clear" w:color="auto" w:fill="auto"/>
                  <w:noWrap/>
                  <w:vAlign w:val="center"/>
                  <w:hideMark/>
                </w:tcPr>
                <w:p w14:paraId="0FE7551D"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4</w:t>
                  </w:r>
                </w:p>
              </w:tc>
              <w:tc>
                <w:tcPr>
                  <w:tcW w:w="931" w:type="dxa"/>
                  <w:shd w:val="clear" w:color="auto" w:fill="auto"/>
                  <w:noWrap/>
                  <w:vAlign w:val="center"/>
                  <w:hideMark/>
                </w:tcPr>
                <w:p w14:paraId="38B8FD6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63</w:t>
                  </w:r>
                </w:p>
              </w:tc>
            </w:tr>
            <w:tr w:rsidR="007E1503" w:rsidRPr="002B355C" w14:paraId="47C3FF70"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207B7149"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Iloilo</w:t>
                  </w:r>
                </w:p>
              </w:tc>
              <w:tc>
                <w:tcPr>
                  <w:tcW w:w="1126" w:type="dxa"/>
                  <w:shd w:val="clear" w:color="auto" w:fill="auto"/>
                  <w:noWrap/>
                  <w:vAlign w:val="center"/>
                  <w:hideMark/>
                </w:tcPr>
                <w:p w14:paraId="3AB5D11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753</w:t>
                  </w:r>
                </w:p>
              </w:tc>
              <w:tc>
                <w:tcPr>
                  <w:tcW w:w="720" w:type="dxa"/>
                  <w:shd w:val="clear" w:color="auto" w:fill="auto"/>
                  <w:noWrap/>
                  <w:vAlign w:val="center"/>
                  <w:hideMark/>
                </w:tcPr>
                <w:p w14:paraId="6C2240F4"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30</w:t>
                  </w:r>
                </w:p>
              </w:tc>
              <w:tc>
                <w:tcPr>
                  <w:tcW w:w="931" w:type="dxa"/>
                  <w:shd w:val="clear" w:color="auto" w:fill="auto"/>
                  <w:noWrap/>
                  <w:vAlign w:val="center"/>
                  <w:hideMark/>
                </w:tcPr>
                <w:p w14:paraId="7922D14A"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25</w:t>
                  </w:r>
                </w:p>
              </w:tc>
            </w:tr>
            <w:tr w:rsidR="007E1503" w:rsidRPr="002B355C" w14:paraId="1BA4888B"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452B59C2"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Isabela</w:t>
                  </w:r>
                </w:p>
              </w:tc>
              <w:tc>
                <w:tcPr>
                  <w:tcW w:w="1126" w:type="dxa"/>
                  <w:shd w:val="clear" w:color="auto" w:fill="auto"/>
                  <w:noWrap/>
                  <w:vAlign w:val="center"/>
                  <w:hideMark/>
                </w:tcPr>
                <w:p w14:paraId="2B1F3AC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365</w:t>
                  </w:r>
                </w:p>
              </w:tc>
              <w:tc>
                <w:tcPr>
                  <w:tcW w:w="720" w:type="dxa"/>
                  <w:shd w:val="clear" w:color="auto" w:fill="auto"/>
                  <w:noWrap/>
                  <w:vAlign w:val="center"/>
                  <w:hideMark/>
                </w:tcPr>
                <w:p w14:paraId="681F7D5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5</w:t>
                  </w:r>
                </w:p>
              </w:tc>
              <w:tc>
                <w:tcPr>
                  <w:tcW w:w="931" w:type="dxa"/>
                  <w:shd w:val="clear" w:color="auto" w:fill="auto"/>
                  <w:noWrap/>
                  <w:vAlign w:val="center"/>
                  <w:hideMark/>
                </w:tcPr>
                <w:p w14:paraId="1B18A5FD"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73</w:t>
                  </w:r>
                </w:p>
              </w:tc>
            </w:tr>
            <w:tr w:rsidR="007E1503" w:rsidRPr="002B355C" w14:paraId="28661808"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21707BA"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Kalinga</w:t>
                  </w:r>
                </w:p>
              </w:tc>
              <w:tc>
                <w:tcPr>
                  <w:tcW w:w="1126" w:type="dxa"/>
                  <w:shd w:val="clear" w:color="auto" w:fill="auto"/>
                  <w:noWrap/>
                  <w:vAlign w:val="center"/>
                  <w:hideMark/>
                </w:tcPr>
                <w:p w14:paraId="18902C23"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62</w:t>
                  </w:r>
                </w:p>
              </w:tc>
              <w:tc>
                <w:tcPr>
                  <w:tcW w:w="720" w:type="dxa"/>
                  <w:shd w:val="clear" w:color="auto" w:fill="auto"/>
                  <w:noWrap/>
                  <w:vAlign w:val="center"/>
                  <w:hideMark/>
                </w:tcPr>
                <w:p w14:paraId="6DF9EBB7"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w:t>
                  </w:r>
                </w:p>
              </w:tc>
              <w:tc>
                <w:tcPr>
                  <w:tcW w:w="931" w:type="dxa"/>
                  <w:shd w:val="clear" w:color="auto" w:fill="auto"/>
                  <w:noWrap/>
                  <w:vAlign w:val="center"/>
                  <w:hideMark/>
                </w:tcPr>
                <w:p w14:paraId="27D4C3BE"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21</w:t>
                  </w:r>
                </w:p>
              </w:tc>
            </w:tr>
            <w:tr w:rsidR="007E1503" w:rsidRPr="002B355C" w14:paraId="7B194FC2"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6FB4B3BC"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La Union</w:t>
                  </w:r>
                </w:p>
              </w:tc>
              <w:tc>
                <w:tcPr>
                  <w:tcW w:w="1126" w:type="dxa"/>
                  <w:shd w:val="clear" w:color="auto" w:fill="auto"/>
                  <w:noWrap/>
                  <w:vAlign w:val="center"/>
                  <w:hideMark/>
                </w:tcPr>
                <w:p w14:paraId="0260226B"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259</w:t>
                  </w:r>
                </w:p>
              </w:tc>
              <w:tc>
                <w:tcPr>
                  <w:tcW w:w="720" w:type="dxa"/>
                  <w:shd w:val="clear" w:color="auto" w:fill="auto"/>
                  <w:noWrap/>
                  <w:vAlign w:val="center"/>
                  <w:hideMark/>
                </w:tcPr>
                <w:p w14:paraId="3D1524B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7</w:t>
                  </w:r>
                </w:p>
              </w:tc>
              <w:tc>
                <w:tcPr>
                  <w:tcW w:w="931" w:type="dxa"/>
                  <w:shd w:val="clear" w:color="auto" w:fill="auto"/>
                  <w:noWrap/>
                  <w:vAlign w:val="center"/>
                  <w:hideMark/>
                </w:tcPr>
                <w:p w14:paraId="6F2F0D2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37</w:t>
                  </w:r>
                </w:p>
              </w:tc>
            </w:tr>
            <w:tr w:rsidR="007E1503" w:rsidRPr="002B355C" w14:paraId="6DC0C309"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515D292"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Laguna</w:t>
                  </w:r>
                </w:p>
              </w:tc>
              <w:tc>
                <w:tcPr>
                  <w:tcW w:w="1126" w:type="dxa"/>
                  <w:shd w:val="clear" w:color="auto" w:fill="auto"/>
                  <w:noWrap/>
                  <w:vAlign w:val="center"/>
                  <w:hideMark/>
                </w:tcPr>
                <w:p w14:paraId="013BDFB8"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2594</w:t>
                  </w:r>
                </w:p>
              </w:tc>
              <w:tc>
                <w:tcPr>
                  <w:tcW w:w="720" w:type="dxa"/>
                  <w:shd w:val="clear" w:color="auto" w:fill="auto"/>
                  <w:noWrap/>
                  <w:vAlign w:val="center"/>
                  <w:hideMark/>
                </w:tcPr>
                <w:p w14:paraId="71023D8E"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194</w:t>
                  </w:r>
                </w:p>
              </w:tc>
              <w:tc>
                <w:tcPr>
                  <w:tcW w:w="931" w:type="dxa"/>
                  <w:shd w:val="clear" w:color="auto" w:fill="auto"/>
                  <w:noWrap/>
                  <w:vAlign w:val="center"/>
                  <w:hideMark/>
                </w:tcPr>
                <w:p w14:paraId="7E0054C3"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13</w:t>
                  </w:r>
                </w:p>
              </w:tc>
            </w:tr>
            <w:tr w:rsidR="007E1503" w:rsidRPr="002B355C" w14:paraId="75FB1C46"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389" w:type="dxa"/>
                  <w:shd w:val="clear" w:color="auto" w:fill="auto"/>
                  <w:noWrap/>
                  <w:hideMark/>
                </w:tcPr>
                <w:p w14:paraId="17071666"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Lanao Del Norte</w:t>
                  </w:r>
                </w:p>
              </w:tc>
              <w:tc>
                <w:tcPr>
                  <w:tcW w:w="1126" w:type="dxa"/>
                  <w:shd w:val="clear" w:color="auto" w:fill="auto"/>
                  <w:noWrap/>
                  <w:vAlign w:val="center"/>
                  <w:hideMark/>
                </w:tcPr>
                <w:p w14:paraId="05F310B7"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215</w:t>
                  </w:r>
                </w:p>
              </w:tc>
              <w:tc>
                <w:tcPr>
                  <w:tcW w:w="720" w:type="dxa"/>
                  <w:shd w:val="clear" w:color="auto" w:fill="auto"/>
                  <w:noWrap/>
                  <w:vAlign w:val="center"/>
                  <w:hideMark/>
                </w:tcPr>
                <w:p w14:paraId="58D4DEC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13</w:t>
                  </w:r>
                </w:p>
              </w:tc>
              <w:tc>
                <w:tcPr>
                  <w:tcW w:w="931" w:type="dxa"/>
                  <w:shd w:val="clear" w:color="auto" w:fill="auto"/>
                  <w:noWrap/>
                  <w:vAlign w:val="center"/>
                  <w:hideMark/>
                </w:tcPr>
                <w:p w14:paraId="7974194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17</w:t>
                  </w:r>
                </w:p>
              </w:tc>
            </w:tr>
          </w:tbl>
          <w:p w14:paraId="5E6FE496" w14:textId="77777777" w:rsidR="00A07F14" w:rsidRPr="005056AE" w:rsidRDefault="00A07F14" w:rsidP="00AE17FE">
            <w:pPr>
              <w:pStyle w:val="BodyText4"/>
              <w:spacing w:line="276" w:lineRule="auto"/>
              <w:jc w:val="left"/>
              <w:rPr>
                <w:rFonts w:asciiTheme="minorHAnsi" w:hAnsiTheme="minorHAnsi"/>
                <w:b w:val="0"/>
                <w:bCs w:val="0"/>
                <w:sz w:val="16"/>
                <w:szCs w:val="16"/>
              </w:rPr>
            </w:pPr>
          </w:p>
        </w:tc>
        <w:tc>
          <w:tcPr>
            <w:tcW w:w="100" w:type="pct"/>
            <w:tcBorders>
              <w:top w:val="single" w:sz="4" w:space="0" w:color="FFFFFF" w:themeColor="background1"/>
              <w:bottom w:val="nil"/>
            </w:tcBorders>
            <w:shd w:val="clear" w:color="auto" w:fill="auto"/>
          </w:tcPr>
          <w:p w14:paraId="05A14901" w14:textId="77777777" w:rsidR="00A07F14" w:rsidRPr="005056AE" w:rsidRDefault="00A07F14" w:rsidP="003E72E8">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16"/>
                <w:szCs w:val="16"/>
              </w:rPr>
            </w:pPr>
          </w:p>
        </w:tc>
        <w:tc>
          <w:tcPr>
            <w:tcW w:w="2407" w:type="pct"/>
            <w:tcBorders>
              <w:top w:val="single" w:sz="4" w:space="0" w:color="FFFFFF" w:themeColor="background1"/>
              <w:bottom w:val="nil"/>
              <w:right w:val="nil"/>
            </w:tcBorders>
            <w:shd w:val="clear" w:color="auto" w:fill="auto"/>
          </w:tcPr>
          <w:tbl>
            <w:tblPr>
              <w:tblStyle w:val="GridTable4-Accent5"/>
              <w:tblW w:w="4541" w:type="dxa"/>
              <w:tblBorders>
                <w:top w:val="single" w:sz="4" w:space="0" w:color="8C8D90"/>
                <w:left w:val="single" w:sz="4" w:space="0" w:color="8C8D90"/>
                <w:bottom w:val="single" w:sz="4" w:space="0" w:color="8C8D90"/>
                <w:right w:val="single" w:sz="4" w:space="0" w:color="8C8D90"/>
                <w:insideH w:val="single" w:sz="4" w:space="0" w:color="8C8D90"/>
                <w:insideV w:val="single" w:sz="4" w:space="0" w:color="8C8D90"/>
              </w:tblBorders>
              <w:tblCellMar>
                <w:left w:w="115" w:type="dxa"/>
                <w:right w:w="115" w:type="dxa"/>
              </w:tblCellMar>
              <w:tblLook w:val="04A0" w:firstRow="1" w:lastRow="0" w:firstColumn="1" w:lastColumn="0" w:noHBand="0" w:noVBand="1"/>
            </w:tblPr>
            <w:tblGrid>
              <w:gridCol w:w="1594"/>
              <w:gridCol w:w="1094"/>
              <w:gridCol w:w="922"/>
              <w:gridCol w:w="931"/>
            </w:tblGrid>
            <w:tr w:rsidR="007E1503" w:rsidRPr="00A07F14" w14:paraId="0510487E" w14:textId="77777777" w:rsidTr="00BC5FDF">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1594" w:type="dxa"/>
                  <w:tcBorders>
                    <w:top w:val="nil"/>
                    <w:right w:val="single" w:sz="4" w:space="0" w:color="FFFFFF" w:themeColor="background1"/>
                  </w:tcBorders>
                  <w:shd w:val="clear" w:color="auto" w:fill="4472C4"/>
                  <w:noWrap/>
                  <w:vAlign w:val="center"/>
                  <w:hideMark/>
                </w:tcPr>
                <w:p w14:paraId="0F00C276" w14:textId="77777777" w:rsidR="007E1503" w:rsidRPr="00A07F14" w:rsidRDefault="007E1503" w:rsidP="007E1503">
                  <w:pPr>
                    <w:spacing w:after="0" w:line="240" w:lineRule="auto"/>
                    <w:jc w:val="center"/>
                    <w:rPr>
                      <w:rFonts w:eastAsia="Times New Roman" w:cs="Calibri"/>
                      <w:bCs w:val="0"/>
                      <w:sz w:val="15"/>
                      <w:szCs w:val="15"/>
                    </w:rPr>
                  </w:pPr>
                  <w:r w:rsidRPr="00A07F14">
                    <w:rPr>
                      <w:rFonts w:eastAsia="MS Gothic" w:cs="Arial"/>
                      <w:kern w:val="32"/>
                      <w:sz w:val="15"/>
                      <w:szCs w:val="15"/>
                    </w:rPr>
                    <w:br w:type="page"/>
                  </w:r>
                  <w:r w:rsidRPr="00A07F14">
                    <w:rPr>
                      <w:rFonts w:eastAsia="Times New Roman" w:cs="Calibri"/>
                      <w:bCs w:val="0"/>
                      <w:sz w:val="15"/>
                      <w:szCs w:val="15"/>
                    </w:rPr>
                    <w:t>Province</w:t>
                  </w:r>
                </w:p>
              </w:tc>
              <w:tc>
                <w:tcPr>
                  <w:tcW w:w="1094" w:type="dxa"/>
                  <w:tcBorders>
                    <w:top w:val="nil"/>
                    <w:left w:val="single" w:sz="4" w:space="0" w:color="FFFFFF" w:themeColor="background1"/>
                    <w:right w:val="single" w:sz="4" w:space="0" w:color="FFFFFF" w:themeColor="background1"/>
                  </w:tcBorders>
                  <w:shd w:val="clear" w:color="auto" w:fill="4472C4"/>
                  <w:noWrap/>
                  <w:vAlign w:val="center"/>
                  <w:hideMark/>
                </w:tcPr>
                <w:p w14:paraId="2B30D620" w14:textId="77777777" w:rsidR="007E1503" w:rsidRPr="00A07F14" w:rsidRDefault="007E1503" w:rsidP="007E15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15"/>
                      <w:szCs w:val="15"/>
                    </w:rPr>
                  </w:pPr>
                  <w:r w:rsidRPr="00A07F14">
                    <w:rPr>
                      <w:rFonts w:eastAsia="Times New Roman" w:cs="Calibri"/>
                      <w:bCs w:val="0"/>
                      <w:sz w:val="15"/>
                      <w:szCs w:val="15"/>
                    </w:rPr>
                    <w:t>Entities with gross income &gt; 10M</w:t>
                  </w:r>
                </w:p>
              </w:tc>
              <w:tc>
                <w:tcPr>
                  <w:tcW w:w="922" w:type="dxa"/>
                  <w:tcBorders>
                    <w:top w:val="nil"/>
                    <w:left w:val="single" w:sz="4" w:space="0" w:color="FFFFFF" w:themeColor="background1"/>
                    <w:right w:val="single" w:sz="4" w:space="0" w:color="FFFFFF" w:themeColor="background1"/>
                  </w:tcBorders>
                  <w:shd w:val="clear" w:color="auto" w:fill="4472C4"/>
                  <w:noWrap/>
                  <w:vAlign w:val="center"/>
                  <w:hideMark/>
                </w:tcPr>
                <w:p w14:paraId="0B935861" w14:textId="77777777" w:rsidR="007E1503" w:rsidRPr="00A07F14" w:rsidRDefault="007E1503" w:rsidP="007E15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15"/>
                      <w:szCs w:val="15"/>
                    </w:rPr>
                  </w:pPr>
                  <w:r w:rsidRPr="00A07F14">
                    <w:rPr>
                      <w:rFonts w:eastAsia="Times New Roman" w:cs="Calibri"/>
                      <w:bCs w:val="0"/>
                      <w:sz w:val="15"/>
                      <w:szCs w:val="15"/>
                    </w:rPr>
                    <w:t>CPAs Accredited</w:t>
                  </w:r>
                </w:p>
              </w:tc>
              <w:tc>
                <w:tcPr>
                  <w:tcW w:w="931" w:type="dxa"/>
                  <w:tcBorders>
                    <w:top w:val="nil"/>
                    <w:left w:val="single" w:sz="4" w:space="0" w:color="FFFFFF" w:themeColor="background1"/>
                  </w:tcBorders>
                  <w:shd w:val="clear" w:color="auto" w:fill="4472C4"/>
                  <w:noWrap/>
                  <w:vAlign w:val="center"/>
                  <w:hideMark/>
                </w:tcPr>
                <w:p w14:paraId="2EB2310B" w14:textId="77777777" w:rsidR="007E1503" w:rsidRPr="00A07F14" w:rsidRDefault="007E1503" w:rsidP="007E150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w:bCs w:val="0"/>
                      <w:sz w:val="15"/>
                      <w:szCs w:val="15"/>
                    </w:rPr>
                  </w:pPr>
                  <w:r w:rsidRPr="00A07F14">
                    <w:rPr>
                      <w:rFonts w:eastAsia="Times New Roman" w:cs="Calibri"/>
                      <w:bCs w:val="0"/>
                      <w:sz w:val="15"/>
                      <w:szCs w:val="15"/>
                    </w:rPr>
                    <w:t>Enterprises per CPA Ratio</w:t>
                  </w:r>
                </w:p>
              </w:tc>
            </w:tr>
            <w:tr w:rsidR="007E1503" w:rsidRPr="002B355C" w14:paraId="2FACBBD2"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tcPr>
                <w:p w14:paraId="28E9018C" w14:textId="281F0DEF"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Lanao Del Sur</w:t>
                  </w:r>
                </w:p>
              </w:tc>
              <w:tc>
                <w:tcPr>
                  <w:tcW w:w="1094" w:type="dxa"/>
                  <w:shd w:val="clear" w:color="auto" w:fill="auto"/>
                  <w:noWrap/>
                  <w:vAlign w:val="center"/>
                </w:tcPr>
                <w:p w14:paraId="0DED19F3" w14:textId="4A66470A"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47</w:t>
                  </w:r>
                </w:p>
              </w:tc>
              <w:tc>
                <w:tcPr>
                  <w:tcW w:w="922" w:type="dxa"/>
                  <w:shd w:val="clear" w:color="auto" w:fill="auto"/>
                  <w:noWrap/>
                  <w:vAlign w:val="center"/>
                </w:tcPr>
                <w:p w14:paraId="5C093AB2" w14:textId="50C033D5"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tcPr>
                <w:p w14:paraId="691D9A13" w14:textId="78914D1D"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487CB894"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tcPr>
                <w:p w14:paraId="47507C96" w14:textId="79485076"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Leyte</w:t>
                  </w:r>
                </w:p>
              </w:tc>
              <w:tc>
                <w:tcPr>
                  <w:tcW w:w="1094" w:type="dxa"/>
                  <w:shd w:val="clear" w:color="auto" w:fill="auto"/>
                  <w:noWrap/>
                  <w:vAlign w:val="center"/>
                </w:tcPr>
                <w:p w14:paraId="75C8619A" w14:textId="6643B3AE"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586</w:t>
                  </w:r>
                </w:p>
              </w:tc>
              <w:tc>
                <w:tcPr>
                  <w:tcW w:w="922" w:type="dxa"/>
                  <w:shd w:val="clear" w:color="auto" w:fill="auto"/>
                  <w:noWrap/>
                  <w:vAlign w:val="center"/>
                </w:tcPr>
                <w:p w14:paraId="23554C5B" w14:textId="4E50FAF1"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25</w:t>
                  </w:r>
                </w:p>
              </w:tc>
              <w:tc>
                <w:tcPr>
                  <w:tcW w:w="931" w:type="dxa"/>
                  <w:shd w:val="clear" w:color="auto" w:fill="auto"/>
                  <w:noWrap/>
                  <w:vAlign w:val="center"/>
                </w:tcPr>
                <w:p w14:paraId="1A5EF8D5" w14:textId="13B7DC80"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23</w:t>
                  </w:r>
                </w:p>
              </w:tc>
            </w:tr>
            <w:tr w:rsidR="007E1503" w:rsidRPr="002B355C" w14:paraId="043C7A08"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tcPr>
                <w:p w14:paraId="03523E8A" w14:textId="0F92D206"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Maguindanao</w:t>
                  </w:r>
                </w:p>
              </w:tc>
              <w:tc>
                <w:tcPr>
                  <w:tcW w:w="1094" w:type="dxa"/>
                  <w:shd w:val="clear" w:color="auto" w:fill="auto"/>
                  <w:noWrap/>
                  <w:vAlign w:val="center"/>
                </w:tcPr>
                <w:p w14:paraId="0535E61D" w14:textId="0E8FFA83"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89</w:t>
                  </w:r>
                </w:p>
              </w:tc>
              <w:tc>
                <w:tcPr>
                  <w:tcW w:w="922" w:type="dxa"/>
                  <w:shd w:val="clear" w:color="auto" w:fill="auto"/>
                  <w:noWrap/>
                  <w:vAlign w:val="center"/>
                </w:tcPr>
                <w:p w14:paraId="7FC99FEE" w14:textId="448A2E42"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tcPr>
                <w:p w14:paraId="75096389" w14:textId="041D7C70"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89</w:t>
                  </w:r>
                </w:p>
              </w:tc>
            </w:tr>
            <w:tr w:rsidR="007E1503" w:rsidRPr="002B355C" w14:paraId="25AC1C44"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tcPr>
                <w:p w14:paraId="19B2BF81" w14:textId="7A3B7BB9"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Marinduque</w:t>
                  </w:r>
                  <w:proofErr w:type="spellEnd"/>
                </w:p>
              </w:tc>
              <w:tc>
                <w:tcPr>
                  <w:tcW w:w="1094" w:type="dxa"/>
                  <w:shd w:val="clear" w:color="auto" w:fill="auto"/>
                  <w:noWrap/>
                  <w:vAlign w:val="center"/>
                </w:tcPr>
                <w:p w14:paraId="79697155" w14:textId="57065A66"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24</w:t>
                  </w:r>
                </w:p>
              </w:tc>
              <w:tc>
                <w:tcPr>
                  <w:tcW w:w="922" w:type="dxa"/>
                  <w:shd w:val="clear" w:color="auto" w:fill="auto"/>
                  <w:noWrap/>
                  <w:vAlign w:val="center"/>
                </w:tcPr>
                <w:p w14:paraId="5D2DAFEE" w14:textId="29C6CE01"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tcPr>
                <w:p w14:paraId="3CC32696" w14:textId="4AD9B2C3"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2E29168D"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5CB9C6EA"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Masbate</w:t>
                  </w:r>
                </w:p>
              </w:tc>
              <w:tc>
                <w:tcPr>
                  <w:tcW w:w="1094" w:type="dxa"/>
                  <w:shd w:val="clear" w:color="auto" w:fill="auto"/>
                  <w:noWrap/>
                  <w:vAlign w:val="center"/>
                  <w:hideMark/>
                </w:tcPr>
                <w:p w14:paraId="5E10E13D"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88</w:t>
                  </w:r>
                </w:p>
              </w:tc>
              <w:tc>
                <w:tcPr>
                  <w:tcW w:w="922" w:type="dxa"/>
                  <w:shd w:val="clear" w:color="auto" w:fill="auto"/>
                  <w:noWrap/>
                  <w:vAlign w:val="center"/>
                  <w:hideMark/>
                </w:tcPr>
                <w:p w14:paraId="489DC005"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2</w:t>
                  </w:r>
                </w:p>
              </w:tc>
              <w:tc>
                <w:tcPr>
                  <w:tcW w:w="931" w:type="dxa"/>
                  <w:shd w:val="clear" w:color="auto" w:fill="auto"/>
                  <w:noWrap/>
                  <w:vAlign w:val="center"/>
                  <w:hideMark/>
                </w:tcPr>
                <w:p w14:paraId="66DC580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44</w:t>
                  </w:r>
                </w:p>
              </w:tc>
            </w:tr>
            <w:tr w:rsidR="007E1503" w:rsidRPr="002B355C" w14:paraId="7D3F79FA"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7952E02F"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Metropolitan Manila</w:t>
                  </w:r>
                </w:p>
              </w:tc>
              <w:tc>
                <w:tcPr>
                  <w:tcW w:w="1094" w:type="dxa"/>
                  <w:shd w:val="clear" w:color="auto" w:fill="auto"/>
                  <w:noWrap/>
                  <w:vAlign w:val="center"/>
                  <w:hideMark/>
                </w:tcPr>
                <w:p w14:paraId="7B6F576B"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36257</w:t>
                  </w:r>
                </w:p>
              </w:tc>
              <w:tc>
                <w:tcPr>
                  <w:tcW w:w="922" w:type="dxa"/>
                  <w:shd w:val="clear" w:color="auto" w:fill="auto"/>
                  <w:noWrap/>
                  <w:vAlign w:val="center"/>
                  <w:hideMark/>
                </w:tcPr>
                <w:p w14:paraId="797996E2"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3363</w:t>
                  </w:r>
                </w:p>
              </w:tc>
              <w:tc>
                <w:tcPr>
                  <w:tcW w:w="931" w:type="dxa"/>
                  <w:shd w:val="clear" w:color="auto" w:fill="auto"/>
                  <w:noWrap/>
                  <w:vAlign w:val="center"/>
                  <w:hideMark/>
                </w:tcPr>
                <w:p w14:paraId="489E556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11</w:t>
                  </w:r>
                </w:p>
              </w:tc>
            </w:tr>
            <w:tr w:rsidR="007E1503" w:rsidRPr="002B355C" w14:paraId="1E5F00B5"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7376E0D"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Misamis</w:t>
                  </w:r>
                  <w:proofErr w:type="spellEnd"/>
                  <w:r w:rsidRPr="002B355C">
                    <w:rPr>
                      <w:rFonts w:eastAsia="Times New Roman" w:cs="Calibri"/>
                      <w:color w:val="000000"/>
                      <w:sz w:val="15"/>
                      <w:szCs w:val="15"/>
                    </w:rPr>
                    <w:t xml:space="preserve"> Occidental</w:t>
                  </w:r>
                </w:p>
              </w:tc>
              <w:tc>
                <w:tcPr>
                  <w:tcW w:w="1094" w:type="dxa"/>
                  <w:shd w:val="clear" w:color="auto" w:fill="auto"/>
                  <w:noWrap/>
                  <w:vAlign w:val="center"/>
                  <w:hideMark/>
                </w:tcPr>
                <w:p w14:paraId="7485908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166</w:t>
                  </w:r>
                </w:p>
              </w:tc>
              <w:tc>
                <w:tcPr>
                  <w:tcW w:w="922" w:type="dxa"/>
                  <w:shd w:val="clear" w:color="auto" w:fill="auto"/>
                  <w:noWrap/>
                  <w:vAlign w:val="center"/>
                  <w:hideMark/>
                </w:tcPr>
                <w:p w14:paraId="4305B66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4D32511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166</w:t>
                  </w:r>
                </w:p>
              </w:tc>
            </w:tr>
            <w:tr w:rsidR="007E1503" w:rsidRPr="002B355C" w14:paraId="0A258080"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DAAEF8E"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Misamis</w:t>
                  </w:r>
                  <w:proofErr w:type="spellEnd"/>
                  <w:r w:rsidRPr="002B355C">
                    <w:rPr>
                      <w:rFonts w:eastAsia="Times New Roman" w:cs="Calibri"/>
                      <w:color w:val="000000"/>
                      <w:sz w:val="15"/>
                      <w:szCs w:val="15"/>
                    </w:rPr>
                    <w:t xml:space="preserve"> Oriental</w:t>
                  </w:r>
                </w:p>
              </w:tc>
              <w:tc>
                <w:tcPr>
                  <w:tcW w:w="1094" w:type="dxa"/>
                  <w:shd w:val="clear" w:color="auto" w:fill="auto"/>
                  <w:noWrap/>
                  <w:vAlign w:val="center"/>
                  <w:hideMark/>
                </w:tcPr>
                <w:p w14:paraId="61B4DF3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803</w:t>
                  </w:r>
                </w:p>
              </w:tc>
              <w:tc>
                <w:tcPr>
                  <w:tcW w:w="922" w:type="dxa"/>
                  <w:shd w:val="clear" w:color="auto" w:fill="auto"/>
                  <w:noWrap/>
                  <w:vAlign w:val="center"/>
                  <w:hideMark/>
                </w:tcPr>
                <w:p w14:paraId="72E44FD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40</w:t>
                  </w:r>
                </w:p>
              </w:tc>
              <w:tc>
                <w:tcPr>
                  <w:tcW w:w="931" w:type="dxa"/>
                  <w:shd w:val="clear" w:color="auto" w:fill="auto"/>
                  <w:noWrap/>
                  <w:vAlign w:val="center"/>
                  <w:hideMark/>
                </w:tcPr>
                <w:p w14:paraId="3BD8E066"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20</w:t>
                  </w:r>
                </w:p>
              </w:tc>
            </w:tr>
            <w:tr w:rsidR="007E1503" w:rsidRPr="002B355C" w14:paraId="5E13F200"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5BBF6100"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Mountain Province</w:t>
                  </w:r>
                </w:p>
              </w:tc>
              <w:tc>
                <w:tcPr>
                  <w:tcW w:w="1094" w:type="dxa"/>
                  <w:shd w:val="clear" w:color="auto" w:fill="auto"/>
                  <w:noWrap/>
                  <w:vAlign w:val="center"/>
                  <w:hideMark/>
                </w:tcPr>
                <w:p w14:paraId="57F9272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33</w:t>
                  </w:r>
                </w:p>
              </w:tc>
              <w:tc>
                <w:tcPr>
                  <w:tcW w:w="922" w:type="dxa"/>
                  <w:shd w:val="clear" w:color="auto" w:fill="auto"/>
                  <w:noWrap/>
                  <w:vAlign w:val="center"/>
                  <w:hideMark/>
                </w:tcPr>
                <w:p w14:paraId="0C60AB9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73A362D8"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3316C82D"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E37DBD1"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Negros Occidental</w:t>
                  </w:r>
                </w:p>
              </w:tc>
              <w:tc>
                <w:tcPr>
                  <w:tcW w:w="1094" w:type="dxa"/>
                  <w:shd w:val="clear" w:color="auto" w:fill="auto"/>
                  <w:noWrap/>
                  <w:vAlign w:val="center"/>
                  <w:hideMark/>
                </w:tcPr>
                <w:p w14:paraId="7FF8B764"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1242</w:t>
                  </w:r>
                </w:p>
              </w:tc>
              <w:tc>
                <w:tcPr>
                  <w:tcW w:w="922" w:type="dxa"/>
                  <w:shd w:val="clear" w:color="auto" w:fill="auto"/>
                  <w:noWrap/>
                  <w:vAlign w:val="center"/>
                  <w:hideMark/>
                </w:tcPr>
                <w:p w14:paraId="03A068B3"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42</w:t>
                  </w:r>
                </w:p>
              </w:tc>
              <w:tc>
                <w:tcPr>
                  <w:tcW w:w="931" w:type="dxa"/>
                  <w:shd w:val="clear" w:color="auto" w:fill="auto"/>
                  <w:noWrap/>
                  <w:vAlign w:val="center"/>
                  <w:hideMark/>
                </w:tcPr>
                <w:p w14:paraId="3BDD47C3"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30</w:t>
                  </w:r>
                </w:p>
              </w:tc>
            </w:tr>
            <w:tr w:rsidR="007E1503" w:rsidRPr="002B355C" w14:paraId="23F4D4D1"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C0A3301"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Negros Oriental</w:t>
                  </w:r>
                </w:p>
              </w:tc>
              <w:tc>
                <w:tcPr>
                  <w:tcW w:w="1094" w:type="dxa"/>
                  <w:shd w:val="clear" w:color="auto" w:fill="auto"/>
                  <w:noWrap/>
                  <w:vAlign w:val="center"/>
                  <w:hideMark/>
                </w:tcPr>
                <w:p w14:paraId="7E5359DE"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286</w:t>
                  </w:r>
                </w:p>
              </w:tc>
              <w:tc>
                <w:tcPr>
                  <w:tcW w:w="922" w:type="dxa"/>
                  <w:shd w:val="clear" w:color="auto" w:fill="auto"/>
                  <w:noWrap/>
                  <w:vAlign w:val="center"/>
                  <w:hideMark/>
                </w:tcPr>
                <w:p w14:paraId="5EAB95CE"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10</w:t>
                  </w:r>
                </w:p>
              </w:tc>
              <w:tc>
                <w:tcPr>
                  <w:tcW w:w="931" w:type="dxa"/>
                  <w:shd w:val="clear" w:color="auto" w:fill="auto"/>
                  <w:noWrap/>
                  <w:vAlign w:val="center"/>
                  <w:hideMark/>
                </w:tcPr>
                <w:p w14:paraId="779ED8E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29</w:t>
                  </w:r>
                </w:p>
              </w:tc>
            </w:tr>
            <w:tr w:rsidR="007E1503" w:rsidRPr="002B355C" w14:paraId="12B6D0E5"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2950BCE"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 xml:space="preserve">North </w:t>
                  </w:r>
                  <w:proofErr w:type="spellStart"/>
                  <w:r w:rsidRPr="002B355C">
                    <w:rPr>
                      <w:rFonts w:eastAsia="Times New Roman" w:cs="Calibri"/>
                      <w:color w:val="000000"/>
                      <w:sz w:val="15"/>
                      <w:szCs w:val="15"/>
                    </w:rPr>
                    <w:t>Cotabato</w:t>
                  </w:r>
                  <w:proofErr w:type="spellEnd"/>
                </w:p>
              </w:tc>
              <w:tc>
                <w:tcPr>
                  <w:tcW w:w="1094" w:type="dxa"/>
                  <w:shd w:val="clear" w:color="auto" w:fill="auto"/>
                  <w:noWrap/>
                  <w:vAlign w:val="center"/>
                  <w:hideMark/>
                </w:tcPr>
                <w:p w14:paraId="2AF281F4"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205</w:t>
                  </w:r>
                </w:p>
              </w:tc>
              <w:tc>
                <w:tcPr>
                  <w:tcW w:w="922" w:type="dxa"/>
                  <w:shd w:val="clear" w:color="auto" w:fill="auto"/>
                  <w:noWrap/>
                  <w:vAlign w:val="center"/>
                  <w:hideMark/>
                </w:tcPr>
                <w:p w14:paraId="3470364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6</w:t>
                  </w:r>
                </w:p>
              </w:tc>
              <w:tc>
                <w:tcPr>
                  <w:tcW w:w="931" w:type="dxa"/>
                  <w:shd w:val="clear" w:color="auto" w:fill="auto"/>
                  <w:noWrap/>
                  <w:vAlign w:val="center"/>
                  <w:hideMark/>
                </w:tcPr>
                <w:p w14:paraId="4FDE001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34</w:t>
                  </w:r>
                </w:p>
              </w:tc>
            </w:tr>
            <w:tr w:rsidR="007E1503" w:rsidRPr="002B355C" w14:paraId="67821299"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A78A6CE"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Northern Samar</w:t>
                  </w:r>
                </w:p>
              </w:tc>
              <w:tc>
                <w:tcPr>
                  <w:tcW w:w="1094" w:type="dxa"/>
                  <w:shd w:val="clear" w:color="auto" w:fill="auto"/>
                  <w:noWrap/>
                  <w:vAlign w:val="center"/>
                  <w:hideMark/>
                </w:tcPr>
                <w:p w14:paraId="51A3D67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84</w:t>
                  </w:r>
                </w:p>
              </w:tc>
              <w:tc>
                <w:tcPr>
                  <w:tcW w:w="922" w:type="dxa"/>
                  <w:shd w:val="clear" w:color="auto" w:fill="auto"/>
                  <w:noWrap/>
                  <w:vAlign w:val="center"/>
                  <w:hideMark/>
                </w:tcPr>
                <w:p w14:paraId="15689FAE"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69C28C0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3FA4BF39"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4106AAD"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Nueva Ecija</w:t>
                  </w:r>
                </w:p>
              </w:tc>
              <w:tc>
                <w:tcPr>
                  <w:tcW w:w="1094" w:type="dxa"/>
                  <w:shd w:val="clear" w:color="auto" w:fill="auto"/>
                  <w:noWrap/>
                  <w:vAlign w:val="center"/>
                  <w:hideMark/>
                </w:tcPr>
                <w:p w14:paraId="04D92254"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485</w:t>
                  </w:r>
                </w:p>
              </w:tc>
              <w:tc>
                <w:tcPr>
                  <w:tcW w:w="922" w:type="dxa"/>
                  <w:shd w:val="clear" w:color="auto" w:fill="auto"/>
                  <w:noWrap/>
                  <w:vAlign w:val="center"/>
                  <w:hideMark/>
                </w:tcPr>
                <w:p w14:paraId="19069BD4"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25</w:t>
                  </w:r>
                </w:p>
              </w:tc>
              <w:tc>
                <w:tcPr>
                  <w:tcW w:w="931" w:type="dxa"/>
                  <w:shd w:val="clear" w:color="auto" w:fill="auto"/>
                  <w:noWrap/>
                  <w:vAlign w:val="center"/>
                  <w:hideMark/>
                </w:tcPr>
                <w:p w14:paraId="2D94C70B"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19</w:t>
                  </w:r>
                </w:p>
              </w:tc>
            </w:tr>
            <w:tr w:rsidR="007E1503" w:rsidRPr="002B355C" w14:paraId="2B6A62A0"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2E48B976"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Nueva Vizcaya</w:t>
                  </w:r>
                </w:p>
              </w:tc>
              <w:tc>
                <w:tcPr>
                  <w:tcW w:w="1094" w:type="dxa"/>
                  <w:shd w:val="clear" w:color="auto" w:fill="auto"/>
                  <w:noWrap/>
                  <w:vAlign w:val="center"/>
                  <w:hideMark/>
                </w:tcPr>
                <w:p w14:paraId="36FFAFD8"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121</w:t>
                  </w:r>
                </w:p>
              </w:tc>
              <w:tc>
                <w:tcPr>
                  <w:tcW w:w="922" w:type="dxa"/>
                  <w:shd w:val="clear" w:color="auto" w:fill="auto"/>
                  <w:noWrap/>
                  <w:vAlign w:val="center"/>
                  <w:hideMark/>
                </w:tcPr>
                <w:p w14:paraId="0A09D25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5</w:t>
                  </w:r>
                </w:p>
              </w:tc>
              <w:tc>
                <w:tcPr>
                  <w:tcW w:w="931" w:type="dxa"/>
                  <w:shd w:val="clear" w:color="auto" w:fill="auto"/>
                  <w:noWrap/>
                  <w:vAlign w:val="center"/>
                  <w:hideMark/>
                </w:tcPr>
                <w:p w14:paraId="35D79B37"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24</w:t>
                  </w:r>
                </w:p>
              </w:tc>
            </w:tr>
            <w:tr w:rsidR="007E1503" w:rsidRPr="002B355C" w14:paraId="10BCBAA9"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2B565F34"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Occidental Mindoro</w:t>
                  </w:r>
                </w:p>
              </w:tc>
              <w:tc>
                <w:tcPr>
                  <w:tcW w:w="1094" w:type="dxa"/>
                  <w:shd w:val="clear" w:color="auto" w:fill="auto"/>
                  <w:noWrap/>
                  <w:vAlign w:val="center"/>
                  <w:hideMark/>
                </w:tcPr>
                <w:p w14:paraId="2B8F27E2"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158</w:t>
                  </w:r>
                </w:p>
              </w:tc>
              <w:tc>
                <w:tcPr>
                  <w:tcW w:w="922" w:type="dxa"/>
                  <w:shd w:val="clear" w:color="auto" w:fill="auto"/>
                  <w:noWrap/>
                  <w:vAlign w:val="center"/>
                  <w:hideMark/>
                </w:tcPr>
                <w:p w14:paraId="2DF9C25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61A1A17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425554A0"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351AA1B"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Oriental Mindoro</w:t>
                  </w:r>
                </w:p>
              </w:tc>
              <w:tc>
                <w:tcPr>
                  <w:tcW w:w="1094" w:type="dxa"/>
                  <w:shd w:val="clear" w:color="auto" w:fill="auto"/>
                  <w:noWrap/>
                  <w:vAlign w:val="center"/>
                  <w:hideMark/>
                </w:tcPr>
                <w:p w14:paraId="5EF796F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227</w:t>
                  </w:r>
                </w:p>
              </w:tc>
              <w:tc>
                <w:tcPr>
                  <w:tcW w:w="922" w:type="dxa"/>
                  <w:shd w:val="clear" w:color="auto" w:fill="auto"/>
                  <w:noWrap/>
                  <w:vAlign w:val="center"/>
                  <w:hideMark/>
                </w:tcPr>
                <w:p w14:paraId="5B6659D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w:t>
                  </w:r>
                </w:p>
              </w:tc>
              <w:tc>
                <w:tcPr>
                  <w:tcW w:w="931" w:type="dxa"/>
                  <w:shd w:val="clear" w:color="auto" w:fill="auto"/>
                  <w:noWrap/>
                  <w:vAlign w:val="center"/>
                  <w:hideMark/>
                </w:tcPr>
                <w:p w14:paraId="00907E99"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76</w:t>
                  </w:r>
                </w:p>
              </w:tc>
            </w:tr>
            <w:tr w:rsidR="007E1503" w:rsidRPr="002B355C" w14:paraId="3FA505EE"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5E9C5BEF"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Palawan</w:t>
                  </w:r>
                </w:p>
              </w:tc>
              <w:tc>
                <w:tcPr>
                  <w:tcW w:w="1094" w:type="dxa"/>
                  <w:shd w:val="clear" w:color="auto" w:fill="auto"/>
                  <w:noWrap/>
                  <w:vAlign w:val="center"/>
                  <w:hideMark/>
                </w:tcPr>
                <w:p w14:paraId="2F7FD503"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304</w:t>
                  </w:r>
                </w:p>
              </w:tc>
              <w:tc>
                <w:tcPr>
                  <w:tcW w:w="922" w:type="dxa"/>
                  <w:shd w:val="clear" w:color="auto" w:fill="auto"/>
                  <w:noWrap/>
                  <w:vAlign w:val="center"/>
                  <w:hideMark/>
                </w:tcPr>
                <w:p w14:paraId="561BB13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11</w:t>
                  </w:r>
                </w:p>
              </w:tc>
              <w:tc>
                <w:tcPr>
                  <w:tcW w:w="931" w:type="dxa"/>
                  <w:shd w:val="clear" w:color="auto" w:fill="auto"/>
                  <w:noWrap/>
                  <w:vAlign w:val="center"/>
                  <w:hideMark/>
                </w:tcPr>
                <w:p w14:paraId="7F6ACF7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28</w:t>
                  </w:r>
                </w:p>
              </w:tc>
            </w:tr>
            <w:tr w:rsidR="007E1503" w:rsidRPr="002B355C" w14:paraId="77347410"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8E15A3F"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Pampanga</w:t>
                  </w:r>
                </w:p>
              </w:tc>
              <w:tc>
                <w:tcPr>
                  <w:tcW w:w="1094" w:type="dxa"/>
                  <w:shd w:val="clear" w:color="auto" w:fill="auto"/>
                  <w:noWrap/>
                  <w:vAlign w:val="center"/>
                  <w:hideMark/>
                </w:tcPr>
                <w:p w14:paraId="384FF41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1815</w:t>
                  </w:r>
                </w:p>
              </w:tc>
              <w:tc>
                <w:tcPr>
                  <w:tcW w:w="922" w:type="dxa"/>
                  <w:shd w:val="clear" w:color="auto" w:fill="auto"/>
                  <w:noWrap/>
                  <w:vAlign w:val="center"/>
                  <w:hideMark/>
                </w:tcPr>
                <w:p w14:paraId="6E54AC1D"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67</w:t>
                  </w:r>
                </w:p>
              </w:tc>
              <w:tc>
                <w:tcPr>
                  <w:tcW w:w="931" w:type="dxa"/>
                  <w:shd w:val="clear" w:color="auto" w:fill="auto"/>
                  <w:noWrap/>
                  <w:vAlign w:val="center"/>
                  <w:hideMark/>
                </w:tcPr>
                <w:p w14:paraId="415BBB7D"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27</w:t>
                  </w:r>
                </w:p>
              </w:tc>
            </w:tr>
            <w:tr w:rsidR="007E1503" w:rsidRPr="002B355C" w14:paraId="5DE990DE"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25578DB"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Pangasinan</w:t>
                  </w:r>
                  <w:proofErr w:type="spellEnd"/>
                </w:p>
              </w:tc>
              <w:tc>
                <w:tcPr>
                  <w:tcW w:w="1094" w:type="dxa"/>
                  <w:shd w:val="clear" w:color="auto" w:fill="auto"/>
                  <w:noWrap/>
                  <w:vAlign w:val="center"/>
                  <w:hideMark/>
                </w:tcPr>
                <w:p w14:paraId="140A4AE5"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873</w:t>
                  </w:r>
                </w:p>
              </w:tc>
              <w:tc>
                <w:tcPr>
                  <w:tcW w:w="922" w:type="dxa"/>
                  <w:shd w:val="clear" w:color="auto" w:fill="auto"/>
                  <w:noWrap/>
                  <w:vAlign w:val="center"/>
                  <w:hideMark/>
                </w:tcPr>
                <w:p w14:paraId="69E7E4CB"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8</w:t>
                  </w:r>
                </w:p>
              </w:tc>
              <w:tc>
                <w:tcPr>
                  <w:tcW w:w="931" w:type="dxa"/>
                  <w:shd w:val="clear" w:color="auto" w:fill="auto"/>
                  <w:noWrap/>
                  <w:vAlign w:val="center"/>
                  <w:hideMark/>
                </w:tcPr>
                <w:p w14:paraId="0041230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109</w:t>
                  </w:r>
                </w:p>
              </w:tc>
            </w:tr>
            <w:tr w:rsidR="007E1503" w:rsidRPr="002B355C" w14:paraId="775C0228"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64677FDF"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Quezon</w:t>
                  </w:r>
                </w:p>
              </w:tc>
              <w:tc>
                <w:tcPr>
                  <w:tcW w:w="1094" w:type="dxa"/>
                  <w:shd w:val="clear" w:color="auto" w:fill="auto"/>
                  <w:noWrap/>
                  <w:vAlign w:val="center"/>
                  <w:hideMark/>
                </w:tcPr>
                <w:p w14:paraId="71A1737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605</w:t>
                  </w:r>
                </w:p>
              </w:tc>
              <w:tc>
                <w:tcPr>
                  <w:tcW w:w="922" w:type="dxa"/>
                  <w:shd w:val="clear" w:color="auto" w:fill="auto"/>
                  <w:noWrap/>
                  <w:vAlign w:val="center"/>
                  <w:hideMark/>
                </w:tcPr>
                <w:p w14:paraId="59D773D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6</w:t>
                  </w:r>
                </w:p>
              </w:tc>
              <w:tc>
                <w:tcPr>
                  <w:tcW w:w="931" w:type="dxa"/>
                  <w:shd w:val="clear" w:color="auto" w:fill="auto"/>
                  <w:noWrap/>
                  <w:vAlign w:val="center"/>
                  <w:hideMark/>
                </w:tcPr>
                <w:p w14:paraId="3983262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101</w:t>
                  </w:r>
                </w:p>
              </w:tc>
            </w:tr>
            <w:tr w:rsidR="007E1503" w:rsidRPr="002B355C" w14:paraId="5397378C"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1FCB9DC3"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Quirino</w:t>
                  </w:r>
                  <w:proofErr w:type="spellEnd"/>
                </w:p>
              </w:tc>
              <w:tc>
                <w:tcPr>
                  <w:tcW w:w="1094" w:type="dxa"/>
                  <w:shd w:val="clear" w:color="auto" w:fill="auto"/>
                  <w:noWrap/>
                  <w:vAlign w:val="center"/>
                  <w:hideMark/>
                </w:tcPr>
                <w:p w14:paraId="6170049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49</w:t>
                  </w:r>
                </w:p>
              </w:tc>
              <w:tc>
                <w:tcPr>
                  <w:tcW w:w="922" w:type="dxa"/>
                  <w:shd w:val="clear" w:color="auto" w:fill="auto"/>
                  <w:noWrap/>
                  <w:vAlign w:val="center"/>
                  <w:hideMark/>
                </w:tcPr>
                <w:p w14:paraId="216D5BB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7B64582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49</w:t>
                  </w:r>
                </w:p>
              </w:tc>
            </w:tr>
            <w:tr w:rsidR="007E1503" w:rsidRPr="002B355C" w14:paraId="0B2D56E8"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6B3ACC19"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Rizal</w:t>
                  </w:r>
                </w:p>
              </w:tc>
              <w:tc>
                <w:tcPr>
                  <w:tcW w:w="1094" w:type="dxa"/>
                  <w:shd w:val="clear" w:color="auto" w:fill="auto"/>
                  <w:noWrap/>
                  <w:vAlign w:val="center"/>
                  <w:hideMark/>
                </w:tcPr>
                <w:p w14:paraId="49B4DDE8"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922" w:type="dxa"/>
                  <w:shd w:val="clear" w:color="auto" w:fill="auto"/>
                  <w:noWrap/>
                  <w:vAlign w:val="center"/>
                  <w:hideMark/>
                </w:tcPr>
                <w:p w14:paraId="3AB1ECD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32</w:t>
                  </w:r>
                </w:p>
              </w:tc>
              <w:tc>
                <w:tcPr>
                  <w:tcW w:w="931" w:type="dxa"/>
                  <w:shd w:val="clear" w:color="auto" w:fill="auto"/>
                  <w:noWrap/>
                  <w:vAlign w:val="center"/>
                  <w:hideMark/>
                </w:tcPr>
                <w:p w14:paraId="56D6D81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r>
            <w:tr w:rsidR="007E1503" w:rsidRPr="002B355C" w14:paraId="6007C9D8"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656BC69D"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Romblon</w:t>
                  </w:r>
                </w:p>
              </w:tc>
              <w:tc>
                <w:tcPr>
                  <w:tcW w:w="1094" w:type="dxa"/>
                  <w:shd w:val="clear" w:color="auto" w:fill="auto"/>
                  <w:noWrap/>
                  <w:vAlign w:val="center"/>
                  <w:hideMark/>
                </w:tcPr>
                <w:p w14:paraId="72AF680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55</w:t>
                  </w:r>
                </w:p>
              </w:tc>
              <w:tc>
                <w:tcPr>
                  <w:tcW w:w="922" w:type="dxa"/>
                  <w:shd w:val="clear" w:color="auto" w:fill="auto"/>
                  <w:noWrap/>
                  <w:vAlign w:val="center"/>
                  <w:hideMark/>
                </w:tcPr>
                <w:p w14:paraId="4E378D9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443FD62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74CF7BAD"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25D75357"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Samar</w:t>
                  </w:r>
                </w:p>
              </w:tc>
              <w:tc>
                <w:tcPr>
                  <w:tcW w:w="1094" w:type="dxa"/>
                  <w:shd w:val="clear" w:color="auto" w:fill="auto"/>
                  <w:noWrap/>
                  <w:vAlign w:val="center"/>
                  <w:hideMark/>
                </w:tcPr>
                <w:p w14:paraId="50A4EB59"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94</w:t>
                  </w:r>
                </w:p>
              </w:tc>
              <w:tc>
                <w:tcPr>
                  <w:tcW w:w="922" w:type="dxa"/>
                  <w:shd w:val="clear" w:color="auto" w:fill="auto"/>
                  <w:noWrap/>
                  <w:vAlign w:val="center"/>
                  <w:hideMark/>
                </w:tcPr>
                <w:p w14:paraId="61E59EC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410841C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94</w:t>
                  </w:r>
                </w:p>
              </w:tc>
            </w:tr>
            <w:tr w:rsidR="007E1503" w:rsidRPr="002B355C" w14:paraId="57B00005"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56C891A2"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Siquijor</w:t>
                  </w:r>
                </w:p>
              </w:tc>
              <w:tc>
                <w:tcPr>
                  <w:tcW w:w="1094" w:type="dxa"/>
                  <w:shd w:val="clear" w:color="auto" w:fill="auto"/>
                  <w:noWrap/>
                  <w:vAlign w:val="center"/>
                  <w:hideMark/>
                </w:tcPr>
                <w:p w14:paraId="6787E25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922" w:type="dxa"/>
                  <w:shd w:val="clear" w:color="auto" w:fill="auto"/>
                  <w:noWrap/>
                  <w:vAlign w:val="center"/>
                  <w:hideMark/>
                </w:tcPr>
                <w:p w14:paraId="63042D47"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3249E3A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55B138F1"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15FDA50C"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Sorsogon</w:t>
                  </w:r>
                </w:p>
              </w:tc>
              <w:tc>
                <w:tcPr>
                  <w:tcW w:w="1094" w:type="dxa"/>
                  <w:shd w:val="clear" w:color="auto" w:fill="auto"/>
                  <w:noWrap/>
                  <w:vAlign w:val="center"/>
                  <w:hideMark/>
                </w:tcPr>
                <w:p w14:paraId="3EB1800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117</w:t>
                  </w:r>
                </w:p>
              </w:tc>
              <w:tc>
                <w:tcPr>
                  <w:tcW w:w="922" w:type="dxa"/>
                  <w:shd w:val="clear" w:color="auto" w:fill="auto"/>
                  <w:noWrap/>
                  <w:vAlign w:val="center"/>
                  <w:hideMark/>
                </w:tcPr>
                <w:p w14:paraId="3A8A1929"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5EF41AB3"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08E783F9"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AE24F52"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 xml:space="preserve">South </w:t>
                  </w:r>
                  <w:proofErr w:type="spellStart"/>
                  <w:r w:rsidRPr="002B355C">
                    <w:rPr>
                      <w:rFonts w:eastAsia="Times New Roman" w:cs="Calibri"/>
                      <w:color w:val="000000"/>
                      <w:sz w:val="15"/>
                      <w:szCs w:val="15"/>
                    </w:rPr>
                    <w:t>Cotabato</w:t>
                  </w:r>
                  <w:proofErr w:type="spellEnd"/>
                </w:p>
              </w:tc>
              <w:tc>
                <w:tcPr>
                  <w:tcW w:w="1094" w:type="dxa"/>
                  <w:shd w:val="clear" w:color="auto" w:fill="auto"/>
                  <w:noWrap/>
                  <w:vAlign w:val="center"/>
                  <w:hideMark/>
                </w:tcPr>
                <w:p w14:paraId="2709A122"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621</w:t>
                  </w:r>
                </w:p>
              </w:tc>
              <w:tc>
                <w:tcPr>
                  <w:tcW w:w="922" w:type="dxa"/>
                  <w:shd w:val="clear" w:color="auto" w:fill="auto"/>
                  <w:noWrap/>
                  <w:vAlign w:val="center"/>
                  <w:hideMark/>
                </w:tcPr>
                <w:p w14:paraId="37774C8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36</w:t>
                  </w:r>
                </w:p>
              </w:tc>
              <w:tc>
                <w:tcPr>
                  <w:tcW w:w="931" w:type="dxa"/>
                  <w:shd w:val="clear" w:color="auto" w:fill="auto"/>
                  <w:noWrap/>
                  <w:vAlign w:val="center"/>
                  <w:hideMark/>
                </w:tcPr>
                <w:p w14:paraId="76BE9859"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17</w:t>
                  </w:r>
                </w:p>
              </w:tc>
            </w:tr>
            <w:tr w:rsidR="007E1503" w:rsidRPr="002B355C" w14:paraId="7F745AC3"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4BEA1D4"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Southern Leyte</w:t>
                  </w:r>
                </w:p>
              </w:tc>
              <w:tc>
                <w:tcPr>
                  <w:tcW w:w="1094" w:type="dxa"/>
                  <w:shd w:val="clear" w:color="auto" w:fill="auto"/>
                  <w:noWrap/>
                  <w:vAlign w:val="center"/>
                  <w:hideMark/>
                </w:tcPr>
                <w:p w14:paraId="1053089A"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69</w:t>
                  </w:r>
                </w:p>
              </w:tc>
              <w:tc>
                <w:tcPr>
                  <w:tcW w:w="922" w:type="dxa"/>
                  <w:shd w:val="clear" w:color="auto" w:fill="auto"/>
                  <w:noWrap/>
                  <w:vAlign w:val="center"/>
                  <w:hideMark/>
                </w:tcPr>
                <w:p w14:paraId="5C7DB377"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5D5ACCEC"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1748FF85"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2DCAF3A9"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 xml:space="preserve">Sultan </w:t>
                  </w:r>
                  <w:proofErr w:type="spellStart"/>
                  <w:r w:rsidRPr="002B355C">
                    <w:rPr>
                      <w:rFonts w:eastAsia="Times New Roman" w:cs="Calibri"/>
                      <w:color w:val="000000"/>
                      <w:sz w:val="15"/>
                      <w:szCs w:val="15"/>
                    </w:rPr>
                    <w:t>Kudarat</w:t>
                  </w:r>
                  <w:proofErr w:type="spellEnd"/>
                </w:p>
              </w:tc>
              <w:tc>
                <w:tcPr>
                  <w:tcW w:w="1094" w:type="dxa"/>
                  <w:shd w:val="clear" w:color="auto" w:fill="auto"/>
                  <w:noWrap/>
                  <w:vAlign w:val="center"/>
                  <w:hideMark/>
                </w:tcPr>
                <w:p w14:paraId="5DF267F2"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150</w:t>
                  </w:r>
                </w:p>
              </w:tc>
              <w:tc>
                <w:tcPr>
                  <w:tcW w:w="922" w:type="dxa"/>
                  <w:shd w:val="clear" w:color="auto" w:fill="auto"/>
                  <w:noWrap/>
                  <w:vAlign w:val="center"/>
                  <w:hideMark/>
                </w:tcPr>
                <w:p w14:paraId="378A88A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4</w:t>
                  </w:r>
                </w:p>
              </w:tc>
              <w:tc>
                <w:tcPr>
                  <w:tcW w:w="931" w:type="dxa"/>
                  <w:shd w:val="clear" w:color="auto" w:fill="auto"/>
                  <w:noWrap/>
                  <w:vAlign w:val="center"/>
                  <w:hideMark/>
                </w:tcPr>
                <w:p w14:paraId="58AA45E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38</w:t>
                  </w:r>
                </w:p>
              </w:tc>
            </w:tr>
            <w:tr w:rsidR="007E1503" w:rsidRPr="002B355C" w14:paraId="26F14751"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667F5F2A"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Sulu</w:t>
                  </w:r>
                </w:p>
              </w:tc>
              <w:tc>
                <w:tcPr>
                  <w:tcW w:w="1094" w:type="dxa"/>
                  <w:shd w:val="clear" w:color="auto" w:fill="auto"/>
                  <w:noWrap/>
                  <w:vAlign w:val="center"/>
                  <w:hideMark/>
                </w:tcPr>
                <w:p w14:paraId="3F72C3E5"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w:t>
                  </w:r>
                </w:p>
              </w:tc>
              <w:tc>
                <w:tcPr>
                  <w:tcW w:w="922" w:type="dxa"/>
                  <w:shd w:val="clear" w:color="auto" w:fill="auto"/>
                  <w:noWrap/>
                  <w:vAlign w:val="center"/>
                  <w:hideMark/>
                </w:tcPr>
                <w:p w14:paraId="30D208C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w:t>
                  </w:r>
                </w:p>
              </w:tc>
              <w:tc>
                <w:tcPr>
                  <w:tcW w:w="931" w:type="dxa"/>
                  <w:shd w:val="clear" w:color="auto" w:fill="auto"/>
                  <w:noWrap/>
                  <w:vAlign w:val="center"/>
                  <w:hideMark/>
                </w:tcPr>
                <w:p w14:paraId="04A772F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w:t>
                  </w:r>
                </w:p>
              </w:tc>
            </w:tr>
            <w:tr w:rsidR="007E1503" w:rsidRPr="002B355C" w14:paraId="594D9B24"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1149B802"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Surigao</w:t>
                  </w:r>
                  <w:proofErr w:type="spellEnd"/>
                  <w:r w:rsidRPr="002B355C">
                    <w:rPr>
                      <w:rFonts w:eastAsia="Times New Roman" w:cs="Calibri"/>
                      <w:color w:val="000000"/>
                      <w:sz w:val="15"/>
                      <w:szCs w:val="15"/>
                    </w:rPr>
                    <w:t xml:space="preserve"> Del Norte</w:t>
                  </w:r>
                </w:p>
              </w:tc>
              <w:tc>
                <w:tcPr>
                  <w:tcW w:w="1094" w:type="dxa"/>
                  <w:shd w:val="clear" w:color="auto" w:fill="auto"/>
                  <w:noWrap/>
                  <w:vAlign w:val="center"/>
                  <w:hideMark/>
                </w:tcPr>
                <w:p w14:paraId="5424E67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126</w:t>
                  </w:r>
                </w:p>
              </w:tc>
              <w:tc>
                <w:tcPr>
                  <w:tcW w:w="922" w:type="dxa"/>
                  <w:shd w:val="clear" w:color="auto" w:fill="auto"/>
                  <w:noWrap/>
                  <w:vAlign w:val="center"/>
                  <w:hideMark/>
                </w:tcPr>
                <w:p w14:paraId="26A93BF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2</w:t>
                  </w:r>
                </w:p>
              </w:tc>
              <w:tc>
                <w:tcPr>
                  <w:tcW w:w="931" w:type="dxa"/>
                  <w:shd w:val="clear" w:color="auto" w:fill="auto"/>
                  <w:noWrap/>
                  <w:vAlign w:val="center"/>
                  <w:hideMark/>
                </w:tcPr>
                <w:p w14:paraId="456F48E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63</w:t>
                  </w:r>
                </w:p>
              </w:tc>
            </w:tr>
            <w:tr w:rsidR="007E1503" w:rsidRPr="002B355C" w14:paraId="7AA92ADD"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11459543"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Surigao</w:t>
                  </w:r>
                  <w:proofErr w:type="spellEnd"/>
                  <w:r w:rsidRPr="002B355C">
                    <w:rPr>
                      <w:rFonts w:eastAsia="Times New Roman" w:cs="Calibri"/>
                      <w:color w:val="000000"/>
                      <w:sz w:val="15"/>
                      <w:szCs w:val="15"/>
                    </w:rPr>
                    <w:t xml:space="preserve"> Del Sur</w:t>
                  </w:r>
                </w:p>
              </w:tc>
              <w:tc>
                <w:tcPr>
                  <w:tcW w:w="1094" w:type="dxa"/>
                  <w:shd w:val="clear" w:color="auto" w:fill="auto"/>
                  <w:noWrap/>
                  <w:vAlign w:val="center"/>
                  <w:hideMark/>
                </w:tcPr>
                <w:p w14:paraId="357BF55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73</w:t>
                  </w:r>
                </w:p>
              </w:tc>
              <w:tc>
                <w:tcPr>
                  <w:tcW w:w="922" w:type="dxa"/>
                  <w:shd w:val="clear" w:color="auto" w:fill="auto"/>
                  <w:noWrap/>
                  <w:vAlign w:val="center"/>
                  <w:hideMark/>
                </w:tcPr>
                <w:p w14:paraId="6F8102AB"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5</w:t>
                  </w:r>
                </w:p>
              </w:tc>
              <w:tc>
                <w:tcPr>
                  <w:tcW w:w="931" w:type="dxa"/>
                  <w:shd w:val="clear" w:color="auto" w:fill="auto"/>
                  <w:noWrap/>
                  <w:vAlign w:val="center"/>
                  <w:hideMark/>
                </w:tcPr>
                <w:p w14:paraId="43504D1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15</w:t>
                  </w:r>
                </w:p>
              </w:tc>
            </w:tr>
            <w:tr w:rsidR="007E1503" w:rsidRPr="002B355C" w14:paraId="173A953C"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46DE4823"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Tarlac</w:t>
                  </w:r>
                  <w:proofErr w:type="spellEnd"/>
                </w:p>
              </w:tc>
              <w:tc>
                <w:tcPr>
                  <w:tcW w:w="1094" w:type="dxa"/>
                  <w:shd w:val="clear" w:color="auto" w:fill="auto"/>
                  <w:noWrap/>
                  <w:vAlign w:val="center"/>
                  <w:hideMark/>
                </w:tcPr>
                <w:p w14:paraId="58823743"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517</w:t>
                  </w:r>
                </w:p>
              </w:tc>
              <w:tc>
                <w:tcPr>
                  <w:tcW w:w="922" w:type="dxa"/>
                  <w:shd w:val="clear" w:color="auto" w:fill="auto"/>
                  <w:noWrap/>
                  <w:vAlign w:val="center"/>
                  <w:hideMark/>
                </w:tcPr>
                <w:p w14:paraId="168EE94C"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17</w:t>
                  </w:r>
                </w:p>
              </w:tc>
              <w:tc>
                <w:tcPr>
                  <w:tcW w:w="931" w:type="dxa"/>
                  <w:shd w:val="clear" w:color="auto" w:fill="auto"/>
                  <w:noWrap/>
                  <w:vAlign w:val="center"/>
                  <w:hideMark/>
                </w:tcPr>
                <w:p w14:paraId="0398C7EE"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30</w:t>
                  </w:r>
                </w:p>
              </w:tc>
            </w:tr>
            <w:tr w:rsidR="007E1503" w:rsidRPr="002B355C" w14:paraId="54CBDECC"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D7BD2DF" w14:textId="77777777" w:rsidR="007E1503" w:rsidRPr="002B355C" w:rsidRDefault="007E1503" w:rsidP="007E1503">
                  <w:pPr>
                    <w:spacing w:after="0" w:line="240" w:lineRule="auto"/>
                    <w:jc w:val="left"/>
                    <w:rPr>
                      <w:rFonts w:eastAsia="Times New Roman" w:cs="Calibri"/>
                      <w:color w:val="000000"/>
                      <w:sz w:val="15"/>
                      <w:szCs w:val="15"/>
                    </w:rPr>
                  </w:pPr>
                  <w:proofErr w:type="spellStart"/>
                  <w:r w:rsidRPr="002B355C">
                    <w:rPr>
                      <w:rFonts w:eastAsia="Times New Roman" w:cs="Calibri"/>
                      <w:color w:val="000000"/>
                      <w:sz w:val="15"/>
                      <w:szCs w:val="15"/>
                    </w:rPr>
                    <w:t>Tawi-Tawi</w:t>
                  </w:r>
                  <w:proofErr w:type="spellEnd"/>
                </w:p>
              </w:tc>
              <w:tc>
                <w:tcPr>
                  <w:tcW w:w="1094" w:type="dxa"/>
                  <w:shd w:val="clear" w:color="auto" w:fill="auto"/>
                  <w:noWrap/>
                  <w:vAlign w:val="center"/>
                  <w:hideMark/>
                </w:tcPr>
                <w:p w14:paraId="52559811"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0</w:t>
                  </w:r>
                </w:p>
              </w:tc>
              <w:tc>
                <w:tcPr>
                  <w:tcW w:w="922" w:type="dxa"/>
                  <w:shd w:val="clear" w:color="auto" w:fill="auto"/>
                  <w:noWrap/>
                  <w:vAlign w:val="center"/>
                  <w:hideMark/>
                </w:tcPr>
                <w:p w14:paraId="38B7A2F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77F3889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r w:rsidR="007E1503" w:rsidRPr="002B355C" w14:paraId="316ECC07"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2C2F1F23"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Zambales</w:t>
                  </w:r>
                </w:p>
              </w:tc>
              <w:tc>
                <w:tcPr>
                  <w:tcW w:w="1094" w:type="dxa"/>
                  <w:shd w:val="clear" w:color="auto" w:fill="auto"/>
                  <w:noWrap/>
                  <w:vAlign w:val="center"/>
                  <w:hideMark/>
                </w:tcPr>
                <w:p w14:paraId="26CA5231"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710</w:t>
                  </w:r>
                </w:p>
              </w:tc>
              <w:tc>
                <w:tcPr>
                  <w:tcW w:w="922" w:type="dxa"/>
                  <w:shd w:val="clear" w:color="auto" w:fill="auto"/>
                  <w:noWrap/>
                  <w:vAlign w:val="center"/>
                  <w:hideMark/>
                </w:tcPr>
                <w:p w14:paraId="3ABFD86D"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33</w:t>
                  </w:r>
                </w:p>
              </w:tc>
              <w:tc>
                <w:tcPr>
                  <w:tcW w:w="931" w:type="dxa"/>
                  <w:shd w:val="clear" w:color="auto" w:fill="auto"/>
                  <w:noWrap/>
                  <w:vAlign w:val="center"/>
                  <w:hideMark/>
                </w:tcPr>
                <w:p w14:paraId="6CDE9108"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22</w:t>
                  </w:r>
                </w:p>
              </w:tc>
            </w:tr>
            <w:tr w:rsidR="007E1503" w:rsidRPr="002B355C" w14:paraId="3BA343BE"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2960695"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Zamboanga Del Norte</w:t>
                  </w:r>
                </w:p>
              </w:tc>
              <w:tc>
                <w:tcPr>
                  <w:tcW w:w="1094" w:type="dxa"/>
                  <w:shd w:val="clear" w:color="auto" w:fill="auto"/>
                  <w:noWrap/>
                  <w:vAlign w:val="center"/>
                  <w:hideMark/>
                </w:tcPr>
                <w:p w14:paraId="50873408"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147</w:t>
                  </w:r>
                </w:p>
              </w:tc>
              <w:tc>
                <w:tcPr>
                  <w:tcW w:w="922" w:type="dxa"/>
                  <w:shd w:val="clear" w:color="auto" w:fill="auto"/>
                  <w:noWrap/>
                  <w:vAlign w:val="center"/>
                  <w:hideMark/>
                </w:tcPr>
                <w:p w14:paraId="6DE3EFB2"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3</w:t>
                  </w:r>
                </w:p>
              </w:tc>
              <w:tc>
                <w:tcPr>
                  <w:tcW w:w="931" w:type="dxa"/>
                  <w:shd w:val="clear" w:color="auto" w:fill="auto"/>
                  <w:noWrap/>
                  <w:vAlign w:val="center"/>
                  <w:hideMark/>
                </w:tcPr>
                <w:p w14:paraId="5C6F79DF"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49</w:t>
                  </w:r>
                </w:p>
              </w:tc>
            </w:tr>
            <w:tr w:rsidR="007E1503" w:rsidRPr="002B355C" w14:paraId="7495C78E" w14:textId="77777777" w:rsidTr="00BC5FDF">
              <w:trPr>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016AA0CD"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Zamboanga Del Sur</w:t>
                  </w:r>
                </w:p>
              </w:tc>
              <w:tc>
                <w:tcPr>
                  <w:tcW w:w="1094" w:type="dxa"/>
                  <w:shd w:val="clear" w:color="auto" w:fill="auto"/>
                  <w:noWrap/>
                  <w:vAlign w:val="center"/>
                  <w:hideMark/>
                </w:tcPr>
                <w:p w14:paraId="72A7849A"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481</w:t>
                  </w:r>
                </w:p>
              </w:tc>
              <w:tc>
                <w:tcPr>
                  <w:tcW w:w="922" w:type="dxa"/>
                  <w:shd w:val="clear" w:color="auto" w:fill="auto"/>
                  <w:noWrap/>
                  <w:vAlign w:val="center"/>
                  <w:hideMark/>
                </w:tcPr>
                <w:p w14:paraId="1F9707A0"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8</w:t>
                  </w:r>
                </w:p>
              </w:tc>
              <w:tc>
                <w:tcPr>
                  <w:tcW w:w="931" w:type="dxa"/>
                  <w:shd w:val="clear" w:color="auto" w:fill="auto"/>
                  <w:noWrap/>
                  <w:vAlign w:val="center"/>
                  <w:hideMark/>
                </w:tcPr>
                <w:p w14:paraId="000C57ED" w14:textId="77777777" w:rsidR="007E1503" w:rsidRPr="002B355C" w:rsidRDefault="007E1503" w:rsidP="007E150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60</w:t>
                  </w:r>
                </w:p>
              </w:tc>
            </w:tr>
            <w:tr w:rsidR="007E1503" w:rsidRPr="002B355C" w14:paraId="0E72C4F5" w14:textId="77777777" w:rsidTr="00BC5FD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94" w:type="dxa"/>
                  <w:shd w:val="clear" w:color="auto" w:fill="auto"/>
                  <w:noWrap/>
                  <w:hideMark/>
                </w:tcPr>
                <w:p w14:paraId="31159616" w14:textId="77777777" w:rsidR="007E1503" w:rsidRPr="002B355C" w:rsidRDefault="007E1503" w:rsidP="007E1503">
                  <w:pPr>
                    <w:spacing w:after="0" w:line="240" w:lineRule="auto"/>
                    <w:jc w:val="left"/>
                    <w:rPr>
                      <w:rFonts w:eastAsia="Times New Roman" w:cs="Calibri"/>
                      <w:color w:val="000000"/>
                      <w:sz w:val="15"/>
                      <w:szCs w:val="15"/>
                    </w:rPr>
                  </w:pPr>
                  <w:r w:rsidRPr="002B355C">
                    <w:rPr>
                      <w:rFonts w:eastAsia="Times New Roman" w:cs="Calibri"/>
                      <w:color w:val="000000"/>
                      <w:sz w:val="15"/>
                      <w:szCs w:val="15"/>
                    </w:rPr>
                    <w:t>Zamboanga Sibugay</w:t>
                  </w:r>
                </w:p>
              </w:tc>
              <w:tc>
                <w:tcPr>
                  <w:tcW w:w="1094" w:type="dxa"/>
                  <w:shd w:val="clear" w:color="auto" w:fill="auto"/>
                  <w:noWrap/>
                  <w:vAlign w:val="center"/>
                  <w:hideMark/>
                </w:tcPr>
                <w:p w14:paraId="242BA914"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64</w:t>
                  </w:r>
                </w:p>
              </w:tc>
              <w:tc>
                <w:tcPr>
                  <w:tcW w:w="922" w:type="dxa"/>
                  <w:shd w:val="clear" w:color="auto" w:fill="auto"/>
                  <w:noWrap/>
                  <w:vAlign w:val="center"/>
                  <w:hideMark/>
                </w:tcPr>
                <w:p w14:paraId="3A022B00"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5"/>
                      <w:szCs w:val="15"/>
                    </w:rPr>
                  </w:pPr>
                  <w:r w:rsidRPr="002B355C">
                    <w:rPr>
                      <w:rFonts w:eastAsia="Times New Roman" w:cs="Calibri"/>
                      <w:color w:val="000000"/>
                      <w:sz w:val="15"/>
                      <w:szCs w:val="15"/>
                    </w:rPr>
                    <w:t>0</w:t>
                  </w:r>
                </w:p>
              </w:tc>
              <w:tc>
                <w:tcPr>
                  <w:tcW w:w="931" w:type="dxa"/>
                  <w:shd w:val="clear" w:color="auto" w:fill="auto"/>
                  <w:noWrap/>
                  <w:vAlign w:val="center"/>
                  <w:hideMark/>
                </w:tcPr>
                <w:p w14:paraId="00386476" w14:textId="77777777" w:rsidR="007E1503" w:rsidRPr="002B355C" w:rsidRDefault="007E1503" w:rsidP="007E150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w:color w:val="000000"/>
                      <w:sz w:val="15"/>
                      <w:szCs w:val="15"/>
                    </w:rPr>
                  </w:pPr>
                  <w:r w:rsidRPr="002B355C">
                    <w:rPr>
                      <w:rFonts w:eastAsia="Calibri" w:cs="Calibri"/>
                      <w:color w:val="000000"/>
                      <w:sz w:val="15"/>
                      <w:szCs w:val="15"/>
                    </w:rPr>
                    <w:t>No CPAs</w:t>
                  </w:r>
                </w:p>
              </w:tc>
            </w:tr>
          </w:tbl>
          <w:p w14:paraId="642C037D" w14:textId="77777777" w:rsidR="00A07F14" w:rsidRPr="005056AE" w:rsidRDefault="00A07F14" w:rsidP="003E72E8">
            <w:pPr>
              <w:pStyle w:val="BodyText4"/>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16"/>
                <w:szCs w:val="16"/>
              </w:rPr>
            </w:pPr>
          </w:p>
        </w:tc>
      </w:tr>
    </w:tbl>
    <w:p w14:paraId="740BB5A2" w14:textId="7B7D20C7" w:rsidR="00A07F14" w:rsidRDefault="00A07F14" w:rsidP="003B43C7">
      <w:pPr>
        <w:pStyle w:val="BodyText4"/>
        <w:spacing w:after="200"/>
        <w:jc w:val="center"/>
        <w:rPr>
          <w:rFonts w:asciiTheme="minorHAnsi" w:hAnsiTheme="minorHAnsi"/>
          <w:b/>
          <w:bCs/>
          <w:color w:val="4472C4" w:themeColor="accent1"/>
          <w:sz w:val="24"/>
          <w:szCs w:val="12"/>
        </w:rPr>
      </w:pPr>
    </w:p>
    <w:p w14:paraId="0A5F60D1" w14:textId="600F7652" w:rsidR="00A07F14" w:rsidRDefault="00A07F14" w:rsidP="003B43C7">
      <w:pPr>
        <w:pStyle w:val="BodyText4"/>
        <w:spacing w:after="200"/>
        <w:jc w:val="center"/>
        <w:rPr>
          <w:rFonts w:asciiTheme="minorHAnsi" w:hAnsiTheme="minorHAnsi"/>
          <w:b/>
          <w:bCs/>
          <w:color w:val="4472C4" w:themeColor="accent1"/>
          <w:sz w:val="24"/>
          <w:szCs w:val="12"/>
        </w:rPr>
      </w:pPr>
    </w:p>
    <w:p w14:paraId="4C3AFF61" w14:textId="45A0DBF0" w:rsidR="00AE17FE" w:rsidRDefault="00AE17FE" w:rsidP="003B43C7">
      <w:pPr>
        <w:pStyle w:val="BodyText4"/>
        <w:spacing w:after="200"/>
        <w:jc w:val="center"/>
        <w:rPr>
          <w:rFonts w:asciiTheme="minorHAnsi" w:hAnsiTheme="minorHAnsi"/>
          <w:b/>
          <w:bCs/>
          <w:color w:val="4472C4" w:themeColor="accent1"/>
          <w:sz w:val="24"/>
          <w:szCs w:val="12"/>
        </w:rPr>
      </w:pPr>
    </w:p>
    <w:p w14:paraId="47225C48" w14:textId="4AD8771F" w:rsidR="00AE17FE" w:rsidRDefault="00AE17FE" w:rsidP="003B43C7">
      <w:pPr>
        <w:pStyle w:val="BodyText4"/>
        <w:spacing w:after="200"/>
        <w:jc w:val="center"/>
        <w:rPr>
          <w:rFonts w:asciiTheme="minorHAnsi" w:hAnsiTheme="minorHAnsi"/>
          <w:b/>
          <w:bCs/>
          <w:color w:val="4472C4" w:themeColor="accent1"/>
          <w:sz w:val="24"/>
          <w:szCs w:val="12"/>
        </w:rPr>
      </w:pPr>
    </w:p>
    <w:p w14:paraId="6D5EAEEF" w14:textId="5728618A" w:rsidR="00AE17FE" w:rsidRDefault="00AE17FE" w:rsidP="003B43C7">
      <w:pPr>
        <w:pStyle w:val="BodyText4"/>
        <w:spacing w:after="200"/>
        <w:jc w:val="center"/>
        <w:rPr>
          <w:rFonts w:asciiTheme="minorHAnsi" w:hAnsiTheme="minorHAnsi"/>
          <w:b/>
          <w:bCs/>
          <w:color w:val="4472C4" w:themeColor="accent1"/>
          <w:sz w:val="24"/>
          <w:szCs w:val="12"/>
        </w:rPr>
      </w:pPr>
    </w:p>
    <w:p w14:paraId="4332D1C9" w14:textId="77777777" w:rsidR="00AE17FE" w:rsidRPr="003B43C7" w:rsidRDefault="00AE17FE" w:rsidP="003B43C7">
      <w:pPr>
        <w:pStyle w:val="BodyText4"/>
        <w:spacing w:after="200"/>
        <w:jc w:val="center"/>
        <w:rPr>
          <w:rFonts w:asciiTheme="minorHAnsi" w:hAnsiTheme="minorHAnsi"/>
          <w:b/>
          <w:bCs/>
          <w:color w:val="4472C4" w:themeColor="accent1"/>
          <w:sz w:val="24"/>
          <w:szCs w:val="12"/>
        </w:rPr>
      </w:pPr>
    </w:p>
    <w:p w14:paraId="07DB655B" w14:textId="468D3E68" w:rsidR="008D0240" w:rsidRDefault="008D0240" w:rsidP="00B9579A">
      <w:pPr>
        <w:spacing w:after="0" w:line="240" w:lineRule="auto"/>
        <w:jc w:val="center"/>
        <w:rPr>
          <w:rFonts w:eastAsia="Times New Roman" w:cs="Calibri"/>
          <w:b/>
          <w:color w:val="4472C4" w:themeColor="accent1"/>
          <w:sz w:val="24"/>
          <w:szCs w:val="24"/>
        </w:rPr>
      </w:pPr>
    </w:p>
    <w:p w14:paraId="1DC37D27" w14:textId="5DCF45AB" w:rsidR="00AE17FE" w:rsidRDefault="00AE17FE"/>
    <w:p w14:paraId="7D886628" w14:textId="77777777" w:rsidR="00B9579A" w:rsidRDefault="00B9579A">
      <w:pPr>
        <w:spacing w:after="160" w:line="259" w:lineRule="auto"/>
        <w:jc w:val="left"/>
        <w:rPr>
          <w:caps/>
        </w:rPr>
        <w:sectPr w:rsidR="00B9579A" w:rsidSect="00210F2B">
          <w:headerReference w:type="default" r:id="rId43"/>
          <w:footerReference w:type="default" r:id="rId44"/>
          <w:pgSz w:w="11906" w:h="16838" w:code="9"/>
          <w:pgMar w:top="1440" w:right="1440" w:bottom="1440" w:left="1440" w:header="720" w:footer="720" w:gutter="0"/>
          <w:cols w:space="720"/>
          <w:docGrid w:linePitch="360"/>
        </w:sectPr>
      </w:pPr>
    </w:p>
    <w:p w14:paraId="53D81E58" w14:textId="77777777" w:rsidR="00DC007E" w:rsidRDefault="00DC007E">
      <w:pPr>
        <w:spacing w:after="160" w:line="259" w:lineRule="auto"/>
        <w:jc w:val="left"/>
        <w:rPr>
          <w:szCs w:val="24"/>
        </w:rPr>
      </w:pPr>
      <w:r>
        <w:rPr>
          <w:szCs w:val="24"/>
        </w:rPr>
        <w:br w:type="page"/>
      </w:r>
    </w:p>
    <w:p w14:paraId="2C3503E7" w14:textId="5FC2EBAC" w:rsidR="00D51C47" w:rsidRDefault="00826F94">
      <w:pPr>
        <w:spacing w:after="160" w:line="259" w:lineRule="auto"/>
        <w:jc w:val="left"/>
        <w:rPr>
          <w:szCs w:val="24"/>
        </w:rPr>
      </w:pPr>
      <w:r w:rsidRPr="008F1E62">
        <w:rPr>
          <w:noProof/>
        </w:rPr>
        <w:drawing>
          <wp:anchor distT="0" distB="0" distL="114300" distR="114300" simplePos="0" relativeHeight="251658242" behindDoc="0" locked="0" layoutInCell="1" allowOverlap="1" wp14:anchorId="36D3CC2B" wp14:editId="00C3B9A9">
            <wp:simplePos x="0" y="0"/>
            <wp:positionH relativeFrom="margin">
              <wp:align>center</wp:align>
            </wp:positionH>
            <wp:positionV relativeFrom="margin">
              <wp:align>center</wp:align>
            </wp:positionV>
            <wp:extent cx="7543800" cy="106705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ac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43800" cy="10670540"/>
                    </a:xfrm>
                    <a:prstGeom prst="rect">
                      <a:avLst/>
                    </a:prstGeom>
                  </pic:spPr>
                </pic:pic>
              </a:graphicData>
            </a:graphic>
            <wp14:sizeRelH relativeFrom="page">
              <wp14:pctWidth>0</wp14:pctWidth>
            </wp14:sizeRelH>
            <wp14:sizeRelV relativeFrom="page">
              <wp14:pctHeight>0</wp14:pctHeight>
            </wp14:sizeRelV>
          </wp:anchor>
        </w:drawing>
      </w:r>
    </w:p>
    <w:sectPr w:rsidR="00D51C47" w:rsidSect="00210F2B">
      <w:type w:val="nextColumn"/>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AB446" w14:textId="77777777" w:rsidR="00A84F5E" w:rsidRDefault="00A84F5E" w:rsidP="00F76E53">
      <w:pPr>
        <w:spacing w:after="0" w:line="240" w:lineRule="auto"/>
      </w:pPr>
      <w:r>
        <w:separator/>
      </w:r>
    </w:p>
  </w:endnote>
  <w:endnote w:type="continuationSeparator" w:id="0">
    <w:p w14:paraId="64488278" w14:textId="77777777" w:rsidR="00A84F5E" w:rsidRDefault="00A84F5E" w:rsidP="00F76E53">
      <w:pPr>
        <w:spacing w:after="0" w:line="240" w:lineRule="auto"/>
      </w:pPr>
      <w:r>
        <w:continuationSeparator/>
      </w:r>
    </w:p>
  </w:endnote>
  <w:endnote w:type="continuationNotice" w:id="1">
    <w:p w14:paraId="5109CB1E" w14:textId="77777777" w:rsidR="00A84F5E" w:rsidRDefault="00A84F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CC"/>
    <w:family w:val="roman"/>
    <w:pitch w:val="variable"/>
    <w:sig w:usb0="E0002AFF" w:usb1="C0007841" w:usb2="00000009" w:usb3="00000000" w:csb0="000001FF" w:csb1="00000000"/>
  </w:font>
  <w:font w:name="Eras Light ITC">
    <w:panose1 w:val="020B0402030504020804"/>
    <w:charset w:val="00"/>
    <w:family w:val="swiss"/>
    <w:pitch w:val="variable"/>
    <w:sig w:usb0="00000003" w:usb1="00000000" w:usb2="00000000" w:usb3="00000000" w:csb0="00000001" w:csb1="00000000"/>
  </w:font>
  <w:font w:name="Telenor">
    <w:altName w:val="Calibri"/>
    <w:panose1 w:val="00000000000000000000"/>
    <w:charset w:val="00"/>
    <w:family w:val="swiss"/>
    <w:notTrueType/>
    <w:pitch w:val="default"/>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 w:name="Minion">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utiger LT Std 55 Roman">
    <w:altName w:val="Calibri"/>
    <w:panose1 w:val="00000000000000000000"/>
    <w:charset w:val="00"/>
    <w:family w:val="swiss"/>
    <w:notTrueType/>
    <w:pitch w:val="default"/>
    <w:sig w:usb0="00000003" w:usb1="00000000" w:usb2="00000000" w:usb3="00000000" w:csb0="00000001" w:csb1="00000000"/>
  </w:font>
  <w:font w:name="BPreplay">
    <w:charset w:val="00"/>
    <w:family w:val="auto"/>
    <w:pitch w:val="variable"/>
    <w:sig w:usb0="8000008B" w:usb1="0000004A"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Helvetica">
    <w:panose1 w:val="020B0504020202020204"/>
    <w:charset w:val="CC"/>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
    <w:altName w:val="Times New Roman"/>
    <w:panose1 w:val="00000000000000000000"/>
    <w:charset w:val="00"/>
    <w:family w:val="roman"/>
    <w:notTrueType/>
    <w:pitch w:val="default"/>
  </w:font>
  <w:font w:name="TT149t00">
    <w:panose1 w:val="00000000000000000000"/>
    <w:charset w:val="00"/>
    <w:family w:val="auto"/>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1B97F" w14:textId="77777777" w:rsidR="004310EC" w:rsidRPr="002038E9" w:rsidRDefault="004310EC" w:rsidP="00DD5BB1">
    <w:pPr>
      <w:tabs>
        <w:tab w:val="center" w:pos="4320"/>
        <w:tab w:val="right" w:pos="8640"/>
      </w:tabs>
      <w:spacing w:after="0" w:line="240" w:lineRule="auto"/>
      <w:jc w:val="center"/>
      <w:rPr>
        <w:rFonts w:eastAsia="Times New Roman" w:cs="Times New Roman"/>
        <w:sz w:val="20"/>
        <w:szCs w:val="20"/>
      </w:rPr>
    </w:pPr>
  </w:p>
  <w:tbl>
    <w:tblPr>
      <w:tblStyle w:val="TableGrid32"/>
      <w:tblW w:w="5000" w:type="pct"/>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56"/>
      <w:gridCol w:w="1970"/>
    </w:tblGrid>
    <w:tr w:rsidR="004310EC" w:rsidRPr="002038E9" w14:paraId="0CF2D168" w14:textId="77777777" w:rsidTr="0002662F">
      <w:trPr>
        <w:trHeight w:hRule="exact" w:val="348"/>
        <w:jc w:val="center"/>
      </w:trPr>
      <w:tc>
        <w:tcPr>
          <w:tcW w:w="6660" w:type="dxa"/>
          <w:tcBorders>
            <w:top w:val="single" w:sz="4" w:space="0" w:color="86878B"/>
          </w:tcBorders>
          <w:tcMar>
            <w:top w:w="72" w:type="dxa"/>
            <w:left w:w="0" w:type="dxa"/>
            <w:bottom w:w="72" w:type="dxa"/>
            <w:right w:w="0" w:type="dxa"/>
          </w:tcMar>
          <w:vAlign w:val="center"/>
        </w:tcPr>
        <w:p w14:paraId="28263CAB" w14:textId="77777777" w:rsidR="004310EC" w:rsidRPr="002038E9" w:rsidRDefault="004310EC" w:rsidP="00DD5BB1">
          <w:pPr>
            <w:tabs>
              <w:tab w:val="center" w:pos="4320"/>
              <w:tab w:val="right" w:pos="8640"/>
            </w:tabs>
            <w:rPr>
              <w:rFonts w:asciiTheme="minorHAnsi" w:hAnsiTheme="minorHAnsi"/>
              <w:color w:val="86878B"/>
            </w:rPr>
          </w:pPr>
          <w:r w:rsidRPr="002038E9">
            <w:rPr>
              <w:rFonts w:asciiTheme="minorHAnsi" w:hAnsiTheme="minorHAnsi"/>
              <w:color w:val="86878B"/>
            </w:rPr>
            <w:t>Republic of the Philippines – ROSC Accounting &amp; Auditing</w:t>
          </w:r>
        </w:p>
        <w:p w14:paraId="5DF22571" w14:textId="77777777" w:rsidR="004310EC" w:rsidRPr="002038E9" w:rsidRDefault="004310EC" w:rsidP="00DD5BB1">
          <w:pPr>
            <w:tabs>
              <w:tab w:val="center" w:pos="4320"/>
              <w:tab w:val="right" w:pos="8640"/>
            </w:tabs>
            <w:rPr>
              <w:rFonts w:asciiTheme="minorHAnsi" w:hAnsiTheme="minorHAnsi"/>
            </w:rPr>
          </w:pPr>
        </w:p>
      </w:tc>
      <w:tc>
        <w:tcPr>
          <w:tcW w:w="1860" w:type="dxa"/>
          <w:tcBorders>
            <w:top w:val="single" w:sz="4" w:space="0" w:color="86878B"/>
          </w:tcBorders>
          <w:tcMar>
            <w:top w:w="72" w:type="dxa"/>
            <w:left w:w="0" w:type="dxa"/>
            <w:bottom w:w="72" w:type="dxa"/>
            <w:right w:w="0" w:type="dxa"/>
          </w:tcMar>
          <w:vAlign w:val="center"/>
        </w:tcPr>
        <w:p w14:paraId="2D93382B" w14:textId="52255CFB" w:rsidR="004310EC" w:rsidRPr="002038E9" w:rsidRDefault="004310EC" w:rsidP="00DD5BB1">
          <w:pPr>
            <w:tabs>
              <w:tab w:val="center" w:pos="4320"/>
              <w:tab w:val="right" w:pos="8640"/>
            </w:tabs>
            <w:jc w:val="right"/>
            <w:rPr>
              <w:rFonts w:asciiTheme="minorHAnsi" w:hAnsiTheme="minorHAnsi"/>
            </w:rPr>
          </w:pPr>
          <w:r w:rsidRPr="002038E9">
            <w:fldChar w:fldCharType="begin"/>
          </w:r>
          <w:r w:rsidRPr="002038E9">
            <w:rPr>
              <w:rFonts w:asciiTheme="minorHAnsi" w:hAnsiTheme="minorHAnsi"/>
            </w:rPr>
            <w:instrText xml:space="preserve"> PAGE   \* MERGEFORMAT </w:instrText>
          </w:r>
          <w:r w:rsidRPr="002038E9">
            <w:fldChar w:fldCharType="separate"/>
          </w:r>
          <w:r w:rsidR="00711E84" w:rsidRPr="00711E84">
            <w:rPr>
              <w:rFonts w:asciiTheme="minorHAnsi" w:hAnsiTheme="minorHAnsi"/>
              <w:noProof/>
              <w:color w:val="86878B"/>
            </w:rPr>
            <w:t>13</w:t>
          </w:r>
          <w:r w:rsidRPr="002038E9">
            <w:rPr>
              <w:noProof/>
              <w:color w:val="86878B"/>
            </w:rPr>
            <w:fldChar w:fldCharType="end"/>
          </w:r>
        </w:p>
        <w:p w14:paraId="03DE947A" w14:textId="77777777" w:rsidR="004310EC" w:rsidRPr="002038E9" w:rsidRDefault="004310EC" w:rsidP="00DD5BB1">
          <w:pPr>
            <w:tabs>
              <w:tab w:val="center" w:pos="4320"/>
              <w:tab w:val="right" w:pos="8640"/>
            </w:tabs>
            <w:jc w:val="right"/>
            <w:rPr>
              <w:rFonts w:asciiTheme="minorHAnsi" w:hAnsiTheme="minorHAnsi"/>
            </w:rPr>
          </w:pPr>
        </w:p>
      </w:tc>
    </w:tr>
  </w:tbl>
  <w:p w14:paraId="5A584863" w14:textId="77777777" w:rsidR="004310EC" w:rsidRPr="002038E9" w:rsidRDefault="004310EC" w:rsidP="00DD5BB1">
    <w:pPr>
      <w:pStyle w:val="Footer"/>
      <w:rPr>
        <w:sz w:val="2"/>
        <w:szCs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4046F" w14:textId="77777777" w:rsidR="004310EC" w:rsidRPr="00D66ABD" w:rsidRDefault="004310EC" w:rsidP="00D66A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E77E1" w14:textId="77777777" w:rsidR="004310EC" w:rsidRPr="002038E9" w:rsidRDefault="004310EC" w:rsidP="00DD5BB1">
    <w:pPr>
      <w:tabs>
        <w:tab w:val="center" w:pos="4320"/>
        <w:tab w:val="right" w:pos="8640"/>
      </w:tabs>
      <w:spacing w:after="0" w:line="240" w:lineRule="auto"/>
      <w:jc w:val="center"/>
      <w:rPr>
        <w:rFonts w:eastAsia="Times New Roman" w:cs="Times New Roman"/>
        <w:sz w:val="20"/>
        <w:szCs w:val="20"/>
      </w:rPr>
    </w:pPr>
  </w:p>
  <w:tbl>
    <w:tblPr>
      <w:tblStyle w:val="TableGrid32"/>
      <w:tblW w:w="5000" w:type="pct"/>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37"/>
      <w:gridCol w:w="2721"/>
    </w:tblGrid>
    <w:tr w:rsidR="004310EC" w:rsidRPr="002038E9" w14:paraId="7F4EBF5D" w14:textId="77777777" w:rsidTr="00F67AC4">
      <w:trPr>
        <w:trHeight w:hRule="exact" w:val="348"/>
        <w:jc w:val="center"/>
      </w:trPr>
      <w:tc>
        <w:tcPr>
          <w:tcW w:w="7292" w:type="dxa"/>
          <w:tcBorders>
            <w:top w:val="single" w:sz="4" w:space="0" w:color="86878B"/>
          </w:tcBorders>
          <w:tcMar>
            <w:top w:w="72" w:type="dxa"/>
            <w:left w:w="0" w:type="dxa"/>
            <w:bottom w:w="72" w:type="dxa"/>
            <w:right w:w="0" w:type="dxa"/>
          </w:tcMar>
          <w:vAlign w:val="center"/>
        </w:tcPr>
        <w:p w14:paraId="3749D33F" w14:textId="77777777" w:rsidR="004310EC" w:rsidRPr="002038E9" w:rsidRDefault="004310EC" w:rsidP="00DD5BB1">
          <w:pPr>
            <w:tabs>
              <w:tab w:val="center" w:pos="4320"/>
              <w:tab w:val="right" w:pos="8640"/>
            </w:tabs>
            <w:rPr>
              <w:rFonts w:asciiTheme="minorHAnsi" w:hAnsiTheme="minorHAnsi"/>
              <w:color w:val="86878B"/>
            </w:rPr>
          </w:pPr>
          <w:r w:rsidRPr="002038E9">
            <w:rPr>
              <w:rFonts w:asciiTheme="minorHAnsi" w:hAnsiTheme="minorHAnsi"/>
              <w:color w:val="86878B"/>
            </w:rPr>
            <w:t>Republic of the Philippines – ROSC Accounting &amp; Auditing</w:t>
          </w:r>
        </w:p>
        <w:p w14:paraId="2639EFEE" w14:textId="77777777" w:rsidR="004310EC" w:rsidRPr="002038E9" w:rsidRDefault="004310EC" w:rsidP="00DD5BB1">
          <w:pPr>
            <w:tabs>
              <w:tab w:val="center" w:pos="4320"/>
              <w:tab w:val="right" w:pos="8640"/>
            </w:tabs>
            <w:rPr>
              <w:rFonts w:asciiTheme="minorHAnsi" w:hAnsiTheme="minorHAnsi"/>
            </w:rPr>
          </w:pPr>
        </w:p>
      </w:tc>
      <w:tc>
        <w:tcPr>
          <w:tcW w:w="1766" w:type="dxa"/>
          <w:tcBorders>
            <w:top w:val="single" w:sz="4" w:space="0" w:color="86878B"/>
          </w:tcBorders>
          <w:tcMar>
            <w:top w:w="72" w:type="dxa"/>
            <w:left w:w="0" w:type="dxa"/>
            <w:bottom w:w="72" w:type="dxa"/>
            <w:right w:w="0" w:type="dxa"/>
          </w:tcMar>
          <w:vAlign w:val="center"/>
        </w:tcPr>
        <w:p w14:paraId="17B64159" w14:textId="196DE383" w:rsidR="004310EC" w:rsidRPr="002038E9" w:rsidRDefault="004310EC" w:rsidP="00DD5BB1">
          <w:pPr>
            <w:tabs>
              <w:tab w:val="center" w:pos="4320"/>
              <w:tab w:val="right" w:pos="8640"/>
            </w:tabs>
            <w:jc w:val="right"/>
            <w:rPr>
              <w:rFonts w:asciiTheme="minorHAnsi" w:hAnsiTheme="minorHAnsi"/>
            </w:rPr>
          </w:pPr>
          <w:r w:rsidRPr="002038E9">
            <w:fldChar w:fldCharType="begin"/>
          </w:r>
          <w:r w:rsidRPr="002038E9">
            <w:rPr>
              <w:rFonts w:asciiTheme="minorHAnsi" w:hAnsiTheme="minorHAnsi"/>
            </w:rPr>
            <w:instrText xml:space="preserve"> PAGE   \* MERGEFORMAT </w:instrText>
          </w:r>
          <w:r w:rsidRPr="002038E9">
            <w:fldChar w:fldCharType="separate"/>
          </w:r>
          <w:r w:rsidR="00711E84" w:rsidRPr="00711E84">
            <w:rPr>
              <w:rFonts w:asciiTheme="minorHAnsi" w:hAnsiTheme="minorHAnsi"/>
              <w:noProof/>
              <w:color w:val="86878B"/>
            </w:rPr>
            <w:t>16</w:t>
          </w:r>
          <w:r w:rsidRPr="002038E9">
            <w:rPr>
              <w:noProof/>
              <w:color w:val="86878B"/>
            </w:rPr>
            <w:fldChar w:fldCharType="end"/>
          </w:r>
        </w:p>
        <w:p w14:paraId="45F5BC89" w14:textId="77777777" w:rsidR="004310EC" w:rsidRPr="002038E9" w:rsidRDefault="004310EC" w:rsidP="00DD5BB1">
          <w:pPr>
            <w:tabs>
              <w:tab w:val="center" w:pos="4320"/>
              <w:tab w:val="right" w:pos="8640"/>
            </w:tabs>
            <w:jc w:val="right"/>
            <w:rPr>
              <w:rFonts w:asciiTheme="minorHAnsi" w:hAnsiTheme="minorHAnsi"/>
            </w:rPr>
          </w:pPr>
        </w:p>
      </w:tc>
    </w:tr>
  </w:tbl>
  <w:p w14:paraId="0B104CB2" w14:textId="77777777" w:rsidR="004310EC" w:rsidRPr="002038E9" w:rsidRDefault="004310EC" w:rsidP="00DD5BB1">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ECCE" w14:textId="77777777" w:rsidR="004310EC" w:rsidRPr="00BD6183" w:rsidRDefault="004310EC" w:rsidP="00DD5BB1">
    <w:pPr>
      <w:tabs>
        <w:tab w:val="center" w:pos="4320"/>
        <w:tab w:val="right" w:pos="8640"/>
      </w:tabs>
      <w:spacing w:after="0" w:line="240" w:lineRule="auto"/>
      <w:jc w:val="center"/>
      <w:rPr>
        <w:rFonts w:ascii="Times New Roman" w:eastAsia="Times New Roman" w:hAnsi="Times New Roman" w:cs="Times New Roman"/>
        <w:sz w:val="18"/>
        <w:szCs w:val="20"/>
      </w:rPr>
    </w:pPr>
  </w:p>
  <w:tbl>
    <w:tblPr>
      <w:tblStyle w:val="TableGrid3"/>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54"/>
      <w:gridCol w:w="1172"/>
    </w:tblGrid>
    <w:tr w:rsidR="004310EC" w:rsidRPr="00BD6183" w14:paraId="1D17D37F" w14:textId="77777777" w:rsidTr="007B21A4">
      <w:trPr>
        <w:trHeight w:hRule="exact" w:val="348"/>
        <w:jc w:val="center"/>
      </w:trPr>
      <w:tc>
        <w:tcPr>
          <w:tcW w:w="12111" w:type="dxa"/>
          <w:tcBorders>
            <w:top w:val="single" w:sz="4" w:space="0" w:color="86878B"/>
          </w:tcBorders>
          <w:tcMar>
            <w:top w:w="72" w:type="dxa"/>
            <w:left w:w="0" w:type="dxa"/>
            <w:bottom w:w="72" w:type="dxa"/>
            <w:right w:w="0" w:type="dxa"/>
          </w:tcMar>
          <w:vAlign w:val="center"/>
        </w:tcPr>
        <w:p w14:paraId="2A2177D3" w14:textId="77777777" w:rsidR="004310EC" w:rsidRPr="00BD6183" w:rsidRDefault="004310EC" w:rsidP="00DD5BB1">
          <w:pPr>
            <w:tabs>
              <w:tab w:val="center" w:pos="4320"/>
              <w:tab w:val="right" w:pos="8640"/>
            </w:tabs>
            <w:rPr>
              <w:sz w:val="20"/>
            </w:rPr>
          </w:pPr>
          <w:r w:rsidRPr="00BD6183">
            <w:rPr>
              <w:color w:val="86878B"/>
              <w:sz w:val="20"/>
            </w:rPr>
            <w:t>Republic of the Philippines – ROSC Accounting &amp; Auditing</w:t>
          </w:r>
        </w:p>
      </w:tc>
      <w:tc>
        <w:tcPr>
          <w:tcW w:w="1766" w:type="dxa"/>
          <w:tcBorders>
            <w:top w:val="single" w:sz="4" w:space="0" w:color="86878B"/>
          </w:tcBorders>
          <w:tcMar>
            <w:top w:w="72" w:type="dxa"/>
            <w:left w:w="0" w:type="dxa"/>
            <w:bottom w:w="72" w:type="dxa"/>
            <w:right w:w="0" w:type="dxa"/>
          </w:tcMar>
          <w:vAlign w:val="center"/>
        </w:tcPr>
        <w:p w14:paraId="60FE9D16" w14:textId="3EC67AAB" w:rsidR="004310EC" w:rsidRPr="00BD6183" w:rsidRDefault="004310EC" w:rsidP="00DD5BB1">
          <w:pPr>
            <w:tabs>
              <w:tab w:val="center" w:pos="4320"/>
              <w:tab w:val="right" w:pos="8640"/>
            </w:tabs>
            <w:jc w:val="right"/>
            <w:rPr>
              <w:sz w:val="20"/>
            </w:rPr>
          </w:pPr>
          <w:r w:rsidRPr="00BD6183">
            <w:rPr>
              <w:sz w:val="20"/>
            </w:rPr>
            <w:fldChar w:fldCharType="begin"/>
          </w:r>
          <w:r w:rsidRPr="00BD6183">
            <w:rPr>
              <w:sz w:val="20"/>
            </w:rPr>
            <w:instrText xml:space="preserve"> PAGE   \* MERGEFORMAT </w:instrText>
          </w:r>
          <w:r w:rsidRPr="00BD6183">
            <w:rPr>
              <w:sz w:val="20"/>
            </w:rPr>
            <w:fldChar w:fldCharType="separate"/>
          </w:r>
          <w:r w:rsidR="00711E84" w:rsidRPr="00711E84">
            <w:rPr>
              <w:noProof/>
              <w:color w:val="86878B"/>
              <w:sz w:val="20"/>
            </w:rPr>
            <w:t>57</w:t>
          </w:r>
          <w:r w:rsidRPr="00BD6183">
            <w:rPr>
              <w:noProof/>
              <w:color w:val="86878B"/>
              <w:sz w:val="20"/>
            </w:rPr>
            <w:fldChar w:fldCharType="end"/>
          </w:r>
        </w:p>
        <w:p w14:paraId="22DD411E" w14:textId="77777777" w:rsidR="004310EC" w:rsidRPr="00BD6183" w:rsidRDefault="004310EC" w:rsidP="00DD5BB1">
          <w:pPr>
            <w:tabs>
              <w:tab w:val="center" w:pos="4320"/>
              <w:tab w:val="right" w:pos="8640"/>
            </w:tabs>
            <w:jc w:val="right"/>
            <w:rPr>
              <w:sz w:val="20"/>
            </w:rPr>
          </w:pPr>
        </w:p>
      </w:tc>
    </w:tr>
  </w:tbl>
  <w:p w14:paraId="3619806F" w14:textId="77777777" w:rsidR="004310EC" w:rsidRPr="007465A2" w:rsidRDefault="004310EC" w:rsidP="00DD5BB1">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E8C2B" w14:textId="77777777" w:rsidR="004310EC" w:rsidRPr="00BD6183" w:rsidRDefault="004310EC" w:rsidP="00DD5BB1">
    <w:pPr>
      <w:tabs>
        <w:tab w:val="center" w:pos="4320"/>
        <w:tab w:val="right" w:pos="8640"/>
      </w:tabs>
      <w:spacing w:after="0" w:line="240" w:lineRule="auto"/>
      <w:jc w:val="center"/>
      <w:rPr>
        <w:rFonts w:ascii="Times New Roman" w:eastAsia="Times New Roman" w:hAnsi="Times New Roman" w:cs="Times New Roman"/>
        <w:sz w:val="18"/>
        <w:szCs w:val="20"/>
      </w:rPr>
    </w:pPr>
  </w:p>
  <w:tbl>
    <w:tblPr>
      <w:tblStyle w:val="TableGrid3"/>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182"/>
      <w:gridCol w:w="1776"/>
    </w:tblGrid>
    <w:tr w:rsidR="004310EC" w:rsidRPr="00BD6183" w14:paraId="6ABE0FC7" w14:textId="77777777" w:rsidTr="007B21A4">
      <w:trPr>
        <w:trHeight w:hRule="exact" w:val="348"/>
        <w:jc w:val="center"/>
      </w:trPr>
      <w:tc>
        <w:tcPr>
          <w:tcW w:w="12111" w:type="dxa"/>
          <w:tcBorders>
            <w:top w:val="single" w:sz="4" w:space="0" w:color="86878B"/>
          </w:tcBorders>
          <w:tcMar>
            <w:top w:w="72" w:type="dxa"/>
            <w:left w:w="0" w:type="dxa"/>
            <w:bottom w:w="72" w:type="dxa"/>
            <w:right w:w="0" w:type="dxa"/>
          </w:tcMar>
          <w:vAlign w:val="center"/>
        </w:tcPr>
        <w:p w14:paraId="0DB4449C" w14:textId="77777777" w:rsidR="004310EC" w:rsidRPr="00BD6183" w:rsidRDefault="004310EC" w:rsidP="00DD5BB1">
          <w:pPr>
            <w:tabs>
              <w:tab w:val="center" w:pos="4320"/>
              <w:tab w:val="right" w:pos="8640"/>
            </w:tabs>
            <w:rPr>
              <w:sz w:val="20"/>
            </w:rPr>
          </w:pPr>
          <w:r w:rsidRPr="00BD6183">
            <w:rPr>
              <w:color w:val="86878B"/>
              <w:sz w:val="20"/>
            </w:rPr>
            <w:t>Republic of the Philippines – ROSC Accounting &amp; Auditing</w:t>
          </w:r>
        </w:p>
      </w:tc>
      <w:tc>
        <w:tcPr>
          <w:tcW w:w="1766" w:type="dxa"/>
          <w:tcBorders>
            <w:top w:val="single" w:sz="4" w:space="0" w:color="86878B"/>
          </w:tcBorders>
          <w:tcMar>
            <w:top w:w="72" w:type="dxa"/>
            <w:left w:w="0" w:type="dxa"/>
            <w:bottom w:w="72" w:type="dxa"/>
            <w:right w:w="0" w:type="dxa"/>
          </w:tcMar>
          <w:vAlign w:val="center"/>
        </w:tcPr>
        <w:p w14:paraId="57B8D93B" w14:textId="17770E26" w:rsidR="004310EC" w:rsidRPr="00BD6183" w:rsidRDefault="004310EC" w:rsidP="00DD5BB1">
          <w:pPr>
            <w:tabs>
              <w:tab w:val="center" w:pos="4320"/>
              <w:tab w:val="right" w:pos="8640"/>
            </w:tabs>
            <w:jc w:val="right"/>
            <w:rPr>
              <w:sz w:val="20"/>
            </w:rPr>
          </w:pPr>
          <w:r w:rsidRPr="00BD6183">
            <w:rPr>
              <w:sz w:val="20"/>
            </w:rPr>
            <w:fldChar w:fldCharType="begin"/>
          </w:r>
          <w:r w:rsidRPr="00BD6183">
            <w:rPr>
              <w:sz w:val="20"/>
            </w:rPr>
            <w:instrText xml:space="preserve"> PAGE   \* MERGEFORMAT </w:instrText>
          </w:r>
          <w:r w:rsidRPr="00BD6183">
            <w:rPr>
              <w:sz w:val="20"/>
            </w:rPr>
            <w:fldChar w:fldCharType="separate"/>
          </w:r>
          <w:r w:rsidR="00711E84" w:rsidRPr="00711E84">
            <w:rPr>
              <w:noProof/>
              <w:color w:val="86878B"/>
              <w:sz w:val="20"/>
            </w:rPr>
            <w:t>65</w:t>
          </w:r>
          <w:r w:rsidRPr="00BD6183">
            <w:rPr>
              <w:noProof/>
              <w:color w:val="86878B"/>
              <w:sz w:val="20"/>
            </w:rPr>
            <w:fldChar w:fldCharType="end"/>
          </w:r>
        </w:p>
        <w:p w14:paraId="69728DFD" w14:textId="77777777" w:rsidR="004310EC" w:rsidRPr="00BD6183" w:rsidRDefault="004310EC" w:rsidP="00DD5BB1">
          <w:pPr>
            <w:tabs>
              <w:tab w:val="center" w:pos="4320"/>
              <w:tab w:val="right" w:pos="8640"/>
            </w:tabs>
            <w:jc w:val="right"/>
            <w:rPr>
              <w:sz w:val="20"/>
            </w:rPr>
          </w:pPr>
        </w:p>
      </w:tc>
    </w:tr>
  </w:tbl>
  <w:p w14:paraId="18704293" w14:textId="77777777" w:rsidR="004310EC" w:rsidRPr="007465A2" w:rsidRDefault="004310EC" w:rsidP="00DD5BB1">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8D66F" w14:textId="77777777" w:rsidR="004310EC" w:rsidRPr="00BD6183" w:rsidRDefault="004310EC" w:rsidP="00DD5BB1">
    <w:pPr>
      <w:tabs>
        <w:tab w:val="center" w:pos="4320"/>
        <w:tab w:val="right" w:pos="8640"/>
      </w:tabs>
      <w:spacing w:after="0" w:line="240" w:lineRule="auto"/>
      <w:jc w:val="center"/>
      <w:rPr>
        <w:rFonts w:ascii="Times New Roman" w:eastAsia="Times New Roman" w:hAnsi="Times New Roman" w:cs="Times New Roman"/>
        <w:sz w:val="18"/>
        <w:szCs w:val="20"/>
      </w:rPr>
    </w:pPr>
  </w:p>
  <w:tbl>
    <w:tblPr>
      <w:tblStyle w:val="TableGrid3"/>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854"/>
      <w:gridCol w:w="1172"/>
    </w:tblGrid>
    <w:tr w:rsidR="004310EC" w:rsidRPr="00BD6183" w14:paraId="1A27C1ED" w14:textId="77777777" w:rsidTr="007B21A4">
      <w:trPr>
        <w:trHeight w:hRule="exact" w:val="348"/>
        <w:jc w:val="center"/>
      </w:trPr>
      <w:tc>
        <w:tcPr>
          <w:tcW w:w="12111" w:type="dxa"/>
          <w:tcBorders>
            <w:top w:val="single" w:sz="4" w:space="0" w:color="86878B"/>
          </w:tcBorders>
          <w:tcMar>
            <w:top w:w="72" w:type="dxa"/>
            <w:left w:w="0" w:type="dxa"/>
            <w:bottom w:w="72" w:type="dxa"/>
            <w:right w:w="0" w:type="dxa"/>
          </w:tcMar>
          <w:vAlign w:val="center"/>
        </w:tcPr>
        <w:p w14:paraId="7CD74D31" w14:textId="77777777" w:rsidR="004310EC" w:rsidRPr="00BD6183" w:rsidRDefault="004310EC" w:rsidP="00DD5BB1">
          <w:pPr>
            <w:tabs>
              <w:tab w:val="center" w:pos="4320"/>
              <w:tab w:val="right" w:pos="8640"/>
            </w:tabs>
            <w:rPr>
              <w:sz w:val="20"/>
            </w:rPr>
          </w:pPr>
          <w:r w:rsidRPr="00BD6183">
            <w:rPr>
              <w:color w:val="86878B"/>
              <w:sz w:val="20"/>
            </w:rPr>
            <w:t>Republic of the Philippines – ROSC Accounting &amp; Auditing</w:t>
          </w:r>
        </w:p>
      </w:tc>
      <w:tc>
        <w:tcPr>
          <w:tcW w:w="1766" w:type="dxa"/>
          <w:tcBorders>
            <w:top w:val="single" w:sz="4" w:space="0" w:color="86878B"/>
          </w:tcBorders>
          <w:tcMar>
            <w:top w:w="72" w:type="dxa"/>
            <w:left w:w="0" w:type="dxa"/>
            <w:bottom w:w="72" w:type="dxa"/>
            <w:right w:w="0" w:type="dxa"/>
          </w:tcMar>
          <w:vAlign w:val="center"/>
        </w:tcPr>
        <w:p w14:paraId="6AB94E14" w14:textId="0235EBFF" w:rsidR="004310EC" w:rsidRPr="00BD6183" w:rsidRDefault="004310EC" w:rsidP="00DD5BB1">
          <w:pPr>
            <w:tabs>
              <w:tab w:val="center" w:pos="4320"/>
              <w:tab w:val="right" w:pos="8640"/>
            </w:tabs>
            <w:jc w:val="right"/>
            <w:rPr>
              <w:sz w:val="20"/>
            </w:rPr>
          </w:pPr>
          <w:r w:rsidRPr="00BD6183">
            <w:rPr>
              <w:sz w:val="20"/>
            </w:rPr>
            <w:fldChar w:fldCharType="begin"/>
          </w:r>
          <w:r w:rsidRPr="00BD6183">
            <w:rPr>
              <w:sz w:val="20"/>
            </w:rPr>
            <w:instrText xml:space="preserve"> PAGE   \* MERGEFORMAT </w:instrText>
          </w:r>
          <w:r w:rsidRPr="00BD6183">
            <w:rPr>
              <w:sz w:val="20"/>
            </w:rPr>
            <w:fldChar w:fldCharType="separate"/>
          </w:r>
          <w:r w:rsidR="00711E84" w:rsidRPr="00711E84">
            <w:rPr>
              <w:noProof/>
              <w:color w:val="86878B"/>
              <w:sz w:val="20"/>
            </w:rPr>
            <w:t>66</w:t>
          </w:r>
          <w:r w:rsidRPr="00BD6183">
            <w:rPr>
              <w:noProof/>
              <w:color w:val="86878B"/>
              <w:sz w:val="20"/>
            </w:rPr>
            <w:fldChar w:fldCharType="end"/>
          </w:r>
        </w:p>
        <w:p w14:paraId="61F54A14" w14:textId="77777777" w:rsidR="004310EC" w:rsidRPr="00BD6183" w:rsidRDefault="004310EC" w:rsidP="00DD5BB1">
          <w:pPr>
            <w:tabs>
              <w:tab w:val="center" w:pos="4320"/>
              <w:tab w:val="right" w:pos="8640"/>
            </w:tabs>
            <w:jc w:val="right"/>
            <w:rPr>
              <w:sz w:val="20"/>
            </w:rPr>
          </w:pPr>
        </w:p>
      </w:tc>
    </w:tr>
  </w:tbl>
  <w:p w14:paraId="024760B7" w14:textId="77777777" w:rsidR="004310EC" w:rsidRPr="007465A2" w:rsidRDefault="004310EC" w:rsidP="00DD5BB1">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00087" w14:textId="77777777" w:rsidR="004310EC" w:rsidRPr="00BD6183" w:rsidRDefault="004310EC" w:rsidP="00DD5BB1">
    <w:pPr>
      <w:tabs>
        <w:tab w:val="center" w:pos="4320"/>
        <w:tab w:val="right" w:pos="8640"/>
      </w:tabs>
      <w:spacing w:after="0" w:line="240" w:lineRule="auto"/>
      <w:jc w:val="center"/>
      <w:rPr>
        <w:rFonts w:ascii="Times New Roman" w:eastAsia="Times New Roman" w:hAnsi="Times New Roman" w:cs="Times New Roman"/>
        <w:sz w:val="18"/>
        <w:szCs w:val="20"/>
      </w:rPr>
    </w:pPr>
  </w:p>
  <w:tbl>
    <w:tblPr>
      <w:tblStyle w:val="TableGrid3"/>
      <w:tblW w:w="5000" w:type="pct"/>
      <w:jc w:val="center"/>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2182"/>
      <w:gridCol w:w="1776"/>
    </w:tblGrid>
    <w:tr w:rsidR="004310EC" w:rsidRPr="00BD6183" w14:paraId="4D5C0C18" w14:textId="77777777" w:rsidTr="007B21A4">
      <w:trPr>
        <w:trHeight w:hRule="exact" w:val="348"/>
        <w:jc w:val="center"/>
      </w:trPr>
      <w:tc>
        <w:tcPr>
          <w:tcW w:w="12111" w:type="dxa"/>
          <w:tcBorders>
            <w:top w:val="single" w:sz="4" w:space="0" w:color="86878B"/>
          </w:tcBorders>
          <w:tcMar>
            <w:top w:w="72" w:type="dxa"/>
            <w:left w:w="0" w:type="dxa"/>
            <w:bottom w:w="72" w:type="dxa"/>
            <w:right w:w="0" w:type="dxa"/>
          </w:tcMar>
          <w:vAlign w:val="center"/>
        </w:tcPr>
        <w:p w14:paraId="1F1133FB" w14:textId="77777777" w:rsidR="004310EC" w:rsidRPr="00BD6183" w:rsidRDefault="004310EC" w:rsidP="00DD5BB1">
          <w:pPr>
            <w:tabs>
              <w:tab w:val="center" w:pos="4320"/>
              <w:tab w:val="right" w:pos="8640"/>
            </w:tabs>
            <w:rPr>
              <w:sz w:val="20"/>
            </w:rPr>
          </w:pPr>
          <w:r w:rsidRPr="00BD6183">
            <w:rPr>
              <w:color w:val="86878B"/>
              <w:sz w:val="20"/>
            </w:rPr>
            <w:t>Republic of the Philippines – ROSC Accounting &amp; Auditing</w:t>
          </w:r>
        </w:p>
      </w:tc>
      <w:tc>
        <w:tcPr>
          <w:tcW w:w="1766" w:type="dxa"/>
          <w:tcBorders>
            <w:top w:val="single" w:sz="4" w:space="0" w:color="86878B"/>
          </w:tcBorders>
          <w:tcMar>
            <w:top w:w="72" w:type="dxa"/>
            <w:left w:w="0" w:type="dxa"/>
            <w:bottom w:w="72" w:type="dxa"/>
            <w:right w:w="0" w:type="dxa"/>
          </w:tcMar>
          <w:vAlign w:val="center"/>
        </w:tcPr>
        <w:p w14:paraId="7203DE40" w14:textId="1DFE707F" w:rsidR="004310EC" w:rsidRPr="00BD6183" w:rsidRDefault="004310EC" w:rsidP="00DD5BB1">
          <w:pPr>
            <w:tabs>
              <w:tab w:val="center" w:pos="4320"/>
              <w:tab w:val="right" w:pos="8640"/>
            </w:tabs>
            <w:jc w:val="right"/>
            <w:rPr>
              <w:sz w:val="20"/>
            </w:rPr>
          </w:pPr>
          <w:r w:rsidRPr="00BD6183">
            <w:rPr>
              <w:sz w:val="20"/>
            </w:rPr>
            <w:fldChar w:fldCharType="begin"/>
          </w:r>
          <w:r w:rsidRPr="00BD6183">
            <w:rPr>
              <w:sz w:val="20"/>
            </w:rPr>
            <w:instrText xml:space="preserve"> PAGE   \* MERGEFORMAT </w:instrText>
          </w:r>
          <w:r w:rsidRPr="00BD6183">
            <w:rPr>
              <w:sz w:val="20"/>
            </w:rPr>
            <w:fldChar w:fldCharType="separate"/>
          </w:r>
          <w:r w:rsidR="00711E84" w:rsidRPr="00711E84">
            <w:rPr>
              <w:noProof/>
              <w:color w:val="86878B"/>
              <w:sz w:val="20"/>
            </w:rPr>
            <w:t>70</w:t>
          </w:r>
          <w:r w:rsidRPr="00BD6183">
            <w:rPr>
              <w:noProof/>
              <w:color w:val="86878B"/>
              <w:sz w:val="20"/>
            </w:rPr>
            <w:fldChar w:fldCharType="end"/>
          </w:r>
        </w:p>
        <w:p w14:paraId="197234B0" w14:textId="77777777" w:rsidR="004310EC" w:rsidRPr="00BD6183" w:rsidRDefault="004310EC" w:rsidP="00DD5BB1">
          <w:pPr>
            <w:tabs>
              <w:tab w:val="center" w:pos="4320"/>
              <w:tab w:val="right" w:pos="8640"/>
            </w:tabs>
            <w:jc w:val="right"/>
            <w:rPr>
              <w:sz w:val="20"/>
            </w:rPr>
          </w:pPr>
        </w:p>
      </w:tc>
    </w:tr>
  </w:tbl>
  <w:p w14:paraId="5F48CB7C" w14:textId="77777777" w:rsidR="004310EC" w:rsidRPr="007465A2" w:rsidRDefault="004310EC" w:rsidP="00DD5BB1">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9D0BC" w14:textId="77777777" w:rsidR="004310EC" w:rsidRPr="002038E9" w:rsidRDefault="004310EC" w:rsidP="00DD5BB1">
    <w:pPr>
      <w:tabs>
        <w:tab w:val="center" w:pos="4320"/>
        <w:tab w:val="right" w:pos="8640"/>
      </w:tabs>
      <w:spacing w:after="0" w:line="240" w:lineRule="auto"/>
      <w:jc w:val="center"/>
      <w:rPr>
        <w:rFonts w:eastAsia="Times New Roman" w:cs="Times New Roman"/>
        <w:sz w:val="20"/>
        <w:szCs w:val="20"/>
      </w:rPr>
    </w:pPr>
  </w:p>
  <w:tbl>
    <w:tblPr>
      <w:tblStyle w:val="TableGrid32"/>
      <w:tblW w:w="9058" w:type="dxa"/>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92"/>
      <w:gridCol w:w="1766"/>
    </w:tblGrid>
    <w:tr w:rsidR="004310EC" w:rsidRPr="002038E9" w14:paraId="18E86FEC" w14:textId="77777777" w:rsidTr="00DD5BB1">
      <w:trPr>
        <w:trHeight w:hRule="exact" w:val="348"/>
        <w:jc w:val="center"/>
      </w:trPr>
      <w:tc>
        <w:tcPr>
          <w:tcW w:w="7292" w:type="dxa"/>
          <w:tcBorders>
            <w:top w:val="single" w:sz="4" w:space="0" w:color="86878B"/>
          </w:tcBorders>
          <w:tcMar>
            <w:top w:w="72" w:type="dxa"/>
            <w:left w:w="0" w:type="dxa"/>
            <w:bottom w:w="72" w:type="dxa"/>
            <w:right w:w="0" w:type="dxa"/>
          </w:tcMar>
          <w:vAlign w:val="center"/>
        </w:tcPr>
        <w:p w14:paraId="09F99132" w14:textId="77777777" w:rsidR="004310EC" w:rsidRPr="002038E9" w:rsidRDefault="004310EC" w:rsidP="00DD5BB1">
          <w:pPr>
            <w:tabs>
              <w:tab w:val="center" w:pos="4320"/>
              <w:tab w:val="right" w:pos="8640"/>
            </w:tabs>
            <w:rPr>
              <w:rFonts w:asciiTheme="minorHAnsi" w:hAnsiTheme="minorHAnsi"/>
              <w:color w:val="86878B"/>
            </w:rPr>
          </w:pPr>
          <w:r w:rsidRPr="002038E9">
            <w:rPr>
              <w:rFonts w:asciiTheme="minorHAnsi" w:hAnsiTheme="minorHAnsi"/>
              <w:color w:val="86878B"/>
            </w:rPr>
            <w:t>Republic of the Philippines – ROSC Accounting &amp; Auditing</w:t>
          </w:r>
        </w:p>
        <w:p w14:paraId="4643D6EC" w14:textId="77777777" w:rsidR="004310EC" w:rsidRPr="002038E9" w:rsidRDefault="004310EC" w:rsidP="00DD5BB1">
          <w:pPr>
            <w:tabs>
              <w:tab w:val="center" w:pos="4320"/>
              <w:tab w:val="right" w:pos="8640"/>
            </w:tabs>
            <w:rPr>
              <w:rFonts w:asciiTheme="minorHAnsi" w:hAnsiTheme="minorHAnsi"/>
            </w:rPr>
          </w:pPr>
        </w:p>
      </w:tc>
      <w:tc>
        <w:tcPr>
          <w:tcW w:w="1766" w:type="dxa"/>
          <w:tcBorders>
            <w:top w:val="single" w:sz="4" w:space="0" w:color="86878B"/>
          </w:tcBorders>
          <w:tcMar>
            <w:top w:w="72" w:type="dxa"/>
            <w:left w:w="0" w:type="dxa"/>
            <w:bottom w:w="72" w:type="dxa"/>
            <w:right w:w="0" w:type="dxa"/>
          </w:tcMar>
          <w:vAlign w:val="center"/>
        </w:tcPr>
        <w:p w14:paraId="3398F892" w14:textId="2EA37B0E" w:rsidR="004310EC" w:rsidRPr="002038E9" w:rsidRDefault="004310EC" w:rsidP="00DD5BB1">
          <w:pPr>
            <w:tabs>
              <w:tab w:val="center" w:pos="4320"/>
              <w:tab w:val="right" w:pos="8640"/>
            </w:tabs>
            <w:jc w:val="right"/>
            <w:rPr>
              <w:rFonts w:asciiTheme="minorHAnsi" w:hAnsiTheme="minorHAnsi"/>
            </w:rPr>
          </w:pPr>
          <w:r w:rsidRPr="002038E9">
            <w:fldChar w:fldCharType="begin"/>
          </w:r>
          <w:r w:rsidRPr="002038E9">
            <w:rPr>
              <w:rFonts w:asciiTheme="minorHAnsi" w:hAnsiTheme="minorHAnsi"/>
            </w:rPr>
            <w:instrText xml:space="preserve"> PAGE   \* MERGEFORMAT </w:instrText>
          </w:r>
          <w:r w:rsidRPr="002038E9">
            <w:fldChar w:fldCharType="separate"/>
          </w:r>
          <w:r w:rsidR="00711E84" w:rsidRPr="00711E84">
            <w:rPr>
              <w:rFonts w:asciiTheme="minorHAnsi" w:hAnsiTheme="minorHAnsi"/>
              <w:noProof/>
              <w:color w:val="86878B"/>
            </w:rPr>
            <w:t>74</w:t>
          </w:r>
          <w:r w:rsidRPr="002038E9">
            <w:rPr>
              <w:noProof/>
              <w:color w:val="86878B"/>
            </w:rPr>
            <w:fldChar w:fldCharType="end"/>
          </w:r>
        </w:p>
        <w:p w14:paraId="0E84D4E8" w14:textId="77777777" w:rsidR="004310EC" w:rsidRPr="002038E9" w:rsidRDefault="004310EC" w:rsidP="00DD5BB1">
          <w:pPr>
            <w:tabs>
              <w:tab w:val="center" w:pos="4320"/>
              <w:tab w:val="right" w:pos="8640"/>
            </w:tabs>
            <w:jc w:val="right"/>
            <w:rPr>
              <w:rFonts w:asciiTheme="minorHAnsi" w:hAnsiTheme="minorHAnsi"/>
            </w:rPr>
          </w:pPr>
        </w:p>
      </w:tc>
    </w:tr>
  </w:tbl>
  <w:p w14:paraId="281A6795" w14:textId="77777777" w:rsidR="004310EC" w:rsidRPr="008B5DEB" w:rsidRDefault="004310EC" w:rsidP="00DD5BB1">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5E675" w14:textId="77777777" w:rsidR="004310EC" w:rsidRPr="002038E9" w:rsidRDefault="004310EC" w:rsidP="00DD5BB1">
    <w:pPr>
      <w:tabs>
        <w:tab w:val="center" w:pos="4320"/>
        <w:tab w:val="right" w:pos="8640"/>
      </w:tabs>
      <w:spacing w:after="0" w:line="240" w:lineRule="auto"/>
      <w:jc w:val="center"/>
      <w:rPr>
        <w:rFonts w:eastAsia="Times New Roman" w:cs="Times New Roman"/>
        <w:sz w:val="20"/>
        <w:szCs w:val="20"/>
      </w:rPr>
    </w:pPr>
  </w:p>
  <w:tbl>
    <w:tblPr>
      <w:tblStyle w:val="TableGrid32"/>
      <w:tblW w:w="5000" w:type="pct"/>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37"/>
      <w:gridCol w:w="2721"/>
    </w:tblGrid>
    <w:tr w:rsidR="004310EC" w:rsidRPr="002038E9" w14:paraId="4FBD3619" w14:textId="77777777" w:rsidTr="003438F6">
      <w:trPr>
        <w:trHeight w:hRule="exact" w:val="348"/>
        <w:jc w:val="center"/>
      </w:trPr>
      <w:tc>
        <w:tcPr>
          <w:tcW w:w="7292" w:type="dxa"/>
          <w:tcBorders>
            <w:top w:val="single" w:sz="4" w:space="0" w:color="86878B"/>
          </w:tcBorders>
          <w:tcMar>
            <w:top w:w="72" w:type="dxa"/>
            <w:left w:w="0" w:type="dxa"/>
            <w:bottom w:w="72" w:type="dxa"/>
            <w:right w:w="0" w:type="dxa"/>
          </w:tcMar>
          <w:vAlign w:val="center"/>
        </w:tcPr>
        <w:p w14:paraId="3C86D1FF" w14:textId="77777777" w:rsidR="004310EC" w:rsidRPr="002038E9" w:rsidRDefault="004310EC" w:rsidP="00DD5BB1">
          <w:pPr>
            <w:tabs>
              <w:tab w:val="center" w:pos="4320"/>
              <w:tab w:val="right" w:pos="8640"/>
            </w:tabs>
            <w:rPr>
              <w:rFonts w:asciiTheme="minorHAnsi" w:hAnsiTheme="minorHAnsi"/>
              <w:color w:val="86878B"/>
            </w:rPr>
          </w:pPr>
          <w:r w:rsidRPr="002038E9">
            <w:rPr>
              <w:rFonts w:asciiTheme="minorHAnsi" w:hAnsiTheme="minorHAnsi"/>
              <w:color w:val="86878B"/>
            </w:rPr>
            <w:t>Republic of the Philippines – ROSC Accounting &amp; Auditing</w:t>
          </w:r>
        </w:p>
        <w:p w14:paraId="1B330605" w14:textId="77777777" w:rsidR="004310EC" w:rsidRPr="002038E9" w:rsidRDefault="004310EC" w:rsidP="00DD5BB1">
          <w:pPr>
            <w:tabs>
              <w:tab w:val="center" w:pos="4320"/>
              <w:tab w:val="right" w:pos="8640"/>
            </w:tabs>
            <w:rPr>
              <w:rFonts w:asciiTheme="minorHAnsi" w:hAnsiTheme="minorHAnsi"/>
            </w:rPr>
          </w:pPr>
        </w:p>
      </w:tc>
      <w:tc>
        <w:tcPr>
          <w:tcW w:w="1766" w:type="dxa"/>
          <w:tcBorders>
            <w:top w:val="single" w:sz="4" w:space="0" w:color="86878B"/>
          </w:tcBorders>
          <w:tcMar>
            <w:top w:w="72" w:type="dxa"/>
            <w:left w:w="0" w:type="dxa"/>
            <w:bottom w:w="72" w:type="dxa"/>
            <w:right w:w="0" w:type="dxa"/>
          </w:tcMar>
          <w:vAlign w:val="center"/>
        </w:tcPr>
        <w:p w14:paraId="0F7AB441" w14:textId="4EC3D58A" w:rsidR="004310EC" w:rsidRPr="002038E9" w:rsidRDefault="004310EC" w:rsidP="00DD5BB1">
          <w:pPr>
            <w:tabs>
              <w:tab w:val="center" w:pos="4320"/>
              <w:tab w:val="right" w:pos="8640"/>
            </w:tabs>
            <w:jc w:val="right"/>
            <w:rPr>
              <w:rFonts w:asciiTheme="minorHAnsi" w:hAnsiTheme="minorHAnsi"/>
            </w:rPr>
          </w:pPr>
          <w:r w:rsidRPr="002038E9">
            <w:fldChar w:fldCharType="begin"/>
          </w:r>
          <w:r w:rsidRPr="002038E9">
            <w:rPr>
              <w:rFonts w:asciiTheme="minorHAnsi" w:hAnsiTheme="minorHAnsi"/>
            </w:rPr>
            <w:instrText xml:space="preserve"> PAGE   \* MERGEFORMAT </w:instrText>
          </w:r>
          <w:r w:rsidRPr="002038E9">
            <w:fldChar w:fldCharType="separate"/>
          </w:r>
          <w:r w:rsidR="00711E84" w:rsidRPr="00711E84">
            <w:rPr>
              <w:rFonts w:asciiTheme="minorHAnsi" w:hAnsiTheme="minorHAnsi"/>
              <w:noProof/>
              <w:color w:val="86878B"/>
            </w:rPr>
            <w:t>81</w:t>
          </w:r>
          <w:r w:rsidRPr="002038E9">
            <w:rPr>
              <w:noProof/>
              <w:color w:val="86878B"/>
            </w:rPr>
            <w:fldChar w:fldCharType="end"/>
          </w:r>
        </w:p>
        <w:p w14:paraId="7161CB32" w14:textId="77777777" w:rsidR="004310EC" w:rsidRPr="002038E9" w:rsidRDefault="004310EC" w:rsidP="00DD5BB1">
          <w:pPr>
            <w:tabs>
              <w:tab w:val="center" w:pos="4320"/>
              <w:tab w:val="right" w:pos="8640"/>
            </w:tabs>
            <w:jc w:val="right"/>
            <w:rPr>
              <w:rFonts w:asciiTheme="minorHAnsi" w:hAnsiTheme="minorHAnsi"/>
            </w:rPr>
          </w:pPr>
        </w:p>
      </w:tc>
    </w:tr>
  </w:tbl>
  <w:p w14:paraId="28D13D84" w14:textId="77777777" w:rsidR="004310EC" w:rsidRPr="008B5DEB" w:rsidRDefault="004310EC" w:rsidP="00DD5BB1">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4BCDB" w14:textId="77777777" w:rsidR="004310EC" w:rsidRPr="002038E9" w:rsidRDefault="004310EC" w:rsidP="00DD5BB1">
    <w:pPr>
      <w:tabs>
        <w:tab w:val="center" w:pos="4320"/>
        <w:tab w:val="right" w:pos="8640"/>
      </w:tabs>
      <w:spacing w:after="0" w:line="240" w:lineRule="auto"/>
      <w:jc w:val="center"/>
      <w:rPr>
        <w:rFonts w:eastAsia="Times New Roman" w:cs="Times New Roman"/>
        <w:sz w:val="20"/>
        <w:szCs w:val="20"/>
      </w:rPr>
    </w:pPr>
  </w:p>
  <w:tbl>
    <w:tblPr>
      <w:tblStyle w:val="TableGrid32"/>
      <w:tblW w:w="5000" w:type="pct"/>
      <w:jc w:val="center"/>
      <w:tblBorders>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266"/>
      <w:gridCol w:w="1760"/>
    </w:tblGrid>
    <w:tr w:rsidR="004310EC" w:rsidRPr="002038E9" w14:paraId="498AB855" w14:textId="77777777" w:rsidTr="003E3BD2">
      <w:trPr>
        <w:trHeight w:hRule="exact" w:val="348"/>
        <w:jc w:val="center"/>
      </w:trPr>
      <w:tc>
        <w:tcPr>
          <w:tcW w:w="7292" w:type="dxa"/>
          <w:tcBorders>
            <w:top w:val="single" w:sz="4" w:space="0" w:color="86878B"/>
          </w:tcBorders>
          <w:tcMar>
            <w:top w:w="72" w:type="dxa"/>
            <w:left w:w="0" w:type="dxa"/>
            <w:bottom w:w="72" w:type="dxa"/>
            <w:right w:w="0" w:type="dxa"/>
          </w:tcMar>
          <w:vAlign w:val="center"/>
        </w:tcPr>
        <w:p w14:paraId="6F1DE9E8" w14:textId="77777777" w:rsidR="004310EC" w:rsidRPr="002038E9" w:rsidRDefault="004310EC" w:rsidP="00DD5BB1">
          <w:pPr>
            <w:tabs>
              <w:tab w:val="center" w:pos="4320"/>
              <w:tab w:val="right" w:pos="8640"/>
            </w:tabs>
            <w:rPr>
              <w:rFonts w:asciiTheme="minorHAnsi" w:hAnsiTheme="minorHAnsi"/>
              <w:color w:val="86878B"/>
            </w:rPr>
          </w:pPr>
          <w:r w:rsidRPr="002038E9">
            <w:rPr>
              <w:rFonts w:asciiTheme="minorHAnsi" w:hAnsiTheme="minorHAnsi"/>
              <w:color w:val="86878B"/>
            </w:rPr>
            <w:t>Republic of the Philippines – ROSC Accounting &amp; Auditing</w:t>
          </w:r>
        </w:p>
        <w:p w14:paraId="69A36D01" w14:textId="77777777" w:rsidR="004310EC" w:rsidRPr="002038E9" w:rsidRDefault="004310EC" w:rsidP="00DD5BB1">
          <w:pPr>
            <w:tabs>
              <w:tab w:val="center" w:pos="4320"/>
              <w:tab w:val="right" w:pos="8640"/>
            </w:tabs>
            <w:rPr>
              <w:rFonts w:asciiTheme="minorHAnsi" w:hAnsiTheme="minorHAnsi"/>
            </w:rPr>
          </w:pPr>
        </w:p>
      </w:tc>
      <w:tc>
        <w:tcPr>
          <w:tcW w:w="1766" w:type="dxa"/>
          <w:tcBorders>
            <w:top w:val="single" w:sz="4" w:space="0" w:color="86878B"/>
          </w:tcBorders>
          <w:tcMar>
            <w:top w:w="72" w:type="dxa"/>
            <w:left w:w="0" w:type="dxa"/>
            <w:bottom w:w="72" w:type="dxa"/>
            <w:right w:w="0" w:type="dxa"/>
          </w:tcMar>
          <w:vAlign w:val="center"/>
        </w:tcPr>
        <w:p w14:paraId="3D99A5CA" w14:textId="51D00551" w:rsidR="004310EC" w:rsidRPr="002038E9" w:rsidRDefault="004310EC" w:rsidP="00DD5BB1">
          <w:pPr>
            <w:tabs>
              <w:tab w:val="center" w:pos="4320"/>
              <w:tab w:val="right" w:pos="8640"/>
            </w:tabs>
            <w:jc w:val="right"/>
            <w:rPr>
              <w:rFonts w:asciiTheme="minorHAnsi" w:hAnsiTheme="minorHAnsi"/>
            </w:rPr>
          </w:pPr>
          <w:r w:rsidRPr="002038E9">
            <w:fldChar w:fldCharType="begin"/>
          </w:r>
          <w:r w:rsidRPr="002038E9">
            <w:rPr>
              <w:rFonts w:asciiTheme="minorHAnsi" w:hAnsiTheme="minorHAnsi"/>
            </w:rPr>
            <w:instrText xml:space="preserve"> PAGE   \* MERGEFORMAT </w:instrText>
          </w:r>
          <w:r w:rsidRPr="002038E9">
            <w:fldChar w:fldCharType="separate"/>
          </w:r>
          <w:r w:rsidR="00711E84" w:rsidRPr="00711E84">
            <w:rPr>
              <w:rFonts w:asciiTheme="minorHAnsi" w:hAnsiTheme="minorHAnsi"/>
              <w:noProof/>
              <w:color w:val="86878B"/>
            </w:rPr>
            <w:t>96</w:t>
          </w:r>
          <w:r w:rsidRPr="002038E9">
            <w:rPr>
              <w:noProof/>
              <w:color w:val="86878B"/>
            </w:rPr>
            <w:fldChar w:fldCharType="end"/>
          </w:r>
        </w:p>
        <w:p w14:paraId="4A7A1BD6" w14:textId="77777777" w:rsidR="004310EC" w:rsidRPr="002038E9" w:rsidRDefault="004310EC" w:rsidP="00DD5BB1">
          <w:pPr>
            <w:tabs>
              <w:tab w:val="center" w:pos="4320"/>
              <w:tab w:val="right" w:pos="8640"/>
            </w:tabs>
            <w:jc w:val="right"/>
            <w:rPr>
              <w:rFonts w:asciiTheme="minorHAnsi" w:hAnsiTheme="minorHAnsi"/>
            </w:rPr>
          </w:pPr>
        </w:p>
      </w:tc>
    </w:tr>
  </w:tbl>
  <w:p w14:paraId="69CE7BAE" w14:textId="77777777" w:rsidR="004310EC" w:rsidRPr="008B5DEB" w:rsidRDefault="004310EC" w:rsidP="00DD5BB1">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FE4F4" w14:textId="77777777" w:rsidR="00A84F5E" w:rsidRDefault="00A84F5E" w:rsidP="00F76E53">
      <w:pPr>
        <w:spacing w:after="0" w:line="240" w:lineRule="auto"/>
      </w:pPr>
      <w:r>
        <w:separator/>
      </w:r>
    </w:p>
  </w:footnote>
  <w:footnote w:type="continuationSeparator" w:id="0">
    <w:p w14:paraId="75BFAC60" w14:textId="77777777" w:rsidR="00A84F5E" w:rsidRDefault="00A84F5E" w:rsidP="00F76E53">
      <w:pPr>
        <w:spacing w:after="0" w:line="240" w:lineRule="auto"/>
      </w:pPr>
      <w:r>
        <w:continuationSeparator/>
      </w:r>
    </w:p>
  </w:footnote>
  <w:footnote w:type="continuationNotice" w:id="1">
    <w:p w14:paraId="4BB67077" w14:textId="77777777" w:rsidR="00A84F5E" w:rsidRDefault="00A84F5E">
      <w:pPr>
        <w:spacing w:after="0" w:line="240" w:lineRule="auto"/>
      </w:pPr>
    </w:p>
  </w:footnote>
  <w:footnote w:id="2">
    <w:p w14:paraId="68F3FA3C"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These comprise accounting, auditing, anti-money laundering and countering the financing of terrorism (AML/CFT), banking supervision, corporate governance, data dissemination, fiscal transparency, insolvency and creditor rights, insurance supervision, monetary and financial policy transparency, payments systems, and securities regulation. </w:t>
      </w:r>
    </w:p>
  </w:footnote>
  <w:footnote w:id="3">
    <w:p w14:paraId="72D3ABF5"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Not-for-profit companies and companies limited by guarantees are not in the scope of the ROSC A&amp;A.</w:t>
      </w:r>
    </w:p>
  </w:footnote>
  <w:footnote w:id="4">
    <w:p w14:paraId="3D78BFE1" w14:textId="5051A578"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Refer to Annex </w:t>
      </w:r>
      <w:r>
        <w:rPr>
          <w:rFonts w:asciiTheme="minorHAnsi" w:hAnsiTheme="minorHAnsi" w:cstheme="minorHAnsi"/>
        </w:rPr>
        <w:t>2</w:t>
      </w:r>
      <w:r w:rsidRPr="002C0750">
        <w:rPr>
          <w:rFonts w:asciiTheme="minorHAnsi" w:hAnsiTheme="minorHAnsi" w:cstheme="minorHAnsi"/>
        </w:rPr>
        <w:t>.</w:t>
      </w:r>
    </w:p>
  </w:footnote>
  <w:footnote w:id="5">
    <w:p w14:paraId="5C65E78A" w14:textId="0A8D503A"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In such a system, the responsibility for audit quality assurance over auditors of non-PIEs may be delegated to the national professional accountancy organization.</w:t>
      </w:r>
    </w:p>
  </w:footnote>
  <w:footnote w:id="6">
    <w:p w14:paraId="4C7079F1"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Based on the 2015 Annual Financial Report of COA</w:t>
      </w:r>
    </w:p>
  </w:footnote>
  <w:footnote w:id="7">
    <w:p w14:paraId="1202E01B" w14:textId="62F3792D"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Annexes 9 and onward represent geographical displays of auditor coverage in the Philippines.</w:t>
      </w:r>
    </w:p>
  </w:footnote>
  <w:footnote w:id="8">
    <w:p w14:paraId="135C1F36"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A simplified financial reporting framework is currently allowed only for micro entities.</w:t>
      </w:r>
    </w:p>
  </w:footnote>
  <w:footnote w:id="9">
    <w:p w14:paraId="6272984C" w14:textId="56B4AF11" w:rsidR="004310EC" w:rsidRPr="002C0750" w:rsidRDefault="004310EC" w:rsidP="002C0750">
      <w:pPr>
        <w:spacing w:after="0" w:line="240" w:lineRule="auto"/>
        <w:jc w:val="left"/>
        <w:rPr>
          <w:sz w:val="20"/>
          <w:szCs w:val="20"/>
        </w:rPr>
      </w:pPr>
      <w:r w:rsidRPr="002C0750">
        <w:rPr>
          <w:rStyle w:val="FootnoteReference"/>
          <w:rFonts w:cstheme="minorHAnsi"/>
          <w:sz w:val="20"/>
          <w:szCs w:val="20"/>
        </w:rPr>
        <w:footnoteRef/>
      </w:r>
      <w:r w:rsidRPr="002C0750">
        <w:rPr>
          <w:rFonts w:cstheme="minorHAnsi"/>
          <w:sz w:val="20"/>
          <w:szCs w:val="20"/>
        </w:rPr>
        <w:t xml:space="preserve"> Section 4(b) of the Rules and Regulations Implementing RA No. 9298 states that </w:t>
      </w:r>
      <w:r w:rsidRPr="002C0750">
        <w:rPr>
          <w:rFonts w:cs="Calibri"/>
          <w:color w:val="000000" w:themeColor="text1"/>
          <w:sz w:val="20"/>
          <w:szCs w:val="20"/>
        </w:rPr>
        <w:t>any position in any business or company in the private sector which requires supervising the recording of financial transactions, preparation of financial statements, coordinating with the external auditors for the audit of such financial statements and other related functions shall be occupied only by a duly registered CPA provided that the business or company where the above position exists has a paid up capital of at least 5 million pesos and or an annual revenue of at least 10 million pesos.</w:t>
      </w:r>
    </w:p>
  </w:footnote>
  <w:footnote w:id="10">
    <w:p w14:paraId="61498FD2"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HAnsi"/>
        </w:rPr>
        <w:t>Integrated Reporting: Lessons from the South African Experience, Hanks and Gardiner</w:t>
      </w:r>
    </w:p>
  </w:footnote>
  <w:footnote w:id="11">
    <w:p w14:paraId="683B61CB"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Excerpts from the World Bank Philippines Economic Update, April 2017</w:t>
      </w:r>
    </w:p>
  </w:footnote>
  <w:footnote w:id="12">
    <w:p w14:paraId="254FB9C1" w14:textId="77777777" w:rsidR="004310EC" w:rsidRPr="002C0750" w:rsidRDefault="004310EC" w:rsidP="00D40343">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World Bank</w:t>
      </w:r>
    </w:p>
  </w:footnote>
  <w:footnote w:id="13">
    <w:p w14:paraId="1FA3122E" w14:textId="77777777" w:rsidR="004310EC" w:rsidRPr="002C0750" w:rsidRDefault="004310EC" w:rsidP="00382ED2">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World Bank</w:t>
      </w:r>
    </w:p>
  </w:footnote>
  <w:footnote w:id="14">
    <w:p w14:paraId="7346FB4C"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proofErr w:type="spellStart"/>
      <w:r w:rsidRPr="002C0750">
        <w:rPr>
          <w:rFonts w:asciiTheme="minorHAnsi" w:hAnsiTheme="minorHAnsi" w:cstheme="minorHAnsi"/>
          <w:i/>
        </w:rPr>
        <w:t>AmBisyon</w:t>
      </w:r>
      <w:proofErr w:type="spellEnd"/>
      <w:r w:rsidRPr="002C0750">
        <w:rPr>
          <w:rFonts w:asciiTheme="minorHAnsi" w:hAnsiTheme="minorHAnsi" w:cstheme="minorHAnsi"/>
          <w:i/>
        </w:rPr>
        <w:t xml:space="preserve"> </w:t>
      </w:r>
      <w:proofErr w:type="spellStart"/>
      <w:r w:rsidRPr="002C0750">
        <w:rPr>
          <w:rFonts w:asciiTheme="minorHAnsi" w:hAnsiTheme="minorHAnsi" w:cstheme="minorHAnsi"/>
          <w:i/>
        </w:rPr>
        <w:t>Natin</w:t>
      </w:r>
      <w:proofErr w:type="spellEnd"/>
      <w:r w:rsidRPr="002C0750">
        <w:rPr>
          <w:rFonts w:asciiTheme="minorHAnsi" w:hAnsiTheme="minorHAnsi" w:cstheme="minorHAnsi"/>
        </w:rPr>
        <w:t xml:space="preserve"> roughly translates to “Our Ambition.” This is a long-term vision for the Philippines adopted by Executive Order on October 15, 2016.</w:t>
      </w:r>
    </w:p>
  </w:footnote>
  <w:footnote w:id="15">
    <w:p w14:paraId="05239178" w14:textId="4B502C64"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House Bill (HB) 4774</w:t>
      </w:r>
      <w:r>
        <w:rPr>
          <w:rFonts w:asciiTheme="minorHAnsi" w:hAnsiTheme="minorHAnsi" w:cstheme="minorHAnsi"/>
        </w:rPr>
        <w:t>.  The House of Representatives passed HB 5636 in May 2017 which was deliberated in the Senate on November 2017.</w:t>
      </w:r>
    </w:p>
  </w:footnote>
  <w:footnote w:id="16">
    <w:p w14:paraId="409049A3"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www.pse.com.ph</w:t>
      </w:r>
    </w:p>
  </w:footnote>
  <w:footnote w:id="17">
    <w:p w14:paraId="7A65D006"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Formerly known as the </w:t>
      </w:r>
      <w:r w:rsidRPr="002C0750">
        <w:rPr>
          <w:rFonts w:asciiTheme="minorHAnsi" w:hAnsiTheme="minorHAnsi" w:cstheme="minorHAnsi"/>
          <w:shd w:val="clear" w:color="auto" w:fill="FFFFFF"/>
        </w:rPr>
        <w:t xml:space="preserve">Federation </w:t>
      </w:r>
      <w:proofErr w:type="spellStart"/>
      <w:r w:rsidRPr="002C0750">
        <w:rPr>
          <w:rFonts w:asciiTheme="minorHAnsi" w:hAnsiTheme="minorHAnsi" w:cstheme="minorHAnsi"/>
          <w:shd w:val="clear" w:color="auto" w:fill="FFFFFF"/>
        </w:rPr>
        <w:t>Internationale</w:t>
      </w:r>
      <w:proofErr w:type="spellEnd"/>
      <w:r w:rsidRPr="002C0750">
        <w:rPr>
          <w:rFonts w:asciiTheme="minorHAnsi" w:hAnsiTheme="minorHAnsi" w:cstheme="minorHAnsi"/>
          <w:shd w:val="clear" w:color="auto" w:fill="FFFFFF"/>
        </w:rPr>
        <w:t xml:space="preserve"> des Bourses de </w:t>
      </w:r>
      <w:proofErr w:type="spellStart"/>
      <w:r w:rsidRPr="002C0750">
        <w:rPr>
          <w:rFonts w:asciiTheme="minorHAnsi" w:hAnsiTheme="minorHAnsi" w:cstheme="minorHAnsi"/>
          <w:shd w:val="clear" w:color="auto" w:fill="FFFFFF"/>
        </w:rPr>
        <w:t>Valeurs</w:t>
      </w:r>
      <w:proofErr w:type="spellEnd"/>
      <w:r w:rsidRPr="002C0750">
        <w:rPr>
          <w:rFonts w:asciiTheme="minorHAnsi" w:hAnsiTheme="minorHAnsi" w:cstheme="minorHAnsi"/>
          <w:shd w:val="clear" w:color="auto" w:fill="FFFFFF"/>
        </w:rPr>
        <w:t xml:space="preserve"> or International Federation of Stock Exchanges</w:t>
      </w:r>
    </w:p>
  </w:footnote>
  <w:footnote w:id="18">
    <w:p w14:paraId="2EEA5FE8" w14:textId="77777777" w:rsidR="004310EC" w:rsidRPr="002C0750" w:rsidRDefault="004310EC" w:rsidP="002C0750">
      <w:pPr>
        <w:pStyle w:val="FootnoteText"/>
        <w:jc w:val="left"/>
        <w:rPr>
          <w:rFonts w:asciiTheme="minorHAnsi" w:hAnsiTheme="minorHAnsi" w:cstheme="minorHAnsi"/>
          <w:color w:val="000000" w:themeColor="text1"/>
        </w:rPr>
      </w:pPr>
      <w:r w:rsidRPr="002C0750">
        <w:rPr>
          <w:rStyle w:val="FootnoteReference"/>
          <w:rFonts w:asciiTheme="minorHAnsi" w:hAnsiTheme="minorHAnsi" w:cstheme="minorHAnsi"/>
        </w:rPr>
        <w:footnoteRef/>
      </w:r>
      <w:r w:rsidRPr="002C0750">
        <w:rPr>
          <w:rFonts w:asciiTheme="minorHAnsi" w:hAnsiTheme="minorHAnsi" w:cstheme="minorHAnsi"/>
        </w:rPr>
        <w:t xml:space="preserve"> </w:t>
      </w:r>
      <w:r w:rsidRPr="002C0750">
        <w:rPr>
          <w:rFonts w:asciiTheme="minorHAnsi" w:hAnsiTheme="minorHAnsi" w:cstheme="minorHAnsi"/>
          <w:color w:val="000000" w:themeColor="text1"/>
        </w:rPr>
        <w:t xml:space="preserve">The numbering agencies around the world that assign a unique identification code to each new security. The International </w:t>
      </w:r>
      <w:r w:rsidRPr="002C0750">
        <w:rPr>
          <w:rFonts w:asciiTheme="minorHAnsi" w:hAnsiTheme="minorHAnsi" w:cstheme="minorHAnsi"/>
          <w:color w:val="000000" w:themeColor="text1"/>
          <w:shd w:val="clear" w:color="auto" w:fill="FFFFFF"/>
        </w:rPr>
        <w:t>Securities Identification Number (ISIN) is the global adoption of a common standard for identifying securities according to International Organization for Standardization (ISO) Standard 6166.</w:t>
      </w:r>
    </w:p>
  </w:footnote>
  <w:footnote w:id="19">
    <w:p w14:paraId="706E0625"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color w:val="000000" w:themeColor="text1"/>
        </w:rPr>
        <w:footnoteRef/>
      </w:r>
      <w:r w:rsidRPr="002C0750">
        <w:rPr>
          <w:rFonts w:asciiTheme="minorHAnsi" w:hAnsiTheme="minorHAnsi" w:cstheme="minorHAnsi"/>
          <w:color w:val="000000" w:themeColor="text1"/>
        </w:rPr>
        <w:t xml:space="preserve"> http://www.pse.com.ph/resource/3Q16_v2.pdf</w:t>
      </w:r>
    </w:p>
  </w:footnote>
  <w:footnote w:id="20">
    <w:p w14:paraId="30D77E1D" w14:textId="77777777" w:rsidR="004310EC" w:rsidRPr="002C0750" w:rsidRDefault="004310EC" w:rsidP="008575AE">
      <w:pPr>
        <w:pStyle w:val="FootnoteText"/>
        <w:jc w:val="left"/>
        <w:rPr>
          <w:rFonts w:asciiTheme="minorHAnsi" w:hAnsi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Source: </w:t>
      </w:r>
      <w:proofErr w:type="spellStart"/>
      <w:r w:rsidRPr="002C0750">
        <w:rPr>
          <w:rFonts w:asciiTheme="minorHAnsi" w:hAnsiTheme="minorHAnsi" w:cstheme="minorHAnsi"/>
        </w:rPr>
        <w:t>Technistock</w:t>
      </w:r>
      <w:proofErr w:type="spellEnd"/>
    </w:p>
  </w:footnote>
  <w:footnote w:id="21">
    <w:p w14:paraId="34E814AA" w14:textId="77777777" w:rsidR="004310EC" w:rsidRPr="002C0750" w:rsidRDefault="004310EC" w:rsidP="00006665">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w:t>
      </w:r>
      <w:proofErr w:type="spellStart"/>
      <w:r w:rsidRPr="002C0750">
        <w:rPr>
          <w:rFonts w:asciiTheme="minorHAnsi" w:hAnsiTheme="minorHAnsi"/>
        </w:rPr>
        <w:t>PDEx</w:t>
      </w:r>
      <w:proofErr w:type="spellEnd"/>
    </w:p>
  </w:footnote>
  <w:footnote w:id="22">
    <w:p w14:paraId="2F760FF4"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cstheme="majorBidi"/>
        </w:rPr>
        <w:footnoteRef/>
      </w:r>
      <w:r w:rsidRPr="002C0750">
        <w:rPr>
          <w:rFonts w:asciiTheme="minorHAnsi" w:hAnsiTheme="minorHAnsi" w:cstheme="majorBidi"/>
        </w:rPr>
        <w:t xml:space="preserve"> RA No. 8799.</w:t>
      </w:r>
    </w:p>
  </w:footnote>
  <w:footnote w:id="23">
    <w:p w14:paraId="5F4EC8F3" w14:textId="77777777" w:rsidR="004310EC" w:rsidRPr="002C0750" w:rsidRDefault="004310EC" w:rsidP="002C0750">
      <w:pPr>
        <w:pStyle w:val="FootnoteText"/>
        <w:jc w:val="left"/>
        <w:rPr>
          <w:rFonts w:asciiTheme="minorHAnsi" w:hAnsiTheme="minorHAnsi" w:cstheme="minorBidi"/>
        </w:rPr>
      </w:pPr>
      <w:r w:rsidRPr="002C0750">
        <w:rPr>
          <w:rStyle w:val="FootnoteReference"/>
          <w:rFonts w:asciiTheme="minorHAnsi" w:hAnsiTheme="minorHAnsi" w:cstheme="minorBidi"/>
        </w:rPr>
        <w:footnoteRef/>
      </w:r>
      <w:r w:rsidRPr="002C0750">
        <w:rPr>
          <w:rFonts w:asciiTheme="minorHAnsi" w:hAnsiTheme="minorHAnsi" w:cstheme="minorBidi"/>
        </w:rPr>
        <w:t xml:space="preserve"> As disclosed in Table 1.b of 2015 BSP Factbook – The Philippine Banking System Volume 1.</w:t>
      </w:r>
    </w:p>
  </w:footnote>
  <w:footnote w:id="24">
    <w:p w14:paraId="6C7FECCA" w14:textId="77777777" w:rsidR="004310EC" w:rsidRPr="002C0750" w:rsidRDefault="004310EC" w:rsidP="002C0750">
      <w:pPr>
        <w:pStyle w:val="FootnoteText"/>
        <w:jc w:val="left"/>
        <w:rPr>
          <w:rFonts w:asciiTheme="minorHAnsi" w:hAnsiTheme="minorHAnsi" w:cstheme="minorBidi"/>
        </w:rPr>
      </w:pPr>
      <w:r w:rsidRPr="002C0750">
        <w:rPr>
          <w:rStyle w:val="FootnoteReference"/>
          <w:rFonts w:asciiTheme="minorHAnsi" w:hAnsiTheme="minorHAnsi" w:cstheme="minorBidi"/>
        </w:rPr>
        <w:footnoteRef/>
      </w:r>
      <w:r w:rsidRPr="002C0750">
        <w:rPr>
          <w:rFonts w:asciiTheme="minorHAnsi" w:hAnsiTheme="minorHAnsi" w:cstheme="minorBidi"/>
        </w:rPr>
        <w:t xml:space="preserve"> RA No. 8791, The General Banking Law of 2000, approved May 23, 2000</w:t>
      </w:r>
    </w:p>
  </w:footnote>
  <w:footnote w:id="25">
    <w:p w14:paraId="02ABEB69" w14:textId="77777777" w:rsidR="004310EC" w:rsidRPr="002C0750" w:rsidRDefault="004310EC" w:rsidP="002C0750">
      <w:pPr>
        <w:pStyle w:val="FootnoteText"/>
        <w:jc w:val="left"/>
        <w:rPr>
          <w:rFonts w:asciiTheme="minorHAnsi" w:hAnsiTheme="minorHAnsi" w:cstheme="minorBidi"/>
        </w:rPr>
      </w:pPr>
      <w:r w:rsidRPr="002C0750">
        <w:rPr>
          <w:rStyle w:val="FootnoteReference"/>
          <w:rFonts w:asciiTheme="minorHAnsi" w:hAnsiTheme="minorHAnsi" w:cstheme="minorBidi"/>
        </w:rPr>
        <w:footnoteRef/>
      </w:r>
      <w:r w:rsidRPr="002C0750">
        <w:rPr>
          <w:rFonts w:asciiTheme="minorHAnsi" w:hAnsiTheme="minorHAnsi" w:cstheme="minorBidi"/>
        </w:rPr>
        <w:t xml:space="preserve"> RA No. 7653, The New Central Bank Act (NCBA), approved June 14, 1993</w:t>
      </w:r>
    </w:p>
  </w:footnote>
  <w:footnote w:id="26">
    <w:p w14:paraId="1872CF86"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The 2015 Insurance Commission Annual Report</w:t>
      </w:r>
    </w:p>
  </w:footnote>
  <w:footnote w:id="27">
    <w:p w14:paraId="078FF9E3" w14:textId="6A4B8554"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RA No. 10607, The </w:t>
      </w:r>
      <w:r>
        <w:rPr>
          <w:rFonts w:asciiTheme="minorHAnsi" w:hAnsiTheme="minorHAnsi"/>
        </w:rPr>
        <w:t>A</w:t>
      </w:r>
      <w:r w:rsidRPr="002C0750">
        <w:rPr>
          <w:rFonts w:asciiTheme="minorHAnsi" w:hAnsiTheme="minorHAnsi"/>
        </w:rPr>
        <w:t>mended Insurance Code, approved August 15, 2013</w:t>
      </w:r>
    </w:p>
  </w:footnote>
  <w:footnote w:id="28">
    <w:p w14:paraId="39723868"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RA No. 9829, The Pre-Need Code of the Philippines, approved December 3, 2009</w:t>
      </w:r>
    </w:p>
  </w:footnote>
  <w:footnote w:id="29">
    <w:p w14:paraId="6DEAB76F"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Calibri"/>
          <w:noProof/>
        </w:rPr>
        <w:t>Executive Order (EO) 192 series of 2015 (Transferring the regulation and supervision over HMO from Department of Health to the Insurance Commission</w:t>
      </w:r>
    </w:p>
  </w:footnote>
  <w:footnote w:id="30">
    <w:p w14:paraId="608C0C5E" w14:textId="6E46D38F"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Arial"/>
        </w:rPr>
        <w:t xml:space="preserve">Partnerships are being governed by Articles 1767 to 1867 of the Civil Code of the Philippines </w:t>
      </w:r>
      <w:r>
        <w:rPr>
          <w:rFonts w:asciiTheme="minorHAnsi" w:hAnsiTheme="minorHAnsi" w:cs="Arial"/>
        </w:rPr>
        <w:t>which</w:t>
      </w:r>
      <w:r w:rsidRPr="002C0750">
        <w:rPr>
          <w:rFonts w:asciiTheme="minorHAnsi" w:hAnsiTheme="minorHAnsi" w:cs="Arial"/>
        </w:rPr>
        <w:t xml:space="preserve"> provided that </w:t>
      </w:r>
      <w:r>
        <w:rPr>
          <w:rFonts w:asciiTheme="minorHAnsi" w:hAnsiTheme="minorHAnsi" w:cs="Arial"/>
        </w:rPr>
        <w:t xml:space="preserve">at </w:t>
      </w:r>
      <w:r w:rsidRPr="002C0750">
        <w:rPr>
          <w:rFonts w:asciiTheme="minorHAnsi" w:hAnsiTheme="minorHAnsi" w:cs="Arial"/>
        </w:rPr>
        <w:t>least two (2) persons may form a partnership for commercial undertaking, and for the exercise of a profession.</w:t>
      </w:r>
    </w:p>
  </w:footnote>
  <w:footnote w:id="31">
    <w:p w14:paraId="5F80F94C" w14:textId="77777777" w:rsidR="004310EC" w:rsidRPr="002C0750" w:rsidRDefault="004310EC" w:rsidP="00235E1F">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Philippine Statistics Authority, 2015 data</w:t>
      </w:r>
    </w:p>
  </w:footnote>
  <w:footnote w:id="32">
    <w:p w14:paraId="1B666DA7"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proofErr w:type="spellStart"/>
      <w:r w:rsidRPr="002C0750">
        <w:rPr>
          <w:rFonts w:asciiTheme="minorHAnsi" w:hAnsiTheme="minorHAnsi"/>
        </w:rPr>
        <w:t>DoF</w:t>
      </w:r>
      <w:proofErr w:type="spellEnd"/>
      <w:r w:rsidRPr="002C0750">
        <w:rPr>
          <w:rFonts w:asciiTheme="minorHAnsi" w:hAnsiTheme="minorHAnsi"/>
        </w:rPr>
        <w:t xml:space="preserve"> brief on its reform agenda for GOCCs. http//www.dof.gov.ph/index.php/advocacies/reform-agenda/ </w:t>
      </w:r>
    </w:p>
  </w:footnote>
  <w:footnote w:id="33">
    <w:p w14:paraId="7BFC8495" w14:textId="77777777" w:rsidR="004310EC" w:rsidRPr="002C0750" w:rsidRDefault="004310EC" w:rsidP="007A2DD7">
      <w:pPr>
        <w:pStyle w:val="FootnoteText"/>
        <w:jc w:val="left"/>
        <w:rPr>
          <w:rFonts w:asciiTheme="minorHAnsi" w:hAnsiTheme="minorHAnsi" w:cstheme="minorHAnsi"/>
        </w:rPr>
      </w:pPr>
      <w:r w:rsidRPr="002C0750">
        <w:rPr>
          <w:rStyle w:val="FootnoteReference"/>
          <w:rFonts w:asciiTheme="minorHAnsi" w:hAnsiTheme="minorHAnsi"/>
        </w:rPr>
        <w:footnoteRef/>
      </w:r>
      <w:r w:rsidRPr="002C0750">
        <w:rPr>
          <w:rFonts w:asciiTheme="minorHAnsi" w:hAnsiTheme="minorHAnsi"/>
        </w:rPr>
        <w:t xml:space="preserve"> Table 5 is a listing of all GOCCs.  The subsection “Others” totaling 114 includes GOCC’s that are for abolition </w:t>
      </w:r>
      <w:r w:rsidRPr="002C0750">
        <w:rPr>
          <w:rFonts w:asciiTheme="minorHAnsi" w:hAnsiTheme="minorHAnsi" w:cstheme="minorHAnsi"/>
        </w:rPr>
        <w:t>or are excluded from the supervision of the Governance Commission for GOCCs</w:t>
      </w:r>
    </w:p>
  </w:footnote>
  <w:footnote w:id="34">
    <w:p w14:paraId="07B77390"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Includes DBP Data Center Inc., </w:t>
      </w:r>
      <w:proofErr w:type="spellStart"/>
      <w:r w:rsidRPr="002C0750">
        <w:rPr>
          <w:rFonts w:asciiTheme="minorHAnsi" w:hAnsiTheme="minorHAnsi" w:cstheme="minorHAnsi"/>
        </w:rPr>
        <w:t>LandBank</w:t>
      </w:r>
      <w:proofErr w:type="spellEnd"/>
      <w:r w:rsidRPr="002C0750">
        <w:rPr>
          <w:rFonts w:asciiTheme="minorHAnsi" w:hAnsiTheme="minorHAnsi" w:cstheme="minorHAnsi"/>
        </w:rPr>
        <w:t xml:space="preserve"> Countryside Development Foundation Inc., LBP Resources and Development Corporation and United Coconut Planters Bank PCGG</w:t>
      </w:r>
    </w:p>
  </w:footnote>
  <w:footnote w:id="35">
    <w:p w14:paraId="4E5888F1" w14:textId="77777777" w:rsidR="004310EC" w:rsidRPr="002C0750" w:rsidRDefault="004310EC" w:rsidP="004A1F83">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GOCC Annual Comparative Data is only available through 2014.  </w:t>
      </w:r>
      <w:hyperlink r:id="rId1" w:history="1">
        <w:r w:rsidRPr="002C0750">
          <w:rPr>
            <w:rStyle w:val="Hyperlink"/>
            <w:rFonts w:asciiTheme="minorHAnsi" w:hAnsiTheme="minorHAnsi"/>
            <w:color w:val="auto"/>
            <w:u w:val="none"/>
          </w:rPr>
          <w:t>http://gcg.gov.ph/site/</w:t>
        </w:r>
      </w:hyperlink>
      <w:r w:rsidRPr="002C0750">
        <w:rPr>
          <w:rFonts w:asciiTheme="minorHAnsi" w:hAnsiTheme="minorHAnsi"/>
        </w:rPr>
        <w:t xml:space="preserve"> </w:t>
      </w:r>
    </w:p>
  </w:footnote>
  <w:footnote w:id="36">
    <w:p w14:paraId="23D917EE"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IFRS are the standards issued by the IASB, the standards issued by its predecessor the International Accounting Standards Committee (IASC) and adopted by the IASB, and the interpretations issued or adopted by IFRIC. </w:t>
      </w:r>
    </w:p>
  </w:footnote>
  <w:footnote w:id="37">
    <w:p w14:paraId="5A77DD47"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Bidi"/>
        </w:rPr>
        <w:t xml:space="preserve">The FRSC was established by the PRC through BOA under the implementing rules and regulations of the Philippine Accountancy Act of 2004 to promulgate accounting standards in the Philippines. </w:t>
      </w:r>
    </w:p>
  </w:footnote>
  <w:footnote w:id="38">
    <w:p w14:paraId="4370C223"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Arial"/>
          <w:color w:val="222222"/>
          <w:shd w:val="clear" w:color="auto" w:fill="FFFFFF"/>
        </w:rPr>
        <w:t>International Standards on Auditing (</w:t>
      </w:r>
      <w:r w:rsidRPr="002C0750">
        <w:rPr>
          <w:rFonts w:asciiTheme="minorHAnsi" w:hAnsiTheme="minorHAnsi" w:cs="Arial"/>
          <w:b/>
          <w:bCs/>
          <w:color w:val="222222"/>
          <w:shd w:val="clear" w:color="auto" w:fill="FFFFFF"/>
        </w:rPr>
        <w:t>ISA</w:t>
      </w:r>
      <w:r w:rsidRPr="002C0750">
        <w:rPr>
          <w:rFonts w:asciiTheme="minorHAnsi" w:hAnsiTheme="minorHAnsi" w:cs="Arial"/>
          <w:color w:val="222222"/>
          <w:shd w:val="clear" w:color="auto" w:fill="FFFFFF"/>
        </w:rPr>
        <w:t>) are professional standards for the performance of financial audit of financial information. These standards are issued by International Federation of Accountants (</w:t>
      </w:r>
      <w:r w:rsidRPr="002C0750">
        <w:rPr>
          <w:rFonts w:asciiTheme="minorHAnsi" w:hAnsiTheme="minorHAnsi" w:cs="Arial"/>
          <w:b/>
          <w:bCs/>
          <w:color w:val="222222"/>
          <w:shd w:val="clear" w:color="auto" w:fill="FFFFFF"/>
        </w:rPr>
        <w:t>IFAC</w:t>
      </w:r>
      <w:r w:rsidRPr="002C0750">
        <w:rPr>
          <w:rFonts w:asciiTheme="minorHAnsi" w:hAnsiTheme="minorHAnsi" w:cs="Arial"/>
          <w:color w:val="222222"/>
          <w:shd w:val="clear" w:color="auto" w:fill="FFFFFF"/>
        </w:rPr>
        <w:t>) through the International Auditing and Assurance Standards Board.</w:t>
      </w:r>
    </w:p>
  </w:footnote>
  <w:footnote w:id="39">
    <w:p w14:paraId="57D48E48"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Bidi"/>
        </w:rPr>
        <w:t xml:space="preserve">The AASC was created by the PRC upon the recommendation of BOA tasked to establish and promulgate the auditing standards in the Philippines. The AASC have 18 members including the Chairman. </w:t>
      </w:r>
    </w:p>
  </w:footnote>
  <w:footnote w:id="40">
    <w:p w14:paraId="4C32E099" w14:textId="589CFE28"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Pr>
          <w:rFonts w:asciiTheme="minorHAnsi" w:hAnsiTheme="minorHAnsi"/>
        </w:rPr>
        <w:t xml:space="preserve">Refer to Annex 9 for </w:t>
      </w:r>
      <w:proofErr w:type="spellStart"/>
      <w:r>
        <w:rPr>
          <w:rFonts w:asciiTheme="minorHAnsi" w:hAnsiTheme="minorHAnsi"/>
        </w:rPr>
        <w:t>geomapping</w:t>
      </w:r>
      <w:proofErr w:type="spellEnd"/>
      <w:r>
        <w:rPr>
          <w:rFonts w:asciiTheme="minorHAnsi" w:hAnsiTheme="minorHAnsi"/>
        </w:rPr>
        <w:t xml:space="preserve"> analysis</w:t>
      </w:r>
    </w:p>
  </w:footnote>
  <w:footnote w:id="41">
    <w:p w14:paraId="56DF2CD1"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As reported by the Board of Accountancy based on industry information and CPA registration data as of April 2016</w:t>
      </w:r>
    </w:p>
  </w:footnote>
  <w:footnote w:id="42">
    <w:p w14:paraId="45045A47"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SRC Rule 68, as amended (2011). Section 3A(ii) – Qualifications and Reports of Independent Auditors: Examination of FS by Independent Auditors</w:t>
      </w:r>
    </w:p>
  </w:footnote>
  <w:footnote w:id="43">
    <w:p w14:paraId="53083553"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Ibid. Section 3B (i) – Additional Requirements for Independent Auditors of Regulated Entities.</w:t>
      </w:r>
    </w:p>
  </w:footnote>
  <w:footnote w:id="44">
    <w:p w14:paraId="7CF2A1B1"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Ibid. Section 2C(vi) – General Guides to FS Preparation: Form, Order and Terminology</w:t>
      </w:r>
    </w:p>
  </w:footnote>
  <w:footnote w:id="45">
    <w:p w14:paraId="0331FCC3"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National Internal Revenue Code Section 6(G) and reiterated under BIR Revenue Regulation No. 14-2010. Section 6 – Effects of Accreditation</w:t>
      </w:r>
    </w:p>
  </w:footnote>
  <w:footnote w:id="46">
    <w:p w14:paraId="2FBA8940"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SRC Rule 68, as amended (2011). Section 3B(ix).</w:t>
      </w:r>
    </w:p>
  </w:footnote>
  <w:footnote w:id="47">
    <w:p w14:paraId="22302FE0"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National Internal Revenue Code of 1997. Title IX Compliance Requirements: Chapter I, Section 232 – Keeping of Books of Accounts.</w:t>
      </w:r>
    </w:p>
  </w:footnote>
  <w:footnote w:id="48">
    <w:p w14:paraId="40B8397F"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SEC Memorandum Circular No. 2, Series of 2016</w:t>
      </w:r>
    </w:p>
  </w:footnote>
  <w:footnote w:id="49">
    <w:p w14:paraId="76829493" w14:textId="5EDE0FD4"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Section 4(b) of the Rules and Regulations Implementing Republic Act No. 9298 applies to a</w:t>
      </w:r>
      <w:r w:rsidRPr="002C0750">
        <w:rPr>
          <w:rFonts w:asciiTheme="minorHAnsi" w:hAnsiTheme="minorHAnsi" w:cstheme="minorHAnsi"/>
          <w:color w:val="000000" w:themeColor="text1"/>
        </w:rPr>
        <w:t xml:space="preserve"> business or company which has paid up capital of at least </w:t>
      </w:r>
      <w:proofErr w:type="spellStart"/>
      <w:r w:rsidRPr="002C0750">
        <w:rPr>
          <w:rFonts w:asciiTheme="minorHAnsi" w:hAnsiTheme="minorHAnsi" w:cstheme="minorHAnsi"/>
          <w:color w:val="000000" w:themeColor="text1"/>
        </w:rPr>
        <w:t>Php</w:t>
      </w:r>
      <w:proofErr w:type="spellEnd"/>
      <w:r w:rsidRPr="002C0750">
        <w:rPr>
          <w:rFonts w:asciiTheme="minorHAnsi" w:hAnsiTheme="minorHAnsi" w:cstheme="minorHAnsi"/>
          <w:color w:val="000000" w:themeColor="text1"/>
        </w:rPr>
        <w:t xml:space="preserve"> 5 million pesos and or annual revenue of at least </w:t>
      </w:r>
      <w:proofErr w:type="spellStart"/>
      <w:r w:rsidRPr="002C0750">
        <w:rPr>
          <w:rFonts w:asciiTheme="minorHAnsi" w:hAnsiTheme="minorHAnsi" w:cstheme="minorHAnsi"/>
          <w:color w:val="000000" w:themeColor="text1"/>
        </w:rPr>
        <w:t>Php</w:t>
      </w:r>
      <w:proofErr w:type="spellEnd"/>
      <w:r w:rsidRPr="002C0750">
        <w:rPr>
          <w:rFonts w:asciiTheme="minorHAnsi" w:hAnsiTheme="minorHAnsi" w:cstheme="minorHAnsi"/>
          <w:color w:val="000000" w:themeColor="text1"/>
        </w:rPr>
        <w:t xml:space="preserve"> 10 million pesos.</w:t>
      </w:r>
    </w:p>
  </w:footnote>
  <w:footnote w:id="50">
    <w:p w14:paraId="0A8ACAA2"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SEC Memorandum Circular 11, Series of 2014</w:t>
      </w:r>
    </w:p>
  </w:footnote>
  <w:footnote w:id="51">
    <w:p w14:paraId="098C6CD1"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Memorandum No. 2008-0182</w:t>
      </w:r>
    </w:p>
  </w:footnote>
  <w:footnote w:id="52">
    <w:p w14:paraId="6B3737BC"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Lucida Sans Unicode"/>
          <w:color w:val="000000"/>
        </w:rPr>
        <w:t>The International Organization of Securities Commissions (IOSCO) is the international body recognized as the global standard setter for the securities sector. IOSCO develops, implements and promotes adherence to internationally recognized standards for securities regulation.</w:t>
      </w:r>
    </w:p>
  </w:footnote>
  <w:footnote w:id="53">
    <w:p w14:paraId="40620EC6"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Description provided by SEC.</w:t>
      </w:r>
    </w:p>
  </w:footnote>
  <w:footnote w:id="54">
    <w:p w14:paraId="0CDD95EE"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Bidi"/>
        </w:rPr>
        <w:t xml:space="preserve">As prescribed in BSPs Manual of Regulations for </w:t>
      </w:r>
      <w:r w:rsidRPr="002C0750">
        <w:rPr>
          <w:rFonts w:asciiTheme="minorHAnsi" w:hAnsiTheme="minorHAnsi" w:cstheme="minorBidi"/>
          <w:noProof/>
        </w:rPr>
        <w:t>Banks</w:t>
      </w:r>
      <w:r w:rsidRPr="002C0750">
        <w:rPr>
          <w:rFonts w:asciiTheme="minorHAnsi" w:hAnsiTheme="minorHAnsi" w:cstheme="minorBidi"/>
        </w:rPr>
        <w:t xml:space="preserve"> (Subsection X191.3).</w:t>
      </w:r>
    </w:p>
  </w:footnote>
  <w:footnote w:id="55">
    <w:p w14:paraId="2BCD7054" w14:textId="77777777" w:rsidR="004310EC" w:rsidRPr="002C0750" w:rsidRDefault="004310EC" w:rsidP="002C0750">
      <w:pPr>
        <w:pStyle w:val="ListParagraph"/>
        <w:numPr>
          <w:ilvl w:val="0"/>
          <w:numId w:val="0"/>
        </w:numPr>
        <w:tabs>
          <w:tab w:val="left" w:pos="720"/>
        </w:tabs>
        <w:autoSpaceDE w:val="0"/>
        <w:autoSpaceDN w:val="0"/>
        <w:adjustRightInd w:val="0"/>
        <w:spacing w:before="0" w:beforeAutospacing="0" w:after="0" w:afterAutospacing="0" w:line="240" w:lineRule="auto"/>
        <w:jc w:val="left"/>
        <w:rPr>
          <w:rFonts w:asciiTheme="minorHAnsi" w:hAnsiTheme="minorHAnsi" w:cs="Times New Roman"/>
          <w:sz w:val="20"/>
          <w:szCs w:val="20"/>
        </w:rPr>
      </w:pPr>
      <w:r w:rsidRPr="002C0750">
        <w:rPr>
          <w:rStyle w:val="FootnoteReference"/>
          <w:rFonts w:asciiTheme="minorHAnsi" w:hAnsiTheme="minorHAnsi" w:cstheme="minorBidi"/>
          <w:sz w:val="20"/>
          <w:szCs w:val="20"/>
        </w:rPr>
        <w:footnoteRef/>
      </w:r>
      <w:r w:rsidRPr="002C0750">
        <w:rPr>
          <w:rFonts w:asciiTheme="minorHAnsi" w:hAnsiTheme="minorHAnsi" w:cstheme="minorBidi"/>
          <w:sz w:val="20"/>
          <w:szCs w:val="20"/>
        </w:rPr>
        <w:t xml:space="preserve"> BSP </w:t>
      </w:r>
      <w:r w:rsidRPr="002C0750">
        <w:rPr>
          <w:rFonts w:asciiTheme="minorHAnsi" w:eastAsia="SimSun" w:hAnsiTheme="minorHAnsi" w:cstheme="minorBidi"/>
          <w:sz w:val="20"/>
          <w:szCs w:val="20"/>
        </w:rPr>
        <w:t xml:space="preserve">Circular No. 512 dated February 3, 2006, as amended.  </w:t>
      </w:r>
      <w:r w:rsidRPr="002C0750">
        <w:rPr>
          <w:rFonts w:asciiTheme="minorHAnsi" w:hAnsiTheme="minorHAnsi" w:cstheme="minorBidi"/>
          <w:sz w:val="20"/>
          <w:szCs w:val="20"/>
          <w:lang w:val="en-PH"/>
        </w:rPr>
        <w:t xml:space="preserve">The Financial Reporting Package shall </w:t>
      </w:r>
      <w:r w:rsidRPr="002C0750">
        <w:rPr>
          <w:rFonts w:asciiTheme="minorHAnsi" w:hAnsiTheme="minorHAnsi" w:cstheme="minorBidi"/>
          <w:noProof/>
          <w:sz w:val="20"/>
          <w:szCs w:val="20"/>
          <w:lang w:val="en-PH"/>
        </w:rPr>
        <w:t>be prepared on</w:t>
      </w:r>
      <w:r w:rsidRPr="002C0750">
        <w:rPr>
          <w:rFonts w:asciiTheme="minorHAnsi" w:hAnsiTheme="minorHAnsi" w:cstheme="minorBidi"/>
          <w:sz w:val="20"/>
          <w:szCs w:val="20"/>
          <w:lang w:val="en-PH"/>
        </w:rPr>
        <w:t xml:space="preserve"> a solo and consolidated basis. </w:t>
      </w:r>
      <w:r w:rsidRPr="002C0750">
        <w:rPr>
          <w:rFonts w:asciiTheme="minorHAnsi" w:hAnsiTheme="minorHAnsi" w:cstheme="minorBidi"/>
          <w:noProof/>
          <w:sz w:val="20"/>
          <w:szCs w:val="20"/>
          <w:lang w:val="en-PH"/>
        </w:rPr>
        <w:t>Solo</w:t>
      </w:r>
      <w:r w:rsidRPr="002C0750">
        <w:rPr>
          <w:rFonts w:asciiTheme="minorHAnsi" w:hAnsiTheme="minorHAnsi" w:cstheme="minorBidi"/>
          <w:sz w:val="20"/>
          <w:szCs w:val="20"/>
          <w:lang w:val="en-PH"/>
        </w:rPr>
        <w:t xml:space="preserve"> basis shall refer to the combined financial statements of the head office and branches/other offices. Consolidated basis shall refer to the combined financial statements of parent bank and its subsidiaries.  Only banks with financial allied subsidiaries, excluding insurance subsidiaries, shall submit the report on a </w:t>
      </w:r>
      <w:r w:rsidRPr="002C0750">
        <w:rPr>
          <w:rFonts w:asciiTheme="minorHAnsi" w:hAnsiTheme="minorHAnsi" w:cstheme="minorBidi"/>
          <w:noProof/>
          <w:sz w:val="20"/>
          <w:szCs w:val="20"/>
          <w:lang w:val="en-PH"/>
        </w:rPr>
        <w:t>consolidated</w:t>
      </w:r>
      <w:r w:rsidRPr="002C0750">
        <w:rPr>
          <w:rFonts w:asciiTheme="minorHAnsi" w:hAnsiTheme="minorHAnsi" w:cstheme="minorBidi"/>
          <w:sz w:val="20"/>
          <w:szCs w:val="20"/>
          <w:lang w:val="en-PH"/>
        </w:rPr>
        <w:t xml:space="preserve"> basis.</w:t>
      </w:r>
    </w:p>
  </w:footnote>
  <w:footnote w:id="56">
    <w:p w14:paraId="2AD4FCC4" w14:textId="6745C1DC"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Pr>
          <w:rFonts w:asciiTheme="minorHAnsi" w:hAnsiTheme="minorHAnsi"/>
        </w:rPr>
        <w:t xml:space="preserve">The revised rules and regulations governing the selection and delisting by BSP of the external auditor of covered institutions are provided under </w:t>
      </w:r>
      <w:r w:rsidRPr="002C0750">
        <w:rPr>
          <w:rFonts w:asciiTheme="minorHAnsi" w:hAnsiTheme="minorHAnsi" w:cstheme="minorBidi"/>
        </w:rPr>
        <w:t>BSP Circular No. 660 dated August 25, 2009</w:t>
      </w:r>
      <w:r>
        <w:rPr>
          <w:rFonts w:asciiTheme="minorHAnsi" w:hAnsiTheme="minorHAnsi" w:cstheme="minorBidi"/>
        </w:rPr>
        <w:t>.  This Circular is</w:t>
      </w:r>
      <w:r w:rsidRPr="002C0750">
        <w:rPr>
          <w:rFonts w:asciiTheme="minorHAnsi" w:hAnsiTheme="minorHAnsi" w:cstheme="minorBidi"/>
        </w:rPr>
        <w:t xml:space="preserve"> pursuant to Section 58 of the General Banking Law of 2000</w:t>
      </w:r>
      <w:r>
        <w:rPr>
          <w:rFonts w:asciiTheme="minorHAnsi" w:hAnsiTheme="minorHAnsi" w:cstheme="minorBidi"/>
        </w:rPr>
        <w:t>, and the existing provisions of the Memorandum of Agreement dated August 12, 2009, binding BSP, SEC, IC and PRC-BOA for a simplified and synchronized accreditation requirement for external auditors.</w:t>
      </w:r>
    </w:p>
  </w:footnote>
  <w:footnote w:id="57">
    <w:p w14:paraId="5651BEA2" w14:textId="2E8E43A1"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HAnsi"/>
        </w:rPr>
        <w:t>BSP’s Manual of Regulations for Banks Sec. X.141.3 C.7.d (i) and Section 2 of BSP Circular No. 749 series of 2012</w:t>
      </w:r>
    </w:p>
  </w:footnote>
  <w:footnote w:id="58">
    <w:p w14:paraId="190B1EC0" w14:textId="77777777" w:rsidR="004310EC" w:rsidRPr="002C0750" w:rsidRDefault="004310EC" w:rsidP="002C0750">
      <w:pPr>
        <w:pStyle w:val="FootnoteText"/>
        <w:jc w:val="left"/>
        <w:rPr>
          <w:rFonts w:asciiTheme="minorHAnsi" w:hAnsiTheme="minorHAnsi" w:cstheme="minorBidi"/>
        </w:rPr>
      </w:pPr>
      <w:r w:rsidRPr="002C0750">
        <w:rPr>
          <w:rStyle w:val="FootnoteReference"/>
          <w:rFonts w:asciiTheme="minorHAnsi" w:hAnsiTheme="minorHAnsi" w:cstheme="minorBidi"/>
        </w:rPr>
        <w:footnoteRef/>
      </w:r>
      <w:r w:rsidRPr="002C0750">
        <w:rPr>
          <w:rFonts w:asciiTheme="minorHAnsi" w:hAnsiTheme="minorHAnsi" w:cstheme="minorBidi"/>
        </w:rPr>
        <w:t xml:space="preserve"> BSP Manual of Regulations for Banks X190.2 </w:t>
      </w:r>
    </w:p>
  </w:footnote>
  <w:footnote w:id="59">
    <w:p w14:paraId="5AA773AE" w14:textId="77777777" w:rsidR="004310EC" w:rsidRPr="002C0750" w:rsidRDefault="004310EC" w:rsidP="002C0750">
      <w:pPr>
        <w:pStyle w:val="FootnoteText"/>
        <w:jc w:val="left"/>
        <w:rPr>
          <w:rFonts w:asciiTheme="minorHAnsi" w:hAnsiTheme="minorHAnsi" w:cs="Arial"/>
        </w:rPr>
      </w:pPr>
      <w:r w:rsidRPr="002C0750">
        <w:rPr>
          <w:rStyle w:val="FootnoteReference"/>
          <w:rFonts w:asciiTheme="minorHAnsi" w:hAnsiTheme="minorHAnsi" w:cs="Arial"/>
        </w:rPr>
        <w:footnoteRef/>
      </w:r>
      <w:r w:rsidRPr="002C0750">
        <w:rPr>
          <w:rFonts w:asciiTheme="minorHAnsi" w:hAnsiTheme="minorHAnsi" w:cs="Arial"/>
        </w:rPr>
        <w:t xml:space="preserve">  SEC MC No. 6, series of 2009 and amended thru SEC MC No. 9, series of 2014</w:t>
      </w:r>
    </w:p>
  </w:footnote>
  <w:footnote w:id="60">
    <w:p w14:paraId="650DC26F" w14:textId="08121B86"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Bidi"/>
        </w:rPr>
        <w:t>SEC. 2015. Philippine Corporate Governance Blueprint</w:t>
      </w:r>
    </w:p>
  </w:footnote>
  <w:footnote w:id="61">
    <w:p w14:paraId="5BE90F90" w14:textId="77777777" w:rsidR="004310EC" w:rsidRPr="002C0750" w:rsidRDefault="004310EC" w:rsidP="002C0750">
      <w:pPr>
        <w:pStyle w:val="FootnoteText"/>
        <w:jc w:val="left"/>
        <w:rPr>
          <w:rFonts w:asciiTheme="minorHAnsi" w:hAnsiTheme="minorHAnsi" w:cs="Arial"/>
        </w:rPr>
      </w:pPr>
      <w:r w:rsidRPr="002C0750">
        <w:rPr>
          <w:rStyle w:val="FootnoteReference"/>
          <w:rFonts w:asciiTheme="minorHAnsi" w:hAnsiTheme="minorHAnsi" w:cs="Arial"/>
        </w:rPr>
        <w:footnoteRef/>
      </w:r>
      <w:r w:rsidRPr="002C0750">
        <w:rPr>
          <w:rFonts w:asciiTheme="minorHAnsi" w:hAnsiTheme="minorHAnsi" w:cs="Arial"/>
        </w:rPr>
        <w:t xml:space="preserve"> </w:t>
      </w:r>
      <w:r w:rsidRPr="002C0750">
        <w:rPr>
          <w:rFonts w:asciiTheme="minorHAnsi" w:hAnsiTheme="minorHAnsi" w:cstheme="minorHAnsi"/>
        </w:rPr>
        <w:t>This circular was recently amended to align with the recent issuance of the Basel Committee Supervision on Corporate governance and the amended Code of Corporate Governance of the SEC.</w:t>
      </w:r>
      <w:r w:rsidRPr="002C0750">
        <w:rPr>
          <w:rFonts w:asciiTheme="minorHAnsi" w:hAnsiTheme="minorHAnsi" w:cstheme="minorHAnsi"/>
          <w:color w:val="000000" w:themeColor="text1"/>
        </w:rPr>
        <w:t xml:space="preserve"> The amendments to the Guidelines in Strengthening Corporate Governance in BSP Supervised Financial (BSFIs) Institutions were taken-up and approved by the Monetary Board, in its meeting on August 3, 2017. The amendments will be presented in three separate issuances covering the following (1) Enhanced corporate governance guidelines for BSFIs; (2) Guidelines on risk governance; and (3) Enhanced guidelines in strengthening compliance frameworks.</w:t>
      </w:r>
    </w:p>
  </w:footnote>
  <w:footnote w:id="62">
    <w:p w14:paraId="1706EF17" w14:textId="77777777" w:rsidR="004310EC" w:rsidRPr="002C0750" w:rsidRDefault="004310EC" w:rsidP="002C0750">
      <w:pPr>
        <w:pStyle w:val="FootnoteText"/>
        <w:jc w:val="left"/>
        <w:rPr>
          <w:rFonts w:asciiTheme="minorHAnsi" w:hAnsiTheme="minorHAnsi" w:cs="Arial"/>
        </w:rPr>
      </w:pPr>
      <w:r w:rsidRPr="002C0750">
        <w:rPr>
          <w:rStyle w:val="FootnoteReference"/>
          <w:rFonts w:asciiTheme="minorHAnsi" w:hAnsiTheme="minorHAnsi" w:cs="Arial"/>
        </w:rPr>
        <w:footnoteRef/>
      </w:r>
      <w:r w:rsidRPr="002C0750">
        <w:rPr>
          <w:rFonts w:asciiTheme="minorHAnsi" w:hAnsiTheme="minorHAnsi" w:cs="Arial"/>
        </w:rPr>
        <w:t xml:space="preserve"> </w:t>
      </w:r>
      <w:r w:rsidRPr="002C0750">
        <w:rPr>
          <w:rFonts w:asciiTheme="minorHAnsi" w:eastAsia="SimSun" w:hAnsiTheme="minorHAnsi" w:cs="Arial"/>
        </w:rPr>
        <w:t>BSP Circular 895 dated December 14, 2015</w:t>
      </w:r>
    </w:p>
  </w:footnote>
  <w:footnote w:id="63">
    <w:p w14:paraId="000F0ECA"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cs="Arial"/>
        </w:rPr>
        <w:footnoteRef/>
      </w:r>
      <w:r w:rsidRPr="002C0750">
        <w:rPr>
          <w:rFonts w:asciiTheme="minorHAnsi" w:hAnsiTheme="minorHAnsi" w:cs="Arial"/>
        </w:rPr>
        <w:t xml:space="preserve"> Consist mainly of financial position/balance sheet.</w:t>
      </w:r>
    </w:p>
  </w:footnote>
  <w:footnote w:id="64">
    <w:p w14:paraId="5CB70F28" w14:textId="15E2864F"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Bidi"/>
        </w:rPr>
        <w:t>The Financial Reporting Framework</w:t>
      </w:r>
      <w:r w:rsidRPr="002C0750" w:rsidDel="009D0985">
        <w:rPr>
          <w:rFonts w:asciiTheme="minorHAnsi" w:hAnsiTheme="minorHAnsi" w:cstheme="minorBidi"/>
        </w:rPr>
        <w:t xml:space="preserve"> </w:t>
      </w:r>
      <w:r w:rsidRPr="002C0750">
        <w:rPr>
          <w:rFonts w:asciiTheme="minorHAnsi" w:hAnsiTheme="minorHAnsi" w:cstheme="minorBidi"/>
        </w:rPr>
        <w:t>provides measurement and recognition based on IFRS and the requirements of the New Insurance Code. However, it is not the same with the financial reporting framework used for general purpose financial statement used for the public and those filed with the other regulators</w:t>
      </w:r>
      <w:r>
        <w:rPr>
          <w:rFonts w:asciiTheme="minorHAnsi" w:hAnsiTheme="minorHAnsi" w:cstheme="minorBidi"/>
        </w:rPr>
        <w:t>.</w:t>
      </w:r>
    </w:p>
  </w:footnote>
  <w:footnote w:id="65">
    <w:p w14:paraId="2D143140" w14:textId="77777777" w:rsidR="004310EC" w:rsidRPr="002C0750" w:rsidRDefault="004310EC" w:rsidP="00A90B64">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IC</w:t>
      </w:r>
    </w:p>
  </w:footnote>
  <w:footnote w:id="66">
    <w:p w14:paraId="62C558CE"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This was confirmed by IC.</w:t>
      </w:r>
    </w:p>
  </w:footnote>
  <w:footnote w:id="67">
    <w:p w14:paraId="47ECCF3F"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IC Circular Letter No. 21-2006 on the Negative list of Officers and Employees and its supplement (IC Circular Letter No. 22-2015)</w:t>
      </w:r>
    </w:p>
  </w:footnote>
  <w:footnote w:id="68">
    <w:p w14:paraId="750E59C6" w14:textId="77777777" w:rsidR="004310EC" w:rsidRPr="002C0750" w:rsidRDefault="004310EC" w:rsidP="00771223">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SEC</w:t>
      </w:r>
    </w:p>
  </w:footnote>
  <w:footnote w:id="69">
    <w:p w14:paraId="7F66C118"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Based on feedback received during roundtable discussions with MSMEs.</w:t>
      </w:r>
    </w:p>
  </w:footnote>
  <w:footnote w:id="70">
    <w:p w14:paraId="240AA9B6"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Arial"/>
        </w:rPr>
        <w:t>COA Circular No. 2001-04 dated October 30, 2001</w:t>
      </w:r>
    </w:p>
  </w:footnote>
  <w:footnote w:id="71">
    <w:p w14:paraId="481D657C"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Arial"/>
        </w:rPr>
        <w:t>COA Circular No. 2015-040 dated December 1, 2015</w:t>
      </w:r>
    </w:p>
  </w:footnote>
  <w:footnote w:id="72">
    <w:p w14:paraId="2ACB32FF"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Consist of 21 government financial institutions, 35 GICPs/GCEs, and 42 other GOCCs from Table 5.</w:t>
      </w:r>
    </w:p>
  </w:footnote>
  <w:footnote w:id="73">
    <w:p w14:paraId="50701828" w14:textId="7A2B09E2"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Arial"/>
        </w:rPr>
        <w:t>Audit engagements for water districts are usually performed after the audits of regular agencies or government corporations, which are prioritized due to the assignment of resident auditors in these agencies according to the 2015 Annual Financial Report.</w:t>
      </w:r>
    </w:p>
  </w:footnote>
  <w:footnote w:id="74">
    <w:p w14:paraId="775BA738"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International Standards of Supreme Audit Institutions 1701 (equivalent to PSA 701) is due for adoption by COA before the end of 2017. Once adopted, the standard will apply to audits of financial statements for the period ending December 31, 2017. </w:t>
      </w:r>
    </w:p>
  </w:footnote>
  <w:footnote w:id="75">
    <w:p w14:paraId="6D90B637" w14:textId="3277CCA0"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RA No. 9298 which was approved </w:t>
      </w:r>
      <w:r>
        <w:rPr>
          <w:rFonts w:asciiTheme="minorHAnsi" w:hAnsiTheme="minorHAnsi"/>
        </w:rPr>
        <w:t xml:space="preserve">by </w:t>
      </w:r>
      <w:r w:rsidRPr="002C0750">
        <w:rPr>
          <w:rFonts w:asciiTheme="minorHAnsi" w:hAnsiTheme="minorHAnsi"/>
        </w:rPr>
        <w:t>the President of the Philippines on May 13, 2004</w:t>
      </w:r>
    </w:p>
  </w:footnote>
  <w:footnote w:id="76">
    <w:p w14:paraId="3ED6257C" w14:textId="77777777" w:rsidR="004310EC" w:rsidRPr="002C0750" w:rsidRDefault="004310EC" w:rsidP="00C25082">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PICPA</w:t>
      </w:r>
    </w:p>
  </w:footnote>
  <w:footnote w:id="77">
    <w:p w14:paraId="48EAAC9B" w14:textId="77777777" w:rsidR="004310EC" w:rsidRPr="002C0750" w:rsidRDefault="004310EC" w:rsidP="003C5D2C">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PICPA</w:t>
      </w:r>
    </w:p>
  </w:footnote>
  <w:footnote w:id="78">
    <w:p w14:paraId="3E5E5B72"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The AFA training and development analysis, </w:t>
      </w:r>
      <w:hyperlink r:id="rId2" w:history="1">
        <w:r w:rsidRPr="002C0750">
          <w:rPr>
            <w:rStyle w:val="Hyperlink"/>
            <w:rFonts w:asciiTheme="minorHAnsi" w:hAnsiTheme="minorHAnsi"/>
            <w:color w:val="auto"/>
            <w:u w:val="none"/>
          </w:rPr>
          <w:t>http://www.aseanaccountants.org/files/ASEAN_Training_and_Development_Analysis_Report.pdf</w:t>
        </w:r>
      </w:hyperlink>
      <w:r w:rsidRPr="002C0750">
        <w:rPr>
          <w:rFonts w:asciiTheme="minorHAnsi" w:hAnsiTheme="minorHAnsi"/>
        </w:rPr>
        <w:t xml:space="preserve"> </w:t>
      </w:r>
    </w:p>
  </w:footnote>
  <w:footnote w:id="79">
    <w:p w14:paraId="6AA10D35"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Statistics obtained from collective company websites of SGV, KPMG, PwC and Deloitte.</w:t>
      </w:r>
    </w:p>
  </w:footnote>
  <w:footnote w:id="80">
    <w:p w14:paraId="4039F2D4" w14:textId="77777777" w:rsidR="004310EC" w:rsidRPr="002C0750" w:rsidRDefault="004310EC" w:rsidP="00C25082">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Department of Education</w:t>
      </w:r>
    </w:p>
  </w:footnote>
  <w:footnote w:id="81">
    <w:p w14:paraId="5EC0055B"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Now called Department of Education (DepEd)</w:t>
      </w:r>
    </w:p>
  </w:footnote>
  <w:footnote w:id="82">
    <w:p w14:paraId="079A6581"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Teachers are given 5 years from the time of their appointment as </w:t>
      </w:r>
      <w:proofErr w:type="gramStart"/>
      <w:r w:rsidRPr="002C0750">
        <w:rPr>
          <w:rFonts w:asciiTheme="minorHAnsi" w:hAnsiTheme="minorHAnsi"/>
        </w:rPr>
        <w:t>full time</w:t>
      </w:r>
      <w:proofErr w:type="gramEnd"/>
      <w:r w:rsidRPr="002C0750">
        <w:rPr>
          <w:rFonts w:asciiTheme="minorHAnsi" w:hAnsiTheme="minorHAnsi"/>
        </w:rPr>
        <w:t xml:space="preserve"> faculty to complete a Master’s Degree qualification. Publication in a peer-reviewed journal or textbook is also required.</w:t>
      </w:r>
    </w:p>
  </w:footnote>
  <w:footnote w:id="83">
    <w:p w14:paraId="28397DFA"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Commission on Higher Education</w:t>
      </w:r>
    </w:p>
  </w:footnote>
  <w:footnote w:id="84">
    <w:p w14:paraId="06BCD006"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http://www.picpa.com.ph/attachment/6302016161515885.pdf</w:t>
      </w:r>
    </w:p>
  </w:footnote>
  <w:footnote w:id="85">
    <w:p w14:paraId="148520F7"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http://www.picpa.com.ph/attachment/6302016161825620.pdf</w:t>
      </w:r>
    </w:p>
  </w:footnote>
  <w:footnote w:id="86">
    <w:p w14:paraId="524E72B4"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SEC Memorandum Circular No. 19 Series of 2016</w:t>
      </w:r>
    </w:p>
  </w:footnote>
  <w:footnote w:id="87">
    <w:p w14:paraId="3EB15A1D" w14:textId="77777777" w:rsidR="004310EC" w:rsidRPr="002C0750" w:rsidRDefault="004310EC" w:rsidP="0054602B">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theme="minorHAnsi"/>
        </w:rPr>
        <w:t>Integrated Reporting: Lessons from the South African Experience, Hanks and Gardiner</w:t>
      </w:r>
    </w:p>
  </w:footnote>
  <w:footnote w:id="88">
    <w:p w14:paraId="4E230A04" w14:textId="77777777" w:rsidR="004310EC" w:rsidRPr="002C0750" w:rsidRDefault="004310EC" w:rsidP="0054602B">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Status as of September 2016</w:t>
      </w:r>
    </w:p>
  </w:footnote>
  <w:footnote w:id="89">
    <w:p w14:paraId="39C1D41B"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http://www.aasc.org.ph/new_std_sept2016/PSA%20610%20(Revised%202013)%20Using%20the%20Work%20of%20Internal%20Auditors.pdf</w:t>
      </w:r>
    </w:p>
  </w:footnote>
  <w:footnote w:id="90">
    <w:p w14:paraId="5BF2F08A"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http://www.aasc.org.ph/new_std_sept2016/PSAE%203410%20greenhouse%20gas.pdf</w:t>
      </w:r>
    </w:p>
  </w:footnote>
  <w:footnote w:id="91">
    <w:p w14:paraId="1202CB15" w14:textId="7302331F" w:rsidR="004310EC" w:rsidRPr="002C0750" w:rsidRDefault="004310EC" w:rsidP="002C0750">
      <w:pPr>
        <w:pStyle w:val="FootnoteText"/>
        <w:jc w:val="left"/>
        <w:rPr>
          <w:rFonts w:asciiTheme="minorHAnsi" w:hAnsiTheme="minorHAnsi"/>
          <w:sz w:val="18"/>
          <w:szCs w:val="18"/>
        </w:rPr>
      </w:pPr>
      <w:r w:rsidRPr="002C0750">
        <w:rPr>
          <w:rStyle w:val="FootnoteReference"/>
          <w:rFonts w:asciiTheme="minorHAnsi" w:hAnsiTheme="minorHAnsi"/>
        </w:rPr>
        <w:footnoteRef/>
      </w:r>
      <w:r>
        <w:rPr>
          <w:rFonts w:asciiTheme="minorHAnsi" w:hAnsiTheme="minorHAnsi"/>
          <w:sz w:val="18"/>
          <w:szCs w:val="18"/>
        </w:rPr>
        <w:t xml:space="preserve"> </w:t>
      </w:r>
      <w:r w:rsidRPr="002C0750">
        <w:rPr>
          <w:rFonts w:asciiTheme="minorHAnsi" w:hAnsiTheme="minorHAnsi"/>
          <w:sz w:val="18"/>
          <w:szCs w:val="18"/>
        </w:rPr>
        <w:t>http://www.aasc.org.ph/new_std_sept2016/PSRS%204410%20(Revised)%20_compilation%20engagements.pdf</w:t>
      </w:r>
    </w:p>
  </w:footnote>
  <w:footnote w:id="92">
    <w:p w14:paraId="10359C27"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http://www.aasc.org.ph/new_std_sept2016/PSRE%202400-(Revised)-Engagements-to-Review-Historical-Financial-Statements_Final.pdf</w:t>
      </w:r>
    </w:p>
  </w:footnote>
  <w:footnote w:id="93">
    <w:p w14:paraId="73B44E7E"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http://www.aasc.org.ph/new_std_sept2016/PSA%20260%20(Revised)%20-%20clean.pdf</w:t>
      </w:r>
    </w:p>
  </w:footnote>
  <w:footnote w:id="94">
    <w:p w14:paraId="67343F2B"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http://www.aasc.org.ph/new_std_sept2016/PSA%20570%20(Revised)%20-%20clean.pdf</w:t>
      </w:r>
    </w:p>
  </w:footnote>
  <w:footnote w:id="95">
    <w:p w14:paraId="5A683727"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http://www.aasc.org.ph/new_std_sept2016/PSA%20700%20(Revised)%20-%20clean.pdf</w:t>
      </w:r>
    </w:p>
  </w:footnote>
  <w:footnote w:id="96">
    <w:p w14:paraId="6B18A789"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http://www.aasc.org.ph/new_std_sept2016/PSA%20701%20-%20clean.pdf</w:t>
      </w:r>
    </w:p>
  </w:footnote>
  <w:footnote w:id="97">
    <w:p w14:paraId="2BE020D7"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http://www.aasc.org.ph/new_std_sept2016/PSA%20705%20(Revised)%20-%20clean.pdf</w:t>
      </w:r>
    </w:p>
  </w:footnote>
  <w:footnote w:id="98">
    <w:p w14:paraId="5058AB80"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http://www.aasc.org.ph/new_std_sept2016/PSA-706%20(Revised)%20-%20clean.pdf</w:t>
      </w:r>
    </w:p>
  </w:footnote>
  <w:footnote w:id="99">
    <w:p w14:paraId="74B82DB4"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http://www.aasc.org.ph/new_std_sept2016/PSA-720-(Revised)%20with%20track%20changes.pdf</w:t>
      </w:r>
    </w:p>
  </w:footnote>
  <w:footnote w:id="100">
    <w:p w14:paraId="03EBF9E1" w14:textId="78698FAC"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RA No. 9298 May 13, 2004, Republic of the Philippines</w:t>
      </w:r>
    </w:p>
  </w:footnote>
  <w:footnote w:id="101">
    <w:p w14:paraId="0EDDCE3C"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BSP Memorandum No. M2014-011 dated March 14, 2014, IC Circular Letter No. 2015-40 dated July 29, 2015, and SEC Financial Reporting Bulleting No. 19 dated June 20, 2016, </w:t>
      </w:r>
    </w:p>
    <w:p w14:paraId="6E3D8EB0" w14:textId="77777777" w:rsidR="004310EC" w:rsidRPr="002C0750" w:rsidRDefault="004310EC" w:rsidP="002C0750">
      <w:pPr>
        <w:pStyle w:val="FootnoteText"/>
        <w:jc w:val="left"/>
        <w:rPr>
          <w:rFonts w:asciiTheme="minorHAnsi" w:hAnsiTheme="minorHAnsi" w:cstheme="minorHAnsi"/>
        </w:rPr>
      </w:pPr>
      <w:r w:rsidRPr="002C0750">
        <w:rPr>
          <w:rFonts w:asciiTheme="minorHAnsi" w:hAnsiTheme="minorHAnsi" w:cstheme="minorHAnsi"/>
        </w:rPr>
        <w:t xml:space="preserve"> on the “Expectations for an Effective External Audit Function”.  </w:t>
      </w:r>
    </w:p>
  </w:footnote>
  <w:footnote w:id="102">
    <w:p w14:paraId="41776416" w14:textId="6E453D86"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BSP Circular No. 660 dated August 25, 2009, SEC Memorandum Circular No. 13 dated September 19, 2009 and IC Circular Letter dated 29-2009 dated November 10, 2009 on the revised rules and regulations relative to the selection and de</w:t>
      </w:r>
      <w:r>
        <w:rPr>
          <w:rFonts w:asciiTheme="minorHAnsi" w:hAnsiTheme="minorHAnsi" w:cstheme="minorHAnsi"/>
        </w:rPr>
        <w:t xml:space="preserve">listing of external auditors.  </w:t>
      </w:r>
    </w:p>
  </w:footnote>
  <w:footnote w:id="103">
    <w:p w14:paraId="1C4773EA"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In 2010, a QAR Program was developed by the BOA in collaboration with PICPA in fulfillment of this objective and mandated upon auditors. However, rollout ceased due to a court injunction filed by a group of practitioners.  Efforts have been made to move forward, including stakeholder awareness workshops, mediation with petitioners, and rollout of a Voluntary QAR Program.  The injunction against the QAR Program was recently lifted by the court and BOA is exploring an update of the Program in anticipation of its future rollout.</w:t>
      </w:r>
    </w:p>
  </w:footnote>
  <w:footnote w:id="104">
    <w:p w14:paraId="7C369C44"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BOA Res. 5-2016</w:t>
      </w:r>
    </w:p>
  </w:footnote>
  <w:footnote w:id="105">
    <w:p w14:paraId="5615C8C0"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The World Bank conducted a technical review on audit quality in 2015 and 2016.  The report “Republic of the Philippines Strengthening Oversight:  Improving the Quality of Statutory Audits in the Philippines” was published in May 2016.</w:t>
      </w:r>
    </w:p>
  </w:footnote>
  <w:footnote w:id="106">
    <w:p w14:paraId="1CC344E5"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This section states that “Every corporation, domestic or foreign, lawfully doing business in the Philippines shall submit to the Securities and Exchange Commission an annual report of its operations, together with a financial statement of its assets and liabilities, certified by any independent certified public accountant in appropriate cases, covering the preceding fiscal year and such other requirements as the Securities and Exchange Commission may require.”  </w:t>
      </w:r>
    </w:p>
  </w:footnote>
  <w:footnote w:id="107">
    <w:p w14:paraId="6D715F1C" w14:textId="77777777" w:rsidR="004310EC" w:rsidRPr="002C0750" w:rsidRDefault="004310EC" w:rsidP="00881B7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The BSP reported a reduction of accredited auditors from 105 as of August 31, 2016 to 84 as of December 31, 2016.</w:t>
      </w:r>
    </w:p>
  </w:footnote>
  <w:footnote w:id="108">
    <w:p w14:paraId="656AF3AB" w14:textId="77777777" w:rsidR="004310EC" w:rsidRPr="002C0750" w:rsidRDefault="004310EC" w:rsidP="0075369F">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SEC</w:t>
      </w:r>
    </w:p>
  </w:footnote>
  <w:footnote w:id="109">
    <w:p w14:paraId="68A55743" w14:textId="77777777" w:rsidR="004310EC" w:rsidRPr="002C0750" w:rsidRDefault="004310EC" w:rsidP="00881B7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PRC</w:t>
      </w:r>
    </w:p>
  </w:footnote>
  <w:footnote w:id="110">
    <w:p w14:paraId="1392C578" w14:textId="77777777" w:rsidR="004310EC" w:rsidRPr="002C0750" w:rsidRDefault="004310EC" w:rsidP="007D2487">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PRC</w:t>
      </w:r>
    </w:p>
  </w:footnote>
  <w:footnote w:id="111">
    <w:p w14:paraId="255138B1"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Non-bank non-exchange-listed corporates (SMEs) prepare financial statements in accordance with the PFRS for SMEs.</w:t>
      </w:r>
    </w:p>
  </w:footnote>
  <w:footnote w:id="112">
    <w:p w14:paraId="37F8B72B"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The six sampled banks comprise approximately 47% of the total assets of the banking industry as of December 31, 2015</w:t>
      </w:r>
    </w:p>
  </w:footnote>
  <w:footnote w:id="113">
    <w:p w14:paraId="5B97B06E"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Because one of the GOCCs reviewed is a bank it is included in both categories.  </w:t>
      </w:r>
    </w:p>
  </w:footnote>
  <w:footnote w:id="114">
    <w:p w14:paraId="08B0E1AC"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Size is determined by the sum of total assets at 31/12/2015 + total liabilities at 31/12/2015 + income for 2015.  Big = &gt; P1,000,000 million; small = &lt; P10,000 million.</w:t>
      </w:r>
    </w:p>
  </w:footnote>
  <w:footnote w:id="115">
    <w:p w14:paraId="04CE304C"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This comparison necessarily excludes SMEs that prepared financial statements in accordance with the less onerous PFRS for SMEs.  </w:t>
      </w:r>
      <w:proofErr w:type="gramStart"/>
      <w:r w:rsidRPr="002C0750">
        <w:rPr>
          <w:rFonts w:asciiTheme="minorHAnsi" w:hAnsiTheme="minorHAnsi"/>
        </w:rPr>
        <w:t>All of</w:t>
      </w:r>
      <w:proofErr w:type="gramEnd"/>
      <w:r w:rsidRPr="002C0750">
        <w:rPr>
          <w:rFonts w:asciiTheme="minorHAnsi" w:hAnsiTheme="minorHAnsi"/>
        </w:rPr>
        <w:t xml:space="preserve"> the small entities reviewed that assert compliance with the PFRS for SMEs have unqualified audit reports without any emphasis of matter being reported by their auditors.</w:t>
      </w:r>
    </w:p>
  </w:footnote>
  <w:footnote w:id="116">
    <w:p w14:paraId="751F788C"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The review is not akin to an audit.  The reviewer does not examine underlying evidence and does not have access to management.</w:t>
      </w:r>
    </w:p>
  </w:footnote>
  <w:footnote w:id="117">
    <w:p w14:paraId="7DC9737B"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w:t>
      </w:r>
      <w:r w:rsidRPr="002C0750">
        <w:rPr>
          <w:rFonts w:asciiTheme="minorHAnsi" w:hAnsiTheme="minorHAnsi" w:cs="Calibri"/>
          <w:color w:val="000000" w:themeColor="text1"/>
        </w:rPr>
        <w:t>The BSP conducted a survey on PFRS 9 and is currently engaging various stakeholders to bring to fore significant concerns of the banking institutions as well as agree on a pragmatic approach in implementing the standard</w:t>
      </w:r>
    </w:p>
  </w:footnote>
  <w:footnote w:id="118">
    <w:p w14:paraId="34601F2F" w14:textId="2A8B84B4"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The Financial Sector Forum is currently working on the adoption of a “single passport” accreditation by the BSP, SEC, and IC. Under this proposed framework, the SEC will be the </w:t>
      </w:r>
      <w:proofErr w:type="gramStart"/>
      <w:r w:rsidRPr="002C0750">
        <w:rPr>
          <w:rFonts w:asciiTheme="minorHAnsi" w:hAnsiTheme="minorHAnsi" w:cstheme="minorHAnsi"/>
        </w:rPr>
        <w:t>single entry</w:t>
      </w:r>
      <w:proofErr w:type="gramEnd"/>
      <w:r w:rsidRPr="002C0750">
        <w:rPr>
          <w:rFonts w:asciiTheme="minorHAnsi" w:hAnsiTheme="minorHAnsi" w:cstheme="minorHAnsi"/>
        </w:rPr>
        <w:t xml:space="preserve"> point for receiving and screening applications for accreditation of external auditors. The proposed circular amending the policy on the selection of external auditors for BSFIs was exposed for comments on August 7, 2017, to industry associations, public practitioners, and member-agencies of the Financial Sector Forum. The proposed issuance is premised on the agreed upon interim arrangement among member-agencies of the</w:t>
      </w:r>
      <w:r w:rsidRPr="002C0750">
        <w:rPr>
          <w:rFonts w:asciiTheme="minorHAnsi" w:hAnsiTheme="minorHAnsi"/>
        </w:rPr>
        <w:t xml:space="preserve"> </w:t>
      </w:r>
      <w:r w:rsidRPr="002C0750">
        <w:rPr>
          <w:rFonts w:asciiTheme="minorHAnsi" w:hAnsiTheme="minorHAnsi" w:cstheme="minorHAnsi"/>
        </w:rPr>
        <w:t xml:space="preserve">Financial Sector Forum in preparation for the migration to the single accreditation framework. In this transition arrangement, the proposal is to expand the mutual recognition policy such that the external auditors under Group/Category A, will also qualify for mutual recognition. The proposed transition arrangement likewise includes: 1. Streamlining of documentary requirements and adoption of a uniform application form across Financial Sector Forum member-agencies; 2. Strengthened qualification standards of external auditors applying for groups/categories A &amp; B considering the complexity of covered institutions; 3. Alignment of the entities under each category/group across selected/accrediting member-agencies; 4. Extension of the validity of the inclusion in the list of BSP selected external auditors from 3 to 5 years, but this may be revoked anytime based on the result of assessment of the Audited Financial Statements; and  5. Clarification of the progression of sanctions that shall be imposed without prejudice to the sanctions or monetary penalty that the SEC or the Board of Accountancy may impose on the concerned external auditor and/or audit firm pursuant to their rules and regulations.                                                </w:t>
      </w:r>
    </w:p>
  </w:footnote>
  <w:footnote w:id="119">
    <w:p w14:paraId="66991E52" w14:textId="77777777" w:rsidR="004310EC" w:rsidRPr="002C0750" w:rsidRDefault="004310EC" w:rsidP="002C0750">
      <w:pPr>
        <w:spacing w:after="0" w:line="240" w:lineRule="auto"/>
        <w:jc w:val="left"/>
        <w:rPr>
          <w:sz w:val="20"/>
          <w:szCs w:val="20"/>
        </w:rPr>
      </w:pPr>
      <w:r w:rsidRPr="002C0750">
        <w:rPr>
          <w:rStyle w:val="FootnoteReference"/>
          <w:sz w:val="20"/>
          <w:szCs w:val="20"/>
        </w:rPr>
        <w:footnoteRef/>
      </w:r>
      <w:r w:rsidRPr="002C0750">
        <w:rPr>
          <w:sz w:val="20"/>
          <w:szCs w:val="20"/>
        </w:rPr>
        <w:t xml:space="preserve"> </w:t>
      </w:r>
      <w:r w:rsidRPr="002C0750">
        <w:rPr>
          <w:rFonts w:cs="Calibri"/>
          <w:color w:val="000000" w:themeColor="text1"/>
          <w:sz w:val="20"/>
          <w:szCs w:val="20"/>
        </w:rPr>
        <w:t xml:space="preserve">While the relevant oversight agencies have sole responsibility for Agency specific audit requirements, it is noted that BOA may engage in consultations on the issue.  </w:t>
      </w:r>
    </w:p>
  </w:footnote>
  <w:footnote w:id="120">
    <w:p w14:paraId="311C5D9F" w14:textId="77777777" w:rsidR="004310EC" w:rsidRPr="002C0750" w:rsidRDefault="004310EC" w:rsidP="002C0750">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As per Sec. 232 (A) of the National Internal Revenue Code</w:t>
      </w:r>
    </w:p>
  </w:footnote>
  <w:footnote w:id="121">
    <w:p w14:paraId="7CB16996"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Board of Accountancy</w:t>
      </w:r>
    </w:p>
  </w:footnote>
  <w:footnote w:id="122">
    <w:p w14:paraId="105C3AB8" w14:textId="77777777" w:rsidR="004310EC" w:rsidRPr="002C0750" w:rsidRDefault="004310EC" w:rsidP="002C0750">
      <w:pPr>
        <w:pStyle w:val="FootnoteText"/>
        <w:jc w:val="left"/>
        <w:rPr>
          <w:rFonts w:asciiTheme="minorHAnsi" w:hAnsiTheme="minorHAnsi"/>
        </w:rPr>
      </w:pPr>
      <w:r w:rsidRPr="002C0750">
        <w:rPr>
          <w:rStyle w:val="FootnoteReference"/>
          <w:rFonts w:asciiTheme="minorHAnsi" w:hAnsiTheme="minorHAnsi"/>
        </w:rPr>
        <w:footnoteRef/>
      </w:r>
      <w:r w:rsidRPr="002C0750">
        <w:rPr>
          <w:rFonts w:asciiTheme="minorHAnsi" w:hAnsiTheme="minorHAnsi"/>
        </w:rPr>
        <w:t xml:space="preserve"> Source: Commission on Higher Education</w:t>
      </w:r>
    </w:p>
  </w:footnote>
  <w:footnote w:id="123">
    <w:p w14:paraId="3AC1A215" w14:textId="77777777" w:rsidR="004310EC" w:rsidRPr="002C0750" w:rsidRDefault="004310EC" w:rsidP="00C1769D">
      <w:pPr>
        <w:pStyle w:val="FootnoteText"/>
        <w:jc w:val="left"/>
        <w:rPr>
          <w:rFonts w:asciiTheme="minorHAnsi" w:hAnsiTheme="minorHAnsi" w:cs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Taxpayers with revenue above 600,000 pesos required to submit Audited Financial Statements as of December 31, 2016.  Source: Bureau of Internal Revenue</w:t>
      </w:r>
    </w:p>
  </w:footnote>
  <w:footnote w:id="124">
    <w:p w14:paraId="3173C0AC" w14:textId="77777777" w:rsidR="004310EC" w:rsidRPr="002C0750" w:rsidRDefault="004310EC" w:rsidP="00C1769D">
      <w:pPr>
        <w:pStyle w:val="FootnoteText"/>
        <w:jc w:val="left"/>
        <w:rPr>
          <w:rFonts w:asciiTheme="minorHAnsi" w:hAnsiTheme="minorHAnsi"/>
        </w:rPr>
      </w:pPr>
      <w:r w:rsidRPr="002C0750">
        <w:rPr>
          <w:rStyle w:val="FootnoteReference"/>
          <w:rFonts w:asciiTheme="minorHAnsi" w:hAnsiTheme="minorHAnsi" w:cstheme="minorHAnsi"/>
        </w:rPr>
        <w:footnoteRef/>
      </w:r>
      <w:r w:rsidRPr="002C0750">
        <w:rPr>
          <w:rFonts w:asciiTheme="minorHAnsi" w:hAnsiTheme="minorHAnsi" w:cstheme="minorHAnsi"/>
        </w:rPr>
        <w:t xml:space="preserve"> Data as of June 30, 2017. Source: Board of Accountancy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CE0E1" w14:textId="77777777" w:rsidR="004310EC" w:rsidRPr="007359DA" w:rsidRDefault="004310EC" w:rsidP="00DD5BB1">
    <w:pPr>
      <w:pStyle w:val="Header"/>
      <w:rPr>
        <w:i/>
      </w:rPr>
    </w:pPr>
    <w:r>
      <w:rPr>
        <w:i/>
      </w:rPr>
      <w:tab/>
    </w:r>
    <w:r>
      <w:rPr>
        <w: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55BA7" w14:textId="77777777" w:rsidR="004310EC" w:rsidRPr="00BC5491" w:rsidRDefault="004310EC" w:rsidP="00DD5B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9EAF8" w14:textId="561ABCAF" w:rsidR="004310EC" w:rsidRPr="00075781" w:rsidRDefault="004310EC" w:rsidP="00075781">
    <w:pPr>
      <w:pStyle w:val="Header"/>
      <w:jc w:val="center"/>
      <w:rPr>
        <w:color w:val="8C8D90"/>
      </w:rPr>
    </w:pPr>
    <w:r w:rsidRPr="00075781">
      <w:rPr>
        <w:rFonts w:ascii="Calibri" w:hAnsi="Calibri"/>
        <w:color w:val="8C8D90"/>
      </w:rPr>
      <w:t>CONFIDENTIAL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D6A26" w14:textId="76D22E8B" w:rsidR="004310EC" w:rsidRPr="00364097" w:rsidRDefault="004310EC" w:rsidP="003640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0208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C05E3"/>
    <w:multiLevelType w:val="hybridMultilevel"/>
    <w:tmpl w:val="6330B46C"/>
    <w:lvl w:ilvl="0" w:tplc="0A7A6F82">
      <w:start w:val="1"/>
      <w:numFmt w:val="decimal"/>
      <w:pStyle w:val="Parastyle"/>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F0B42"/>
    <w:multiLevelType w:val="hybridMultilevel"/>
    <w:tmpl w:val="96E2DE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4D42A5"/>
    <w:multiLevelType w:val="hybridMultilevel"/>
    <w:tmpl w:val="311A2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D3017"/>
    <w:multiLevelType w:val="hybridMultilevel"/>
    <w:tmpl w:val="6220C8A8"/>
    <w:lvl w:ilvl="0" w:tplc="04090019">
      <w:start w:val="1"/>
      <w:numFmt w:val="lowerLetter"/>
      <w:lvlText w:val="%1."/>
      <w:lvlJc w:val="left"/>
      <w:pPr>
        <w:ind w:left="252" w:hanging="360"/>
      </w:pPr>
    </w:lvl>
    <w:lvl w:ilvl="1" w:tplc="34090003">
      <w:start w:val="1"/>
      <w:numFmt w:val="bullet"/>
      <w:lvlText w:val="o"/>
      <w:lvlJc w:val="left"/>
      <w:pPr>
        <w:ind w:left="972" w:hanging="360"/>
      </w:pPr>
      <w:rPr>
        <w:rFonts w:ascii="Courier New" w:hAnsi="Courier New" w:cs="Courier New" w:hint="default"/>
      </w:rPr>
    </w:lvl>
    <w:lvl w:ilvl="2" w:tplc="34090005">
      <w:start w:val="1"/>
      <w:numFmt w:val="bullet"/>
      <w:lvlText w:val=""/>
      <w:lvlJc w:val="left"/>
      <w:pPr>
        <w:ind w:left="1692" w:hanging="360"/>
      </w:pPr>
      <w:rPr>
        <w:rFonts w:ascii="Wingdings" w:hAnsi="Wingdings" w:hint="default"/>
      </w:rPr>
    </w:lvl>
    <w:lvl w:ilvl="3" w:tplc="34090001">
      <w:start w:val="1"/>
      <w:numFmt w:val="bullet"/>
      <w:lvlText w:val=""/>
      <w:lvlJc w:val="left"/>
      <w:pPr>
        <w:ind w:left="2412" w:hanging="360"/>
      </w:pPr>
      <w:rPr>
        <w:rFonts w:ascii="Symbol" w:hAnsi="Symbol" w:hint="default"/>
      </w:rPr>
    </w:lvl>
    <w:lvl w:ilvl="4" w:tplc="34090003">
      <w:start w:val="1"/>
      <w:numFmt w:val="bullet"/>
      <w:lvlText w:val="o"/>
      <w:lvlJc w:val="left"/>
      <w:pPr>
        <w:ind w:left="3132" w:hanging="360"/>
      </w:pPr>
      <w:rPr>
        <w:rFonts w:ascii="Courier New" w:hAnsi="Courier New" w:cs="Courier New" w:hint="default"/>
      </w:rPr>
    </w:lvl>
    <w:lvl w:ilvl="5" w:tplc="34090005">
      <w:start w:val="1"/>
      <w:numFmt w:val="bullet"/>
      <w:lvlText w:val=""/>
      <w:lvlJc w:val="left"/>
      <w:pPr>
        <w:ind w:left="3852" w:hanging="360"/>
      </w:pPr>
      <w:rPr>
        <w:rFonts w:ascii="Wingdings" w:hAnsi="Wingdings" w:hint="default"/>
      </w:rPr>
    </w:lvl>
    <w:lvl w:ilvl="6" w:tplc="34090001">
      <w:start w:val="1"/>
      <w:numFmt w:val="bullet"/>
      <w:lvlText w:val=""/>
      <w:lvlJc w:val="left"/>
      <w:pPr>
        <w:ind w:left="4572" w:hanging="360"/>
      </w:pPr>
      <w:rPr>
        <w:rFonts w:ascii="Symbol" w:hAnsi="Symbol" w:hint="default"/>
      </w:rPr>
    </w:lvl>
    <w:lvl w:ilvl="7" w:tplc="34090003">
      <w:start w:val="1"/>
      <w:numFmt w:val="bullet"/>
      <w:lvlText w:val="o"/>
      <w:lvlJc w:val="left"/>
      <w:pPr>
        <w:ind w:left="5292" w:hanging="360"/>
      </w:pPr>
      <w:rPr>
        <w:rFonts w:ascii="Courier New" w:hAnsi="Courier New" w:cs="Courier New" w:hint="default"/>
      </w:rPr>
    </w:lvl>
    <w:lvl w:ilvl="8" w:tplc="34090005">
      <w:start w:val="1"/>
      <w:numFmt w:val="bullet"/>
      <w:lvlText w:val=""/>
      <w:lvlJc w:val="left"/>
      <w:pPr>
        <w:ind w:left="6012" w:hanging="360"/>
      </w:pPr>
      <w:rPr>
        <w:rFonts w:ascii="Wingdings" w:hAnsi="Wingdings" w:hint="default"/>
      </w:rPr>
    </w:lvl>
  </w:abstractNum>
  <w:abstractNum w:abstractNumId="5" w15:restartNumberingAfterBreak="0">
    <w:nsid w:val="130C68A0"/>
    <w:multiLevelType w:val="hybridMultilevel"/>
    <w:tmpl w:val="96E2DE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6E86E5E"/>
    <w:multiLevelType w:val="hybridMultilevel"/>
    <w:tmpl w:val="864EF2B8"/>
    <w:lvl w:ilvl="0" w:tplc="2FE83C96">
      <w:start w:val="1"/>
      <w:numFmt w:val="decimal"/>
      <w:pStyle w:val="StyleStyle11ptAfter12pt1Justified"/>
      <w:lvlText w:val="%1."/>
      <w:lvlJc w:val="left"/>
      <w:pPr>
        <w:ind w:left="36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61398B"/>
    <w:multiLevelType w:val="hybridMultilevel"/>
    <w:tmpl w:val="96E2DE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C876EBB"/>
    <w:multiLevelType w:val="multilevel"/>
    <w:tmpl w:val="1A48ADD0"/>
    <w:lvl w:ilvl="0">
      <w:start w:val="1"/>
      <w:numFmt w:val="upperRoman"/>
      <w:lvlText w:val="%1."/>
      <w:lvlJc w:val="left"/>
      <w:pPr>
        <w:tabs>
          <w:tab w:val="num" w:pos="6120"/>
        </w:tabs>
        <w:ind w:left="5832" w:hanging="432"/>
      </w:pPr>
      <w:rPr>
        <w:rFonts w:hint="default"/>
      </w:rPr>
    </w:lvl>
    <w:lvl w:ilvl="1">
      <w:start w:val="1"/>
      <w:numFmt w:val="lowerLetter"/>
      <w:lvlText w:val="%2)"/>
      <w:lvlJc w:val="left"/>
      <w:pPr>
        <w:tabs>
          <w:tab w:val="num" w:pos="1440"/>
        </w:tabs>
        <w:ind w:left="144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 w15:restartNumberingAfterBreak="0">
    <w:nsid w:val="2E134585"/>
    <w:multiLevelType w:val="hybridMultilevel"/>
    <w:tmpl w:val="6A3E4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14438E"/>
    <w:multiLevelType w:val="hybridMultilevel"/>
    <w:tmpl w:val="18CE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D93138"/>
    <w:multiLevelType w:val="hybridMultilevel"/>
    <w:tmpl w:val="6220C8A8"/>
    <w:lvl w:ilvl="0" w:tplc="04090019">
      <w:start w:val="1"/>
      <w:numFmt w:val="lowerLetter"/>
      <w:lvlText w:val="%1."/>
      <w:lvlJc w:val="left"/>
      <w:pPr>
        <w:ind w:left="252" w:hanging="360"/>
      </w:pPr>
    </w:lvl>
    <w:lvl w:ilvl="1" w:tplc="34090003">
      <w:start w:val="1"/>
      <w:numFmt w:val="bullet"/>
      <w:lvlText w:val="o"/>
      <w:lvlJc w:val="left"/>
      <w:pPr>
        <w:ind w:left="972" w:hanging="360"/>
      </w:pPr>
      <w:rPr>
        <w:rFonts w:ascii="Courier New" w:hAnsi="Courier New" w:cs="Courier New" w:hint="default"/>
      </w:rPr>
    </w:lvl>
    <w:lvl w:ilvl="2" w:tplc="34090005">
      <w:start w:val="1"/>
      <w:numFmt w:val="bullet"/>
      <w:lvlText w:val=""/>
      <w:lvlJc w:val="left"/>
      <w:pPr>
        <w:ind w:left="1692" w:hanging="360"/>
      </w:pPr>
      <w:rPr>
        <w:rFonts w:ascii="Wingdings" w:hAnsi="Wingdings" w:hint="default"/>
      </w:rPr>
    </w:lvl>
    <w:lvl w:ilvl="3" w:tplc="34090001">
      <w:start w:val="1"/>
      <w:numFmt w:val="bullet"/>
      <w:lvlText w:val=""/>
      <w:lvlJc w:val="left"/>
      <w:pPr>
        <w:ind w:left="2412" w:hanging="360"/>
      </w:pPr>
      <w:rPr>
        <w:rFonts w:ascii="Symbol" w:hAnsi="Symbol" w:hint="default"/>
      </w:rPr>
    </w:lvl>
    <w:lvl w:ilvl="4" w:tplc="34090003">
      <w:start w:val="1"/>
      <w:numFmt w:val="bullet"/>
      <w:lvlText w:val="o"/>
      <w:lvlJc w:val="left"/>
      <w:pPr>
        <w:ind w:left="3132" w:hanging="360"/>
      </w:pPr>
      <w:rPr>
        <w:rFonts w:ascii="Courier New" w:hAnsi="Courier New" w:cs="Courier New" w:hint="default"/>
      </w:rPr>
    </w:lvl>
    <w:lvl w:ilvl="5" w:tplc="34090005">
      <w:start w:val="1"/>
      <w:numFmt w:val="bullet"/>
      <w:lvlText w:val=""/>
      <w:lvlJc w:val="left"/>
      <w:pPr>
        <w:ind w:left="3852" w:hanging="360"/>
      </w:pPr>
      <w:rPr>
        <w:rFonts w:ascii="Wingdings" w:hAnsi="Wingdings" w:hint="default"/>
      </w:rPr>
    </w:lvl>
    <w:lvl w:ilvl="6" w:tplc="34090001">
      <w:start w:val="1"/>
      <w:numFmt w:val="bullet"/>
      <w:lvlText w:val=""/>
      <w:lvlJc w:val="left"/>
      <w:pPr>
        <w:ind w:left="4572" w:hanging="360"/>
      </w:pPr>
      <w:rPr>
        <w:rFonts w:ascii="Symbol" w:hAnsi="Symbol" w:hint="default"/>
      </w:rPr>
    </w:lvl>
    <w:lvl w:ilvl="7" w:tplc="34090003">
      <w:start w:val="1"/>
      <w:numFmt w:val="bullet"/>
      <w:lvlText w:val="o"/>
      <w:lvlJc w:val="left"/>
      <w:pPr>
        <w:ind w:left="5292" w:hanging="360"/>
      </w:pPr>
      <w:rPr>
        <w:rFonts w:ascii="Courier New" w:hAnsi="Courier New" w:cs="Courier New" w:hint="default"/>
      </w:rPr>
    </w:lvl>
    <w:lvl w:ilvl="8" w:tplc="34090005">
      <w:start w:val="1"/>
      <w:numFmt w:val="bullet"/>
      <w:lvlText w:val=""/>
      <w:lvlJc w:val="left"/>
      <w:pPr>
        <w:ind w:left="6012" w:hanging="360"/>
      </w:pPr>
      <w:rPr>
        <w:rFonts w:ascii="Wingdings" w:hAnsi="Wingdings" w:hint="default"/>
      </w:rPr>
    </w:lvl>
  </w:abstractNum>
  <w:abstractNum w:abstractNumId="12" w15:restartNumberingAfterBreak="0">
    <w:nsid w:val="3A213FB5"/>
    <w:multiLevelType w:val="hybridMultilevel"/>
    <w:tmpl w:val="F6F22B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B0B4F30"/>
    <w:multiLevelType w:val="hybridMultilevel"/>
    <w:tmpl w:val="3C4EEC68"/>
    <w:lvl w:ilvl="0" w:tplc="04090017">
      <w:start w:val="1"/>
      <w:numFmt w:val="lowerLetter"/>
      <w:lvlText w:val="%1)"/>
      <w:lvlJc w:val="left"/>
      <w:pPr>
        <w:ind w:left="720" w:hanging="360"/>
      </w:pPr>
    </w:lvl>
    <w:lvl w:ilvl="1" w:tplc="F982803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AD769F"/>
    <w:multiLevelType w:val="hybridMultilevel"/>
    <w:tmpl w:val="79AEA46C"/>
    <w:lvl w:ilvl="0" w:tplc="AEA6B9FA">
      <w:start w:val="1"/>
      <w:numFmt w:val="decimal"/>
      <w:pStyle w:val="QuestionFormat"/>
      <w:lvlText w:val="%1."/>
      <w:lvlJc w:val="left"/>
      <w:pPr>
        <w:tabs>
          <w:tab w:val="num" w:pos="3240"/>
        </w:tabs>
        <w:ind w:left="324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58538CE"/>
    <w:multiLevelType w:val="hybridMultilevel"/>
    <w:tmpl w:val="8FC2A80C"/>
    <w:lvl w:ilvl="0" w:tplc="FF006ECA">
      <w:start w:val="1"/>
      <w:numFmt w:val="decimal"/>
      <w:lvlText w:val="(%1)"/>
      <w:lvlJc w:val="left"/>
      <w:pPr>
        <w:ind w:left="2160" w:hanging="18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6A4E1F"/>
    <w:multiLevelType w:val="hybridMultilevel"/>
    <w:tmpl w:val="CE8088D0"/>
    <w:lvl w:ilvl="0" w:tplc="3A74C7E2">
      <w:start w:val="1"/>
      <w:numFmt w:val="decimal"/>
      <w:pStyle w:val="StyleROSC"/>
      <w:lvlText w:val="%1."/>
      <w:lvlJc w:val="right"/>
      <w:pPr>
        <w:ind w:left="360" w:hanging="36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E704D7"/>
    <w:multiLevelType w:val="hybridMultilevel"/>
    <w:tmpl w:val="9AF0922A"/>
    <w:lvl w:ilvl="0" w:tplc="E808238A">
      <w:start w:val="1"/>
      <w:numFmt w:val="lowerLetter"/>
      <w:lvlText w:val="%1."/>
      <w:lvlJc w:val="left"/>
      <w:pPr>
        <w:ind w:left="360" w:hanging="360"/>
      </w:pPr>
      <w:rPr>
        <w:rFonts w:asciiTheme="minorHAnsi" w:hAnsiTheme="minorHAnsi" w:hint="default"/>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0A932EF"/>
    <w:multiLevelType w:val="hybridMultilevel"/>
    <w:tmpl w:val="8FC2A80C"/>
    <w:lvl w:ilvl="0" w:tplc="FF006ECA">
      <w:start w:val="1"/>
      <w:numFmt w:val="decimal"/>
      <w:lvlText w:val="(%1)"/>
      <w:lvlJc w:val="left"/>
      <w:pPr>
        <w:ind w:left="2160" w:hanging="18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B9657C"/>
    <w:multiLevelType w:val="hybridMultilevel"/>
    <w:tmpl w:val="594C27AA"/>
    <w:lvl w:ilvl="0" w:tplc="04090019">
      <w:start w:val="1"/>
      <w:numFmt w:val="lowerLetter"/>
      <w:lvlText w:val="%1."/>
      <w:lvlJc w:val="left"/>
      <w:pPr>
        <w:ind w:left="1080" w:hanging="360"/>
      </w:pPr>
    </w:lvl>
    <w:lvl w:ilvl="1" w:tplc="2C04077E">
      <w:numFmt w:val="bullet"/>
      <w:lvlText w:val="•"/>
      <w:lvlJc w:val="left"/>
      <w:pPr>
        <w:ind w:left="1800" w:hanging="360"/>
      </w:pPr>
      <w:rPr>
        <w:rFonts w:ascii="Calibri" w:eastAsiaTheme="minorHAns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346637F"/>
    <w:multiLevelType w:val="multilevel"/>
    <w:tmpl w:val="9E8E5400"/>
    <w:lvl w:ilvl="0">
      <w:start w:val="1"/>
      <w:numFmt w:val="decimal"/>
      <w:lvlText w:val="%1."/>
      <w:lvlJc w:val="left"/>
      <w:pPr>
        <w:tabs>
          <w:tab w:val="num" w:pos="720"/>
        </w:tabs>
        <w:ind w:left="720" w:hanging="720"/>
      </w:pPr>
      <w:rPr>
        <w:rFonts w:hint="default"/>
        <w:b w:val="0"/>
        <w:i w:val="0"/>
      </w:rPr>
    </w:lvl>
    <w:lvl w:ilvl="1">
      <w:start w:val="1"/>
      <w:numFmt w:val="decimal"/>
      <w:pStyle w:val="MainParanoChapter"/>
      <w:lvlText w:val="%2."/>
      <w:lvlJc w:val="left"/>
      <w:pPr>
        <w:tabs>
          <w:tab w:val="num" w:pos="1440"/>
        </w:tabs>
        <w:ind w:left="1440" w:hanging="720"/>
      </w:pPr>
      <w:rPr>
        <w:rFonts w:hint="default"/>
      </w:rPr>
    </w:lvl>
    <w:lvl w:ilvl="2">
      <w:start w:val="1"/>
      <w:numFmt w:val="decimal"/>
      <w:pStyle w:val="Sub-Para1underXY"/>
      <w:lvlText w:val="%3."/>
      <w:lvlJc w:val="left"/>
      <w:pPr>
        <w:tabs>
          <w:tab w:val="num" w:pos="2160"/>
        </w:tabs>
        <w:ind w:left="2160" w:hanging="720"/>
      </w:pPr>
      <w:rPr>
        <w:rFonts w:hint="default"/>
      </w:rPr>
    </w:lvl>
    <w:lvl w:ilvl="3">
      <w:start w:val="1"/>
      <w:numFmt w:val="decimal"/>
      <w:pStyle w:val="Sub-Para2underXY"/>
      <w:lvlText w:val="%4."/>
      <w:lvlJc w:val="left"/>
      <w:pPr>
        <w:tabs>
          <w:tab w:val="num" w:pos="2880"/>
        </w:tabs>
        <w:ind w:left="2880" w:hanging="720"/>
      </w:pPr>
      <w:rPr>
        <w:rFonts w:hint="default"/>
      </w:rPr>
    </w:lvl>
    <w:lvl w:ilvl="4">
      <w:start w:val="1"/>
      <w:numFmt w:val="decimal"/>
      <w:pStyle w:val="Sub-Para3underXY"/>
      <w:lvlText w:val="%5."/>
      <w:lvlJc w:val="left"/>
      <w:pPr>
        <w:tabs>
          <w:tab w:val="num" w:pos="3600"/>
        </w:tabs>
        <w:ind w:left="3600" w:hanging="720"/>
      </w:pPr>
      <w:rPr>
        <w:rFonts w:hint="default"/>
      </w:rPr>
    </w:lvl>
    <w:lvl w:ilvl="5">
      <w:start w:val="1"/>
      <w:numFmt w:val="decimal"/>
      <w:pStyle w:val="Sub-Para4underXY"/>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1" w15:restartNumberingAfterBreak="0">
    <w:nsid w:val="55C529DA"/>
    <w:multiLevelType w:val="hybridMultilevel"/>
    <w:tmpl w:val="EA623440"/>
    <w:lvl w:ilvl="0" w:tplc="D0969176">
      <w:start w:val="1"/>
      <w:numFmt w:val="decimal"/>
      <w:lvlText w:val="%1."/>
      <w:lvlJc w:val="left"/>
      <w:pPr>
        <w:tabs>
          <w:tab w:val="num" w:pos="1065"/>
        </w:tabs>
        <w:ind w:left="1065" w:hanging="705"/>
      </w:pPr>
      <w:rPr>
        <w:rFonts w:hint="default"/>
      </w:rPr>
    </w:lvl>
    <w:lvl w:ilvl="1" w:tplc="DFD227C0">
      <w:start w:val="1"/>
      <w:numFmt w:val="decimal"/>
      <w:pStyle w:val="Para"/>
      <w:lvlText w:val="%2."/>
      <w:lvlJc w:val="left"/>
      <w:pPr>
        <w:tabs>
          <w:tab w:val="num" w:pos="900"/>
        </w:tabs>
        <w:ind w:left="1620" w:hanging="1440"/>
      </w:pPr>
      <w:rPr>
        <w:rFonts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5D22443"/>
    <w:multiLevelType w:val="hybridMultilevel"/>
    <w:tmpl w:val="9FD078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86607B5"/>
    <w:multiLevelType w:val="hybridMultilevel"/>
    <w:tmpl w:val="137857F8"/>
    <w:lvl w:ilvl="0" w:tplc="9A64721C">
      <w:start w:val="1"/>
      <w:numFmt w:val="lowerLetter"/>
      <w:lvlText w:val="%1."/>
      <w:lvlJc w:val="left"/>
      <w:pPr>
        <w:ind w:left="1080" w:hanging="360"/>
      </w:pPr>
      <w:rPr>
        <w:rFonts w:ascii="Calibri" w:hAnsi="Calibri" w:cs="Calibri"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AFA0325"/>
    <w:multiLevelType w:val="multilevel"/>
    <w:tmpl w:val="D6B6B272"/>
    <w:styleLink w:val="List1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25" w15:restartNumberingAfterBreak="0">
    <w:nsid w:val="5B7F5BAC"/>
    <w:multiLevelType w:val="singleLevel"/>
    <w:tmpl w:val="A58099D2"/>
    <w:lvl w:ilvl="0">
      <w:start w:val="1"/>
      <w:numFmt w:val="decimal"/>
      <w:lvlText w:val="%1."/>
      <w:lvlJc w:val="left"/>
      <w:pPr>
        <w:tabs>
          <w:tab w:val="num" w:pos="360"/>
        </w:tabs>
        <w:ind w:left="360" w:hanging="360"/>
      </w:pPr>
      <w:rPr>
        <w:rFonts w:asciiTheme="minorHAnsi" w:hAnsiTheme="minorHAnsi" w:hint="default"/>
        <w:b w:val="0"/>
        <w:i w:val="0"/>
        <w:color w:val="8C8D90"/>
        <w:sz w:val="22"/>
        <w:szCs w:val="22"/>
        <w:lang w:val="en-US"/>
      </w:rPr>
    </w:lvl>
  </w:abstractNum>
  <w:abstractNum w:abstractNumId="26" w15:restartNumberingAfterBreak="0">
    <w:nsid w:val="647B091D"/>
    <w:multiLevelType w:val="hybridMultilevel"/>
    <w:tmpl w:val="3A22798E"/>
    <w:lvl w:ilvl="0" w:tplc="A45E217E">
      <w:start w:val="1"/>
      <w:numFmt w:val="decimal"/>
      <w:pStyle w:val="ListParagraph"/>
      <w:lvlText w:val="%1."/>
      <w:lvlJc w:val="left"/>
      <w:pPr>
        <w:ind w:left="360" w:hanging="360"/>
      </w:pPr>
    </w:lvl>
    <w:lvl w:ilvl="1" w:tplc="04090019">
      <w:start w:val="1"/>
      <w:numFmt w:val="lowerLetter"/>
      <w:lvlText w:val="%2."/>
      <w:lvlJc w:val="left"/>
      <w:pPr>
        <w:ind w:left="-3600" w:hanging="360"/>
      </w:pPr>
    </w:lvl>
    <w:lvl w:ilvl="2" w:tplc="0409001B">
      <w:start w:val="1"/>
      <w:numFmt w:val="lowerRoman"/>
      <w:lvlText w:val="%3."/>
      <w:lvlJc w:val="right"/>
      <w:pPr>
        <w:ind w:left="-2880" w:hanging="180"/>
      </w:pPr>
    </w:lvl>
    <w:lvl w:ilvl="3" w:tplc="0409000F">
      <w:start w:val="1"/>
      <w:numFmt w:val="decimal"/>
      <w:lvlText w:val="%4."/>
      <w:lvlJc w:val="left"/>
      <w:pPr>
        <w:ind w:left="-2160" w:hanging="360"/>
      </w:pPr>
    </w:lvl>
    <w:lvl w:ilvl="4" w:tplc="04090019">
      <w:start w:val="1"/>
      <w:numFmt w:val="lowerLetter"/>
      <w:lvlText w:val="%5."/>
      <w:lvlJc w:val="left"/>
      <w:pPr>
        <w:ind w:left="-1440" w:hanging="360"/>
      </w:pPr>
    </w:lvl>
    <w:lvl w:ilvl="5" w:tplc="0409001B">
      <w:start w:val="1"/>
      <w:numFmt w:val="lowerRoman"/>
      <w:lvlText w:val="%6."/>
      <w:lvlJc w:val="right"/>
      <w:pPr>
        <w:ind w:left="-720" w:hanging="180"/>
      </w:pPr>
    </w:lvl>
    <w:lvl w:ilvl="6" w:tplc="0409000F">
      <w:start w:val="1"/>
      <w:numFmt w:val="decimal"/>
      <w:lvlText w:val="%7."/>
      <w:lvlJc w:val="left"/>
      <w:pPr>
        <w:ind w:left="0" w:hanging="360"/>
      </w:pPr>
    </w:lvl>
    <w:lvl w:ilvl="7" w:tplc="04090019">
      <w:start w:val="1"/>
      <w:numFmt w:val="lowerLetter"/>
      <w:lvlText w:val="%8."/>
      <w:lvlJc w:val="left"/>
      <w:pPr>
        <w:ind w:left="720" w:hanging="360"/>
      </w:pPr>
    </w:lvl>
    <w:lvl w:ilvl="8" w:tplc="8C0AD65C">
      <w:start w:val="1"/>
      <w:numFmt w:val="upperRoman"/>
      <w:lvlText w:val="%9."/>
      <w:lvlJc w:val="left"/>
      <w:pPr>
        <w:ind w:left="1980" w:hanging="720"/>
      </w:pPr>
      <w:rPr>
        <w:rFonts w:hint="default"/>
      </w:rPr>
    </w:lvl>
  </w:abstractNum>
  <w:abstractNum w:abstractNumId="27" w15:restartNumberingAfterBreak="0">
    <w:nsid w:val="67C54566"/>
    <w:multiLevelType w:val="hybridMultilevel"/>
    <w:tmpl w:val="321A5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CA6E13"/>
    <w:multiLevelType w:val="hybridMultilevel"/>
    <w:tmpl w:val="68809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DD02FF"/>
    <w:multiLevelType w:val="hybridMultilevel"/>
    <w:tmpl w:val="0DDCEFE8"/>
    <w:lvl w:ilvl="0" w:tplc="DC74D666">
      <w:start w:val="1"/>
      <w:numFmt w:val="decimal"/>
      <w:lvlText w:val="(%1)"/>
      <w:lvlJc w:val="left"/>
      <w:pPr>
        <w:ind w:left="720" w:hanging="360"/>
      </w:pPr>
      <w:rPr>
        <w:rFonts w:hint="default"/>
      </w:rPr>
    </w:lvl>
    <w:lvl w:ilvl="1" w:tplc="3F5E8306">
      <w:start w:val="1"/>
      <w:numFmt w:val="upperLetter"/>
      <w:lvlText w:val="%2."/>
      <w:lvlJc w:val="left"/>
      <w:pPr>
        <w:ind w:left="1440" w:hanging="360"/>
      </w:pPr>
      <w:rPr>
        <w:rFonts w:hint="default"/>
      </w:rPr>
    </w:lvl>
    <w:lvl w:ilvl="2" w:tplc="FF006ECA">
      <w:start w:val="1"/>
      <w:numFmt w:val="decimal"/>
      <w:lvlText w:val="(%3)"/>
      <w:lvlJc w:val="left"/>
      <w:pPr>
        <w:ind w:left="2160" w:hanging="180"/>
      </w:pPr>
      <w:rPr>
        <w:rFonts w:asciiTheme="minorHAnsi" w:hAnsiTheme="minorHAns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5"/>
  </w:num>
  <w:num w:numId="3">
    <w:abstractNumId w:val="14"/>
  </w:num>
  <w:num w:numId="4">
    <w:abstractNumId w:val="21"/>
  </w:num>
  <w:num w:numId="5">
    <w:abstractNumId w:val="26"/>
  </w:num>
  <w:num w:numId="6">
    <w:abstractNumId w:val="28"/>
  </w:num>
  <w:num w:numId="7">
    <w:abstractNumId w:val="0"/>
  </w:num>
  <w:num w:numId="8">
    <w:abstractNumId w:val="20"/>
  </w:num>
  <w:num w:numId="9">
    <w:abstractNumId w:val="16"/>
  </w:num>
  <w:num w:numId="10">
    <w:abstractNumId w:val="12"/>
  </w:num>
  <w:num w:numId="11">
    <w:abstractNumId w:val="4"/>
  </w:num>
  <w:num w:numId="12">
    <w:abstractNumId w:val="24"/>
  </w:num>
  <w:num w:numId="13">
    <w:abstractNumId w:val="6"/>
  </w:num>
  <w:num w:numId="14">
    <w:abstractNumId w:val="10"/>
  </w:num>
  <w:num w:numId="15">
    <w:abstractNumId w:val="3"/>
  </w:num>
  <w:num w:numId="16">
    <w:abstractNumId w:val="22"/>
  </w:num>
  <w:num w:numId="17">
    <w:abstractNumId w:val="1"/>
  </w:num>
  <w:num w:numId="18">
    <w:abstractNumId w:val="19"/>
  </w:num>
  <w:num w:numId="19">
    <w:abstractNumId w:val="27"/>
  </w:num>
  <w:num w:numId="20">
    <w:abstractNumId w:val="11"/>
  </w:num>
  <w:num w:numId="21">
    <w:abstractNumId w:val="9"/>
  </w:num>
  <w:num w:numId="22">
    <w:abstractNumId w:val="13"/>
  </w:num>
  <w:num w:numId="23">
    <w:abstractNumId w:val="7"/>
  </w:num>
  <w:num w:numId="24">
    <w:abstractNumId w:val="2"/>
  </w:num>
  <w:num w:numId="25">
    <w:abstractNumId w:val="5"/>
  </w:num>
  <w:num w:numId="26">
    <w:abstractNumId w:val="29"/>
  </w:num>
  <w:num w:numId="27">
    <w:abstractNumId w:val="18"/>
  </w:num>
  <w:num w:numId="28">
    <w:abstractNumId w:val="15"/>
  </w:num>
  <w:num w:numId="29">
    <w:abstractNumId w:val="23"/>
  </w:num>
  <w:num w:numId="30">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E53"/>
    <w:rsid w:val="00001B17"/>
    <w:rsid w:val="000053BD"/>
    <w:rsid w:val="00006665"/>
    <w:rsid w:val="000072D9"/>
    <w:rsid w:val="000101A7"/>
    <w:rsid w:val="000102D7"/>
    <w:rsid w:val="00011098"/>
    <w:rsid w:val="00013B7F"/>
    <w:rsid w:val="00016415"/>
    <w:rsid w:val="000166F2"/>
    <w:rsid w:val="000224B4"/>
    <w:rsid w:val="00025A2B"/>
    <w:rsid w:val="0002662F"/>
    <w:rsid w:val="00031923"/>
    <w:rsid w:val="0004078E"/>
    <w:rsid w:val="0004322B"/>
    <w:rsid w:val="00043283"/>
    <w:rsid w:val="00044328"/>
    <w:rsid w:val="00051E16"/>
    <w:rsid w:val="000542A5"/>
    <w:rsid w:val="00062408"/>
    <w:rsid w:val="00063D42"/>
    <w:rsid w:val="0006423D"/>
    <w:rsid w:val="0006583D"/>
    <w:rsid w:val="00066E78"/>
    <w:rsid w:val="00071B39"/>
    <w:rsid w:val="00074730"/>
    <w:rsid w:val="00075781"/>
    <w:rsid w:val="0007632E"/>
    <w:rsid w:val="000767A5"/>
    <w:rsid w:val="0008069B"/>
    <w:rsid w:val="00080CC1"/>
    <w:rsid w:val="00081F37"/>
    <w:rsid w:val="00083E29"/>
    <w:rsid w:val="00085590"/>
    <w:rsid w:val="00086BE7"/>
    <w:rsid w:val="0008797E"/>
    <w:rsid w:val="00090484"/>
    <w:rsid w:val="00090C5D"/>
    <w:rsid w:val="000918FA"/>
    <w:rsid w:val="000928BA"/>
    <w:rsid w:val="000930C8"/>
    <w:rsid w:val="00094662"/>
    <w:rsid w:val="00097EDB"/>
    <w:rsid w:val="000A07FD"/>
    <w:rsid w:val="000A0B67"/>
    <w:rsid w:val="000A2C87"/>
    <w:rsid w:val="000A581B"/>
    <w:rsid w:val="000B1729"/>
    <w:rsid w:val="000B25AE"/>
    <w:rsid w:val="000B59FF"/>
    <w:rsid w:val="000B64FB"/>
    <w:rsid w:val="000B756E"/>
    <w:rsid w:val="000C32B1"/>
    <w:rsid w:val="000C6096"/>
    <w:rsid w:val="000C63B7"/>
    <w:rsid w:val="000C70F0"/>
    <w:rsid w:val="000D13F6"/>
    <w:rsid w:val="000D14CF"/>
    <w:rsid w:val="000D1E01"/>
    <w:rsid w:val="000D3018"/>
    <w:rsid w:val="000D64B3"/>
    <w:rsid w:val="000E17C2"/>
    <w:rsid w:val="000E2F8E"/>
    <w:rsid w:val="000E694F"/>
    <w:rsid w:val="000E79A1"/>
    <w:rsid w:val="000F27C2"/>
    <w:rsid w:val="000F31E6"/>
    <w:rsid w:val="000F47BE"/>
    <w:rsid w:val="000F502E"/>
    <w:rsid w:val="000F5408"/>
    <w:rsid w:val="000F583A"/>
    <w:rsid w:val="000F5D05"/>
    <w:rsid w:val="00101EBE"/>
    <w:rsid w:val="00102925"/>
    <w:rsid w:val="001052EC"/>
    <w:rsid w:val="00106EC6"/>
    <w:rsid w:val="00113221"/>
    <w:rsid w:val="0011540D"/>
    <w:rsid w:val="0011605E"/>
    <w:rsid w:val="00116368"/>
    <w:rsid w:val="001247F2"/>
    <w:rsid w:val="00125F77"/>
    <w:rsid w:val="00126533"/>
    <w:rsid w:val="00131D1C"/>
    <w:rsid w:val="00132F26"/>
    <w:rsid w:val="00134570"/>
    <w:rsid w:val="00135F1E"/>
    <w:rsid w:val="00142B28"/>
    <w:rsid w:val="00147FA6"/>
    <w:rsid w:val="00150BB3"/>
    <w:rsid w:val="00151731"/>
    <w:rsid w:val="00152453"/>
    <w:rsid w:val="00153AB6"/>
    <w:rsid w:val="00154A45"/>
    <w:rsid w:val="00160A98"/>
    <w:rsid w:val="00161461"/>
    <w:rsid w:val="00161637"/>
    <w:rsid w:val="001624D3"/>
    <w:rsid w:val="00165B4A"/>
    <w:rsid w:val="00165DA7"/>
    <w:rsid w:val="0017046B"/>
    <w:rsid w:val="00170EC0"/>
    <w:rsid w:val="00173356"/>
    <w:rsid w:val="00174EFD"/>
    <w:rsid w:val="001759DB"/>
    <w:rsid w:val="00176740"/>
    <w:rsid w:val="00180B49"/>
    <w:rsid w:val="0018138F"/>
    <w:rsid w:val="00181619"/>
    <w:rsid w:val="00182A49"/>
    <w:rsid w:val="001855C4"/>
    <w:rsid w:val="0018654A"/>
    <w:rsid w:val="0019100E"/>
    <w:rsid w:val="00191DEC"/>
    <w:rsid w:val="001922D2"/>
    <w:rsid w:val="0019238B"/>
    <w:rsid w:val="001940FF"/>
    <w:rsid w:val="00194DC4"/>
    <w:rsid w:val="00196CB8"/>
    <w:rsid w:val="001A06A2"/>
    <w:rsid w:val="001A5044"/>
    <w:rsid w:val="001A56F9"/>
    <w:rsid w:val="001A6F30"/>
    <w:rsid w:val="001B1C54"/>
    <w:rsid w:val="001B2CDF"/>
    <w:rsid w:val="001B63EF"/>
    <w:rsid w:val="001B6F34"/>
    <w:rsid w:val="001C19B6"/>
    <w:rsid w:val="001C23BC"/>
    <w:rsid w:val="001C306F"/>
    <w:rsid w:val="001C357B"/>
    <w:rsid w:val="001C5B92"/>
    <w:rsid w:val="001C5FB9"/>
    <w:rsid w:val="001C6F25"/>
    <w:rsid w:val="001D0C16"/>
    <w:rsid w:val="001D2A25"/>
    <w:rsid w:val="001D3A14"/>
    <w:rsid w:val="001D3C7A"/>
    <w:rsid w:val="001D44A9"/>
    <w:rsid w:val="001D45CB"/>
    <w:rsid w:val="001D4726"/>
    <w:rsid w:val="001D6382"/>
    <w:rsid w:val="001D6680"/>
    <w:rsid w:val="001E1246"/>
    <w:rsid w:val="001E3875"/>
    <w:rsid w:val="001E421A"/>
    <w:rsid w:val="001E5357"/>
    <w:rsid w:val="001E5A38"/>
    <w:rsid w:val="001E6DE9"/>
    <w:rsid w:val="001F67BD"/>
    <w:rsid w:val="001F693A"/>
    <w:rsid w:val="001F70A5"/>
    <w:rsid w:val="001F7817"/>
    <w:rsid w:val="002012F1"/>
    <w:rsid w:val="00202A8C"/>
    <w:rsid w:val="00202AA6"/>
    <w:rsid w:val="0020396C"/>
    <w:rsid w:val="0020440E"/>
    <w:rsid w:val="00204A39"/>
    <w:rsid w:val="0020661C"/>
    <w:rsid w:val="0021088B"/>
    <w:rsid w:val="00210F2B"/>
    <w:rsid w:val="00211083"/>
    <w:rsid w:val="002112E0"/>
    <w:rsid w:val="00220D8E"/>
    <w:rsid w:val="002224ED"/>
    <w:rsid w:val="00223271"/>
    <w:rsid w:val="002245F5"/>
    <w:rsid w:val="002263C4"/>
    <w:rsid w:val="002329F2"/>
    <w:rsid w:val="00232BA0"/>
    <w:rsid w:val="00233037"/>
    <w:rsid w:val="00235E1F"/>
    <w:rsid w:val="00236E30"/>
    <w:rsid w:val="00237CBC"/>
    <w:rsid w:val="00240A07"/>
    <w:rsid w:val="002411D2"/>
    <w:rsid w:val="00242443"/>
    <w:rsid w:val="00242539"/>
    <w:rsid w:val="00245EA1"/>
    <w:rsid w:val="0024691F"/>
    <w:rsid w:val="00246B9B"/>
    <w:rsid w:val="0025002F"/>
    <w:rsid w:val="002506B3"/>
    <w:rsid w:val="00250FFE"/>
    <w:rsid w:val="00251A15"/>
    <w:rsid w:val="00251FA8"/>
    <w:rsid w:val="00252935"/>
    <w:rsid w:val="00252B2F"/>
    <w:rsid w:val="00253631"/>
    <w:rsid w:val="0025418A"/>
    <w:rsid w:val="00254C87"/>
    <w:rsid w:val="00255E68"/>
    <w:rsid w:val="0025781A"/>
    <w:rsid w:val="00260A45"/>
    <w:rsid w:val="0026246E"/>
    <w:rsid w:val="00263267"/>
    <w:rsid w:val="00264183"/>
    <w:rsid w:val="00265252"/>
    <w:rsid w:val="00265C92"/>
    <w:rsid w:val="00265CF9"/>
    <w:rsid w:val="002706F8"/>
    <w:rsid w:val="002707B7"/>
    <w:rsid w:val="0027180E"/>
    <w:rsid w:val="002731D4"/>
    <w:rsid w:val="00274A14"/>
    <w:rsid w:val="00276AAA"/>
    <w:rsid w:val="002779CF"/>
    <w:rsid w:val="00277CD4"/>
    <w:rsid w:val="002810FE"/>
    <w:rsid w:val="00281622"/>
    <w:rsid w:val="002820C0"/>
    <w:rsid w:val="00282729"/>
    <w:rsid w:val="0028692F"/>
    <w:rsid w:val="002905FE"/>
    <w:rsid w:val="00290E25"/>
    <w:rsid w:val="002927CF"/>
    <w:rsid w:val="00294C10"/>
    <w:rsid w:val="002952B6"/>
    <w:rsid w:val="002964C7"/>
    <w:rsid w:val="00296BE3"/>
    <w:rsid w:val="002A32D0"/>
    <w:rsid w:val="002A396B"/>
    <w:rsid w:val="002A4298"/>
    <w:rsid w:val="002A597A"/>
    <w:rsid w:val="002A6900"/>
    <w:rsid w:val="002A7CF9"/>
    <w:rsid w:val="002B5116"/>
    <w:rsid w:val="002B58C0"/>
    <w:rsid w:val="002B70B9"/>
    <w:rsid w:val="002C043A"/>
    <w:rsid w:val="002C0750"/>
    <w:rsid w:val="002C3314"/>
    <w:rsid w:val="002C3BEB"/>
    <w:rsid w:val="002C5989"/>
    <w:rsid w:val="002D0039"/>
    <w:rsid w:val="002D012E"/>
    <w:rsid w:val="002D2C2C"/>
    <w:rsid w:val="002D43AC"/>
    <w:rsid w:val="002D686F"/>
    <w:rsid w:val="002E5B67"/>
    <w:rsid w:val="002E6D28"/>
    <w:rsid w:val="002E7223"/>
    <w:rsid w:val="002F22A0"/>
    <w:rsid w:val="002F3249"/>
    <w:rsid w:val="002F41A2"/>
    <w:rsid w:val="002F454D"/>
    <w:rsid w:val="002F5D6B"/>
    <w:rsid w:val="002F659A"/>
    <w:rsid w:val="002F69D1"/>
    <w:rsid w:val="00301597"/>
    <w:rsid w:val="00303EC6"/>
    <w:rsid w:val="003055FA"/>
    <w:rsid w:val="0030618B"/>
    <w:rsid w:val="0030697C"/>
    <w:rsid w:val="003105AF"/>
    <w:rsid w:val="00312481"/>
    <w:rsid w:val="00315C6B"/>
    <w:rsid w:val="00323C0A"/>
    <w:rsid w:val="00324D2D"/>
    <w:rsid w:val="003305CA"/>
    <w:rsid w:val="003311A7"/>
    <w:rsid w:val="00333BB1"/>
    <w:rsid w:val="00341DD2"/>
    <w:rsid w:val="00342237"/>
    <w:rsid w:val="003438F6"/>
    <w:rsid w:val="003447EF"/>
    <w:rsid w:val="003453D3"/>
    <w:rsid w:val="00346E21"/>
    <w:rsid w:val="003479A6"/>
    <w:rsid w:val="00350A09"/>
    <w:rsid w:val="00350FDB"/>
    <w:rsid w:val="003510E0"/>
    <w:rsid w:val="003518AC"/>
    <w:rsid w:val="00354961"/>
    <w:rsid w:val="00356110"/>
    <w:rsid w:val="003600DE"/>
    <w:rsid w:val="00364097"/>
    <w:rsid w:val="003645FA"/>
    <w:rsid w:val="00365614"/>
    <w:rsid w:val="00365D2F"/>
    <w:rsid w:val="00367F78"/>
    <w:rsid w:val="00371E6A"/>
    <w:rsid w:val="00373DF7"/>
    <w:rsid w:val="003754D2"/>
    <w:rsid w:val="00375555"/>
    <w:rsid w:val="0037589C"/>
    <w:rsid w:val="00376901"/>
    <w:rsid w:val="00380AA5"/>
    <w:rsid w:val="00382900"/>
    <w:rsid w:val="00382ED2"/>
    <w:rsid w:val="00384BE5"/>
    <w:rsid w:val="00390404"/>
    <w:rsid w:val="00391C7C"/>
    <w:rsid w:val="00392A4B"/>
    <w:rsid w:val="00394240"/>
    <w:rsid w:val="00394B32"/>
    <w:rsid w:val="00396A41"/>
    <w:rsid w:val="003A0212"/>
    <w:rsid w:val="003A0216"/>
    <w:rsid w:val="003A135F"/>
    <w:rsid w:val="003A14A7"/>
    <w:rsid w:val="003A40E8"/>
    <w:rsid w:val="003B0224"/>
    <w:rsid w:val="003B0C4C"/>
    <w:rsid w:val="003B10DF"/>
    <w:rsid w:val="003B111C"/>
    <w:rsid w:val="003B13B2"/>
    <w:rsid w:val="003B1E28"/>
    <w:rsid w:val="003B324D"/>
    <w:rsid w:val="003B4187"/>
    <w:rsid w:val="003B43C7"/>
    <w:rsid w:val="003B4928"/>
    <w:rsid w:val="003B73A8"/>
    <w:rsid w:val="003C035F"/>
    <w:rsid w:val="003C04AE"/>
    <w:rsid w:val="003C1732"/>
    <w:rsid w:val="003C5163"/>
    <w:rsid w:val="003C5225"/>
    <w:rsid w:val="003C5422"/>
    <w:rsid w:val="003C5D2C"/>
    <w:rsid w:val="003C60E4"/>
    <w:rsid w:val="003C6582"/>
    <w:rsid w:val="003C75BC"/>
    <w:rsid w:val="003D191B"/>
    <w:rsid w:val="003D22D7"/>
    <w:rsid w:val="003D35AF"/>
    <w:rsid w:val="003D38F5"/>
    <w:rsid w:val="003E07A6"/>
    <w:rsid w:val="003E0C75"/>
    <w:rsid w:val="003E1041"/>
    <w:rsid w:val="003E1E2D"/>
    <w:rsid w:val="003E3230"/>
    <w:rsid w:val="003E3BD2"/>
    <w:rsid w:val="003E4260"/>
    <w:rsid w:val="003E50E8"/>
    <w:rsid w:val="003E5123"/>
    <w:rsid w:val="003E6B11"/>
    <w:rsid w:val="003E72E8"/>
    <w:rsid w:val="003E7DDB"/>
    <w:rsid w:val="003F3C47"/>
    <w:rsid w:val="003F41E8"/>
    <w:rsid w:val="003F436D"/>
    <w:rsid w:val="003F7766"/>
    <w:rsid w:val="0040130A"/>
    <w:rsid w:val="004026E3"/>
    <w:rsid w:val="0040398C"/>
    <w:rsid w:val="00403EC7"/>
    <w:rsid w:val="00407696"/>
    <w:rsid w:val="00410D29"/>
    <w:rsid w:val="00411F44"/>
    <w:rsid w:val="00413ED7"/>
    <w:rsid w:val="00415437"/>
    <w:rsid w:val="00415C5A"/>
    <w:rsid w:val="004204B7"/>
    <w:rsid w:val="00420871"/>
    <w:rsid w:val="00420DFE"/>
    <w:rsid w:val="00420FF4"/>
    <w:rsid w:val="00421F57"/>
    <w:rsid w:val="00423019"/>
    <w:rsid w:val="00424C0E"/>
    <w:rsid w:val="00425205"/>
    <w:rsid w:val="00430626"/>
    <w:rsid w:val="004310EC"/>
    <w:rsid w:val="004312EA"/>
    <w:rsid w:val="00432AD7"/>
    <w:rsid w:val="00433013"/>
    <w:rsid w:val="00433593"/>
    <w:rsid w:val="004343C2"/>
    <w:rsid w:val="00435734"/>
    <w:rsid w:val="00436D60"/>
    <w:rsid w:val="004453CC"/>
    <w:rsid w:val="00445FDC"/>
    <w:rsid w:val="0045091B"/>
    <w:rsid w:val="00451D7B"/>
    <w:rsid w:val="00451E1E"/>
    <w:rsid w:val="00452C11"/>
    <w:rsid w:val="00452F01"/>
    <w:rsid w:val="004537E6"/>
    <w:rsid w:val="00453CAE"/>
    <w:rsid w:val="00453F3C"/>
    <w:rsid w:val="004556FF"/>
    <w:rsid w:val="00455F39"/>
    <w:rsid w:val="004577CD"/>
    <w:rsid w:val="004601AD"/>
    <w:rsid w:val="004603A2"/>
    <w:rsid w:val="00460452"/>
    <w:rsid w:val="00461076"/>
    <w:rsid w:val="00461ECF"/>
    <w:rsid w:val="004651BA"/>
    <w:rsid w:val="00465D55"/>
    <w:rsid w:val="00466FEC"/>
    <w:rsid w:val="00476756"/>
    <w:rsid w:val="00481507"/>
    <w:rsid w:val="004825E4"/>
    <w:rsid w:val="00483124"/>
    <w:rsid w:val="00484744"/>
    <w:rsid w:val="0048571B"/>
    <w:rsid w:val="0048637C"/>
    <w:rsid w:val="00492DCA"/>
    <w:rsid w:val="00496B9E"/>
    <w:rsid w:val="004A05E2"/>
    <w:rsid w:val="004A0606"/>
    <w:rsid w:val="004A0F63"/>
    <w:rsid w:val="004A15B7"/>
    <w:rsid w:val="004A1996"/>
    <w:rsid w:val="004A1A13"/>
    <w:rsid w:val="004A1F83"/>
    <w:rsid w:val="004A240C"/>
    <w:rsid w:val="004A523A"/>
    <w:rsid w:val="004A6237"/>
    <w:rsid w:val="004A6EED"/>
    <w:rsid w:val="004A7B84"/>
    <w:rsid w:val="004B0A30"/>
    <w:rsid w:val="004B11A9"/>
    <w:rsid w:val="004B3880"/>
    <w:rsid w:val="004B3B80"/>
    <w:rsid w:val="004B424D"/>
    <w:rsid w:val="004B6E1E"/>
    <w:rsid w:val="004C027F"/>
    <w:rsid w:val="004C31C6"/>
    <w:rsid w:val="004C4AA5"/>
    <w:rsid w:val="004C72AE"/>
    <w:rsid w:val="004C797E"/>
    <w:rsid w:val="004D2093"/>
    <w:rsid w:val="004D3E99"/>
    <w:rsid w:val="004D4CD2"/>
    <w:rsid w:val="004D7319"/>
    <w:rsid w:val="004D75BF"/>
    <w:rsid w:val="004E322F"/>
    <w:rsid w:val="004E678C"/>
    <w:rsid w:val="004F384D"/>
    <w:rsid w:val="004F4431"/>
    <w:rsid w:val="004F547C"/>
    <w:rsid w:val="004F6E30"/>
    <w:rsid w:val="004F7810"/>
    <w:rsid w:val="0050031E"/>
    <w:rsid w:val="00500B0A"/>
    <w:rsid w:val="005015C7"/>
    <w:rsid w:val="00504F10"/>
    <w:rsid w:val="00505677"/>
    <w:rsid w:val="005056AE"/>
    <w:rsid w:val="005107D7"/>
    <w:rsid w:val="00510CA4"/>
    <w:rsid w:val="005123C0"/>
    <w:rsid w:val="00512E09"/>
    <w:rsid w:val="0051510C"/>
    <w:rsid w:val="00515143"/>
    <w:rsid w:val="0051779C"/>
    <w:rsid w:val="0052229E"/>
    <w:rsid w:val="0052375C"/>
    <w:rsid w:val="005239BF"/>
    <w:rsid w:val="00524D82"/>
    <w:rsid w:val="00526ACD"/>
    <w:rsid w:val="00530DBF"/>
    <w:rsid w:val="00534C67"/>
    <w:rsid w:val="00535987"/>
    <w:rsid w:val="00535CE2"/>
    <w:rsid w:val="00537C05"/>
    <w:rsid w:val="005417C5"/>
    <w:rsid w:val="00542EFF"/>
    <w:rsid w:val="005437D5"/>
    <w:rsid w:val="00543DD5"/>
    <w:rsid w:val="005443F1"/>
    <w:rsid w:val="00545F52"/>
    <w:rsid w:val="0054602B"/>
    <w:rsid w:val="00547472"/>
    <w:rsid w:val="00547709"/>
    <w:rsid w:val="00550899"/>
    <w:rsid w:val="00550E31"/>
    <w:rsid w:val="00554561"/>
    <w:rsid w:val="0055597F"/>
    <w:rsid w:val="00557F05"/>
    <w:rsid w:val="0056141D"/>
    <w:rsid w:val="00562C4A"/>
    <w:rsid w:val="00562D5A"/>
    <w:rsid w:val="005644AA"/>
    <w:rsid w:val="0056551F"/>
    <w:rsid w:val="005715A3"/>
    <w:rsid w:val="0057185A"/>
    <w:rsid w:val="00571F14"/>
    <w:rsid w:val="00572374"/>
    <w:rsid w:val="00572C9D"/>
    <w:rsid w:val="005734FB"/>
    <w:rsid w:val="0057466F"/>
    <w:rsid w:val="0057613B"/>
    <w:rsid w:val="0057684C"/>
    <w:rsid w:val="00580AA3"/>
    <w:rsid w:val="005810B5"/>
    <w:rsid w:val="005814E6"/>
    <w:rsid w:val="00581EE7"/>
    <w:rsid w:val="00582DF7"/>
    <w:rsid w:val="00583072"/>
    <w:rsid w:val="0058395F"/>
    <w:rsid w:val="005845A7"/>
    <w:rsid w:val="00585184"/>
    <w:rsid w:val="0058589C"/>
    <w:rsid w:val="00591468"/>
    <w:rsid w:val="00591866"/>
    <w:rsid w:val="0059203B"/>
    <w:rsid w:val="00592828"/>
    <w:rsid w:val="0059309B"/>
    <w:rsid w:val="005942D0"/>
    <w:rsid w:val="00594F2D"/>
    <w:rsid w:val="005A09DE"/>
    <w:rsid w:val="005A2748"/>
    <w:rsid w:val="005A2C68"/>
    <w:rsid w:val="005A2E3B"/>
    <w:rsid w:val="005A2EBA"/>
    <w:rsid w:val="005A3A39"/>
    <w:rsid w:val="005A4CE9"/>
    <w:rsid w:val="005A5835"/>
    <w:rsid w:val="005B0FF3"/>
    <w:rsid w:val="005B25A5"/>
    <w:rsid w:val="005B3FA1"/>
    <w:rsid w:val="005B43DD"/>
    <w:rsid w:val="005B59CD"/>
    <w:rsid w:val="005B5F5A"/>
    <w:rsid w:val="005B63FE"/>
    <w:rsid w:val="005B7B21"/>
    <w:rsid w:val="005C4257"/>
    <w:rsid w:val="005C6D27"/>
    <w:rsid w:val="005C74BB"/>
    <w:rsid w:val="005D11AF"/>
    <w:rsid w:val="005D2F36"/>
    <w:rsid w:val="005D3109"/>
    <w:rsid w:val="005D34A1"/>
    <w:rsid w:val="005D3504"/>
    <w:rsid w:val="005D46F8"/>
    <w:rsid w:val="005E0BD0"/>
    <w:rsid w:val="005E2A62"/>
    <w:rsid w:val="005E7CA6"/>
    <w:rsid w:val="005F03D6"/>
    <w:rsid w:val="005F1148"/>
    <w:rsid w:val="005F3181"/>
    <w:rsid w:val="005F3718"/>
    <w:rsid w:val="005F5625"/>
    <w:rsid w:val="005F715F"/>
    <w:rsid w:val="005F72F1"/>
    <w:rsid w:val="00600725"/>
    <w:rsid w:val="00600FD1"/>
    <w:rsid w:val="00602746"/>
    <w:rsid w:val="0060356C"/>
    <w:rsid w:val="00603858"/>
    <w:rsid w:val="006047FE"/>
    <w:rsid w:val="00604B01"/>
    <w:rsid w:val="00605DBA"/>
    <w:rsid w:val="00606EE0"/>
    <w:rsid w:val="006130E5"/>
    <w:rsid w:val="0061531B"/>
    <w:rsid w:val="00615DCA"/>
    <w:rsid w:val="0061773B"/>
    <w:rsid w:val="00620684"/>
    <w:rsid w:val="00624B6B"/>
    <w:rsid w:val="00624C5D"/>
    <w:rsid w:val="0062540C"/>
    <w:rsid w:val="006310F8"/>
    <w:rsid w:val="00631375"/>
    <w:rsid w:val="0063286F"/>
    <w:rsid w:val="00632B47"/>
    <w:rsid w:val="006339A3"/>
    <w:rsid w:val="00634D02"/>
    <w:rsid w:val="00641A3A"/>
    <w:rsid w:val="00642BCA"/>
    <w:rsid w:val="00645522"/>
    <w:rsid w:val="00647166"/>
    <w:rsid w:val="00652F69"/>
    <w:rsid w:val="00653370"/>
    <w:rsid w:val="00655D87"/>
    <w:rsid w:val="00656D26"/>
    <w:rsid w:val="00657824"/>
    <w:rsid w:val="00661451"/>
    <w:rsid w:val="00661662"/>
    <w:rsid w:val="00665072"/>
    <w:rsid w:val="0066676A"/>
    <w:rsid w:val="00666AA1"/>
    <w:rsid w:val="006703AB"/>
    <w:rsid w:val="00670AE1"/>
    <w:rsid w:val="00671EE4"/>
    <w:rsid w:val="00674F36"/>
    <w:rsid w:val="00680D00"/>
    <w:rsid w:val="006856DB"/>
    <w:rsid w:val="00693067"/>
    <w:rsid w:val="00694273"/>
    <w:rsid w:val="00694F81"/>
    <w:rsid w:val="00697FD5"/>
    <w:rsid w:val="006A1CCF"/>
    <w:rsid w:val="006A2342"/>
    <w:rsid w:val="006A35C5"/>
    <w:rsid w:val="006A35E2"/>
    <w:rsid w:val="006B0049"/>
    <w:rsid w:val="006B2DA4"/>
    <w:rsid w:val="006B4B39"/>
    <w:rsid w:val="006B4DF7"/>
    <w:rsid w:val="006B748A"/>
    <w:rsid w:val="006B7907"/>
    <w:rsid w:val="006C068E"/>
    <w:rsid w:val="006C0AB5"/>
    <w:rsid w:val="006C2BCC"/>
    <w:rsid w:val="006C3ADB"/>
    <w:rsid w:val="006D06BC"/>
    <w:rsid w:val="006D154B"/>
    <w:rsid w:val="006D45F3"/>
    <w:rsid w:val="006D5365"/>
    <w:rsid w:val="006D6C9F"/>
    <w:rsid w:val="006D78DA"/>
    <w:rsid w:val="006E072F"/>
    <w:rsid w:val="006E32EB"/>
    <w:rsid w:val="006E4D64"/>
    <w:rsid w:val="006E620E"/>
    <w:rsid w:val="006E6217"/>
    <w:rsid w:val="006E65B6"/>
    <w:rsid w:val="006F3008"/>
    <w:rsid w:val="006F4A51"/>
    <w:rsid w:val="006F5758"/>
    <w:rsid w:val="006F582B"/>
    <w:rsid w:val="006F5B44"/>
    <w:rsid w:val="006F5DB1"/>
    <w:rsid w:val="006F669E"/>
    <w:rsid w:val="006F751D"/>
    <w:rsid w:val="007013D0"/>
    <w:rsid w:val="00703CEA"/>
    <w:rsid w:val="007040D2"/>
    <w:rsid w:val="0070455E"/>
    <w:rsid w:val="007065A0"/>
    <w:rsid w:val="00706F4A"/>
    <w:rsid w:val="00711E84"/>
    <w:rsid w:val="007137FF"/>
    <w:rsid w:val="00715261"/>
    <w:rsid w:val="00716FA9"/>
    <w:rsid w:val="007171DA"/>
    <w:rsid w:val="00724248"/>
    <w:rsid w:val="00725231"/>
    <w:rsid w:val="0072561C"/>
    <w:rsid w:val="00726209"/>
    <w:rsid w:val="0072764C"/>
    <w:rsid w:val="0073249F"/>
    <w:rsid w:val="00733334"/>
    <w:rsid w:val="0073547D"/>
    <w:rsid w:val="007404C9"/>
    <w:rsid w:val="00743EB7"/>
    <w:rsid w:val="00746802"/>
    <w:rsid w:val="00750084"/>
    <w:rsid w:val="00753245"/>
    <w:rsid w:val="0075369F"/>
    <w:rsid w:val="007571C9"/>
    <w:rsid w:val="00757D23"/>
    <w:rsid w:val="007632E4"/>
    <w:rsid w:val="007643C7"/>
    <w:rsid w:val="00764787"/>
    <w:rsid w:val="00764D37"/>
    <w:rsid w:val="00765255"/>
    <w:rsid w:val="00765878"/>
    <w:rsid w:val="007666C5"/>
    <w:rsid w:val="00771223"/>
    <w:rsid w:val="007730E3"/>
    <w:rsid w:val="00775E4A"/>
    <w:rsid w:val="00776095"/>
    <w:rsid w:val="0077686B"/>
    <w:rsid w:val="00776B67"/>
    <w:rsid w:val="00777557"/>
    <w:rsid w:val="0078059A"/>
    <w:rsid w:val="00780677"/>
    <w:rsid w:val="00780984"/>
    <w:rsid w:val="0078434D"/>
    <w:rsid w:val="00786B3D"/>
    <w:rsid w:val="0079088C"/>
    <w:rsid w:val="00791CD2"/>
    <w:rsid w:val="007920E2"/>
    <w:rsid w:val="0079481A"/>
    <w:rsid w:val="007974AF"/>
    <w:rsid w:val="007A03FC"/>
    <w:rsid w:val="007A0800"/>
    <w:rsid w:val="007A1201"/>
    <w:rsid w:val="007A2DD7"/>
    <w:rsid w:val="007A3B88"/>
    <w:rsid w:val="007A5425"/>
    <w:rsid w:val="007B00CB"/>
    <w:rsid w:val="007B16B0"/>
    <w:rsid w:val="007B21A4"/>
    <w:rsid w:val="007B21BC"/>
    <w:rsid w:val="007B5E41"/>
    <w:rsid w:val="007B788B"/>
    <w:rsid w:val="007C0FAA"/>
    <w:rsid w:val="007C117C"/>
    <w:rsid w:val="007C2719"/>
    <w:rsid w:val="007C7F36"/>
    <w:rsid w:val="007D0E03"/>
    <w:rsid w:val="007D1799"/>
    <w:rsid w:val="007D2487"/>
    <w:rsid w:val="007D3C5F"/>
    <w:rsid w:val="007D4376"/>
    <w:rsid w:val="007D7764"/>
    <w:rsid w:val="007E0DD3"/>
    <w:rsid w:val="007E1503"/>
    <w:rsid w:val="007E2654"/>
    <w:rsid w:val="007E3A59"/>
    <w:rsid w:val="007E4086"/>
    <w:rsid w:val="007E73C4"/>
    <w:rsid w:val="007E7879"/>
    <w:rsid w:val="007F3A8B"/>
    <w:rsid w:val="007F4A72"/>
    <w:rsid w:val="007F582E"/>
    <w:rsid w:val="007F6740"/>
    <w:rsid w:val="00801D15"/>
    <w:rsid w:val="008028B2"/>
    <w:rsid w:val="00802D21"/>
    <w:rsid w:val="008040AA"/>
    <w:rsid w:val="00804822"/>
    <w:rsid w:val="00804A8B"/>
    <w:rsid w:val="008056D5"/>
    <w:rsid w:val="008109EC"/>
    <w:rsid w:val="008169FB"/>
    <w:rsid w:val="0081720F"/>
    <w:rsid w:val="00821A6C"/>
    <w:rsid w:val="00822B7B"/>
    <w:rsid w:val="00823C53"/>
    <w:rsid w:val="00824AC3"/>
    <w:rsid w:val="00825873"/>
    <w:rsid w:val="008262D1"/>
    <w:rsid w:val="00826F94"/>
    <w:rsid w:val="00831DD4"/>
    <w:rsid w:val="008322D8"/>
    <w:rsid w:val="00832F2F"/>
    <w:rsid w:val="00835686"/>
    <w:rsid w:val="00836C70"/>
    <w:rsid w:val="008405F2"/>
    <w:rsid w:val="00842E84"/>
    <w:rsid w:val="00842F66"/>
    <w:rsid w:val="00844C7B"/>
    <w:rsid w:val="00845FB7"/>
    <w:rsid w:val="00850151"/>
    <w:rsid w:val="00851C84"/>
    <w:rsid w:val="008524B1"/>
    <w:rsid w:val="0085277D"/>
    <w:rsid w:val="00852E31"/>
    <w:rsid w:val="0085311B"/>
    <w:rsid w:val="00854622"/>
    <w:rsid w:val="00855FEA"/>
    <w:rsid w:val="008561FC"/>
    <w:rsid w:val="00856488"/>
    <w:rsid w:val="008568C4"/>
    <w:rsid w:val="00856DBE"/>
    <w:rsid w:val="00856E76"/>
    <w:rsid w:val="00857044"/>
    <w:rsid w:val="008571F5"/>
    <w:rsid w:val="008575AE"/>
    <w:rsid w:val="0086029D"/>
    <w:rsid w:val="008602D8"/>
    <w:rsid w:val="0086337A"/>
    <w:rsid w:val="00864E26"/>
    <w:rsid w:val="00865D36"/>
    <w:rsid w:val="00866082"/>
    <w:rsid w:val="008660C3"/>
    <w:rsid w:val="008663AD"/>
    <w:rsid w:val="00875913"/>
    <w:rsid w:val="0088101D"/>
    <w:rsid w:val="0088108F"/>
    <w:rsid w:val="00881B70"/>
    <w:rsid w:val="00881C51"/>
    <w:rsid w:val="0088296A"/>
    <w:rsid w:val="00882DAD"/>
    <w:rsid w:val="008835B8"/>
    <w:rsid w:val="00883CC6"/>
    <w:rsid w:val="00885221"/>
    <w:rsid w:val="00885F52"/>
    <w:rsid w:val="00886E8B"/>
    <w:rsid w:val="00887DD4"/>
    <w:rsid w:val="0089238B"/>
    <w:rsid w:val="00894A68"/>
    <w:rsid w:val="00895DC7"/>
    <w:rsid w:val="008A12D0"/>
    <w:rsid w:val="008A1D28"/>
    <w:rsid w:val="008A2BE0"/>
    <w:rsid w:val="008A3EB4"/>
    <w:rsid w:val="008A7BF7"/>
    <w:rsid w:val="008B149B"/>
    <w:rsid w:val="008B5DEB"/>
    <w:rsid w:val="008B788F"/>
    <w:rsid w:val="008C005D"/>
    <w:rsid w:val="008C268A"/>
    <w:rsid w:val="008C6BAA"/>
    <w:rsid w:val="008C700A"/>
    <w:rsid w:val="008C7BFB"/>
    <w:rsid w:val="008D0240"/>
    <w:rsid w:val="008D60B3"/>
    <w:rsid w:val="008D6F79"/>
    <w:rsid w:val="008D798D"/>
    <w:rsid w:val="008E055C"/>
    <w:rsid w:val="008E2949"/>
    <w:rsid w:val="008E4292"/>
    <w:rsid w:val="008E4A50"/>
    <w:rsid w:val="008E7B66"/>
    <w:rsid w:val="008F1373"/>
    <w:rsid w:val="008F1E62"/>
    <w:rsid w:val="008F2548"/>
    <w:rsid w:val="008F337C"/>
    <w:rsid w:val="008F70FC"/>
    <w:rsid w:val="00901062"/>
    <w:rsid w:val="00902C0C"/>
    <w:rsid w:val="00904EAC"/>
    <w:rsid w:val="0090502D"/>
    <w:rsid w:val="00911618"/>
    <w:rsid w:val="00911F28"/>
    <w:rsid w:val="0091236D"/>
    <w:rsid w:val="009136B0"/>
    <w:rsid w:val="00914E99"/>
    <w:rsid w:val="00914FD9"/>
    <w:rsid w:val="00915150"/>
    <w:rsid w:val="0091759A"/>
    <w:rsid w:val="00921A2F"/>
    <w:rsid w:val="00922329"/>
    <w:rsid w:val="00922A92"/>
    <w:rsid w:val="009245C8"/>
    <w:rsid w:val="00924D26"/>
    <w:rsid w:val="00925E2A"/>
    <w:rsid w:val="009275C1"/>
    <w:rsid w:val="00930AB0"/>
    <w:rsid w:val="009315BA"/>
    <w:rsid w:val="0093399C"/>
    <w:rsid w:val="00935069"/>
    <w:rsid w:val="009375D7"/>
    <w:rsid w:val="0094266B"/>
    <w:rsid w:val="00942742"/>
    <w:rsid w:val="00942796"/>
    <w:rsid w:val="00942F8A"/>
    <w:rsid w:val="0094323E"/>
    <w:rsid w:val="00943447"/>
    <w:rsid w:val="00943AB2"/>
    <w:rsid w:val="00946F3E"/>
    <w:rsid w:val="00950011"/>
    <w:rsid w:val="009501F0"/>
    <w:rsid w:val="0095033B"/>
    <w:rsid w:val="009517C3"/>
    <w:rsid w:val="00951FF8"/>
    <w:rsid w:val="00952C61"/>
    <w:rsid w:val="00955509"/>
    <w:rsid w:val="0095770D"/>
    <w:rsid w:val="00957968"/>
    <w:rsid w:val="00957EE5"/>
    <w:rsid w:val="00961790"/>
    <w:rsid w:val="009637C7"/>
    <w:rsid w:val="00966C0D"/>
    <w:rsid w:val="0096700E"/>
    <w:rsid w:val="00970F92"/>
    <w:rsid w:val="0097160E"/>
    <w:rsid w:val="009728F1"/>
    <w:rsid w:val="00972F71"/>
    <w:rsid w:val="00973A64"/>
    <w:rsid w:val="00973DE0"/>
    <w:rsid w:val="00975C73"/>
    <w:rsid w:val="0097762D"/>
    <w:rsid w:val="00980D94"/>
    <w:rsid w:val="0098100C"/>
    <w:rsid w:val="00981F70"/>
    <w:rsid w:val="00982B2A"/>
    <w:rsid w:val="00983CA7"/>
    <w:rsid w:val="0098545E"/>
    <w:rsid w:val="009907F0"/>
    <w:rsid w:val="00990EB9"/>
    <w:rsid w:val="009912A1"/>
    <w:rsid w:val="009913A8"/>
    <w:rsid w:val="009914D5"/>
    <w:rsid w:val="00992A0F"/>
    <w:rsid w:val="00993009"/>
    <w:rsid w:val="0099359F"/>
    <w:rsid w:val="00993AF7"/>
    <w:rsid w:val="009950E9"/>
    <w:rsid w:val="009951A4"/>
    <w:rsid w:val="00995A5E"/>
    <w:rsid w:val="00997971"/>
    <w:rsid w:val="00997C4A"/>
    <w:rsid w:val="009A0AEF"/>
    <w:rsid w:val="009A1392"/>
    <w:rsid w:val="009A1C90"/>
    <w:rsid w:val="009A40BF"/>
    <w:rsid w:val="009B0B57"/>
    <w:rsid w:val="009B1A2F"/>
    <w:rsid w:val="009B29F2"/>
    <w:rsid w:val="009B3898"/>
    <w:rsid w:val="009B4B3E"/>
    <w:rsid w:val="009B54B1"/>
    <w:rsid w:val="009B5A42"/>
    <w:rsid w:val="009B6DA5"/>
    <w:rsid w:val="009B7D80"/>
    <w:rsid w:val="009C0010"/>
    <w:rsid w:val="009C0C8B"/>
    <w:rsid w:val="009C2B21"/>
    <w:rsid w:val="009C3AA5"/>
    <w:rsid w:val="009C4114"/>
    <w:rsid w:val="009D0955"/>
    <w:rsid w:val="009D0985"/>
    <w:rsid w:val="009D1361"/>
    <w:rsid w:val="009D2F20"/>
    <w:rsid w:val="009D51B1"/>
    <w:rsid w:val="009D66BE"/>
    <w:rsid w:val="009E2E0A"/>
    <w:rsid w:val="009E5C2F"/>
    <w:rsid w:val="009E5EC2"/>
    <w:rsid w:val="009E6458"/>
    <w:rsid w:val="009E7A9E"/>
    <w:rsid w:val="009E7B6E"/>
    <w:rsid w:val="009F1354"/>
    <w:rsid w:val="009F2686"/>
    <w:rsid w:val="009F3045"/>
    <w:rsid w:val="009F4514"/>
    <w:rsid w:val="009F4B3C"/>
    <w:rsid w:val="00A005ED"/>
    <w:rsid w:val="00A016D6"/>
    <w:rsid w:val="00A017C7"/>
    <w:rsid w:val="00A01F7A"/>
    <w:rsid w:val="00A020E7"/>
    <w:rsid w:val="00A05483"/>
    <w:rsid w:val="00A07F14"/>
    <w:rsid w:val="00A11F10"/>
    <w:rsid w:val="00A12F4F"/>
    <w:rsid w:val="00A14C86"/>
    <w:rsid w:val="00A15AA8"/>
    <w:rsid w:val="00A16362"/>
    <w:rsid w:val="00A16968"/>
    <w:rsid w:val="00A17FBA"/>
    <w:rsid w:val="00A22D4F"/>
    <w:rsid w:val="00A23215"/>
    <w:rsid w:val="00A25537"/>
    <w:rsid w:val="00A27CBB"/>
    <w:rsid w:val="00A30D74"/>
    <w:rsid w:val="00A30F63"/>
    <w:rsid w:val="00A31FFB"/>
    <w:rsid w:val="00A320F7"/>
    <w:rsid w:val="00A33F4B"/>
    <w:rsid w:val="00A407E9"/>
    <w:rsid w:val="00A4115A"/>
    <w:rsid w:val="00A45C55"/>
    <w:rsid w:val="00A46F65"/>
    <w:rsid w:val="00A47759"/>
    <w:rsid w:val="00A50484"/>
    <w:rsid w:val="00A507CB"/>
    <w:rsid w:val="00A50D43"/>
    <w:rsid w:val="00A51D27"/>
    <w:rsid w:val="00A52D80"/>
    <w:rsid w:val="00A52FA6"/>
    <w:rsid w:val="00A530AD"/>
    <w:rsid w:val="00A54340"/>
    <w:rsid w:val="00A565E6"/>
    <w:rsid w:val="00A575AA"/>
    <w:rsid w:val="00A57D52"/>
    <w:rsid w:val="00A63295"/>
    <w:rsid w:val="00A64B45"/>
    <w:rsid w:val="00A650AC"/>
    <w:rsid w:val="00A66683"/>
    <w:rsid w:val="00A707F4"/>
    <w:rsid w:val="00A7216B"/>
    <w:rsid w:val="00A72BAA"/>
    <w:rsid w:val="00A73391"/>
    <w:rsid w:val="00A74BDB"/>
    <w:rsid w:val="00A75589"/>
    <w:rsid w:val="00A759B6"/>
    <w:rsid w:val="00A76993"/>
    <w:rsid w:val="00A80CE1"/>
    <w:rsid w:val="00A81D00"/>
    <w:rsid w:val="00A82DE1"/>
    <w:rsid w:val="00A8413B"/>
    <w:rsid w:val="00A84F5E"/>
    <w:rsid w:val="00A85129"/>
    <w:rsid w:val="00A90575"/>
    <w:rsid w:val="00A90B64"/>
    <w:rsid w:val="00A92C9A"/>
    <w:rsid w:val="00A93CBB"/>
    <w:rsid w:val="00A94532"/>
    <w:rsid w:val="00A969BD"/>
    <w:rsid w:val="00A96DBB"/>
    <w:rsid w:val="00AA059B"/>
    <w:rsid w:val="00AA180D"/>
    <w:rsid w:val="00AA3600"/>
    <w:rsid w:val="00AA3C78"/>
    <w:rsid w:val="00AA5E32"/>
    <w:rsid w:val="00AA6BB5"/>
    <w:rsid w:val="00AA78DA"/>
    <w:rsid w:val="00AA7ADB"/>
    <w:rsid w:val="00AB0CC9"/>
    <w:rsid w:val="00AB11FD"/>
    <w:rsid w:val="00AB240F"/>
    <w:rsid w:val="00AB32C8"/>
    <w:rsid w:val="00AB3697"/>
    <w:rsid w:val="00AB456D"/>
    <w:rsid w:val="00AB4FFB"/>
    <w:rsid w:val="00AB5E0E"/>
    <w:rsid w:val="00AB77E8"/>
    <w:rsid w:val="00AC2187"/>
    <w:rsid w:val="00AC29BE"/>
    <w:rsid w:val="00AC66D3"/>
    <w:rsid w:val="00AC75DE"/>
    <w:rsid w:val="00AD075F"/>
    <w:rsid w:val="00AD0C9E"/>
    <w:rsid w:val="00AD14A4"/>
    <w:rsid w:val="00AD2118"/>
    <w:rsid w:val="00AD2B42"/>
    <w:rsid w:val="00AD3B96"/>
    <w:rsid w:val="00AD657F"/>
    <w:rsid w:val="00AD727B"/>
    <w:rsid w:val="00AE1182"/>
    <w:rsid w:val="00AE17FE"/>
    <w:rsid w:val="00AE1C39"/>
    <w:rsid w:val="00AE516F"/>
    <w:rsid w:val="00AE5E4F"/>
    <w:rsid w:val="00AF0170"/>
    <w:rsid w:val="00AF2BD1"/>
    <w:rsid w:val="00AF4232"/>
    <w:rsid w:val="00AF47C4"/>
    <w:rsid w:val="00AF54E4"/>
    <w:rsid w:val="00AF5823"/>
    <w:rsid w:val="00AF5EE0"/>
    <w:rsid w:val="00AF7086"/>
    <w:rsid w:val="00B00E88"/>
    <w:rsid w:val="00B01A69"/>
    <w:rsid w:val="00B02006"/>
    <w:rsid w:val="00B044CF"/>
    <w:rsid w:val="00B04A6D"/>
    <w:rsid w:val="00B06541"/>
    <w:rsid w:val="00B0749B"/>
    <w:rsid w:val="00B07D75"/>
    <w:rsid w:val="00B10A5D"/>
    <w:rsid w:val="00B1149E"/>
    <w:rsid w:val="00B11DBC"/>
    <w:rsid w:val="00B129F3"/>
    <w:rsid w:val="00B13014"/>
    <w:rsid w:val="00B14C62"/>
    <w:rsid w:val="00B156CB"/>
    <w:rsid w:val="00B15C5D"/>
    <w:rsid w:val="00B22688"/>
    <w:rsid w:val="00B23EED"/>
    <w:rsid w:val="00B23FAD"/>
    <w:rsid w:val="00B2439A"/>
    <w:rsid w:val="00B249A3"/>
    <w:rsid w:val="00B252EF"/>
    <w:rsid w:val="00B30F17"/>
    <w:rsid w:val="00B3455C"/>
    <w:rsid w:val="00B36FD6"/>
    <w:rsid w:val="00B42116"/>
    <w:rsid w:val="00B430B7"/>
    <w:rsid w:val="00B45E0F"/>
    <w:rsid w:val="00B47648"/>
    <w:rsid w:val="00B502ED"/>
    <w:rsid w:val="00B54660"/>
    <w:rsid w:val="00B54685"/>
    <w:rsid w:val="00B5550E"/>
    <w:rsid w:val="00B558D5"/>
    <w:rsid w:val="00B64FD5"/>
    <w:rsid w:val="00B650D9"/>
    <w:rsid w:val="00B66661"/>
    <w:rsid w:val="00B7463F"/>
    <w:rsid w:val="00B76CF0"/>
    <w:rsid w:val="00B82DBC"/>
    <w:rsid w:val="00B84783"/>
    <w:rsid w:val="00B9094E"/>
    <w:rsid w:val="00B91098"/>
    <w:rsid w:val="00B910BD"/>
    <w:rsid w:val="00B91364"/>
    <w:rsid w:val="00B91BA6"/>
    <w:rsid w:val="00B91ED7"/>
    <w:rsid w:val="00B91F60"/>
    <w:rsid w:val="00B9449B"/>
    <w:rsid w:val="00B9579A"/>
    <w:rsid w:val="00B969BE"/>
    <w:rsid w:val="00B96D8D"/>
    <w:rsid w:val="00B971C8"/>
    <w:rsid w:val="00BA04D1"/>
    <w:rsid w:val="00BA09C5"/>
    <w:rsid w:val="00BA12B8"/>
    <w:rsid w:val="00BA151C"/>
    <w:rsid w:val="00BA21D1"/>
    <w:rsid w:val="00BA25AD"/>
    <w:rsid w:val="00BA30D6"/>
    <w:rsid w:val="00BA627E"/>
    <w:rsid w:val="00BA72F6"/>
    <w:rsid w:val="00BB2724"/>
    <w:rsid w:val="00BB2AE8"/>
    <w:rsid w:val="00BB6F16"/>
    <w:rsid w:val="00BB71B2"/>
    <w:rsid w:val="00BB7408"/>
    <w:rsid w:val="00BB7979"/>
    <w:rsid w:val="00BB7E08"/>
    <w:rsid w:val="00BC1748"/>
    <w:rsid w:val="00BC3D7C"/>
    <w:rsid w:val="00BC4044"/>
    <w:rsid w:val="00BC4B2A"/>
    <w:rsid w:val="00BC5FDF"/>
    <w:rsid w:val="00BC641A"/>
    <w:rsid w:val="00BC6577"/>
    <w:rsid w:val="00BC6A28"/>
    <w:rsid w:val="00BC7757"/>
    <w:rsid w:val="00BD3E3B"/>
    <w:rsid w:val="00BD6183"/>
    <w:rsid w:val="00BE16F6"/>
    <w:rsid w:val="00BE4B6C"/>
    <w:rsid w:val="00BF2CB4"/>
    <w:rsid w:val="00BF47EA"/>
    <w:rsid w:val="00BF5021"/>
    <w:rsid w:val="00BF5C83"/>
    <w:rsid w:val="00C02000"/>
    <w:rsid w:val="00C02CF6"/>
    <w:rsid w:val="00C0445F"/>
    <w:rsid w:val="00C04BF9"/>
    <w:rsid w:val="00C075C1"/>
    <w:rsid w:val="00C07A00"/>
    <w:rsid w:val="00C07C03"/>
    <w:rsid w:val="00C11143"/>
    <w:rsid w:val="00C11993"/>
    <w:rsid w:val="00C1246A"/>
    <w:rsid w:val="00C13DC9"/>
    <w:rsid w:val="00C15904"/>
    <w:rsid w:val="00C16046"/>
    <w:rsid w:val="00C1684B"/>
    <w:rsid w:val="00C1769D"/>
    <w:rsid w:val="00C202D6"/>
    <w:rsid w:val="00C206D3"/>
    <w:rsid w:val="00C210AB"/>
    <w:rsid w:val="00C22E6C"/>
    <w:rsid w:val="00C25082"/>
    <w:rsid w:val="00C25883"/>
    <w:rsid w:val="00C264E5"/>
    <w:rsid w:val="00C302D5"/>
    <w:rsid w:val="00C3039C"/>
    <w:rsid w:val="00C33383"/>
    <w:rsid w:val="00C364B7"/>
    <w:rsid w:val="00C365E1"/>
    <w:rsid w:val="00C41027"/>
    <w:rsid w:val="00C4503B"/>
    <w:rsid w:val="00C45D7F"/>
    <w:rsid w:val="00C47C9A"/>
    <w:rsid w:val="00C47DAA"/>
    <w:rsid w:val="00C60239"/>
    <w:rsid w:val="00C60A90"/>
    <w:rsid w:val="00C60EFD"/>
    <w:rsid w:val="00C61F64"/>
    <w:rsid w:val="00C61FEC"/>
    <w:rsid w:val="00C626AD"/>
    <w:rsid w:val="00C628CC"/>
    <w:rsid w:val="00C63AC4"/>
    <w:rsid w:val="00C64821"/>
    <w:rsid w:val="00C650C1"/>
    <w:rsid w:val="00C65B3A"/>
    <w:rsid w:val="00C65BF0"/>
    <w:rsid w:val="00C66A17"/>
    <w:rsid w:val="00C66A55"/>
    <w:rsid w:val="00C66BAA"/>
    <w:rsid w:val="00C6750E"/>
    <w:rsid w:val="00C71684"/>
    <w:rsid w:val="00C72B0D"/>
    <w:rsid w:val="00C75303"/>
    <w:rsid w:val="00C760B7"/>
    <w:rsid w:val="00C81137"/>
    <w:rsid w:val="00C855B5"/>
    <w:rsid w:val="00C85829"/>
    <w:rsid w:val="00C939E7"/>
    <w:rsid w:val="00C9554B"/>
    <w:rsid w:val="00C96B43"/>
    <w:rsid w:val="00C976E6"/>
    <w:rsid w:val="00CA0C92"/>
    <w:rsid w:val="00CA3514"/>
    <w:rsid w:val="00CA383C"/>
    <w:rsid w:val="00CA6454"/>
    <w:rsid w:val="00CA7BC4"/>
    <w:rsid w:val="00CB01E1"/>
    <w:rsid w:val="00CB2D2C"/>
    <w:rsid w:val="00CB4FB8"/>
    <w:rsid w:val="00CB621A"/>
    <w:rsid w:val="00CB71E5"/>
    <w:rsid w:val="00CB741E"/>
    <w:rsid w:val="00CC05AA"/>
    <w:rsid w:val="00CC36BF"/>
    <w:rsid w:val="00CD0273"/>
    <w:rsid w:val="00CD0862"/>
    <w:rsid w:val="00CD0BE9"/>
    <w:rsid w:val="00CD6B11"/>
    <w:rsid w:val="00CD7D8A"/>
    <w:rsid w:val="00CE2A37"/>
    <w:rsid w:val="00CE6908"/>
    <w:rsid w:val="00CE721C"/>
    <w:rsid w:val="00CE7665"/>
    <w:rsid w:val="00CF2880"/>
    <w:rsid w:val="00CF4763"/>
    <w:rsid w:val="00CF5DB5"/>
    <w:rsid w:val="00CF6771"/>
    <w:rsid w:val="00CF7A36"/>
    <w:rsid w:val="00D026DB"/>
    <w:rsid w:val="00D05E83"/>
    <w:rsid w:val="00D11CEE"/>
    <w:rsid w:val="00D11F04"/>
    <w:rsid w:val="00D1271B"/>
    <w:rsid w:val="00D14D1F"/>
    <w:rsid w:val="00D15C8E"/>
    <w:rsid w:val="00D2072F"/>
    <w:rsid w:val="00D2073C"/>
    <w:rsid w:val="00D20925"/>
    <w:rsid w:val="00D225F6"/>
    <w:rsid w:val="00D26F80"/>
    <w:rsid w:val="00D30548"/>
    <w:rsid w:val="00D306F2"/>
    <w:rsid w:val="00D3093D"/>
    <w:rsid w:val="00D3158A"/>
    <w:rsid w:val="00D32C64"/>
    <w:rsid w:val="00D33581"/>
    <w:rsid w:val="00D34360"/>
    <w:rsid w:val="00D352FC"/>
    <w:rsid w:val="00D35419"/>
    <w:rsid w:val="00D35596"/>
    <w:rsid w:val="00D36AB4"/>
    <w:rsid w:val="00D37198"/>
    <w:rsid w:val="00D40343"/>
    <w:rsid w:val="00D44F09"/>
    <w:rsid w:val="00D45487"/>
    <w:rsid w:val="00D45EFE"/>
    <w:rsid w:val="00D46D56"/>
    <w:rsid w:val="00D50D47"/>
    <w:rsid w:val="00D5116E"/>
    <w:rsid w:val="00D51C47"/>
    <w:rsid w:val="00D51FEE"/>
    <w:rsid w:val="00D52FD9"/>
    <w:rsid w:val="00D55131"/>
    <w:rsid w:val="00D56589"/>
    <w:rsid w:val="00D6065E"/>
    <w:rsid w:val="00D625B9"/>
    <w:rsid w:val="00D6384D"/>
    <w:rsid w:val="00D64077"/>
    <w:rsid w:val="00D649A6"/>
    <w:rsid w:val="00D66ABD"/>
    <w:rsid w:val="00D66F4A"/>
    <w:rsid w:val="00D67024"/>
    <w:rsid w:val="00D709D7"/>
    <w:rsid w:val="00D70BB7"/>
    <w:rsid w:val="00D70C37"/>
    <w:rsid w:val="00D71126"/>
    <w:rsid w:val="00D716AB"/>
    <w:rsid w:val="00D72075"/>
    <w:rsid w:val="00D72BEC"/>
    <w:rsid w:val="00D748BD"/>
    <w:rsid w:val="00D76CFF"/>
    <w:rsid w:val="00D77706"/>
    <w:rsid w:val="00D81E58"/>
    <w:rsid w:val="00D82424"/>
    <w:rsid w:val="00D83E09"/>
    <w:rsid w:val="00D851F0"/>
    <w:rsid w:val="00D85D5E"/>
    <w:rsid w:val="00D85FF6"/>
    <w:rsid w:val="00D905E6"/>
    <w:rsid w:val="00D91CF9"/>
    <w:rsid w:val="00D92A74"/>
    <w:rsid w:val="00D9300D"/>
    <w:rsid w:val="00D934D5"/>
    <w:rsid w:val="00D9639E"/>
    <w:rsid w:val="00D96DEA"/>
    <w:rsid w:val="00DA033C"/>
    <w:rsid w:val="00DA6E74"/>
    <w:rsid w:val="00DA6EAE"/>
    <w:rsid w:val="00DA7B68"/>
    <w:rsid w:val="00DB1709"/>
    <w:rsid w:val="00DC007E"/>
    <w:rsid w:val="00DC099D"/>
    <w:rsid w:val="00DC09F1"/>
    <w:rsid w:val="00DC0F07"/>
    <w:rsid w:val="00DC2B14"/>
    <w:rsid w:val="00DD2E10"/>
    <w:rsid w:val="00DD5BB1"/>
    <w:rsid w:val="00DD6632"/>
    <w:rsid w:val="00DD726B"/>
    <w:rsid w:val="00DE1FDB"/>
    <w:rsid w:val="00DE3B68"/>
    <w:rsid w:val="00DE519D"/>
    <w:rsid w:val="00DE58D5"/>
    <w:rsid w:val="00DE6572"/>
    <w:rsid w:val="00DF0879"/>
    <w:rsid w:val="00DF1755"/>
    <w:rsid w:val="00DF182A"/>
    <w:rsid w:val="00DF2A9F"/>
    <w:rsid w:val="00DF42FA"/>
    <w:rsid w:val="00DF4629"/>
    <w:rsid w:val="00DF556B"/>
    <w:rsid w:val="00E013FF"/>
    <w:rsid w:val="00E0151F"/>
    <w:rsid w:val="00E018A8"/>
    <w:rsid w:val="00E02C5F"/>
    <w:rsid w:val="00E05812"/>
    <w:rsid w:val="00E07762"/>
    <w:rsid w:val="00E12951"/>
    <w:rsid w:val="00E13276"/>
    <w:rsid w:val="00E20ABF"/>
    <w:rsid w:val="00E307DA"/>
    <w:rsid w:val="00E31057"/>
    <w:rsid w:val="00E33133"/>
    <w:rsid w:val="00E36235"/>
    <w:rsid w:val="00E37C3A"/>
    <w:rsid w:val="00E400B7"/>
    <w:rsid w:val="00E4422C"/>
    <w:rsid w:val="00E479F0"/>
    <w:rsid w:val="00E51E06"/>
    <w:rsid w:val="00E52907"/>
    <w:rsid w:val="00E52DEB"/>
    <w:rsid w:val="00E54257"/>
    <w:rsid w:val="00E56A99"/>
    <w:rsid w:val="00E57C3E"/>
    <w:rsid w:val="00E57F16"/>
    <w:rsid w:val="00E60879"/>
    <w:rsid w:val="00E6542F"/>
    <w:rsid w:val="00E71A07"/>
    <w:rsid w:val="00E72FEB"/>
    <w:rsid w:val="00E7325F"/>
    <w:rsid w:val="00E73D20"/>
    <w:rsid w:val="00E7537C"/>
    <w:rsid w:val="00E76FFD"/>
    <w:rsid w:val="00E8086D"/>
    <w:rsid w:val="00E86988"/>
    <w:rsid w:val="00E86B92"/>
    <w:rsid w:val="00E903F3"/>
    <w:rsid w:val="00E91977"/>
    <w:rsid w:val="00E93587"/>
    <w:rsid w:val="00E93725"/>
    <w:rsid w:val="00E9492B"/>
    <w:rsid w:val="00E95010"/>
    <w:rsid w:val="00E95E27"/>
    <w:rsid w:val="00E97A66"/>
    <w:rsid w:val="00EA0061"/>
    <w:rsid w:val="00EA1336"/>
    <w:rsid w:val="00EA3DBF"/>
    <w:rsid w:val="00EA6893"/>
    <w:rsid w:val="00EB1D37"/>
    <w:rsid w:val="00EB2556"/>
    <w:rsid w:val="00EB2AA4"/>
    <w:rsid w:val="00EB381E"/>
    <w:rsid w:val="00EB4DF8"/>
    <w:rsid w:val="00EB541B"/>
    <w:rsid w:val="00EB5814"/>
    <w:rsid w:val="00ED3EB4"/>
    <w:rsid w:val="00ED4AD3"/>
    <w:rsid w:val="00ED56CB"/>
    <w:rsid w:val="00ED6F15"/>
    <w:rsid w:val="00EE28A5"/>
    <w:rsid w:val="00EE2C52"/>
    <w:rsid w:val="00EE2DC9"/>
    <w:rsid w:val="00EE30E9"/>
    <w:rsid w:val="00EE3B63"/>
    <w:rsid w:val="00EE5A87"/>
    <w:rsid w:val="00EF1EEB"/>
    <w:rsid w:val="00EF4580"/>
    <w:rsid w:val="00EF4C70"/>
    <w:rsid w:val="00EF4CF6"/>
    <w:rsid w:val="00EF512F"/>
    <w:rsid w:val="00EF6D74"/>
    <w:rsid w:val="00F004E3"/>
    <w:rsid w:val="00F0092E"/>
    <w:rsid w:val="00F03568"/>
    <w:rsid w:val="00F039BB"/>
    <w:rsid w:val="00F07B00"/>
    <w:rsid w:val="00F10434"/>
    <w:rsid w:val="00F107E4"/>
    <w:rsid w:val="00F12B42"/>
    <w:rsid w:val="00F13651"/>
    <w:rsid w:val="00F14D19"/>
    <w:rsid w:val="00F151D0"/>
    <w:rsid w:val="00F15216"/>
    <w:rsid w:val="00F153BF"/>
    <w:rsid w:val="00F164D5"/>
    <w:rsid w:val="00F20FFF"/>
    <w:rsid w:val="00F26DBE"/>
    <w:rsid w:val="00F27B38"/>
    <w:rsid w:val="00F31870"/>
    <w:rsid w:val="00F324D7"/>
    <w:rsid w:val="00F33A13"/>
    <w:rsid w:val="00F35640"/>
    <w:rsid w:val="00F37B3A"/>
    <w:rsid w:val="00F37F55"/>
    <w:rsid w:val="00F428A8"/>
    <w:rsid w:val="00F46141"/>
    <w:rsid w:val="00F46548"/>
    <w:rsid w:val="00F50ED9"/>
    <w:rsid w:val="00F51A40"/>
    <w:rsid w:val="00F53362"/>
    <w:rsid w:val="00F54366"/>
    <w:rsid w:val="00F548F9"/>
    <w:rsid w:val="00F559A2"/>
    <w:rsid w:val="00F61E5B"/>
    <w:rsid w:val="00F6402A"/>
    <w:rsid w:val="00F644DE"/>
    <w:rsid w:val="00F6460B"/>
    <w:rsid w:val="00F646C4"/>
    <w:rsid w:val="00F6762B"/>
    <w:rsid w:val="00F67947"/>
    <w:rsid w:val="00F67AC4"/>
    <w:rsid w:val="00F70B10"/>
    <w:rsid w:val="00F73075"/>
    <w:rsid w:val="00F74E31"/>
    <w:rsid w:val="00F75776"/>
    <w:rsid w:val="00F75F42"/>
    <w:rsid w:val="00F76E53"/>
    <w:rsid w:val="00F81A6E"/>
    <w:rsid w:val="00F81DE5"/>
    <w:rsid w:val="00F81FC1"/>
    <w:rsid w:val="00F831B0"/>
    <w:rsid w:val="00F83E6E"/>
    <w:rsid w:val="00F8484A"/>
    <w:rsid w:val="00F85617"/>
    <w:rsid w:val="00F93C17"/>
    <w:rsid w:val="00F94D06"/>
    <w:rsid w:val="00F9555E"/>
    <w:rsid w:val="00F97887"/>
    <w:rsid w:val="00F97D2F"/>
    <w:rsid w:val="00FA06D1"/>
    <w:rsid w:val="00FA2130"/>
    <w:rsid w:val="00FA24E9"/>
    <w:rsid w:val="00FA41DA"/>
    <w:rsid w:val="00FA4DDC"/>
    <w:rsid w:val="00FA5D72"/>
    <w:rsid w:val="00FA734B"/>
    <w:rsid w:val="00FA75F2"/>
    <w:rsid w:val="00FB042C"/>
    <w:rsid w:val="00FB3B10"/>
    <w:rsid w:val="00FB3DC8"/>
    <w:rsid w:val="00FB4AB8"/>
    <w:rsid w:val="00FB640B"/>
    <w:rsid w:val="00FB682B"/>
    <w:rsid w:val="00FC642C"/>
    <w:rsid w:val="00FC7108"/>
    <w:rsid w:val="00FC7327"/>
    <w:rsid w:val="00FD0233"/>
    <w:rsid w:val="00FD5021"/>
    <w:rsid w:val="00FE1825"/>
    <w:rsid w:val="00FE3F5C"/>
    <w:rsid w:val="00FE4574"/>
    <w:rsid w:val="00FE4D01"/>
    <w:rsid w:val="00FF0C81"/>
    <w:rsid w:val="00FF3CC3"/>
    <w:rsid w:val="00FF3D85"/>
    <w:rsid w:val="00FF6053"/>
    <w:rsid w:val="00FF69EC"/>
    <w:rsid w:val="00FF7405"/>
    <w:rsid w:val="00FF7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75FB99"/>
  <w15:chartTrackingRefBased/>
  <w15:docId w15:val="{D07BE408-58B9-4ED5-86BB-FA2DF821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3AB"/>
    <w:pPr>
      <w:spacing w:after="200" w:line="276" w:lineRule="auto"/>
      <w:jc w:val="both"/>
    </w:pPr>
  </w:style>
  <w:style w:type="paragraph" w:styleId="Heading1">
    <w:name w:val="heading 1"/>
    <w:basedOn w:val="Normal"/>
    <w:next w:val="Normal"/>
    <w:link w:val="Heading1Char"/>
    <w:uiPriority w:val="9"/>
    <w:qFormat/>
    <w:rsid w:val="007E0DD3"/>
    <w:pPr>
      <w:keepNext/>
      <w:spacing w:after="240" w:line="240" w:lineRule="auto"/>
      <w:outlineLvl w:val="0"/>
    </w:pPr>
    <w:rPr>
      <w:rFonts w:eastAsia="Times New Roman" w:cs="Times New Roman"/>
      <w:b/>
      <w:bCs/>
      <w:caps/>
      <w:sz w:val="28"/>
      <w:szCs w:val="28"/>
      <w:lang w:val="en-GB"/>
    </w:rPr>
  </w:style>
  <w:style w:type="paragraph" w:styleId="Heading2">
    <w:name w:val="heading 2"/>
    <w:basedOn w:val="Normal"/>
    <w:next w:val="Normal"/>
    <w:link w:val="Heading2Char"/>
    <w:uiPriority w:val="9"/>
    <w:qFormat/>
    <w:rsid w:val="00C04BF9"/>
    <w:pPr>
      <w:keepNext/>
      <w:keepLines/>
      <w:spacing w:before="700" w:after="300"/>
      <w:jc w:val="left"/>
      <w:outlineLvl w:val="1"/>
    </w:pPr>
    <w:rPr>
      <w:rFonts w:ascii="Century Gothic" w:eastAsia="Times New Roman" w:hAnsi="Century Gothic" w:cs="Times New Roman"/>
      <w:b/>
      <w:bCs/>
      <w:color w:val="4472C4"/>
      <w:sz w:val="28"/>
      <w:szCs w:val="28"/>
    </w:rPr>
  </w:style>
  <w:style w:type="paragraph" w:styleId="Heading3">
    <w:name w:val="heading 3"/>
    <w:basedOn w:val="Normal"/>
    <w:next w:val="Normal"/>
    <w:link w:val="Heading3Char"/>
    <w:autoRedefine/>
    <w:uiPriority w:val="9"/>
    <w:qFormat/>
    <w:rsid w:val="0077686B"/>
    <w:pPr>
      <w:keepNext/>
      <w:keepLines/>
      <w:spacing w:before="300"/>
      <w:jc w:val="left"/>
      <w:outlineLvl w:val="2"/>
    </w:pPr>
    <w:rPr>
      <w:rFonts w:ascii="Century Gothic" w:eastAsia="Times New Roman" w:hAnsi="Century Gothic" w:cs="Times New Roman"/>
      <w:b/>
      <w:bCs/>
      <w:color w:val="00AB51"/>
      <w:szCs w:val="24"/>
      <w:lang w:val="en-GB"/>
    </w:rPr>
  </w:style>
  <w:style w:type="paragraph" w:styleId="Heading4">
    <w:name w:val="heading 4"/>
    <w:basedOn w:val="Normal"/>
    <w:next w:val="Normal"/>
    <w:link w:val="Heading4Char"/>
    <w:uiPriority w:val="9"/>
    <w:qFormat/>
    <w:rsid w:val="00F76E53"/>
    <w:pPr>
      <w:keepNext/>
      <w:spacing w:before="400"/>
      <w:jc w:val="left"/>
      <w:outlineLvl w:val="3"/>
    </w:pPr>
    <w:rPr>
      <w:color w:val="00AB51"/>
      <w:szCs w:val="24"/>
    </w:rPr>
  </w:style>
  <w:style w:type="paragraph" w:styleId="Heading5">
    <w:name w:val="heading 5"/>
    <w:basedOn w:val="Normal"/>
    <w:next w:val="Normal"/>
    <w:link w:val="Heading5Char"/>
    <w:uiPriority w:val="9"/>
    <w:qFormat/>
    <w:rsid w:val="00F76E53"/>
    <w:pPr>
      <w:keepNext/>
      <w:numPr>
        <w:ilvl w:val="4"/>
        <w:numId w:val="1"/>
      </w:numPr>
      <w:spacing w:after="0" w:line="240" w:lineRule="auto"/>
      <w:jc w:val="center"/>
      <w:outlineLvl w:val="4"/>
    </w:pPr>
    <w:rPr>
      <w:rFonts w:ascii="Times New Roman" w:eastAsia="Times New Roman" w:hAnsi="Times New Roman" w:cs="Times New Roman"/>
      <w:b/>
      <w:szCs w:val="20"/>
    </w:rPr>
  </w:style>
  <w:style w:type="paragraph" w:styleId="Heading6">
    <w:name w:val="heading 6"/>
    <w:basedOn w:val="Normal"/>
    <w:next w:val="Normal"/>
    <w:link w:val="Heading6Char"/>
    <w:uiPriority w:val="9"/>
    <w:semiHidden/>
    <w:unhideWhenUsed/>
    <w:qFormat/>
    <w:rsid w:val="00F76E53"/>
    <w:pPr>
      <w:spacing w:after="120" w:line="252" w:lineRule="auto"/>
      <w:jc w:val="center"/>
      <w:outlineLvl w:val="5"/>
    </w:pPr>
    <w:rPr>
      <w:rFonts w:asciiTheme="majorHAnsi" w:eastAsiaTheme="majorEastAsia" w:hAnsiTheme="majorHAnsi" w:cstheme="majorBidi"/>
      <w:caps/>
      <w:color w:val="C45911" w:themeColor="accent2" w:themeShade="BF"/>
      <w:spacing w:val="10"/>
    </w:rPr>
  </w:style>
  <w:style w:type="paragraph" w:styleId="Heading7">
    <w:name w:val="heading 7"/>
    <w:basedOn w:val="Normal"/>
    <w:next w:val="Normal"/>
    <w:link w:val="Heading7Char"/>
    <w:uiPriority w:val="9"/>
    <w:qFormat/>
    <w:rsid w:val="00F76E53"/>
    <w:pPr>
      <w:keepNext/>
      <w:numPr>
        <w:ilvl w:val="6"/>
        <w:numId w:val="1"/>
      </w:numPr>
      <w:spacing w:after="0" w:line="240" w:lineRule="auto"/>
      <w:outlineLvl w:val="6"/>
    </w:pPr>
    <w:rPr>
      <w:rFonts w:ascii="Times New Roman" w:eastAsia="Times New Roman" w:hAnsi="Times New Roman" w:cs="Times New Roman"/>
      <w:b/>
      <w:bCs/>
      <w:szCs w:val="20"/>
    </w:rPr>
  </w:style>
  <w:style w:type="paragraph" w:styleId="Heading8">
    <w:name w:val="heading 8"/>
    <w:basedOn w:val="Normal"/>
    <w:next w:val="Normal"/>
    <w:link w:val="Heading8Char"/>
    <w:uiPriority w:val="9"/>
    <w:qFormat/>
    <w:rsid w:val="00F76E53"/>
    <w:pPr>
      <w:keepNext/>
      <w:numPr>
        <w:ilvl w:val="7"/>
        <w:numId w:val="1"/>
      </w:numPr>
      <w:spacing w:after="0" w:line="240" w:lineRule="auto"/>
      <w:jc w:val="center"/>
      <w:outlineLvl w:val="7"/>
    </w:pPr>
    <w:rPr>
      <w:rFonts w:ascii="Times New Roman" w:eastAsia="Times New Roman" w:hAnsi="Times New Roman" w:cs="Times New Roman"/>
      <w:b/>
      <w:szCs w:val="24"/>
    </w:rPr>
  </w:style>
  <w:style w:type="paragraph" w:styleId="Heading9">
    <w:name w:val="heading 9"/>
    <w:basedOn w:val="Normal"/>
    <w:next w:val="Normal"/>
    <w:link w:val="Heading9Char"/>
    <w:uiPriority w:val="9"/>
    <w:qFormat/>
    <w:rsid w:val="00F76E53"/>
    <w:pPr>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0DD3"/>
    <w:rPr>
      <w:rFonts w:eastAsia="Times New Roman" w:cs="Times New Roman"/>
      <w:b/>
      <w:bCs/>
      <w:caps/>
      <w:sz w:val="28"/>
      <w:szCs w:val="28"/>
      <w:lang w:val="en-GB"/>
    </w:rPr>
  </w:style>
  <w:style w:type="character" w:customStyle="1" w:styleId="Heading2Char">
    <w:name w:val="Heading 2 Char"/>
    <w:basedOn w:val="DefaultParagraphFont"/>
    <w:link w:val="Heading2"/>
    <w:uiPriority w:val="9"/>
    <w:rsid w:val="00C04BF9"/>
    <w:rPr>
      <w:rFonts w:ascii="Century Gothic" w:eastAsia="Times New Roman" w:hAnsi="Century Gothic" w:cs="Times New Roman"/>
      <w:b/>
      <w:bCs/>
      <w:color w:val="4472C4"/>
      <w:sz w:val="28"/>
      <w:szCs w:val="28"/>
    </w:rPr>
  </w:style>
  <w:style w:type="character" w:customStyle="1" w:styleId="Heading3Char">
    <w:name w:val="Heading 3 Char"/>
    <w:basedOn w:val="DefaultParagraphFont"/>
    <w:link w:val="Heading3"/>
    <w:uiPriority w:val="9"/>
    <w:rsid w:val="0077686B"/>
    <w:rPr>
      <w:rFonts w:ascii="Century Gothic" w:eastAsia="Times New Roman" w:hAnsi="Century Gothic" w:cs="Times New Roman"/>
      <w:b/>
      <w:bCs/>
      <w:color w:val="00AB51"/>
      <w:szCs w:val="24"/>
      <w:lang w:val="en-GB"/>
    </w:rPr>
  </w:style>
  <w:style w:type="character" w:customStyle="1" w:styleId="Heading4Char">
    <w:name w:val="Heading 4 Char"/>
    <w:basedOn w:val="DefaultParagraphFont"/>
    <w:link w:val="Heading4"/>
    <w:uiPriority w:val="9"/>
    <w:rsid w:val="00F76E53"/>
    <w:rPr>
      <w:color w:val="00AB51"/>
      <w:sz w:val="24"/>
      <w:szCs w:val="24"/>
    </w:rPr>
  </w:style>
  <w:style w:type="character" w:customStyle="1" w:styleId="Heading5Char">
    <w:name w:val="Heading 5 Char"/>
    <w:basedOn w:val="DefaultParagraphFont"/>
    <w:link w:val="Heading5"/>
    <w:uiPriority w:val="9"/>
    <w:rsid w:val="00F76E53"/>
    <w:rPr>
      <w:rFonts w:ascii="Times New Roman" w:eastAsia="Times New Roman" w:hAnsi="Times New Roman" w:cs="Times New Roman"/>
      <w:b/>
      <w:szCs w:val="20"/>
    </w:rPr>
  </w:style>
  <w:style w:type="character" w:customStyle="1" w:styleId="Heading6Char">
    <w:name w:val="Heading 6 Char"/>
    <w:basedOn w:val="DefaultParagraphFont"/>
    <w:link w:val="Heading6"/>
    <w:uiPriority w:val="9"/>
    <w:semiHidden/>
    <w:rsid w:val="00F76E53"/>
    <w:rPr>
      <w:rFonts w:asciiTheme="majorHAnsi" w:eastAsiaTheme="majorEastAsia" w:hAnsiTheme="majorHAnsi" w:cstheme="majorBidi"/>
      <w:caps/>
      <w:color w:val="C45911" w:themeColor="accent2" w:themeShade="BF"/>
      <w:spacing w:val="10"/>
      <w:sz w:val="24"/>
    </w:rPr>
  </w:style>
  <w:style w:type="character" w:customStyle="1" w:styleId="Heading7Char">
    <w:name w:val="Heading 7 Char"/>
    <w:basedOn w:val="DefaultParagraphFont"/>
    <w:link w:val="Heading7"/>
    <w:uiPriority w:val="9"/>
    <w:rsid w:val="00F76E53"/>
    <w:rPr>
      <w:rFonts w:ascii="Times New Roman" w:eastAsia="Times New Roman" w:hAnsi="Times New Roman" w:cs="Times New Roman"/>
      <w:b/>
      <w:bCs/>
      <w:szCs w:val="20"/>
    </w:rPr>
  </w:style>
  <w:style w:type="character" w:customStyle="1" w:styleId="Heading8Char">
    <w:name w:val="Heading 8 Char"/>
    <w:basedOn w:val="DefaultParagraphFont"/>
    <w:link w:val="Heading8"/>
    <w:uiPriority w:val="9"/>
    <w:rsid w:val="00F76E53"/>
    <w:rPr>
      <w:rFonts w:ascii="Times New Roman" w:eastAsia="Times New Roman" w:hAnsi="Times New Roman" w:cs="Times New Roman"/>
      <w:b/>
      <w:szCs w:val="24"/>
    </w:rPr>
  </w:style>
  <w:style w:type="character" w:customStyle="1" w:styleId="Heading9Char">
    <w:name w:val="Heading 9 Char"/>
    <w:basedOn w:val="DefaultParagraphFont"/>
    <w:link w:val="Heading9"/>
    <w:uiPriority w:val="9"/>
    <w:rsid w:val="00F76E53"/>
    <w:rPr>
      <w:rFonts w:ascii="Arial" w:eastAsia="Times New Roman" w:hAnsi="Arial" w:cs="Arial"/>
    </w:rPr>
  </w:style>
  <w:style w:type="paragraph" w:styleId="FootnoteText">
    <w:name w:val="footnote text"/>
    <w:aliases w:val="fn,single space,footnote text,FOOTNOTES,Footnote Text Char1,Footnote Text Char Char,Footnote Text Char Char Char Char Char Char,Carattere Carattere Char Char Char Char,ftref Char Char Char Char,Char Char Char Char Char Char,ftref Char Cha"/>
    <w:basedOn w:val="Normal"/>
    <w:link w:val="FootnoteTextChar"/>
    <w:uiPriority w:val="99"/>
    <w:qFormat/>
    <w:rsid w:val="00F76E5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n Char,single space Char,footnote text Char,FOOTNOTES Char,Footnote Text Char1 Char,Footnote Text Char Char Char,Footnote Text Char Char Char Char Char Char Char,Carattere Carattere Char Char Char Char Char,ftref Char Cha Char"/>
    <w:basedOn w:val="DefaultParagraphFont"/>
    <w:link w:val="FootnoteText"/>
    <w:uiPriority w:val="99"/>
    <w:rsid w:val="00F76E53"/>
    <w:rPr>
      <w:rFonts w:ascii="Times New Roman" w:eastAsia="Times New Roman" w:hAnsi="Times New Roman" w:cs="Times New Roman"/>
      <w:sz w:val="20"/>
      <w:szCs w:val="20"/>
    </w:rPr>
  </w:style>
  <w:style w:type="character" w:styleId="FootnoteReference">
    <w:name w:val="footnote reference"/>
    <w:aliases w:val="ftref,Знак сноски-FN,16 Point,Superscript 6 Point,Footnote Reference Superscript,Footnote symbol,???? ??????-FN,Footnote Reference Number,Footnote Reference_LVL6,Footnote Reference_LVL61,Footnote Reference_LVL62,Footnote Reference_LVL"/>
    <w:link w:val="CharChar1CharCharCharChar1CharCharCharCharCharCharCharChar"/>
    <w:qFormat/>
    <w:rsid w:val="00F76E53"/>
    <w:rPr>
      <w:vertAlign w:val="superscript"/>
    </w:rPr>
  </w:style>
  <w:style w:type="paragraph" w:styleId="BodyText">
    <w:name w:val="Body Text"/>
    <w:basedOn w:val="Normal"/>
    <w:link w:val="BodyTextChar"/>
    <w:uiPriority w:val="99"/>
    <w:rsid w:val="00F76E53"/>
    <w:pPr>
      <w:spacing w:after="0" w:line="240" w:lineRule="auto"/>
      <w:jc w:val="center"/>
    </w:pPr>
    <w:rPr>
      <w:rFonts w:ascii="Times New Roman" w:eastAsia="Times New Roman" w:hAnsi="Times New Roman" w:cs="Times New Roman"/>
      <w:b/>
      <w:szCs w:val="20"/>
    </w:rPr>
  </w:style>
  <w:style w:type="character" w:customStyle="1" w:styleId="BodyTextChar">
    <w:name w:val="Body Text Char"/>
    <w:basedOn w:val="DefaultParagraphFont"/>
    <w:link w:val="BodyText"/>
    <w:uiPriority w:val="99"/>
    <w:rsid w:val="00F76E53"/>
    <w:rPr>
      <w:rFonts w:ascii="Times New Roman" w:eastAsia="Times New Roman" w:hAnsi="Times New Roman" w:cs="Times New Roman"/>
      <w:b/>
      <w:sz w:val="24"/>
      <w:szCs w:val="20"/>
    </w:rPr>
  </w:style>
  <w:style w:type="paragraph" w:customStyle="1" w:styleId="TableColumnSub-headings">
    <w:name w:val="Table Column Sub-headings"/>
    <w:basedOn w:val="Normal"/>
    <w:uiPriority w:val="99"/>
    <w:rsid w:val="00F76E53"/>
    <w:pPr>
      <w:spacing w:after="0" w:line="240" w:lineRule="auto"/>
      <w:jc w:val="center"/>
    </w:pPr>
    <w:rPr>
      <w:rFonts w:ascii="Times New Roman" w:eastAsia="Times New Roman" w:hAnsi="Times New Roman" w:cs="Times New Roman"/>
      <w:b/>
      <w:szCs w:val="20"/>
      <w:lang w:val="en-GB"/>
    </w:rPr>
  </w:style>
  <w:style w:type="paragraph" w:styleId="BodyText3">
    <w:name w:val="Body Text 3"/>
    <w:basedOn w:val="Normal"/>
    <w:link w:val="BodyText3Char"/>
    <w:uiPriority w:val="99"/>
    <w:rsid w:val="00F76E53"/>
    <w:pPr>
      <w:spacing w:after="0" w:line="240" w:lineRule="auto"/>
    </w:pPr>
    <w:rPr>
      <w:rFonts w:ascii="Times New Roman" w:eastAsia="Times New Roman" w:hAnsi="Times New Roman" w:cs="Times New Roman"/>
      <w:szCs w:val="20"/>
    </w:rPr>
  </w:style>
  <w:style w:type="character" w:customStyle="1" w:styleId="BodyText3Char">
    <w:name w:val="Body Text 3 Char"/>
    <w:basedOn w:val="DefaultParagraphFont"/>
    <w:link w:val="BodyText3"/>
    <w:uiPriority w:val="99"/>
    <w:rsid w:val="00F76E53"/>
    <w:rPr>
      <w:rFonts w:ascii="Times New Roman" w:eastAsia="Times New Roman" w:hAnsi="Times New Roman" w:cs="Times New Roman"/>
      <w:sz w:val="24"/>
      <w:szCs w:val="20"/>
    </w:rPr>
  </w:style>
  <w:style w:type="paragraph" w:customStyle="1" w:styleId="BodyText4">
    <w:name w:val="Body Text 4"/>
    <w:basedOn w:val="Normal"/>
    <w:uiPriority w:val="99"/>
    <w:rsid w:val="00F76E53"/>
    <w:pPr>
      <w:spacing w:after="0" w:line="240" w:lineRule="auto"/>
    </w:pPr>
    <w:rPr>
      <w:rFonts w:ascii="Times New Roman" w:eastAsia="Times New Roman" w:hAnsi="Times New Roman" w:cs="Times New Roman"/>
      <w:szCs w:val="20"/>
    </w:rPr>
  </w:style>
  <w:style w:type="paragraph" w:styleId="Header">
    <w:name w:val="header"/>
    <w:basedOn w:val="Normal"/>
    <w:link w:val="HeaderChar"/>
    <w:uiPriority w:val="99"/>
    <w:unhideWhenUsed/>
    <w:rsid w:val="00F76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E53"/>
    <w:rPr>
      <w:sz w:val="24"/>
    </w:rPr>
  </w:style>
  <w:style w:type="paragraph" w:styleId="Footer">
    <w:name w:val="footer"/>
    <w:basedOn w:val="Normal"/>
    <w:link w:val="FooterChar"/>
    <w:uiPriority w:val="99"/>
    <w:unhideWhenUsed/>
    <w:rsid w:val="00F76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E53"/>
    <w:rPr>
      <w:sz w:val="24"/>
    </w:rPr>
  </w:style>
  <w:style w:type="character" w:styleId="CommentReference">
    <w:name w:val="annotation reference"/>
    <w:basedOn w:val="DefaultParagraphFont"/>
    <w:uiPriority w:val="99"/>
    <w:unhideWhenUsed/>
    <w:rsid w:val="00F76E53"/>
    <w:rPr>
      <w:sz w:val="16"/>
      <w:szCs w:val="16"/>
    </w:rPr>
  </w:style>
  <w:style w:type="paragraph" w:styleId="CommentText">
    <w:name w:val="annotation text"/>
    <w:basedOn w:val="Normal"/>
    <w:link w:val="CommentTextChar"/>
    <w:uiPriority w:val="99"/>
    <w:unhideWhenUsed/>
    <w:rsid w:val="00F76E53"/>
    <w:pPr>
      <w:spacing w:line="240" w:lineRule="auto"/>
    </w:pPr>
    <w:rPr>
      <w:sz w:val="20"/>
      <w:szCs w:val="20"/>
    </w:rPr>
  </w:style>
  <w:style w:type="character" w:customStyle="1" w:styleId="CommentTextChar">
    <w:name w:val="Comment Text Char"/>
    <w:basedOn w:val="DefaultParagraphFont"/>
    <w:link w:val="CommentText"/>
    <w:uiPriority w:val="99"/>
    <w:rsid w:val="00F76E53"/>
    <w:rPr>
      <w:sz w:val="20"/>
      <w:szCs w:val="20"/>
    </w:rPr>
  </w:style>
  <w:style w:type="paragraph" w:styleId="CommentSubject">
    <w:name w:val="annotation subject"/>
    <w:basedOn w:val="CommentText"/>
    <w:next w:val="CommentText"/>
    <w:link w:val="CommentSubjectChar"/>
    <w:uiPriority w:val="99"/>
    <w:semiHidden/>
    <w:unhideWhenUsed/>
    <w:rsid w:val="00F76E53"/>
    <w:rPr>
      <w:b/>
      <w:bCs/>
    </w:rPr>
  </w:style>
  <w:style w:type="character" w:customStyle="1" w:styleId="CommentSubjectChar">
    <w:name w:val="Comment Subject Char"/>
    <w:basedOn w:val="CommentTextChar"/>
    <w:link w:val="CommentSubject"/>
    <w:uiPriority w:val="99"/>
    <w:semiHidden/>
    <w:rsid w:val="00F76E53"/>
    <w:rPr>
      <w:b/>
      <w:bCs/>
      <w:sz w:val="20"/>
      <w:szCs w:val="20"/>
    </w:rPr>
  </w:style>
  <w:style w:type="paragraph" w:styleId="BalloonText">
    <w:name w:val="Balloon Text"/>
    <w:basedOn w:val="Normal"/>
    <w:link w:val="BalloonTextChar"/>
    <w:uiPriority w:val="99"/>
    <w:semiHidden/>
    <w:unhideWhenUsed/>
    <w:rsid w:val="00F76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6E53"/>
    <w:rPr>
      <w:rFonts w:ascii="Segoe UI" w:hAnsi="Segoe UI" w:cs="Segoe UI"/>
      <w:sz w:val="18"/>
      <w:szCs w:val="18"/>
    </w:rPr>
  </w:style>
  <w:style w:type="table" w:styleId="TableGrid">
    <w:name w:val="Table Grid"/>
    <w:aliases w:val="TabelEcorys"/>
    <w:basedOn w:val="TableNormal"/>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numbered (a)),References,ReferencesCxSpLast,lp1,Numbered Paragraph,Main numbered paragraph,Numbered List Paragraph,123 List Paragraph,List Paragraph nowy,Liste 1,List_Paragraph,Multilevel para_II,List Paragraph1,Normal 2"/>
    <w:basedOn w:val="Normal"/>
    <w:link w:val="ListParagraphChar"/>
    <w:uiPriority w:val="34"/>
    <w:qFormat/>
    <w:rsid w:val="00F76E53"/>
    <w:pPr>
      <w:numPr>
        <w:numId w:val="5"/>
      </w:numPr>
      <w:spacing w:before="100" w:beforeAutospacing="1" w:after="100" w:afterAutospacing="1" w:line="240" w:lineRule="atLeast"/>
    </w:pPr>
    <w:rPr>
      <w:rFonts w:asciiTheme="majorBidi" w:eastAsia="Times New Roman" w:hAnsiTheme="majorBidi" w:cstheme="majorBidi"/>
    </w:rPr>
  </w:style>
  <w:style w:type="table" w:customStyle="1" w:styleId="TableGrid1">
    <w:name w:val="Table Grid1"/>
    <w:basedOn w:val="TableNormal"/>
    <w:next w:val="TableGrid"/>
    <w:uiPriority w:val="59"/>
    <w:rsid w:val="00F76E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Format">
    <w:name w:val="Question Format"/>
    <w:basedOn w:val="Normal"/>
    <w:uiPriority w:val="99"/>
    <w:rsid w:val="00F76E53"/>
    <w:pPr>
      <w:numPr>
        <w:numId w:val="3"/>
      </w:numPr>
      <w:tabs>
        <w:tab w:val="left" w:pos="720"/>
      </w:tabs>
      <w:spacing w:before="60" w:after="120" w:line="240" w:lineRule="auto"/>
    </w:pPr>
    <w:rPr>
      <w:rFonts w:ascii="Times New Roman" w:eastAsia="Times New Roman" w:hAnsi="Times New Roman" w:cs="Times New Roman"/>
      <w:sz w:val="20"/>
      <w:szCs w:val="20"/>
    </w:rPr>
  </w:style>
  <w:style w:type="paragraph" w:styleId="NormalWeb">
    <w:name w:val="Normal (Web)"/>
    <w:basedOn w:val="Normal"/>
    <w:uiPriority w:val="99"/>
    <w:rsid w:val="00F76E53"/>
    <w:pPr>
      <w:spacing w:beforeLines="1" w:afterLines="1" w:line="252" w:lineRule="auto"/>
    </w:pPr>
    <w:rPr>
      <w:rFonts w:ascii="Times" w:eastAsiaTheme="majorEastAsia" w:hAnsi="Times" w:cs="Times New Roman"/>
      <w:sz w:val="20"/>
      <w:szCs w:val="20"/>
    </w:rPr>
  </w:style>
  <w:style w:type="character" w:customStyle="1" w:styleId="apple-converted-space">
    <w:name w:val="apple-converted-space"/>
    <w:basedOn w:val="DefaultParagraphFont"/>
    <w:rsid w:val="00F76E53"/>
  </w:style>
  <w:style w:type="character" w:styleId="Hyperlink">
    <w:name w:val="Hyperlink"/>
    <w:basedOn w:val="DefaultParagraphFont"/>
    <w:uiPriority w:val="99"/>
    <w:unhideWhenUsed/>
    <w:rsid w:val="00F76E53"/>
    <w:rPr>
      <w:color w:val="0000FF"/>
      <w:u w:val="single"/>
    </w:rPr>
  </w:style>
  <w:style w:type="character" w:styleId="Strong">
    <w:name w:val="Strong"/>
    <w:basedOn w:val="DefaultParagraphFont"/>
    <w:uiPriority w:val="22"/>
    <w:qFormat/>
    <w:rsid w:val="00F76E53"/>
    <w:rPr>
      <w:b/>
      <w:bCs/>
    </w:rPr>
  </w:style>
  <w:style w:type="character" w:styleId="Emphasis">
    <w:name w:val="Emphasis"/>
    <w:uiPriority w:val="20"/>
    <w:qFormat/>
    <w:rsid w:val="00F76E53"/>
    <w:rPr>
      <w:caps/>
      <w:spacing w:val="5"/>
      <w:sz w:val="20"/>
      <w:szCs w:val="20"/>
    </w:rPr>
  </w:style>
  <w:style w:type="paragraph" w:customStyle="1" w:styleId="Para">
    <w:name w:val="Para"/>
    <w:basedOn w:val="Normal"/>
    <w:uiPriority w:val="99"/>
    <w:rsid w:val="00F76E53"/>
    <w:pPr>
      <w:numPr>
        <w:ilvl w:val="1"/>
        <w:numId w:val="4"/>
      </w:numPr>
      <w:spacing w:after="0" w:line="240" w:lineRule="auto"/>
      <w:ind w:left="0" w:firstLine="0"/>
    </w:pPr>
    <w:rPr>
      <w:rFonts w:ascii="Times New Roman" w:eastAsia="Times New Roman" w:hAnsi="Times New Roman" w:cs="Times New Roman"/>
      <w:szCs w:val="20"/>
    </w:rPr>
  </w:style>
  <w:style w:type="paragraph" w:customStyle="1" w:styleId="Default">
    <w:name w:val="Default"/>
    <w:uiPriority w:val="99"/>
    <w:rsid w:val="00F76E53"/>
    <w:pPr>
      <w:autoSpaceDE w:val="0"/>
      <w:autoSpaceDN w:val="0"/>
      <w:adjustRightInd w:val="0"/>
      <w:spacing w:after="0" w:line="240" w:lineRule="auto"/>
    </w:pPr>
    <w:rPr>
      <w:rFonts w:ascii="Eras Light ITC" w:eastAsiaTheme="majorEastAsia" w:hAnsi="Eras Light ITC" w:cs="Eras Light ITC"/>
      <w:color w:val="000000"/>
      <w:sz w:val="24"/>
      <w:szCs w:val="24"/>
    </w:rPr>
  </w:style>
  <w:style w:type="paragraph" w:customStyle="1" w:styleId="ecxmsonormal">
    <w:name w:val="ecxmsonormal"/>
    <w:basedOn w:val="Normal"/>
    <w:uiPriority w:val="99"/>
    <w:rsid w:val="00F76E53"/>
    <w:pPr>
      <w:spacing w:before="100" w:beforeAutospacing="1" w:after="100" w:afterAutospacing="1" w:line="240" w:lineRule="auto"/>
    </w:pPr>
    <w:rPr>
      <w:rFonts w:ascii="Times New Roman" w:eastAsia="Times New Roman" w:hAnsi="Times New Roman" w:cs="Times New Roman"/>
      <w:szCs w:val="24"/>
    </w:rPr>
  </w:style>
  <w:style w:type="character" w:styleId="FollowedHyperlink">
    <w:name w:val="FollowedHyperlink"/>
    <w:basedOn w:val="DefaultParagraphFont"/>
    <w:uiPriority w:val="99"/>
    <w:semiHidden/>
    <w:unhideWhenUsed/>
    <w:rsid w:val="00F76E53"/>
    <w:rPr>
      <w:color w:val="954F72" w:themeColor="followedHyperlink"/>
      <w:u w:val="single"/>
    </w:rPr>
  </w:style>
  <w:style w:type="paragraph" w:customStyle="1" w:styleId="ecxmsolistparagraph">
    <w:name w:val="ecxmsolistparagraph"/>
    <w:basedOn w:val="Normal"/>
    <w:uiPriority w:val="99"/>
    <w:rsid w:val="00F76E53"/>
    <w:pPr>
      <w:spacing w:before="100" w:beforeAutospacing="1" w:after="100" w:afterAutospacing="1" w:line="240" w:lineRule="auto"/>
    </w:pPr>
    <w:rPr>
      <w:rFonts w:ascii="Times New Roman" w:eastAsia="Times New Roman" w:hAnsi="Times New Roman" w:cs="Times New Roman"/>
      <w:szCs w:val="24"/>
    </w:rPr>
  </w:style>
  <w:style w:type="character" w:customStyle="1" w:styleId="A3">
    <w:name w:val="A3"/>
    <w:uiPriority w:val="99"/>
    <w:rsid w:val="00F76E53"/>
    <w:rPr>
      <w:rFonts w:cs="Telenor"/>
      <w:color w:val="000000"/>
      <w:sz w:val="18"/>
      <w:szCs w:val="18"/>
    </w:rPr>
  </w:style>
  <w:style w:type="paragraph" w:styleId="Caption">
    <w:name w:val="caption"/>
    <w:aliases w:val="Caption Char Char Char,Caption1 Char,Caption1,Table title,Figure Head,Figure Head Znak Znak,Figure Head Znak,quarterly chart caption"/>
    <w:basedOn w:val="Normal"/>
    <w:next w:val="Normal"/>
    <w:link w:val="CaptionChar"/>
    <w:uiPriority w:val="35"/>
    <w:unhideWhenUsed/>
    <w:qFormat/>
    <w:rsid w:val="00F76E53"/>
    <w:pPr>
      <w:keepNext/>
      <w:spacing w:before="120" w:after="120" w:line="240" w:lineRule="auto"/>
    </w:pPr>
    <w:rPr>
      <w:rFonts w:cstheme="majorBidi"/>
      <w:b/>
      <w:sz w:val="18"/>
      <w:szCs w:val="18"/>
      <w:lang w:val="en-GB"/>
    </w:rPr>
  </w:style>
  <w:style w:type="paragraph" w:customStyle="1" w:styleId="TableParagraph">
    <w:name w:val="Table Paragraph"/>
    <w:basedOn w:val="Normal"/>
    <w:uiPriority w:val="1"/>
    <w:qFormat/>
    <w:rsid w:val="00F76E53"/>
    <w:pPr>
      <w:widowControl w:val="0"/>
      <w:spacing w:after="0" w:line="240" w:lineRule="auto"/>
      <w:ind w:left="103"/>
    </w:pPr>
    <w:rPr>
      <w:rFonts w:ascii="Cambria" w:eastAsia="Cambria" w:hAnsi="Cambria" w:cs="Cambria"/>
    </w:rPr>
  </w:style>
  <w:style w:type="character" w:customStyle="1" w:styleId="A6">
    <w:name w:val="A6"/>
    <w:uiPriority w:val="99"/>
    <w:rsid w:val="00F76E53"/>
    <w:rPr>
      <w:rFonts w:cs="Minion"/>
      <w:color w:val="000000"/>
      <w:sz w:val="13"/>
      <w:szCs w:val="13"/>
    </w:rPr>
  </w:style>
  <w:style w:type="paragraph" w:styleId="TOCHeading">
    <w:name w:val="TOC Heading"/>
    <w:basedOn w:val="Heading1"/>
    <w:next w:val="Normal"/>
    <w:uiPriority w:val="39"/>
    <w:unhideWhenUsed/>
    <w:qFormat/>
    <w:rsid w:val="00F76E53"/>
    <w:pPr>
      <w:keepLines/>
      <w:spacing w:before="480" w:line="276" w:lineRule="auto"/>
      <w:jc w:val="left"/>
      <w:outlineLvl w:val="9"/>
    </w:pPr>
    <w:rPr>
      <w:rFonts w:asciiTheme="majorHAnsi" w:eastAsiaTheme="majorEastAsia" w:hAnsiTheme="majorHAnsi" w:cstheme="majorBidi"/>
      <w:caps w:val="0"/>
      <w:color w:val="2F5496" w:themeColor="accent1" w:themeShade="BF"/>
    </w:rPr>
  </w:style>
  <w:style w:type="paragraph" w:styleId="TOC1">
    <w:name w:val="toc 1"/>
    <w:basedOn w:val="Normal"/>
    <w:next w:val="Normal"/>
    <w:autoRedefine/>
    <w:uiPriority w:val="39"/>
    <w:unhideWhenUsed/>
    <w:rsid w:val="005B3FA1"/>
    <w:pPr>
      <w:tabs>
        <w:tab w:val="left" w:pos="360"/>
        <w:tab w:val="right" w:leader="dot" w:pos="9350"/>
      </w:tabs>
      <w:spacing w:after="100"/>
    </w:pPr>
    <w:rPr>
      <w:rFonts w:eastAsia="MS Gothic"/>
      <w:b/>
      <w:caps/>
      <w:noProof/>
      <w:color w:val="4472C4"/>
      <w:kern w:val="32"/>
    </w:rPr>
  </w:style>
  <w:style w:type="paragraph" w:styleId="TOC2">
    <w:name w:val="toc 2"/>
    <w:basedOn w:val="Normal"/>
    <w:next w:val="Normal"/>
    <w:autoRedefine/>
    <w:uiPriority w:val="39"/>
    <w:unhideWhenUsed/>
    <w:rsid w:val="0095770D"/>
    <w:pPr>
      <w:tabs>
        <w:tab w:val="left" w:pos="630"/>
        <w:tab w:val="right" w:leader="dot" w:pos="9350"/>
      </w:tabs>
      <w:spacing w:after="100"/>
      <w:ind w:left="648" w:hanging="288"/>
      <w:jc w:val="left"/>
    </w:pPr>
  </w:style>
  <w:style w:type="paragraph" w:styleId="TOC3">
    <w:name w:val="toc 3"/>
    <w:basedOn w:val="Normal"/>
    <w:next w:val="Normal"/>
    <w:autoRedefine/>
    <w:uiPriority w:val="39"/>
    <w:unhideWhenUsed/>
    <w:rsid w:val="00F76E53"/>
    <w:pPr>
      <w:spacing w:after="100"/>
      <w:ind w:left="440"/>
    </w:pPr>
  </w:style>
  <w:style w:type="character" w:styleId="LineNumber">
    <w:name w:val="line number"/>
    <w:basedOn w:val="DefaultParagraphFont"/>
    <w:uiPriority w:val="99"/>
    <w:semiHidden/>
    <w:unhideWhenUsed/>
    <w:rsid w:val="00F76E53"/>
  </w:style>
  <w:style w:type="character" w:customStyle="1" w:styleId="response-question-title-text2">
    <w:name w:val="response-question-title-text2"/>
    <w:basedOn w:val="DefaultParagraphFont"/>
    <w:rsid w:val="00F76E53"/>
    <w:rPr>
      <w:color w:val="333333"/>
    </w:rPr>
  </w:style>
  <w:style w:type="paragraph" w:styleId="Revision">
    <w:name w:val="Revision"/>
    <w:hidden/>
    <w:uiPriority w:val="99"/>
    <w:semiHidden/>
    <w:rsid w:val="00F76E53"/>
    <w:pPr>
      <w:spacing w:after="0" w:line="240" w:lineRule="auto"/>
    </w:pPr>
  </w:style>
  <w:style w:type="paragraph" w:styleId="Title">
    <w:name w:val="Title"/>
    <w:basedOn w:val="Normal"/>
    <w:next w:val="Normal"/>
    <w:link w:val="TitleChar"/>
    <w:uiPriority w:val="10"/>
    <w:qFormat/>
    <w:rsid w:val="00F76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6E53"/>
    <w:rPr>
      <w:rFonts w:asciiTheme="majorHAnsi" w:eastAsiaTheme="majorEastAsia" w:hAnsiTheme="majorHAnsi" w:cstheme="majorBidi"/>
      <w:spacing w:val="-10"/>
      <w:kern w:val="28"/>
      <w:sz w:val="56"/>
      <w:szCs w:val="56"/>
    </w:rPr>
  </w:style>
  <w:style w:type="character" w:styleId="IntenseEmphasis">
    <w:name w:val="Intense Emphasis"/>
    <w:basedOn w:val="DefaultParagraphFont"/>
    <w:uiPriority w:val="21"/>
    <w:qFormat/>
    <w:rsid w:val="00F76E53"/>
    <w:rPr>
      <w:i/>
      <w:iCs/>
      <w:color w:val="4472C4" w:themeColor="accent1"/>
    </w:rPr>
  </w:style>
  <w:style w:type="paragraph" w:styleId="ListBullet">
    <w:name w:val="List Bullet"/>
    <w:basedOn w:val="Normal"/>
    <w:uiPriority w:val="99"/>
    <w:unhideWhenUsed/>
    <w:rsid w:val="00F76E53"/>
    <w:pPr>
      <w:numPr>
        <w:numId w:val="7"/>
      </w:numPr>
      <w:contextualSpacing/>
    </w:pPr>
  </w:style>
  <w:style w:type="character" w:customStyle="1" w:styleId="ListParagraphChar">
    <w:name w:val="List Paragraph Char"/>
    <w:aliases w:val="List Paragraph (numbered (a)) Char,References Char,ReferencesCxSpLast Char,lp1 Char,Numbered Paragraph Char,Main numbered paragraph Char,Numbered List Paragraph Char,123 List Paragraph Char,List Paragraph nowy Char,Liste 1 Char"/>
    <w:basedOn w:val="DefaultParagraphFont"/>
    <w:link w:val="ListParagraph"/>
    <w:uiPriority w:val="34"/>
    <w:qFormat/>
    <w:rsid w:val="00F76E53"/>
    <w:rPr>
      <w:rFonts w:asciiTheme="majorBidi" w:eastAsia="Times New Roman" w:hAnsiTheme="majorBidi" w:cstheme="majorBidi"/>
    </w:rPr>
  </w:style>
  <w:style w:type="table" w:customStyle="1" w:styleId="TableGrid2">
    <w:name w:val="Table Grid2"/>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F76E53"/>
  </w:style>
  <w:style w:type="paragraph" w:customStyle="1" w:styleId="Pa20">
    <w:name w:val="Pa20"/>
    <w:basedOn w:val="Normal"/>
    <w:next w:val="Normal"/>
    <w:uiPriority w:val="99"/>
    <w:rsid w:val="00F76E53"/>
    <w:pPr>
      <w:autoSpaceDE w:val="0"/>
      <w:autoSpaceDN w:val="0"/>
      <w:adjustRightInd w:val="0"/>
      <w:spacing w:after="0" w:line="191" w:lineRule="atLeast"/>
    </w:pPr>
    <w:rPr>
      <w:rFonts w:ascii="Frutiger LT Std 55 Roman" w:hAnsi="Frutiger LT Std 55 Roman"/>
      <w:szCs w:val="24"/>
    </w:rPr>
  </w:style>
  <w:style w:type="paragraph" w:customStyle="1" w:styleId="Pa4">
    <w:name w:val="Pa4"/>
    <w:basedOn w:val="Normal"/>
    <w:next w:val="Normal"/>
    <w:uiPriority w:val="99"/>
    <w:rsid w:val="00F76E53"/>
    <w:pPr>
      <w:autoSpaceDE w:val="0"/>
      <w:autoSpaceDN w:val="0"/>
      <w:adjustRightInd w:val="0"/>
      <w:spacing w:after="0" w:line="191" w:lineRule="atLeast"/>
    </w:pPr>
    <w:rPr>
      <w:rFonts w:ascii="Frutiger LT Std 55 Roman" w:hAnsi="Frutiger LT Std 55 Roman"/>
      <w:szCs w:val="24"/>
    </w:rPr>
  </w:style>
  <w:style w:type="paragraph" w:customStyle="1" w:styleId="Pa0">
    <w:name w:val="Pa0"/>
    <w:basedOn w:val="Default"/>
    <w:next w:val="Default"/>
    <w:uiPriority w:val="99"/>
    <w:rsid w:val="00F76E53"/>
    <w:pPr>
      <w:spacing w:line="201" w:lineRule="atLeast"/>
    </w:pPr>
    <w:rPr>
      <w:rFonts w:ascii="BPreplay" w:eastAsiaTheme="minorHAnsi" w:hAnsi="BPreplay" w:cstheme="minorBidi"/>
      <w:color w:val="auto"/>
    </w:rPr>
  </w:style>
  <w:style w:type="table" w:customStyle="1" w:styleId="TableGrid3">
    <w:name w:val="Table Grid3"/>
    <w:basedOn w:val="TableNormal"/>
    <w:next w:val="TableGrid"/>
    <w:uiPriority w:val="59"/>
    <w:rsid w:val="00F76E53"/>
    <w:pPr>
      <w:spacing w:after="0" w:line="252" w:lineRule="auto"/>
    </w:pPr>
    <w:rPr>
      <w:rFonts w:ascii="Calibri" w:eastAsia="SimSu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F76E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5804792245143171979msolistparagraph">
    <w:name w:val="gmail-m-5804792245143171979msolistparagraph"/>
    <w:basedOn w:val="Normal"/>
    <w:uiPriority w:val="99"/>
    <w:rsid w:val="00F76E53"/>
    <w:pPr>
      <w:spacing w:before="100" w:beforeAutospacing="1" w:after="100" w:afterAutospacing="1" w:line="240" w:lineRule="auto"/>
    </w:pPr>
    <w:rPr>
      <w:rFonts w:ascii="Times New Roman" w:hAnsi="Times New Roman" w:cs="Times New Roman"/>
      <w:szCs w:val="24"/>
    </w:rPr>
  </w:style>
  <w:style w:type="paragraph" w:customStyle="1" w:styleId="Sub-Para1underXY">
    <w:name w:val="Sub-Para 1 under X.Y"/>
    <w:basedOn w:val="Normal"/>
    <w:uiPriority w:val="99"/>
    <w:rsid w:val="00F76E53"/>
    <w:pPr>
      <w:numPr>
        <w:ilvl w:val="2"/>
        <w:numId w:val="8"/>
      </w:numPr>
      <w:spacing w:after="240" w:line="240" w:lineRule="auto"/>
      <w:outlineLvl w:val="2"/>
    </w:pPr>
    <w:rPr>
      <w:rFonts w:ascii="Times New Roman" w:eastAsia="Times New Roman" w:hAnsi="Times New Roman" w:cs="Times New Roman"/>
      <w:szCs w:val="24"/>
    </w:rPr>
  </w:style>
  <w:style w:type="paragraph" w:customStyle="1" w:styleId="Sub-Para2underXY">
    <w:name w:val="Sub-Para 2 under X.Y"/>
    <w:basedOn w:val="Normal"/>
    <w:uiPriority w:val="99"/>
    <w:rsid w:val="00F76E53"/>
    <w:pPr>
      <w:numPr>
        <w:ilvl w:val="3"/>
        <w:numId w:val="8"/>
      </w:numPr>
      <w:spacing w:after="240" w:line="240" w:lineRule="auto"/>
      <w:outlineLvl w:val="3"/>
    </w:pPr>
    <w:rPr>
      <w:rFonts w:ascii="Times New Roman" w:eastAsia="Times New Roman" w:hAnsi="Times New Roman" w:cs="Times New Roman"/>
      <w:szCs w:val="24"/>
    </w:rPr>
  </w:style>
  <w:style w:type="paragraph" w:customStyle="1" w:styleId="Sub-Para3underXY">
    <w:name w:val="Sub-Para 3 under X.Y"/>
    <w:basedOn w:val="Normal"/>
    <w:uiPriority w:val="99"/>
    <w:rsid w:val="00F76E53"/>
    <w:pPr>
      <w:numPr>
        <w:ilvl w:val="4"/>
        <w:numId w:val="8"/>
      </w:numPr>
      <w:spacing w:after="240" w:line="240" w:lineRule="auto"/>
      <w:outlineLvl w:val="4"/>
    </w:pPr>
    <w:rPr>
      <w:rFonts w:ascii="Times New Roman" w:eastAsia="Times New Roman" w:hAnsi="Times New Roman" w:cs="Times New Roman"/>
      <w:szCs w:val="24"/>
    </w:rPr>
  </w:style>
  <w:style w:type="paragraph" w:customStyle="1" w:styleId="Sub-Para4underXY">
    <w:name w:val="Sub-Para 4 under X.Y"/>
    <w:basedOn w:val="Normal"/>
    <w:uiPriority w:val="99"/>
    <w:rsid w:val="00F76E53"/>
    <w:pPr>
      <w:numPr>
        <w:ilvl w:val="5"/>
        <w:numId w:val="8"/>
      </w:numPr>
      <w:spacing w:after="240" w:line="240" w:lineRule="auto"/>
      <w:outlineLvl w:val="5"/>
    </w:pPr>
    <w:rPr>
      <w:rFonts w:ascii="Times New Roman" w:eastAsia="Times New Roman" w:hAnsi="Times New Roman" w:cs="Times New Roman"/>
      <w:szCs w:val="24"/>
    </w:rPr>
  </w:style>
  <w:style w:type="paragraph" w:customStyle="1" w:styleId="MainParanoChapter">
    <w:name w:val="Main Para no Chapter #"/>
    <w:basedOn w:val="Normal"/>
    <w:uiPriority w:val="99"/>
    <w:rsid w:val="00F76E53"/>
    <w:pPr>
      <w:numPr>
        <w:ilvl w:val="1"/>
        <w:numId w:val="8"/>
      </w:numPr>
      <w:spacing w:after="240" w:line="240" w:lineRule="auto"/>
      <w:outlineLvl w:val="1"/>
    </w:pPr>
    <w:rPr>
      <w:rFonts w:ascii="Times New Roman" w:eastAsia="Times New Roman" w:hAnsi="Times New Roman" w:cs="Times New Roman"/>
      <w:szCs w:val="24"/>
    </w:rPr>
  </w:style>
  <w:style w:type="paragraph" w:styleId="NoSpacing">
    <w:name w:val="No Spacing"/>
    <w:link w:val="NoSpacingChar"/>
    <w:uiPriority w:val="1"/>
    <w:qFormat/>
    <w:rsid w:val="00F76E53"/>
    <w:pPr>
      <w:spacing w:after="0" w:line="240" w:lineRule="auto"/>
    </w:pPr>
    <w:rPr>
      <w:rFonts w:eastAsiaTheme="minorEastAsia"/>
    </w:rPr>
  </w:style>
  <w:style w:type="character" w:customStyle="1" w:styleId="NoSpacingChar">
    <w:name w:val="No Spacing Char"/>
    <w:basedOn w:val="DefaultParagraphFont"/>
    <w:link w:val="NoSpacing"/>
    <w:uiPriority w:val="1"/>
    <w:rsid w:val="00F76E53"/>
    <w:rPr>
      <w:rFonts w:eastAsiaTheme="minorEastAsia"/>
    </w:rPr>
  </w:style>
  <w:style w:type="paragraph" w:customStyle="1" w:styleId="StyleROSC">
    <w:name w:val="Style ROSC"/>
    <w:basedOn w:val="Normal"/>
    <w:link w:val="StyleROSCChar"/>
    <w:uiPriority w:val="99"/>
    <w:qFormat/>
    <w:rsid w:val="00F76E53"/>
    <w:pPr>
      <w:numPr>
        <w:numId w:val="9"/>
      </w:numPr>
      <w:spacing w:line="360" w:lineRule="auto"/>
    </w:pPr>
    <w:rPr>
      <w:rFonts w:ascii="Times New Roman" w:hAnsi="Times New Roman"/>
    </w:rPr>
  </w:style>
  <w:style w:type="character" w:customStyle="1" w:styleId="StyleROSCChar">
    <w:name w:val="Style ROSC Char"/>
    <w:basedOn w:val="DefaultParagraphFont"/>
    <w:link w:val="StyleROSC"/>
    <w:uiPriority w:val="99"/>
    <w:rsid w:val="00F76E53"/>
    <w:rPr>
      <w:rFonts w:ascii="Times New Roman" w:hAnsi="Times New Roman"/>
    </w:rPr>
  </w:style>
  <w:style w:type="numbering" w:customStyle="1" w:styleId="List17">
    <w:name w:val="List 17"/>
    <w:basedOn w:val="NoList"/>
    <w:rsid w:val="00F76E53"/>
    <w:pPr>
      <w:numPr>
        <w:numId w:val="12"/>
      </w:numPr>
    </w:pPr>
  </w:style>
  <w:style w:type="paragraph" w:customStyle="1" w:styleId="Body">
    <w:name w:val="Body"/>
    <w:uiPriority w:val="99"/>
    <w:rsid w:val="00F76E53"/>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table" w:customStyle="1" w:styleId="GridTable5Dark-Accent31">
    <w:name w:val="Grid Table 5 Dark - Accent 31"/>
    <w:basedOn w:val="TableNormal"/>
    <w:uiPriority w:val="50"/>
    <w:rsid w:val="00F76E53"/>
    <w:pPr>
      <w:spacing w:after="0" w:line="240" w:lineRule="auto"/>
    </w:pPr>
    <w:rPr>
      <w:lang w:val="en-SG"/>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ubtitle">
    <w:name w:val="Subtitle"/>
    <w:basedOn w:val="Normal"/>
    <w:next w:val="Normal"/>
    <w:link w:val="SubtitleChar"/>
    <w:uiPriority w:val="11"/>
    <w:qFormat/>
    <w:rsid w:val="00F76E53"/>
    <w:pPr>
      <w:spacing w:after="560" w:line="240" w:lineRule="auto"/>
      <w:jc w:val="center"/>
    </w:pPr>
    <w:rPr>
      <w:rFonts w:asciiTheme="majorHAnsi" w:eastAsiaTheme="majorEastAsia" w:hAnsiTheme="majorHAnsi" w:cstheme="majorBidi"/>
      <w:caps/>
      <w:spacing w:val="20"/>
      <w:sz w:val="18"/>
      <w:szCs w:val="18"/>
    </w:rPr>
  </w:style>
  <w:style w:type="character" w:customStyle="1" w:styleId="SubtitleChar">
    <w:name w:val="Subtitle Char"/>
    <w:basedOn w:val="DefaultParagraphFont"/>
    <w:link w:val="Subtitle"/>
    <w:uiPriority w:val="11"/>
    <w:rsid w:val="00F76E53"/>
    <w:rPr>
      <w:rFonts w:asciiTheme="majorHAnsi" w:eastAsiaTheme="majorEastAsia" w:hAnsiTheme="majorHAnsi" w:cstheme="majorBidi"/>
      <w:caps/>
      <w:spacing w:val="20"/>
      <w:sz w:val="18"/>
      <w:szCs w:val="18"/>
    </w:rPr>
  </w:style>
  <w:style w:type="paragraph" w:styleId="Quote">
    <w:name w:val="Quote"/>
    <w:basedOn w:val="Normal"/>
    <w:next w:val="Normal"/>
    <w:link w:val="QuoteChar"/>
    <w:uiPriority w:val="29"/>
    <w:qFormat/>
    <w:rsid w:val="00F76E53"/>
    <w:pPr>
      <w:spacing w:line="252" w:lineRule="auto"/>
    </w:pPr>
    <w:rPr>
      <w:rFonts w:asciiTheme="majorHAnsi" w:eastAsiaTheme="majorEastAsia" w:hAnsiTheme="majorHAnsi" w:cstheme="majorBidi"/>
      <w:i/>
      <w:iCs/>
    </w:rPr>
  </w:style>
  <w:style w:type="character" w:customStyle="1" w:styleId="QuoteChar">
    <w:name w:val="Quote Char"/>
    <w:basedOn w:val="DefaultParagraphFont"/>
    <w:link w:val="Quote"/>
    <w:uiPriority w:val="29"/>
    <w:rsid w:val="00F76E53"/>
    <w:rPr>
      <w:rFonts w:asciiTheme="majorHAnsi" w:eastAsiaTheme="majorEastAsia" w:hAnsiTheme="majorHAnsi" w:cstheme="majorBidi"/>
      <w:i/>
      <w:iCs/>
      <w:sz w:val="24"/>
    </w:rPr>
  </w:style>
  <w:style w:type="paragraph" w:styleId="IntenseQuote">
    <w:name w:val="Intense Quote"/>
    <w:basedOn w:val="Normal"/>
    <w:next w:val="Normal"/>
    <w:link w:val="IntenseQuoteChar"/>
    <w:uiPriority w:val="30"/>
    <w:qFormat/>
    <w:rsid w:val="00F76E53"/>
    <w:pPr>
      <w:pBdr>
        <w:top w:val="dotted" w:sz="2" w:space="10" w:color="833C0B" w:themeColor="accent2" w:themeShade="80"/>
        <w:bottom w:val="dotted" w:sz="2" w:space="4" w:color="833C0B" w:themeColor="accent2" w:themeShade="80"/>
      </w:pBdr>
      <w:spacing w:before="160" w:line="300" w:lineRule="auto"/>
      <w:ind w:left="1440" w:right="1440"/>
    </w:pPr>
    <w:rPr>
      <w:rFonts w:asciiTheme="majorHAnsi" w:eastAsiaTheme="majorEastAsia" w:hAnsiTheme="majorHAnsi" w:cstheme="majorBidi"/>
      <w:caps/>
      <w:color w:val="823B0B" w:themeColor="accent2" w:themeShade="7F"/>
      <w:spacing w:val="5"/>
      <w:sz w:val="20"/>
      <w:szCs w:val="20"/>
    </w:rPr>
  </w:style>
  <w:style w:type="character" w:customStyle="1" w:styleId="IntenseQuoteChar">
    <w:name w:val="Intense Quote Char"/>
    <w:basedOn w:val="DefaultParagraphFont"/>
    <w:link w:val="IntenseQuote"/>
    <w:uiPriority w:val="30"/>
    <w:rsid w:val="00F76E53"/>
    <w:rPr>
      <w:rFonts w:asciiTheme="majorHAnsi" w:eastAsiaTheme="majorEastAsia" w:hAnsiTheme="majorHAnsi" w:cstheme="majorBidi"/>
      <w:caps/>
      <w:color w:val="823B0B" w:themeColor="accent2" w:themeShade="7F"/>
      <w:spacing w:val="5"/>
      <w:sz w:val="20"/>
      <w:szCs w:val="20"/>
    </w:rPr>
  </w:style>
  <w:style w:type="character" w:styleId="SubtleEmphasis">
    <w:name w:val="Subtle Emphasis"/>
    <w:uiPriority w:val="19"/>
    <w:qFormat/>
    <w:rsid w:val="00F76E53"/>
    <w:rPr>
      <w:i/>
      <w:iCs/>
    </w:rPr>
  </w:style>
  <w:style w:type="character" w:styleId="SubtleReference">
    <w:name w:val="Subtle Reference"/>
    <w:basedOn w:val="DefaultParagraphFont"/>
    <w:uiPriority w:val="31"/>
    <w:qFormat/>
    <w:rsid w:val="00F76E53"/>
    <w:rPr>
      <w:rFonts w:asciiTheme="minorHAnsi" w:eastAsiaTheme="minorEastAsia" w:hAnsiTheme="minorHAnsi" w:cstheme="minorBidi"/>
      <w:i/>
      <w:iCs/>
      <w:color w:val="823B0B" w:themeColor="accent2" w:themeShade="7F"/>
    </w:rPr>
  </w:style>
  <w:style w:type="character" w:styleId="IntenseReference">
    <w:name w:val="Intense Reference"/>
    <w:uiPriority w:val="32"/>
    <w:qFormat/>
    <w:rsid w:val="00F76E53"/>
    <w:rPr>
      <w:rFonts w:asciiTheme="minorHAnsi" w:eastAsiaTheme="minorEastAsia" w:hAnsiTheme="minorHAnsi" w:cstheme="minorBidi"/>
      <w:b/>
      <w:bCs/>
      <w:i/>
      <w:iCs/>
      <w:color w:val="823B0B" w:themeColor="accent2" w:themeShade="7F"/>
    </w:rPr>
  </w:style>
  <w:style w:type="character" w:styleId="BookTitle">
    <w:name w:val="Book Title"/>
    <w:uiPriority w:val="33"/>
    <w:qFormat/>
    <w:rsid w:val="00F76E53"/>
    <w:rPr>
      <w:caps/>
      <w:color w:val="823B0B" w:themeColor="accent2" w:themeShade="7F"/>
      <w:spacing w:val="5"/>
      <w:u w:color="823B0B" w:themeColor="accent2" w:themeShade="7F"/>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rsid w:val="00F76E53"/>
    <w:pPr>
      <w:spacing w:line="240" w:lineRule="exact"/>
    </w:pPr>
    <w:rPr>
      <w:vertAlign w:val="superscript"/>
    </w:rPr>
  </w:style>
  <w:style w:type="paragraph" w:customStyle="1" w:styleId="StyleStyle11ptAfter12pt1Justified">
    <w:name w:val="Style Style 11 pt After:  12 pt1 + Justified"/>
    <w:basedOn w:val="Normal"/>
    <w:uiPriority w:val="99"/>
    <w:rsid w:val="00F76E53"/>
    <w:pPr>
      <w:numPr>
        <w:numId w:val="13"/>
      </w:numPr>
      <w:tabs>
        <w:tab w:val="left" w:pos="576"/>
      </w:tabs>
      <w:spacing w:after="240" w:line="240" w:lineRule="auto"/>
      <w:ind w:left="0" w:firstLine="0"/>
    </w:pPr>
    <w:rPr>
      <w:rFonts w:ascii="Times New Roman" w:eastAsia="Times New Roman" w:hAnsi="Times New Roman" w:cs="Times New Roman"/>
      <w:szCs w:val="20"/>
    </w:rPr>
  </w:style>
  <w:style w:type="character" w:customStyle="1" w:styleId="CaptionChar">
    <w:name w:val="Caption Char"/>
    <w:aliases w:val="Caption Char Char Char Char,Caption1 Char Char,Caption1 Char1,Table title Char,Figure Head Char,Figure Head Znak Znak Char,Figure Head Znak Char,quarterly chart caption Char"/>
    <w:basedOn w:val="DefaultParagraphFont"/>
    <w:link w:val="Caption"/>
    <w:uiPriority w:val="35"/>
    <w:locked/>
    <w:rsid w:val="00F76E53"/>
    <w:rPr>
      <w:rFonts w:cstheme="majorBidi"/>
      <w:b/>
      <w:sz w:val="18"/>
      <w:szCs w:val="18"/>
      <w:lang w:val="en-GB"/>
    </w:rPr>
  </w:style>
  <w:style w:type="paragraph" w:customStyle="1" w:styleId="Parastyle">
    <w:name w:val="Para style"/>
    <w:basedOn w:val="Normal"/>
    <w:uiPriority w:val="99"/>
    <w:qFormat/>
    <w:rsid w:val="00F76E53"/>
    <w:pPr>
      <w:numPr>
        <w:numId w:val="17"/>
      </w:numPr>
      <w:spacing w:before="120" w:after="240" w:line="240" w:lineRule="auto"/>
      <w:ind w:left="0" w:firstLine="0"/>
    </w:pPr>
    <w:rPr>
      <w:rFonts w:ascii="Times New Roman" w:eastAsia="Times New Roman" w:hAnsi="Times New Roman" w:cs="Times New Roman"/>
      <w:szCs w:val="24"/>
    </w:rPr>
  </w:style>
  <w:style w:type="paragraph" w:customStyle="1" w:styleId="Style2">
    <w:name w:val="Style2"/>
    <w:basedOn w:val="Normal"/>
    <w:link w:val="Style2Char"/>
    <w:qFormat/>
    <w:rsid w:val="00F76E53"/>
    <w:pPr>
      <w:autoSpaceDE w:val="0"/>
      <w:autoSpaceDN w:val="0"/>
      <w:adjustRightInd w:val="0"/>
      <w:spacing w:before="120" w:after="120" w:line="240" w:lineRule="auto"/>
    </w:pPr>
    <w:rPr>
      <w:rFonts w:ascii="Times New Roman" w:eastAsia="Calibri" w:hAnsi="Times New Roman" w:cs="Times New Roman"/>
      <w:szCs w:val="24"/>
    </w:rPr>
  </w:style>
  <w:style w:type="character" w:customStyle="1" w:styleId="Style2Char">
    <w:name w:val="Style2 Char"/>
    <w:link w:val="Style2"/>
    <w:rsid w:val="00F76E53"/>
    <w:rPr>
      <w:rFonts w:ascii="Times New Roman" w:eastAsia="Calibri" w:hAnsi="Times New Roman" w:cs="Times New Roman"/>
      <w:sz w:val="24"/>
      <w:szCs w:val="24"/>
    </w:rPr>
  </w:style>
  <w:style w:type="table" w:customStyle="1" w:styleId="TabelEcorys3">
    <w:name w:val="TabelEcorys3"/>
    <w:basedOn w:val="TableNormal"/>
    <w:next w:val="TableGrid"/>
    <w:uiPriority w:val="39"/>
    <w:rsid w:val="00F76E53"/>
    <w:pPr>
      <w:spacing w:before="12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76E53"/>
  </w:style>
  <w:style w:type="paragraph" w:styleId="EndnoteText">
    <w:name w:val="endnote text"/>
    <w:basedOn w:val="Normal"/>
    <w:link w:val="EndnoteTextChar"/>
    <w:uiPriority w:val="99"/>
    <w:semiHidden/>
    <w:unhideWhenUsed/>
    <w:rsid w:val="00F76E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6E53"/>
    <w:rPr>
      <w:sz w:val="20"/>
      <w:szCs w:val="20"/>
    </w:rPr>
  </w:style>
  <w:style w:type="character" w:styleId="EndnoteReference">
    <w:name w:val="endnote reference"/>
    <w:basedOn w:val="DefaultParagraphFont"/>
    <w:uiPriority w:val="99"/>
    <w:semiHidden/>
    <w:unhideWhenUsed/>
    <w:rsid w:val="00F76E53"/>
    <w:rPr>
      <w:vertAlign w:val="superscript"/>
    </w:rPr>
  </w:style>
  <w:style w:type="table" w:customStyle="1" w:styleId="TableGrid411">
    <w:name w:val="Table Grid411"/>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F76E5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Normal"/>
    <w:next w:val="Normal"/>
    <w:uiPriority w:val="99"/>
    <w:rsid w:val="00F76E53"/>
    <w:pPr>
      <w:autoSpaceDE w:val="0"/>
      <w:autoSpaceDN w:val="0"/>
      <w:adjustRightInd w:val="0"/>
      <w:spacing w:after="0" w:line="231" w:lineRule="atLeast"/>
      <w:jc w:val="left"/>
    </w:pPr>
    <w:rPr>
      <w:rFonts w:ascii="Palatino Linotype" w:hAnsi="Palatino Linotype"/>
      <w:szCs w:val="24"/>
    </w:rPr>
  </w:style>
  <w:style w:type="paragraph" w:customStyle="1" w:styleId="default0">
    <w:name w:val="default"/>
    <w:basedOn w:val="Normal"/>
    <w:uiPriority w:val="99"/>
    <w:rsid w:val="00F76E53"/>
    <w:pPr>
      <w:autoSpaceDE w:val="0"/>
      <w:autoSpaceDN w:val="0"/>
      <w:spacing w:after="0" w:line="240" w:lineRule="auto"/>
      <w:jc w:val="left"/>
    </w:pPr>
    <w:rPr>
      <w:rFonts w:ascii="Calibri" w:eastAsia="Times New Roman" w:hAnsi="Calibri" w:cs="Tahoma"/>
      <w:color w:val="000000"/>
      <w:szCs w:val="24"/>
      <w:lang w:bidi="th-TH"/>
    </w:rPr>
  </w:style>
  <w:style w:type="table" w:customStyle="1" w:styleId="TableGrid5">
    <w:name w:val="Table Grid5"/>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76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90502D"/>
    <w:pPr>
      <w:spacing w:beforeLines="1" w:afterLines="1" w:after="0" w:line="252" w:lineRule="auto"/>
    </w:pPr>
    <w:rPr>
      <w:rFonts w:ascii="Times" w:eastAsiaTheme="majorEastAsia" w:hAnsi="Times" w:cs="Times New Roman"/>
      <w:sz w:val="20"/>
      <w:szCs w:val="20"/>
    </w:rPr>
  </w:style>
  <w:style w:type="character" w:customStyle="1" w:styleId="FootnoteTextChar2">
    <w:name w:val="Footnote Text Char2"/>
    <w:aliases w:val="fn Char1,single space Char1,footnote text Char1,FOOTNOTES Char1,Footnote Text Char1 Char1,Footnote Text Char Char Char1,Footnote Text Char Char Char Char Char Char Char1,Carattere Carattere Char Char Char Char Char1"/>
    <w:basedOn w:val="DefaultParagraphFont"/>
    <w:uiPriority w:val="99"/>
    <w:semiHidden/>
    <w:rsid w:val="0090502D"/>
  </w:style>
  <w:style w:type="character" w:customStyle="1" w:styleId="normaltextrun1">
    <w:name w:val="normaltextrun1"/>
    <w:basedOn w:val="DefaultParagraphFont"/>
    <w:rsid w:val="00A25537"/>
  </w:style>
  <w:style w:type="table" w:styleId="GridTable4-Accent5">
    <w:name w:val="Grid Table 4 Accent 5"/>
    <w:basedOn w:val="TableNormal"/>
    <w:uiPriority w:val="49"/>
    <w:rsid w:val="00600FD1"/>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5">
    <w:name w:val="Grid Table 2 Accent 5"/>
    <w:basedOn w:val="TableNormal"/>
    <w:uiPriority w:val="47"/>
    <w:rsid w:val="00D45EF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5Dark-Accent6">
    <w:name w:val="List Table 5 Dark Accent 6"/>
    <w:basedOn w:val="TableNormal"/>
    <w:uiPriority w:val="50"/>
    <w:rsid w:val="0043573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315885">
      <w:bodyDiv w:val="1"/>
      <w:marLeft w:val="0"/>
      <w:marRight w:val="0"/>
      <w:marTop w:val="0"/>
      <w:marBottom w:val="0"/>
      <w:divBdr>
        <w:top w:val="none" w:sz="0" w:space="0" w:color="auto"/>
        <w:left w:val="none" w:sz="0" w:space="0" w:color="auto"/>
        <w:bottom w:val="none" w:sz="0" w:space="0" w:color="auto"/>
        <w:right w:val="none" w:sz="0" w:space="0" w:color="auto"/>
      </w:divBdr>
    </w:div>
    <w:div w:id="303120975">
      <w:bodyDiv w:val="1"/>
      <w:marLeft w:val="0"/>
      <w:marRight w:val="0"/>
      <w:marTop w:val="0"/>
      <w:marBottom w:val="0"/>
      <w:divBdr>
        <w:top w:val="none" w:sz="0" w:space="0" w:color="auto"/>
        <w:left w:val="none" w:sz="0" w:space="0" w:color="auto"/>
        <w:bottom w:val="none" w:sz="0" w:space="0" w:color="auto"/>
        <w:right w:val="none" w:sz="0" w:space="0" w:color="auto"/>
      </w:divBdr>
    </w:div>
    <w:div w:id="480078385">
      <w:bodyDiv w:val="1"/>
      <w:marLeft w:val="0"/>
      <w:marRight w:val="0"/>
      <w:marTop w:val="0"/>
      <w:marBottom w:val="0"/>
      <w:divBdr>
        <w:top w:val="none" w:sz="0" w:space="0" w:color="auto"/>
        <w:left w:val="none" w:sz="0" w:space="0" w:color="auto"/>
        <w:bottom w:val="none" w:sz="0" w:space="0" w:color="auto"/>
        <w:right w:val="none" w:sz="0" w:space="0" w:color="auto"/>
      </w:divBdr>
    </w:div>
    <w:div w:id="538326214">
      <w:bodyDiv w:val="1"/>
      <w:marLeft w:val="0"/>
      <w:marRight w:val="0"/>
      <w:marTop w:val="0"/>
      <w:marBottom w:val="0"/>
      <w:divBdr>
        <w:top w:val="none" w:sz="0" w:space="0" w:color="auto"/>
        <w:left w:val="none" w:sz="0" w:space="0" w:color="auto"/>
        <w:bottom w:val="none" w:sz="0" w:space="0" w:color="auto"/>
        <w:right w:val="none" w:sz="0" w:space="0" w:color="auto"/>
      </w:divBdr>
    </w:div>
    <w:div w:id="1228304113">
      <w:bodyDiv w:val="1"/>
      <w:marLeft w:val="0"/>
      <w:marRight w:val="0"/>
      <w:marTop w:val="0"/>
      <w:marBottom w:val="0"/>
      <w:divBdr>
        <w:top w:val="none" w:sz="0" w:space="0" w:color="auto"/>
        <w:left w:val="none" w:sz="0" w:space="0" w:color="auto"/>
        <w:bottom w:val="none" w:sz="0" w:space="0" w:color="auto"/>
        <w:right w:val="none" w:sz="0" w:space="0" w:color="auto"/>
      </w:divBdr>
    </w:div>
    <w:div w:id="1261840712">
      <w:bodyDiv w:val="1"/>
      <w:marLeft w:val="0"/>
      <w:marRight w:val="0"/>
      <w:marTop w:val="0"/>
      <w:marBottom w:val="0"/>
      <w:divBdr>
        <w:top w:val="none" w:sz="0" w:space="0" w:color="auto"/>
        <w:left w:val="none" w:sz="0" w:space="0" w:color="auto"/>
        <w:bottom w:val="none" w:sz="0" w:space="0" w:color="auto"/>
        <w:right w:val="none" w:sz="0" w:space="0" w:color="auto"/>
      </w:divBdr>
    </w:div>
    <w:div w:id="1274557071">
      <w:bodyDiv w:val="1"/>
      <w:marLeft w:val="0"/>
      <w:marRight w:val="0"/>
      <w:marTop w:val="0"/>
      <w:marBottom w:val="0"/>
      <w:divBdr>
        <w:top w:val="none" w:sz="0" w:space="0" w:color="auto"/>
        <w:left w:val="none" w:sz="0" w:space="0" w:color="auto"/>
        <w:bottom w:val="none" w:sz="0" w:space="0" w:color="auto"/>
        <w:right w:val="none" w:sz="0" w:space="0" w:color="auto"/>
      </w:divBdr>
    </w:div>
    <w:div w:id="1411848019">
      <w:bodyDiv w:val="1"/>
      <w:marLeft w:val="0"/>
      <w:marRight w:val="0"/>
      <w:marTop w:val="0"/>
      <w:marBottom w:val="0"/>
      <w:divBdr>
        <w:top w:val="none" w:sz="0" w:space="0" w:color="auto"/>
        <w:left w:val="none" w:sz="0" w:space="0" w:color="auto"/>
        <w:bottom w:val="none" w:sz="0" w:space="0" w:color="auto"/>
        <w:right w:val="none" w:sz="0" w:space="0" w:color="auto"/>
      </w:divBdr>
    </w:div>
    <w:div w:id="1553076738">
      <w:bodyDiv w:val="1"/>
      <w:marLeft w:val="0"/>
      <w:marRight w:val="0"/>
      <w:marTop w:val="0"/>
      <w:marBottom w:val="0"/>
      <w:divBdr>
        <w:top w:val="none" w:sz="0" w:space="0" w:color="auto"/>
        <w:left w:val="none" w:sz="0" w:space="0" w:color="auto"/>
        <w:bottom w:val="none" w:sz="0" w:space="0" w:color="auto"/>
        <w:right w:val="none" w:sz="0" w:space="0" w:color="auto"/>
      </w:divBdr>
    </w:div>
    <w:div w:id="1597984304">
      <w:bodyDiv w:val="1"/>
      <w:marLeft w:val="0"/>
      <w:marRight w:val="0"/>
      <w:marTop w:val="0"/>
      <w:marBottom w:val="0"/>
      <w:divBdr>
        <w:top w:val="none" w:sz="0" w:space="0" w:color="auto"/>
        <w:left w:val="none" w:sz="0" w:space="0" w:color="auto"/>
        <w:bottom w:val="none" w:sz="0" w:space="0" w:color="auto"/>
        <w:right w:val="none" w:sz="0" w:space="0" w:color="auto"/>
      </w:divBdr>
    </w:div>
    <w:div w:id="1882589771">
      <w:bodyDiv w:val="1"/>
      <w:marLeft w:val="0"/>
      <w:marRight w:val="0"/>
      <w:marTop w:val="0"/>
      <w:marBottom w:val="0"/>
      <w:divBdr>
        <w:top w:val="none" w:sz="0" w:space="0" w:color="auto"/>
        <w:left w:val="none" w:sz="0" w:space="0" w:color="auto"/>
        <w:bottom w:val="none" w:sz="0" w:space="0" w:color="auto"/>
        <w:right w:val="none" w:sz="0" w:space="0" w:color="auto"/>
      </w:divBdr>
    </w:div>
    <w:div w:id="209204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1.xml"/><Relationship Id="rId26" Type="http://schemas.openxmlformats.org/officeDocument/2006/relationships/diagramQuickStyle" Target="diagrams/quickStyle1.xml"/><Relationship Id="rId39" Type="http://schemas.openxmlformats.org/officeDocument/2006/relationships/image" Target="media/image12.jpeg"/><Relationship Id="rId21" Type="http://schemas.openxmlformats.org/officeDocument/2006/relationships/chart" Target="charts/chart2.xml"/><Relationship Id="rId34" Type="http://schemas.openxmlformats.org/officeDocument/2006/relationships/footer" Target="footer8.xm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Data" Target="diagrams/data1.xml"/><Relationship Id="rId32" Type="http://schemas.openxmlformats.org/officeDocument/2006/relationships/footer" Target="footer6.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microsoft.com/office/2007/relationships/diagramDrawing" Target="diagrams/drawing1.xml"/><Relationship Id="rId36" Type="http://schemas.openxmlformats.org/officeDocument/2006/relationships/footer" Target="footer9.xml"/><Relationship Id="rId10" Type="http://schemas.openxmlformats.org/officeDocument/2006/relationships/hyperlink" Target="mailto:pubrights@worldbank.org" TargetMode="External"/><Relationship Id="rId19" Type="http://schemas.openxmlformats.org/officeDocument/2006/relationships/footer" Target="footer2.xml"/><Relationship Id="rId31" Type="http://schemas.openxmlformats.org/officeDocument/2006/relationships/footer" Target="footer5.xml"/><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diagramColors" Target="diagrams/colors1.xml"/><Relationship Id="rId30" Type="http://schemas.openxmlformats.org/officeDocument/2006/relationships/footer" Target="footer4.xml"/><Relationship Id="rId35" Type="http://schemas.openxmlformats.org/officeDocument/2006/relationships/image" Target="media/image9.png"/><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diagramLayout" Target="diagrams/layout1.xml"/><Relationship Id="rId33" Type="http://schemas.openxmlformats.org/officeDocument/2006/relationships/footer" Target="footer7.xml"/><Relationship Id="rId38" Type="http://schemas.openxmlformats.org/officeDocument/2006/relationships/image" Target="media/image11.jpeg"/><Relationship Id="rId46"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4.jpeg"/></Relationships>
</file>

<file path=word/_rels/footnotes.xml.rels><?xml version="1.0" encoding="UTF-8" standalone="yes"?>
<Relationships xmlns="http://schemas.openxmlformats.org/package/2006/relationships"><Relationship Id="rId2" Type="http://schemas.openxmlformats.org/officeDocument/2006/relationships/hyperlink" Target="http://www.aseanaccountants.org/files/ASEAN_Training_and_Development_Analysis_Report.pdf" TargetMode="External"/><Relationship Id="rId1" Type="http://schemas.openxmlformats.org/officeDocument/2006/relationships/hyperlink" Target="http://gcg.gov.ph/site/"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C:\AISHA%20FILES\@World%20Bank%20Reviews\@TECHNICAL%20ASSISTANCE%20FILES\ROSC\ROSC%202016\Working%20Papers\Accounting%20Education%20Module\Analysis%20of%20Accounting%20Education%20data\CPA%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0871738550411692"/>
          <c:y val="7.8548913780143684E-2"/>
          <c:w val="0.59519641727952322"/>
          <c:h val="0.8604282661388637"/>
        </c:manualLayout>
      </c:layout>
      <c:ofPieChart>
        <c:ofPieType val="bar"/>
        <c:varyColors val="1"/>
        <c:ser>
          <c:idx val="0"/>
          <c:order val="0"/>
          <c:tx>
            <c:strRef>
              <c:f>Sheet1!$B$1</c:f>
              <c:strCache>
                <c:ptCount val="1"/>
                <c:pt idx="0">
                  <c:v>No. of banks</c:v>
                </c:pt>
              </c:strCache>
            </c:strRef>
          </c:tx>
          <c:dPt>
            <c:idx val="0"/>
            <c:bubble3D val="0"/>
            <c:spPr>
              <a:solidFill>
                <a:srgbClr val="00B050"/>
              </a:solidFill>
            </c:spPr>
            <c:extLst>
              <c:ext xmlns:c16="http://schemas.microsoft.com/office/drawing/2014/chart" uri="{C3380CC4-5D6E-409C-BE32-E72D297353CC}">
                <c16:uniqueId val="{00000002-4E2A-4AF9-836B-AAEB3E5F4C78}"/>
              </c:ext>
            </c:extLst>
          </c:dPt>
          <c:dPt>
            <c:idx val="1"/>
            <c:bubble3D val="0"/>
            <c:spPr>
              <a:solidFill>
                <a:srgbClr val="FCD116"/>
              </a:solidFill>
            </c:spPr>
            <c:extLst>
              <c:ext xmlns:c16="http://schemas.microsoft.com/office/drawing/2014/chart" uri="{C3380CC4-5D6E-409C-BE32-E72D297353CC}">
                <c16:uniqueId val="{00000001-4E2A-4AF9-836B-AAEB3E5F4C78}"/>
              </c:ext>
            </c:extLst>
          </c:dPt>
          <c:dPt>
            <c:idx val="2"/>
            <c:bubble3D val="0"/>
            <c:spPr>
              <a:solidFill>
                <a:schemeClr val="accent2">
                  <a:lumMod val="75000"/>
                </a:schemeClr>
              </a:solidFill>
            </c:spPr>
            <c:extLst>
              <c:ext xmlns:c16="http://schemas.microsoft.com/office/drawing/2014/chart" uri="{C3380CC4-5D6E-409C-BE32-E72D297353CC}">
                <c16:uniqueId val="{00000000-8ABE-4EAB-BB70-9B6B158B002A}"/>
              </c:ext>
            </c:extLst>
          </c:dPt>
          <c:dPt>
            <c:idx val="3"/>
            <c:bubble3D val="0"/>
            <c:spPr>
              <a:solidFill>
                <a:srgbClr val="C00000"/>
              </a:solidFill>
            </c:spPr>
            <c:extLst>
              <c:ext xmlns:c16="http://schemas.microsoft.com/office/drawing/2014/chart" uri="{C3380CC4-5D6E-409C-BE32-E72D297353CC}">
                <c16:uniqueId val="{00000000-4E2A-4AF9-836B-AAEB3E5F4C78}"/>
              </c:ext>
            </c:extLst>
          </c:dPt>
          <c:dPt>
            <c:idx val="4"/>
            <c:bubble3D val="0"/>
            <c:spPr>
              <a:solidFill>
                <a:srgbClr val="0038A8"/>
              </a:solidFill>
            </c:spPr>
            <c:extLst>
              <c:ext xmlns:c16="http://schemas.microsoft.com/office/drawing/2014/chart" uri="{C3380CC4-5D6E-409C-BE32-E72D297353CC}">
                <c16:uniqueId val="{00000003-4E2A-4AF9-836B-AAEB3E5F4C78}"/>
              </c:ext>
            </c:extLst>
          </c:dPt>
          <c:dLbls>
            <c:dLbl>
              <c:idx val="0"/>
              <c:layout>
                <c:manualLayout>
                  <c:x val="-1.2211343147323979E-2"/>
                  <c:y val="7.797616847189875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2A-4AF9-836B-AAEB3E5F4C78}"/>
                </c:ext>
              </c:extLst>
            </c:dLbl>
            <c:dLbl>
              <c:idx val="1"/>
              <c:layout>
                <c:manualLayout>
                  <c:x val="-2.1571607896838981E-2"/>
                  <c:y val="-9.619065222480992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2A-4AF9-836B-AAEB3E5F4C78}"/>
                </c:ext>
              </c:extLst>
            </c:dLbl>
            <c:dLbl>
              <c:idx val="2"/>
              <c:layout>
                <c:manualLayout>
                  <c:x val="0.11904047455061025"/>
                  <c:y val="-0.13145539906103287"/>
                </c:manualLayout>
              </c:layout>
              <c:tx>
                <c:rich>
                  <a:bodyPr/>
                  <a:lstStyle/>
                  <a:p>
                    <a:r>
                      <a:rPr lang="en-US"/>
                      <a:t>Privately owned domestic banks</a:t>
                    </a:r>
                    <a:r>
                      <a:rPr lang="en-US" baseline="0"/>
                      <a:t>, </a:t>
                    </a:r>
                    <a:fld id="{C700669E-66FB-4DC1-82B4-60E7AD58E3B6}"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ABE-4EAB-BB70-9B6B158B002A}"/>
                </c:ext>
              </c:extLst>
            </c:dLbl>
            <c:dLbl>
              <c:idx val="3"/>
              <c:layout>
                <c:manualLayout>
                  <c:x val="2.9112510936132985E-2"/>
                  <c:y val="6.885758998435043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2A-4AF9-836B-AAEB3E5F4C78}"/>
                </c:ext>
              </c:extLst>
            </c:dLbl>
            <c:dLbl>
              <c:idx val="4"/>
              <c:tx>
                <c:rich>
                  <a:bodyPr/>
                  <a:lstStyle/>
                  <a:p>
                    <a:pPr>
                      <a:defRPr b="1">
                        <a:solidFill>
                          <a:schemeClr val="bg1"/>
                        </a:solidFill>
                      </a:defRPr>
                    </a:pPr>
                    <a:fld id="{7C09FDEF-9168-4C10-8468-8B3EE9A0DEB2}" type="CATEGORYNAME">
                      <a:rPr lang="en-US"/>
                      <a:pPr>
                        <a:defRPr b="1">
                          <a:solidFill>
                            <a:schemeClr val="bg1"/>
                          </a:solidFill>
                        </a:defRPr>
                      </a:pPr>
                      <a:t>[CATEGORY NAME]</a:t>
                    </a:fld>
                    <a:r>
                      <a:rPr lang="en-US"/>
                      <a:t>s</a:t>
                    </a:r>
                    <a:r>
                      <a:rPr lang="en-US" baseline="0"/>
                      <a:t>, </a:t>
                    </a:r>
                    <a:fld id="{57ED110E-95B0-4F4C-8D1D-90F2371EB3AE}" type="VALUE">
                      <a:rPr lang="en-US" baseline="0"/>
                      <a:pPr>
                        <a:defRPr b="1">
                          <a:solidFill>
                            <a:schemeClr val="bg1"/>
                          </a:solidFill>
                        </a:defRPr>
                      </a:pPr>
                      <a:t>[VALUE]</a:t>
                    </a:fld>
                    <a:endParaRPr lang="en-US" baseline="0"/>
                  </a:p>
                </c:rich>
              </c:tx>
              <c:spPr>
                <a:noFill/>
                <a:ln>
                  <a:noFill/>
                </a:ln>
                <a:effectLst/>
              </c:sp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E2A-4AF9-836B-AAEB3E5F4C78}"/>
                </c:ext>
              </c:extLst>
            </c:dLbl>
            <c:spPr>
              <a:noFill/>
              <a:ln>
                <a:noFill/>
              </a:ln>
              <a:effectLst/>
            </c:spPr>
            <c:txPr>
              <a:bodyPr/>
              <a:lstStyle/>
              <a:p>
                <a:pPr>
                  <a:defRPr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Sheet1!$A$2:$A$5</c:f>
              <c:strCache>
                <c:ptCount val="4"/>
                <c:pt idx="0">
                  <c:v>Foreign-owned</c:v>
                </c:pt>
                <c:pt idx="1">
                  <c:v>State-owned</c:v>
                </c:pt>
                <c:pt idx="2">
                  <c:v>Domestic &amp; privately owned</c:v>
                </c:pt>
                <c:pt idx="3">
                  <c:v>Publicly listed domestic banks</c:v>
                </c:pt>
              </c:strCache>
            </c:strRef>
          </c:cat>
          <c:val>
            <c:numRef>
              <c:f>Sheet1!$B$2:$B$5</c:f>
              <c:numCache>
                <c:formatCode>General</c:formatCode>
                <c:ptCount val="4"/>
                <c:pt idx="0">
                  <c:v>23</c:v>
                </c:pt>
                <c:pt idx="1">
                  <c:v>4</c:v>
                </c:pt>
                <c:pt idx="2">
                  <c:v>571</c:v>
                </c:pt>
                <c:pt idx="3">
                  <c:v>15</c:v>
                </c:pt>
              </c:numCache>
            </c:numRef>
          </c:val>
          <c:extLst>
            <c:ext xmlns:c16="http://schemas.microsoft.com/office/drawing/2014/chart" uri="{C3380CC4-5D6E-409C-BE32-E72D297353CC}">
              <c16:uniqueId val="{00000001-8ABE-4EAB-BB70-9B6B158B002A}"/>
            </c:ext>
          </c:extLst>
        </c:ser>
        <c:dLbls>
          <c:showLegendKey val="0"/>
          <c:showVal val="0"/>
          <c:showCatName val="0"/>
          <c:showSerName val="0"/>
          <c:showPercent val="0"/>
          <c:showBubbleSize val="0"/>
          <c:showLeaderLines val="1"/>
        </c:dLbls>
        <c:gapWidth val="150"/>
        <c:secondPieSize val="75"/>
        <c:serLines/>
      </c:ofPieChart>
    </c:plotArea>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'CPA Pass rates'!$A$19</c:f>
              <c:strCache>
                <c:ptCount val="1"/>
                <c:pt idx="0">
                  <c:v>Takers</c:v>
                </c:pt>
              </c:strCache>
            </c:strRef>
          </c:tx>
          <c:spPr>
            <a:solidFill>
              <a:srgbClr val="4472C4"/>
            </a:solidFill>
            <a:ln>
              <a:noFill/>
            </a:ln>
            <a:effectLst>
              <a:outerShdw blurRad="40000" dist="23000" dir="5400000" rotWithShape="0">
                <a:srgbClr val="000000">
                  <a:alpha val="35000"/>
                </a:srgbClr>
              </a:outerShdw>
            </a:effectLst>
          </c:spPr>
          <c:invertIfNegative val="0"/>
          <c:cat>
            <c:numRef>
              <c:f>'CPA Pass rates'!$B$18:$H$18</c:f>
              <c:numCache>
                <c:formatCode>General</c:formatCode>
                <c:ptCount val="7"/>
                <c:pt idx="0">
                  <c:v>2010</c:v>
                </c:pt>
                <c:pt idx="1">
                  <c:v>2011</c:v>
                </c:pt>
                <c:pt idx="2">
                  <c:v>2012</c:v>
                </c:pt>
                <c:pt idx="3">
                  <c:v>2013</c:v>
                </c:pt>
                <c:pt idx="4">
                  <c:v>2014</c:v>
                </c:pt>
                <c:pt idx="5">
                  <c:v>2015</c:v>
                </c:pt>
                <c:pt idx="6">
                  <c:v>2016</c:v>
                </c:pt>
              </c:numCache>
            </c:numRef>
          </c:cat>
          <c:val>
            <c:numRef>
              <c:f>'CPA Pass rates'!$B$19:$H$19</c:f>
              <c:numCache>
                <c:formatCode>_(* #,##0_);_(* \(#,##0\);_(* "-"??_);_(@_)</c:formatCode>
                <c:ptCount val="7"/>
                <c:pt idx="0">
                  <c:v>12988</c:v>
                </c:pt>
                <c:pt idx="1">
                  <c:v>13784</c:v>
                </c:pt>
                <c:pt idx="2">
                  <c:v>15302</c:v>
                </c:pt>
                <c:pt idx="3">
                  <c:v>16061</c:v>
                </c:pt>
                <c:pt idx="4">
                  <c:v>16677</c:v>
                </c:pt>
                <c:pt idx="5">
                  <c:v>19276</c:v>
                </c:pt>
                <c:pt idx="6">
                  <c:v>21315</c:v>
                </c:pt>
              </c:numCache>
            </c:numRef>
          </c:val>
          <c:extLst>
            <c:ext xmlns:c16="http://schemas.microsoft.com/office/drawing/2014/chart" uri="{C3380CC4-5D6E-409C-BE32-E72D297353CC}">
              <c16:uniqueId val="{00000000-62AF-4D0C-99C8-8137C0B88040}"/>
            </c:ext>
          </c:extLst>
        </c:ser>
        <c:ser>
          <c:idx val="1"/>
          <c:order val="1"/>
          <c:tx>
            <c:strRef>
              <c:f>'CPA Pass rates'!$A$20</c:f>
              <c:strCache>
                <c:ptCount val="1"/>
                <c:pt idx="0">
                  <c:v>Passers</c:v>
                </c:pt>
              </c:strCache>
            </c:strRef>
          </c:tx>
          <c:spPr>
            <a:solidFill>
              <a:srgbClr val="FCD116"/>
            </a:solidFill>
            <a:ln>
              <a:noFill/>
            </a:ln>
            <a:effectLst>
              <a:outerShdw blurRad="40000" dist="23000" dir="5400000" rotWithShape="0">
                <a:srgbClr val="000000">
                  <a:alpha val="35000"/>
                </a:srgbClr>
              </a:outerShdw>
            </a:effectLst>
          </c:spPr>
          <c:invertIfNegative val="0"/>
          <c:cat>
            <c:numRef>
              <c:f>'CPA Pass rates'!$B$18:$H$18</c:f>
              <c:numCache>
                <c:formatCode>General</c:formatCode>
                <c:ptCount val="7"/>
                <c:pt idx="0">
                  <c:v>2010</c:v>
                </c:pt>
                <c:pt idx="1">
                  <c:v>2011</c:v>
                </c:pt>
                <c:pt idx="2">
                  <c:v>2012</c:v>
                </c:pt>
                <c:pt idx="3">
                  <c:v>2013</c:v>
                </c:pt>
                <c:pt idx="4">
                  <c:v>2014</c:v>
                </c:pt>
                <c:pt idx="5">
                  <c:v>2015</c:v>
                </c:pt>
                <c:pt idx="6">
                  <c:v>2016</c:v>
                </c:pt>
              </c:numCache>
            </c:numRef>
          </c:cat>
          <c:val>
            <c:numRef>
              <c:f>'CPA Pass rates'!$B$20:$H$20</c:f>
              <c:numCache>
                <c:formatCode>_(* #,##0_);_(* \(#,##0\);_(* "-"??_);_(@_)</c:formatCode>
                <c:ptCount val="7"/>
                <c:pt idx="0">
                  <c:v>5859</c:v>
                </c:pt>
                <c:pt idx="1">
                  <c:v>6196</c:v>
                </c:pt>
                <c:pt idx="2">
                  <c:v>6767</c:v>
                </c:pt>
                <c:pt idx="3">
                  <c:v>5799</c:v>
                </c:pt>
                <c:pt idx="4">
                  <c:v>5230</c:v>
                </c:pt>
                <c:pt idx="5">
                  <c:v>7600</c:v>
                </c:pt>
                <c:pt idx="6">
                  <c:v>8216</c:v>
                </c:pt>
              </c:numCache>
            </c:numRef>
          </c:val>
          <c:extLst>
            <c:ext xmlns:c16="http://schemas.microsoft.com/office/drawing/2014/chart" uri="{C3380CC4-5D6E-409C-BE32-E72D297353CC}">
              <c16:uniqueId val="{00000001-62AF-4D0C-99C8-8137C0B88040}"/>
            </c:ext>
          </c:extLst>
        </c:ser>
        <c:dLbls>
          <c:showLegendKey val="0"/>
          <c:showVal val="0"/>
          <c:showCatName val="0"/>
          <c:showSerName val="0"/>
          <c:showPercent val="0"/>
          <c:showBubbleSize val="0"/>
        </c:dLbls>
        <c:gapWidth val="219"/>
        <c:overlap val="-27"/>
        <c:axId val="186980224"/>
        <c:axId val="186981760"/>
      </c:barChart>
      <c:lineChart>
        <c:grouping val="standard"/>
        <c:varyColors val="0"/>
        <c:ser>
          <c:idx val="2"/>
          <c:order val="2"/>
          <c:tx>
            <c:strRef>
              <c:f>'CPA Pass rates'!$A$21</c:f>
              <c:strCache>
                <c:ptCount val="1"/>
                <c:pt idx="0">
                  <c:v>Percentage</c:v>
                </c:pt>
              </c:strCache>
            </c:strRef>
          </c:tx>
          <c:spPr>
            <a:ln w="31750" cap="rnd">
              <a:solidFill>
                <a:srgbClr val="00AB51"/>
              </a:solidFill>
              <a:round/>
            </a:ln>
            <a:effectLst>
              <a:outerShdw blurRad="40000" dist="23000" dir="5400000" rotWithShape="0">
                <a:srgbClr val="000000">
                  <a:alpha val="35000"/>
                </a:srgbClr>
              </a:outerShdw>
            </a:effectLst>
          </c:spPr>
          <c:marker>
            <c:symbol val="none"/>
          </c:marker>
          <c:cat>
            <c:numRef>
              <c:f>'CPA Pass rates'!$B$18:$H$18</c:f>
              <c:numCache>
                <c:formatCode>General</c:formatCode>
                <c:ptCount val="7"/>
                <c:pt idx="0">
                  <c:v>2010</c:v>
                </c:pt>
                <c:pt idx="1">
                  <c:v>2011</c:v>
                </c:pt>
                <c:pt idx="2">
                  <c:v>2012</c:v>
                </c:pt>
                <c:pt idx="3">
                  <c:v>2013</c:v>
                </c:pt>
                <c:pt idx="4">
                  <c:v>2014</c:v>
                </c:pt>
                <c:pt idx="5">
                  <c:v>2015</c:v>
                </c:pt>
                <c:pt idx="6">
                  <c:v>2016</c:v>
                </c:pt>
              </c:numCache>
            </c:numRef>
          </c:cat>
          <c:val>
            <c:numRef>
              <c:f>'CPA Pass rates'!$B$21:$H$21</c:f>
              <c:numCache>
                <c:formatCode>0%</c:formatCode>
                <c:ptCount val="7"/>
                <c:pt idx="0">
                  <c:v>0.45110871573760392</c:v>
                </c:pt>
                <c:pt idx="1">
                  <c:v>0.44950667440510739</c:v>
                </c:pt>
                <c:pt idx="2">
                  <c:v>0.44222977388576656</c:v>
                </c:pt>
                <c:pt idx="3">
                  <c:v>0.36106095510864827</c:v>
                </c:pt>
                <c:pt idx="4">
                  <c:v>0.31360556454997901</c:v>
                </c:pt>
                <c:pt idx="5">
                  <c:v>0.39427267067856403</c:v>
                </c:pt>
                <c:pt idx="6">
                  <c:v>0.38545625146610368</c:v>
                </c:pt>
              </c:numCache>
            </c:numRef>
          </c:val>
          <c:smooth val="0"/>
          <c:extLst>
            <c:ext xmlns:c16="http://schemas.microsoft.com/office/drawing/2014/chart" uri="{C3380CC4-5D6E-409C-BE32-E72D297353CC}">
              <c16:uniqueId val="{00000002-62AF-4D0C-99C8-8137C0B88040}"/>
            </c:ext>
          </c:extLst>
        </c:ser>
        <c:dLbls>
          <c:showLegendKey val="0"/>
          <c:showVal val="0"/>
          <c:showCatName val="0"/>
          <c:showSerName val="0"/>
          <c:showPercent val="0"/>
          <c:showBubbleSize val="0"/>
        </c:dLbls>
        <c:marker val="1"/>
        <c:smooth val="0"/>
        <c:axId val="186989184"/>
        <c:axId val="186987648"/>
      </c:lineChart>
      <c:catAx>
        <c:axId val="186980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en-US"/>
          </a:p>
        </c:txPr>
        <c:crossAx val="186981760"/>
        <c:crosses val="autoZero"/>
        <c:auto val="1"/>
        <c:lblAlgn val="ctr"/>
        <c:lblOffset val="100"/>
        <c:noMultiLvlLbl val="0"/>
      </c:catAx>
      <c:valAx>
        <c:axId val="186981760"/>
        <c:scaling>
          <c:orientation val="minMax"/>
        </c:scaling>
        <c:delete val="0"/>
        <c:axPos val="l"/>
        <c:majorGridlines>
          <c:spPr>
            <a:ln w="9525" cap="flat" cmpd="sng" algn="ctr">
              <a:solidFill>
                <a:schemeClr val="tx2">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en-US"/>
          </a:p>
        </c:txPr>
        <c:crossAx val="186980224"/>
        <c:crosses val="autoZero"/>
        <c:crossBetween val="between"/>
      </c:valAx>
      <c:valAx>
        <c:axId val="186987648"/>
        <c:scaling>
          <c:orientation val="minMax"/>
        </c:scaling>
        <c:delete val="0"/>
        <c:axPos val="r"/>
        <c:numFmt formatCode="0%" sourceLinked="1"/>
        <c:majorTickMark val="none"/>
        <c:minorTickMark val="none"/>
        <c:tickLblPos val="nextTo"/>
        <c:spPr>
          <a:noFill/>
          <a:ln>
            <a:noFill/>
          </a:ln>
          <a:effectLst/>
        </c:spPr>
        <c:txPr>
          <a:bodyPr rot="-60000000" vert="horz"/>
          <a:lstStyle/>
          <a:p>
            <a:pPr>
              <a:defRPr/>
            </a:pPr>
            <a:endParaRPr lang="en-US"/>
          </a:p>
        </c:txPr>
        <c:crossAx val="186989184"/>
        <c:crosses val="max"/>
        <c:crossBetween val="between"/>
        <c:majorUnit val="0.1"/>
      </c:valAx>
      <c:catAx>
        <c:axId val="186989184"/>
        <c:scaling>
          <c:orientation val="minMax"/>
        </c:scaling>
        <c:delete val="1"/>
        <c:axPos val="b"/>
        <c:numFmt formatCode="General" sourceLinked="1"/>
        <c:majorTickMark val="none"/>
        <c:minorTickMark val="none"/>
        <c:tickLblPos val="nextTo"/>
        <c:crossAx val="186987648"/>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dTable>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8AD7DE-6C62-4E0D-A57B-86FEB26BCE76}" type="doc">
      <dgm:prSet loTypeId="urn:microsoft.com/office/officeart/2005/8/layout/vProcess5" loCatId="process" qsTypeId="urn:microsoft.com/office/officeart/2005/8/quickstyle/simple1" qsCatId="simple" csTypeId="urn:microsoft.com/office/officeart/2005/8/colors/colorful2" csCatId="colorful" phldr="1"/>
      <dgm:spPr/>
    </dgm:pt>
    <dgm:pt modelId="{964B3F59-96F2-4EA5-8D38-E8CBD5F35027}">
      <dgm:prSet phldrT="[Text]" custT="1"/>
      <dgm:spPr/>
      <dgm:t>
        <a:bodyPr/>
        <a:lstStyle/>
        <a:p>
          <a:pPr algn="l"/>
          <a:r>
            <a:rPr lang="en-US" sz="1100" b="1"/>
            <a:t>Complaint lodged with LID, PRC</a:t>
          </a:r>
        </a:p>
      </dgm:t>
    </dgm:pt>
    <dgm:pt modelId="{181EE753-B7AC-4C77-8B0F-C689425167DF}" type="parTrans" cxnId="{8E402651-B414-45DD-85FA-5D61950D64DD}">
      <dgm:prSet/>
      <dgm:spPr/>
      <dgm:t>
        <a:bodyPr/>
        <a:lstStyle/>
        <a:p>
          <a:pPr algn="l"/>
          <a:endParaRPr lang="en-US" sz="1100" b="1"/>
        </a:p>
      </dgm:t>
    </dgm:pt>
    <dgm:pt modelId="{3718DB20-6E30-42F0-AE3E-4F81A1CC1850}" type="sibTrans" cxnId="{8E402651-B414-45DD-85FA-5D61950D64DD}">
      <dgm:prSet custT="1"/>
      <dgm:spPr>
        <a:solidFill>
          <a:srgbClr val="8C8D90">
            <a:alpha val="90000"/>
          </a:srgbClr>
        </a:solidFill>
      </dgm:spPr>
      <dgm:t>
        <a:bodyPr/>
        <a:lstStyle/>
        <a:p>
          <a:pPr algn="l"/>
          <a:endParaRPr lang="en-US" sz="1100" b="1"/>
        </a:p>
      </dgm:t>
    </dgm:pt>
    <dgm:pt modelId="{2A947DB8-BDA3-4B4F-A048-45DFB28CD810}">
      <dgm:prSet phldrT="[Text]" custT="1"/>
      <dgm:spPr/>
      <dgm:t>
        <a:bodyPr/>
        <a:lstStyle/>
        <a:p>
          <a:pPr algn="l"/>
          <a:r>
            <a:rPr lang="en-US" sz="1100" b="1"/>
            <a:t>LID, PRC will verify the complaint</a:t>
          </a:r>
        </a:p>
      </dgm:t>
    </dgm:pt>
    <dgm:pt modelId="{0B97C6C6-E100-46FE-8820-5C0A0ED0E00C}" type="parTrans" cxnId="{F911DFBD-CD38-4F25-AEC6-C008500573C7}">
      <dgm:prSet/>
      <dgm:spPr/>
      <dgm:t>
        <a:bodyPr/>
        <a:lstStyle/>
        <a:p>
          <a:pPr algn="l"/>
          <a:endParaRPr lang="en-US" sz="1100" b="1"/>
        </a:p>
      </dgm:t>
    </dgm:pt>
    <dgm:pt modelId="{30C0981F-C3B5-4454-89BE-3901C5C40785}" type="sibTrans" cxnId="{F911DFBD-CD38-4F25-AEC6-C008500573C7}">
      <dgm:prSet custT="1"/>
      <dgm:spPr>
        <a:solidFill>
          <a:srgbClr val="8C8D90">
            <a:alpha val="90000"/>
          </a:srgbClr>
        </a:solidFill>
      </dgm:spPr>
      <dgm:t>
        <a:bodyPr/>
        <a:lstStyle/>
        <a:p>
          <a:pPr algn="l"/>
          <a:endParaRPr lang="en-US" sz="1100" b="1"/>
        </a:p>
      </dgm:t>
    </dgm:pt>
    <dgm:pt modelId="{35BE279E-8F35-4BFA-B39E-218DC359C15D}">
      <dgm:prSet phldrT="[Text]" custT="1"/>
      <dgm:spPr/>
      <dgm:t>
        <a:bodyPr/>
        <a:lstStyle/>
        <a:p>
          <a:pPr algn="l">
            <a:lnSpc>
              <a:spcPct val="114000"/>
            </a:lnSpc>
          </a:pPr>
          <a:r>
            <a:rPr lang="en-US" sz="1100" b="1"/>
            <a:t>Conduct hearings together with BOA</a:t>
          </a:r>
        </a:p>
      </dgm:t>
    </dgm:pt>
    <dgm:pt modelId="{9EE6E157-BA1A-4615-8611-9A071A6144C4}" type="parTrans" cxnId="{F4366738-0D59-417E-A8C1-BB477E89CBCE}">
      <dgm:prSet/>
      <dgm:spPr/>
      <dgm:t>
        <a:bodyPr/>
        <a:lstStyle/>
        <a:p>
          <a:pPr algn="l"/>
          <a:endParaRPr lang="en-US" sz="1100" b="1"/>
        </a:p>
      </dgm:t>
    </dgm:pt>
    <dgm:pt modelId="{04D910CE-04B9-41B9-B1A0-69AF87327425}" type="sibTrans" cxnId="{F4366738-0D59-417E-A8C1-BB477E89CBCE}">
      <dgm:prSet custT="1"/>
      <dgm:spPr>
        <a:solidFill>
          <a:srgbClr val="8C8D90">
            <a:alpha val="90000"/>
          </a:srgbClr>
        </a:solidFill>
      </dgm:spPr>
      <dgm:t>
        <a:bodyPr/>
        <a:lstStyle/>
        <a:p>
          <a:pPr algn="l"/>
          <a:endParaRPr lang="en-US" sz="1100" b="1"/>
        </a:p>
      </dgm:t>
    </dgm:pt>
    <dgm:pt modelId="{CBDD0BAC-0FED-44E3-95B3-A813A5B7021F}">
      <dgm:prSet phldrT="[Text]" custT="1"/>
      <dgm:spPr/>
      <dgm:t>
        <a:bodyPr/>
        <a:lstStyle/>
        <a:p>
          <a:pPr algn="l"/>
          <a:endParaRPr lang="en-US" sz="1100"/>
        </a:p>
      </dgm:t>
    </dgm:pt>
    <dgm:pt modelId="{D65CFC2C-8340-4AA1-BA72-A072F2DE9482}" type="parTrans" cxnId="{365D29DD-B789-44C2-A2B1-BD835CE3A30C}">
      <dgm:prSet/>
      <dgm:spPr/>
      <dgm:t>
        <a:bodyPr/>
        <a:lstStyle/>
        <a:p>
          <a:pPr algn="l"/>
          <a:endParaRPr lang="en-US" sz="1100" b="1"/>
        </a:p>
      </dgm:t>
    </dgm:pt>
    <dgm:pt modelId="{BCD9C875-0909-4332-8F12-DF5CAFF02A61}" type="sibTrans" cxnId="{365D29DD-B789-44C2-A2B1-BD835CE3A30C}">
      <dgm:prSet/>
      <dgm:spPr/>
      <dgm:t>
        <a:bodyPr/>
        <a:lstStyle/>
        <a:p>
          <a:pPr algn="l"/>
          <a:endParaRPr lang="en-US" sz="1100" b="1"/>
        </a:p>
      </dgm:t>
    </dgm:pt>
    <dgm:pt modelId="{A6E50D95-6B0E-42A2-A2FE-E737CC5AF1E5}">
      <dgm:prSet phldrT="[Text]" custT="1"/>
      <dgm:spPr/>
      <dgm:t>
        <a:bodyPr/>
        <a:lstStyle/>
        <a:p>
          <a:pPr algn="l">
            <a:lnSpc>
              <a:spcPct val="114000"/>
            </a:lnSpc>
          </a:pPr>
          <a:r>
            <a:rPr lang="en-US" sz="1100" b="1"/>
            <a:t>Pre-trial, depositions &amp; reception of evidence conducted by LID and BOA</a:t>
          </a:r>
        </a:p>
      </dgm:t>
    </dgm:pt>
    <dgm:pt modelId="{57FD7E16-2586-4572-898C-66E49AC9C5BC}" type="parTrans" cxnId="{224D037F-E839-4A72-AD9B-929ED332B395}">
      <dgm:prSet/>
      <dgm:spPr/>
      <dgm:t>
        <a:bodyPr/>
        <a:lstStyle/>
        <a:p>
          <a:pPr algn="l"/>
          <a:endParaRPr lang="en-US" sz="1100" b="1"/>
        </a:p>
      </dgm:t>
    </dgm:pt>
    <dgm:pt modelId="{69274135-EF6F-45FB-95D5-D7F04EAE91B5}" type="sibTrans" cxnId="{224D037F-E839-4A72-AD9B-929ED332B395}">
      <dgm:prSet custT="1"/>
      <dgm:spPr>
        <a:solidFill>
          <a:srgbClr val="8C8D90">
            <a:alpha val="90000"/>
          </a:srgbClr>
        </a:solidFill>
      </dgm:spPr>
      <dgm:t>
        <a:bodyPr/>
        <a:lstStyle/>
        <a:p>
          <a:pPr algn="l"/>
          <a:endParaRPr lang="en-US" sz="1100" b="1"/>
        </a:p>
      </dgm:t>
    </dgm:pt>
    <dgm:pt modelId="{117BC8A9-327A-4893-B056-DECCB83514A9}">
      <dgm:prSet phldrT="[Text]" custT="1"/>
      <dgm:spPr/>
      <dgm:t>
        <a:bodyPr/>
        <a:lstStyle/>
        <a:p>
          <a:pPr algn="l">
            <a:lnSpc>
              <a:spcPct val="114000"/>
            </a:lnSpc>
          </a:pPr>
          <a:r>
            <a:rPr lang="en-US" sz="1100" b="1"/>
            <a:t>Decision-making - discussions and vote on the case by PRC and BOA</a:t>
          </a:r>
        </a:p>
      </dgm:t>
    </dgm:pt>
    <dgm:pt modelId="{CF23863D-5A53-4A81-AF08-C60E288242E7}" type="parTrans" cxnId="{D92ECC65-8A5E-46A2-BDE0-5619D3409A50}">
      <dgm:prSet/>
      <dgm:spPr/>
      <dgm:t>
        <a:bodyPr/>
        <a:lstStyle/>
        <a:p>
          <a:pPr algn="l"/>
          <a:endParaRPr lang="en-US" sz="1100" b="1"/>
        </a:p>
      </dgm:t>
    </dgm:pt>
    <dgm:pt modelId="{B61F7B52-0E07-42C3-97B5-02F5E32A41E3}" type="sibTrans" cxnId="{D92ECC65-8A5E-46A2-BDE0-5619D3409A50}">
      <dgm:prSet/>
      <dgm:spPr/>
      <dgm:t>
        <a:bodyPr/>
        <a:lstStyle/>
        <a:p>
          <a:pPr algn="l"/>
          <a:endParaRPr lang="en-US" sz="1100" b="1"/>
        </a:p>
      </dgm:t>
    </dgm:pt>
    <dgm:pt modelId="{0592D0B3-3747-411F-A4E4-9BA12BA45273}" type="pres">
      <dgm:prSet presAssocID="{4C8AD7DE-6C62-4E0D-A57B-86FEB26BCE76}" presName="outerComposite" presStyleCnt="0">
        <dgm:presLayoutVars>
          <dgm:chMax val="5"/>
          <dgm:dir/>
          <dgm:resizeHandles val="exact"/>
        </dgm:presLayoutVars>
      </dgm:prSet>
      <dgm:spPr/>
    </dgm:pt>
    <dgm:pt modelId="{7D59176A-9F52-490A-BB7B-E8EC3C9FC0FB}" type="pres">
      <dgm:prSet presAssocID="{4C8AD7DE-6C62-4E0D-A57B-86FEB26BCE76}" presName="dummyMaxCanvas" presStyleCnt="0">
        <dgm:presLayoutVars/>
      </dgm:prSet>
      <dgm:spPr/>
    </dgm:pt>
    <dgm:pt modelId="{A23216A6-510B-4165-ADEF-07913D06578B}" type="pres">
      <dgm:prSet presAssocID="{4C8AD7DE-6C62-4E0D-A57B-86FEB26BCE76}" presName="FiveNodes_1" presStyleLbl="node1" presStyleIdx="0" presStyleCnt="5" custScaleY="62157">
        <dgm:presLayoutVars>
          <dgm:bulletEnabled val="1"/>
        </dgm:presLayoutVars>
      </dgm:prSet>
      <dgm:spPr/>
    </dgm:pt>
    <dgm:pt modelId="{0A106E88-9940-4049-84EA-FB47E8EFD078}" type="pres">
      <dgm:prSet presAssocID="{4C8AD7DE-6C62-4E0D-A57B-86FEB26BCE76}" presName="FiveNodes_2" presStyleLbl="node1" presStyleIdx="1" presStyleCnt="5" custScaleY="62157" custLinFactNeighborY="-18995">
        <dgm:presLayoutVars>
          <dgm:bulletEnabled val="1"/>
        </dgm:presLayoutVars>
      </dgm:prSet>
      <dgm:spPr/>
    </dgm:pt>
    <dgm:pt modelId="{FA352DCB-82C6-43F6-9D43-DA1E62A76367}" type="pres">
      <dgm:prSet presAssocID="{4C8AD7DE-6C62-4E0D-A57B-86FEB26BCE76}" presName="FiveNodes_3" presStyleLbl="node1" presStyleIdx="2" presStyleCnt="5" custScaleY="61744" custLinFactNeighborY="-37989">
        <dgm:presLayoutVars>
          <dgm:bulletEnabled val="1"/>
        </dgm:presLayoutVars>
      </dgm:prSet>
      <dgm:spPr/>
    </dgm:pt>
    <dgm:pt modelId="{79250952-6011-4ED6-AD39-4EB45E169743}" type="pres">
      <dgm:prSet presAssocID="{4C8AD7DE-6C62-4E0D-A57B-86FEB26BCE76}" presName="FiveNodes_4" presStyleLbl="node1" presStyleIdx="3" presStyleCnt="5" custLinFactNeighborY="-35611">
        <dgm:presLayoutVars>
          <dgm:bulletEnabled val="1"/>
        </dgm:presLayoutVars>
      </dgm:prSet>
      <dgm:spPr/>
    </dgm:pt>
    <dgm:pt modelId="{96964D6A-86CB-4A82-9DAF-DA6E025821F0}" type="pres">
      <dgm:prSet presAssocID="{4C8AD7DE-6C62-4E0D-A57B-86FEB26BCE76}" presName="FiveNodes_5" presStyleLbl="node1" presStyleIdx="4" presStyleCnt="5" custLinFactNeighborY="-18992">
        <dgm:presLayoutVars>
          <dgm:bulletEnabled val="1"/>
        </dgm:presLayoutVars>
      </dgm:prSet>
      <dgm:spPr/>
    </dgm:pt>
    <dgm:pt modelId="{2B159C70-DCEB-4589-AD01-BF79A13AEAC1}" type="pres">
      <dgm:prSet presAssocID="{4C8AD7DE-6C62-4E0D-A57B-86FEB26BCE76}" presName="FiveConn_1-2" presStyleLbl="fgAccFollowNode1" presStyleIdx="0" presStyleCnt="4" custLinFactNeighborY="7306">
        <dgm:presLayoutVars>
          <dgm:bulletEnabled val="1"/>
        </dgm:presLayoutVars>
      </dgm:prSet>
      <dgm:spPr/>
    </dgm:pt>
    <dgm:pt modelId="{8D125B7C-7A74-4678-B5F5-7626F02075F5}" type="pres">
      <dgm:prSet presAssocID="{4C8AD7DE-6C62-4E0D-A57B-86FEB26BCE76}" presName="FiveConn_2-3" presStyleLbl="fgAccFollowNode1" presStyleIdx="1" presStyleCnt="4" custLinFactNeighborY="-21913">
        <dgm:presLayoutVars>
          <dgm:bulletEnabled val="1"/>
        </dgm:presLayoutVars>
      </dgm:prSet>
      <dgm:spPr/>
    </dgm:pt>
    <dgm:pt modelId="{501FF243-BBB0-4923-8E01-3288D3FD2583}" type="pres">
      <dgm:prSet presAssocID="{4C8AD7DE-6C62-4E0D-A57B-86FEB26BCE76}" presName="FiveConn_3-4" presStyleLbl="fgAccFollowNode1" presStyleIdx="2" presStyleCnt="4" custLinFactNeighborY="-43835">
        <dgm:presLayoutVars>
          <dgm:bulletEnabled val="1"/>
        </dgm:presLayoutVars>
      </dgm:prSet>
      <dgm:spPr/>
    </dgm:pt>
    <dgm:pt modelId="{F5CDC3F8-98AF-453F-B7AA-BBF5460EC691}" type="pres">
      <dgm:prSet presAssocID="{4C8AD7DE-6C62-4E0D-A57B-86FEB26BCE76}" presName="FiveConn_4-5" presStyleLbl="fgAccFollowNode1" presStyleIdx="3" presStyleCnt="4" custLinFactNeighborY="-14612">
        <dgm:presLayoutVars>
          <dgm:bulletEnabled val="1"/>
        </dgm:presLayoutVars>
      </dgm:prSet>
      <dgm:spPr/>
    </dgm:pt>
    <dgm:pt modelId="{EBCC0CE8-AB8A-4343-B5D7-571727F33EF1}" type="pres">
      <dgm:prSet presAssocID="{4C8AD7DE-6C62-4E0D-A57B-86FEB26BCE76}" presName="FiveNodes_1_text" presStyleLbl="node1" presStyleIdx="4" presStyleCnt="5">
        <dgm:presLayoutVars>
          <dgm:bulletEnabled val="1"/>
        </dgm:presLayoutVars>
      </dgm:prSet>
      <dgm:spPr/>
    </dgm:pt>
    <dgm:pt modelId="{BAB132D0-B216-46C2-BB79-3EF67A67B330}" type="pres">
      <dgm:prSet presAssocID="{4C8AD7DE-6C62-4E0D-A57B-86FEB26BCE76}" presName="FiveNodes_2_text" presStyleLbl="node1" presStyleIdx="4" presStyleCnt="5">
        <dgm:presLayoutVars>
          <dgm:bulletEnabled val="1"/>
        </dgm:presLayoutVars>
      </dgm:prSet>
      <dgm:spPr/>
    </dgm:pt>
    <dgm:pt modelId="{8D1E4D62-10B7-4EC1-9898-4EB8E475F66C}" type="pres">
      <dgm:prSet presAssocID="{4C8AD7DE-6C62-4E0D-A57B-86FEB26BCE76}" presName="FiveNodes_3_text" presStyleLbl="node1" presStyleIdx="4" presStyleCnt="5">
        <dgm:presLayoutVars>
          <dgm:bulletEnabled val="1"/>
        </dgm:presLayoutVars>
      </dgm:prSet>
      <dgm:spPr/>
    </dgm:pt>
    <dgm:pt modelId="{30C38E3E-85F9-44B5-B367-D759574D3B57}" type="pres">
      <dgm:prSet presAssocID="{4C8AD7DE-6C62-4E0D-A57B-86FEB26BCE76}" presName="FiveNodes_4_text" presStyleLbl="node1" presStyleIdx="4" presStyleCnt="5">
        <dgm:presLayoutVars>
          <dgm:bulletEnabled val="1"/>
        </dgm:presLayoutVars>
      </dgm:prSet>
      <dgm:spPr/>
    </dgm:pt>
    <dgm:pt modelId="{68588DE4-5139-4427-9D71-E0F4D2C2BF15}" type="pres">
      <dgm:prSet presAssocID="{4C8AD7DE-6C62-4E0D-A57B-86FEB26BCE76}" presName="FiveNodes_5_text" presStyleLbl="node1" presStyleIdx="4" presStyleCnt="5">
        <dgm:presLayoutVars>
          <dgm:bulletEnabled val="1"/>
        </dgm:presLayoutVars>
      </dgm:prSet>
      <dgm:spPr/>
    </dgm:pt>
  </dgm:ptLst>
  <dgm:cxnLst>
    <dgm:cxn modelId="{4FE2FA07-AF8B-4462-8C8D-50C6BB0D47B1}" type="presOf" srcId="{4C8AD7DE-6C62-4E0D-A57B-86FEB26BCE76}" destId="{0592D0B3-3747-411F-A4E4-9BA12BA45273}" srcOrd="0" destOrd="0" presId="urn:microsoft.com/office/officeart/2005/8/layout/vProcess5"/>
    <dgm:cxn modelId="{3BF5FC18-1E5D-4830-80E9-115BC08E36CB}" type="presOf" srcId="{117BC8A9-327A-4893-B056-DECCB83514A9}" destId="{68588DE4-5139-4427-9D71-E0F4D2C2BF15}" srcOrd="1" destOrd="0" presId="urn:microsoft.com/office/officeart/2005/8/layout/vProcess5"/>
    <dgm:cxn modelId="{F4366738-0D59-417E-A8C1-BB477E89CBCE}" srcId="{4C8AD7DE-6C62-4E0D-A57B-86FEB26BCE76}" destId="{35BE279E-8F35-4BFA-B39E-218DC359C15D}" srcOrd="2" destOrd="0" parTransId="{9EE6E157-BA1A-4615-8611-9A071A6144C4}" sibTransId="{04D910CE-04B9-41B9-B1A0-69AF87327425}"/>
    <dgm:cxn modelId="{4435803F-7136-45D2-B9D3-225E15B1FE20}" type="presOf" srcId="{A6E50D95-6B0E-42A2-A2FE-E737CC5AF1E5}" destId="{30C38E3E-85F9-44B5-B367-D759574D3B57}" srcOrd="1" destOrd="0" presId="urn:microsoft.com/office/officeart/2005/8/layout/vProcess5"/>
    <dgm:cxn modelId="{D92ECC65-8A5E-46A2-BDE0-5619D3409A50}" srcId="{4C8AD7DE-6C62-4E0D-A57B-86FEB26BCE76}" destId="{117BC8A9-327A-4893-B056-DECCB83514A9}" srcOrd="4" destOrd="0" parTransId="{CF23863D-5A53-4A81-AF08-C60E288242E7}" sibTransId="{B61F7B52-0E07-42C3-97B5-02F5E32A41E3}"/>
    <dgm:cxn modelId="{9759256C-334A-4EA3-960A-95A44522852D}" type="presOf" srcId="{69274135-EF6F-45FB-95D5-D7F04EAE91B5}" destId="{F5CDC3F8-98AF-453F-B7AA-BBF5460EC691}" srcOrd="0" destOrd="0" presId="urn:microsoft.com/office/officeart/2005/8/layout/vProcess5"/>
    <dgm:cxn modelId="{4951356E-AA26-46D9-B1EA-EADC859C7494}" type="presOf" srcId="{30C0981F-C3B5-4454-89BE-3901C5C40785}" destId="{8D125B7C-7A74-4678-B5F5-7626F02075F5}" srcOrd="0" destOrd="0" presId="urn:microsoft.com/office/officeart/2005/8/layout/vProcess5"/>
    <dgm:cxn modelId="{8E402651-B414-45DD-85FA-5D61950D64DD}" srcId="{4C8AD7DE-6C62-4E0D-A57B-86FEB26BCE76}" destId="{964B3F59-96F2-4EA5-8D38-E8CBD5F35027}" srcOrd="0" destOrd="0" parTransId="{181EE753-B7AC-4C77-8B0F-C689425167DF}" sibTransId="{3718DB20-6E30-42F0-AE3E-4F81A1CC1850}"/>
    <dgm:cxn modelId="{48AE4674-F9DC-49C2-A7E5-74A7150EADC0}" type="presOf" srcId="{964B3F59-96F2-4EA5-8D38-E8CBD5F35027}" destId="{EBCC0CE8-AB8A-4343-B5D7-571727F33EF1}" srcOrd="1" destOrd="0" presId="urn:microsoft.com/office/officeart/2005/8/layout/vProcess5"/>
    <dgm:cxn modelId="{B2ED6455-2701-4136-AE07-560910B5F7F5}" type="presOf" srcId="{2A947DB8-BDA3-4B4F-A048-45DFB28CD810}" destId="{BAB132D0-B216-46C2-BB79-3EF67A67B330}" srcOrd="1" destOrd="0" presId="urn:microsoft.com/office/officeart/2005/8/layout/vProcess5"/>
    <dgm:cxn modelId="{224D037F-E839-4A72-AD9B-929ED332B395}" srcId="{4C8AD7DE-6C62-4E0D-A57B-86FEB26BCE76}" destId="{A6E50D95-6B0E-42A2-A2FE-E737CC5AF1E5}" srcOrd="3" destOrd="0" parTransId="{57FD7E16-2586-4572-898C-66E49AC9C5BC}" sibTransId="{69274135-EF6F-45FB-95D5-D7F04EAE91B5}"/>
    <dgm:cxn modelId="{ED976F9D-4E8F-4F13-A2AA-A11F3D00155B}" type="presOf" srcId="{35BE279E-8F35-4BFA-B39E-218DC359C15D}" destId="{FA352DCB-82C6-43F6-9D43-DA1E62A76367}" srcOrd="0" destOrd="0" presId="urn:microsoft.com/office/officeart/2005/8/layout/vProcess5"/>
    <dgm:cxn modelId="{F36D10A5-2D24-4181-93AF-836B2FC95B87}" type="presOf" srcId="{A6E50D95-6B0E-42A2-A2FE-E737CC5AF1E5}" destId="{79250952-6011-4ED6-AD39-4EB45E169743}" srcOrd="0" destOrd="0" presId="urn:microsoft.com/office/officeart/2005/8/layout/vProcess5"/>
    <dgm:cxn modelId="{42E695BA-FAAA-4730-A0DF-04891201DB52}" type="presOf" srcId="{35BE279E-8F35-4BFA-B39E-218DC359C15D}" destId="{8D1E4D62-10B7-4EC1-9898-4EB8E475F66C}" srcOrd="1" destOrd="0" presId="urn:microsoft.com/office/officeart/2005/8/layout/vProcess5"/>
    <dgm:cxn modelId="{F911DFBD-CD38-4F25-AEC6-C008500573C7}" srcId="{4C8AD7DE-6C62-4E0D-A57B-86FEB26BCE76}" destId="{2A947DB8-BDA3-4B4F-A048-45DFB28CD810}" srcOrd="1" destOrd="0" parTransId="{0B97C6C6-E100-46FE-8820-5C0A0ED0E00C}" sibTransId="{30C0981F-C3B5-4454-89BE-3901C5C40785}"/>
    <dgm:cxn modelId="{095B83C0-41A3-4EF9-B6D7-A7BEB0D68A9B}" type="presOf" srcId="{117BC8A9-327A-4893-B056-DECCB83514A9}" destId="{96964D6A-86CB-4A82-9DAF-DA6E025821F0}" srcOrd="0" destOrd="0" presId="urn:microsoft.com/office/officeart/2005/8/layout/vProcess5"/>
    <dgm:cxn modelId="{6D1472C5-340B-4ECC-A053-0208B952E70D}" type="presOf" srcId="{04D910CE-04B9-41B9-B1A0-69AF87327425}" destId="{501FF243-BBB0-4923-8E01-3288D3FD2583}" srcOrd="0" destOrd="0" presId="urn:microsoft.com/office/officeart/2005/8/layout/vProcess5"/>
    <dgm:cxn modelId="{365D29DD-B789-44C2-A2B1-BD835CE3A30C}" srcId="{4C8AD7DE-6C62-4E0D-A57B-86FEB26BCE76}" destId="{CBDD0BAC-0FED-44E3-95B3-A813A5B7021F}" srcOrd="5" destOrd="0" parTransId="{D65CFC2C-8340-4AA1-BA72-A072F2DE9482}" sibTransId="{BCD9C875-0909-4332-8F12-DF5CAFF02A61}"/>
    <dgm:cxn modelId="{83213EE1-0B4E-4546-B2EA-A3ED2A1DE430}" type="presOf" srcId="{964B3F59-96F2-4EA5-8D38-E8CBD5F35027}" destId="{A23216A6-510B-4165-ADEF-07913D06578B}" srcOrd="0" destOrd="0" presId="urn:microsoft.com/office/officeart/2005/8/layout/vProcess5"/>
    <dgm:cxn modelId="{7BB60DEC-9CF2-4660-B145-031C1A2D2A5B}" type="presOf" srcId="{3718DB20-6E30-42F0-AE3E-4F81A1CC1850}" destId="{2B159C70-DCEB-4589-AD01-BF79A13AEAC1}" srcOrd="0" destOrd="0" presId="urn:microsoft.com/office/officeart/2005/8/layout/vProcess5"/>
    <dgm:cxn modelId="{971870EC-4118-41D2-81AB-FEB05C3ED22B}" type="presOf" srcId="{2A947DB8-BDA3-4B4F-A048-45DFB28CD810}" destId="{0A106E88-9940-4049-84EA-FB47E8EFD078}" srcOrd="0" destOrd="0" presId="urn:microsoft.com/office/officeart/2005/8/layout/vProcess5"/>
    <dgm:cxn modelId="{57A2A398-5B79-4315-B4E2-977BBC4F48DF}" type="presParOf" srcId="{0592D0B3-3747-411F-A4E4-9BA12BA45273}" destId="{7D59176A-9F52-490A-BB7B-E8EC3C9FC0FB}" srcOrd="0" destOrd="0" presId="urn:microsoft.com/office/officeart/2005/8/layout/vProcess5"/>
    <dgm:cxn modelId="{196B0AAD-90F3-49BF-B12C-F8F229697448}" type="presParOf" srcId="{0592D0B3-3747-411F-A4E4-9BA12BA45273}" destId="{A23216A6-510B-4165-ADEF-07913D06578B}" srcOrd="1" destOrd="0" presId="urn:microsoft.com/office/officeart/2005/8/layout/vProcess5"/>
    <dgm:cxn modelId="{D3B2FF6F-FADF-444C-A18B-845136D0C2AA}" type="presParOf" srcId="{0592D0B3-3747-411F-A4E4-9BA12BA45273}" destId="{0A106E88-9940-4049-84EA-FB47E8EFD078}" srcOrd="2" destOrd="0" presId="urn:microsoft.com/office/officeart/2005/8/layout/vProcess5"/>
    <dgm:cxn modelId="{2239D5E9-9174-4C2B-A727-D57C01EF8DBA}" type="presParOf" srcId="{0592D0B3-3747-411F-A4E4-9BA12BA45273}" destId="{FA352DCB-82C6-43F6-9D43-DA1E62A76367}" srcOrd="3" destOrd="0" presId="urn:microsoft.com/office/officeart/2005/8/layout/vProcess5"/>
    <dgm:cxn modelId="{9A666EAE-086A-4033-972B-D988729FD6C7}" type="presParOf" srcId="{0592D0B3-3747-411F-A4E4-9BA12BA45273}" destId="{79250952-6011-4ED6-AD39-4EB45E169743}" srcOrd="4" destOrd="0" presId="urn:microsoft.com/office/officeart/2005/8/layout/vProcess5"/>
    <dgm:cxn modelId="{7054F60A-250A-497C-B466-D7EE46F9E143}" type="presParOf" srcId="{0592D0B3-3747-411F-A4E4-9BA12BA45273}" destId="{96964D6A-86CB-4A82-9DAF-DA6E025821F0}" srcOrd="5" destOrd="0" presId="urn:microsoft.com/office/officeart/2005/8/layout/vProcess5"/>
    <dgm:cxn modelId="{B21CF581-321A-4072-AE70-C85279E175CD}" type="presParOf" srcId="{0592D0B3-3747-411F-A4E4-9BA12BA45273}" destId="{2B159C70-DCEB-4589-AD01-BF79A13AEAC1}" srcOrd="6" destOrd="0" presId="urn:microsoft.com/office/officeart/2005/8/layout/vProcess5"/>
    <dgm:cxn modelId="{660F6ED9-AB6F-4B16-A3C8-F488CD0590CE}" type="presParOf" srcId="{0592D0B3-3747-411F-A4E4-9BA12BA45273}" destId="{8D125B7C-7A74-4678-B5F5-7626F02075F5}" srcOrd="7" destOrd="0" presId="urn:microsoft.com/office/officeart/2005/8/layout/vProcess5"/>
    <dgm:cxn modelId="{0876F794-2AE9-462A-9DE0-A8933A7090B1}" type="presParOf" srcId="{0592D0B3-3747-411F-A4E4-9BA12BA45273}" destId="{501FF243-BBB0-4923-8E01-3288D3FD2583}" srcOrd="8" destOrd="0" presId="urn:microsoft.com/office/officeart/2005/8/layout/vProcess5"/>
    <dgm:cxn modelId="{DEB5F3FC-0950-4DFB-A69F-F881A652C2C2}" type="presParOf" srcId="{0592D0B3-3747-411F-A4E4-9BA12BA45273}" destId="{F5CDC3F8-98AF-453F-B7AA-BBF5460EC691}" srcOrd="9" destOrd="0" presId="urn:microsoft.com/office/officeart/2005/8/layout/vProcess5"/>
    <dgm:cxn modelId="{A6F6C9C6-704E-4E55-9128-3F9671A527BB}" type="presParOf" srcId="{0592D0B3-3747-411F-A4E4-9BA12BA45273}" destId="{EBCC0CE8-AB8A-4343-B5D7-571727F33EF1}" srcOrd="10" destOrd="0" presId="urn:microsoft.com/office/officeart/2005/8/layout/vProcess5"/>
    <dgm:cxn modelId="{4BA13184-3111-4E80-984A-79C357621912}" type="presParOf" srcId="{0592D0B3-3747-411F-A4E4-9BA12BA45273}" destId="{BAB132D0-B216-46C2-BB79-3EF67A67B330}" srcOrd="11" destOrd="0" presId="urn:microsoft.com/office/officeart/2005/8/layout/vProcess5"/>
    <dgm:cxn modelId="{09CBA0E5-E242-4B81-A03E-1EB792568D43}" type="presParOf" srcId="{0592D0B3-3747-411F-A4E4-9BA12BA45273}" destId="{8D1E4D62-10B7-4EC1-9898-4EB8E475F66C}" srcOrd="12" destOrd="0" presId="urn:microsoft.com/office/officeart/2005/8/layout/vProcess5"/>
    <dgm:cxn modelId="{DE2E270A-AC40-45F7-88E2-000B8656FD38}" type="presParOf" srcId="{0592D0B3-3747-411F-A4E4-9BA12BA45273}" destId="{30C38E3E-85F9-44B5-B367-D759574D3B57}" srcOrd="13" destOrd="0" presId="urn:microsoft.com/office/officeart/2005/8/layout/vProcess5"/>
    <dgm:cxn modelId="{E4CE73A3-3CEA-4CF7-B75A-E3FA77F4A881}" type="presParOf" srcId="{0592D0B3-3747-411F-A4E4-9BA12BA45273}" destId="{68588DE4-5139-4427-9D71-E0F4D2C2BF15}" srcOrd="14" destOrd="0" presId="urn:microsoft.com/office/officeart/2005/8/layout/vProcess5"/>
  </dgm:cxnLst>
  <dgm:bg/>
  <dgm:whole>
    <a:ln w="12700">
      <a:noFill/>
    </a:ln>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3216A6-510B-4165-ADEF-07913D06578B}">
      <dsp:nvSpPr>
        <dsp:cNvPr id="0" name=""/>
        <dsp:cNvSpPr/>
      </dsp:nvSpPr>
      <dsp:spPr>
        <a:xfrm>
          <a:off x="0" y="94640"/>
          <a:ext cx="4270248" cy="310894"/>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b="1" kern="1200"/>
            <a:t>Complaint lodged with LID, PRC</a:t>
          </a:r>
        </a:p>
      </dsp:txBody>
      <dsp:txXfrm>
        <a:off x="9106" y="103746"/>
        <a:ext cx="3683085" cy="292682"/>
      </dsp:txXfrm>
    </dsp:sp>
    <dsp:sp modelId="{0A106E88-9940-4049-84EA-FB47E8EFD078}">
      <dsp:nvSpPr>
        <dsp:cNvPr id="0" name=""/>
        <dsp:cNvSpPr/>
      </dsp:nvSpPr>
      <dsp:spPr>
        <a:xfrm>
          <a:off x="318882" y="569278"/>
          <a:ext cx="4270248" cy="310894"/>
        </a:xfrm>
        <a:prstGeom prst="roundRect">
          <a:avLst>
            <a:gd name="adj" fmla="val 10000"/>
          </a:avLst>
        </a:prstGeom>
        <a:solidFill>
          <a:schemeClr val="accent2">
            <a:hueOff val="-363841"/>
            <a:satOff val="-20982"/>
            <a:lumOff val="215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b="1" kern="1200"/>
            <a:t>LID, PRC will verify the complaint</a:t>
          </a:r>
        </a:p>
      </dsp:txBody>
      <dsp:txXfrm>
        <a:off x="327988" y="578384"/>
        <a:ext cx="3608039" cy="292682"/>
      </dsp:txXfrm>
    </dsp:sp>
    <dsp:sp modelId="{FA352DCB-82C6-43F6-9D43-DA1E62A76367}">
      <dsp:nvSpPr>
        <dsp:cNvPr id="0" name=""/>
        <dsp:cNvSpPr/>
      </dsp:nvSpPr>
      <dsp:spPr>
        <a:xfrm>
          <a:off x="637764" y="1044953"/>
          <a:ext cx="4270248" cy="308829"/>
        </a:xfrm>
        <a:prstGeom prst="roundRect">
          <a:avLst>
            <a:gd name="adj" fmla="val 10000"/>
          </a:avLst>
        </a:prstGeom>
        <a:solidFill>
          <a:schemeClr val="accent2">
            <a:hueOff val="-727682"/>
            <a:satOff val="-41964"/>
            <a:lumOff val="43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114000"/>
            </a:lnSpc>
            <a:spcBef>
              <a:spcPct val="0"/>
            </a:spcBef>
            <a:spcAft>
              <a:spcPct val="35000"/>
            </a:spcAft>
            <a:buNone/>
          </a:pPr>
          <a:r>
            <a:rPr lang="en-US" sz="1100" b="1" kern="1200"/>
            <a:t>Conduct hearings together with BOA</a:t>
          </a:r>
        </a:p>
      </dsp:txBody>
      <dsp:txXfrm>
        <a:off x="646809" y="1053998"/>
        <a:ext cx="3608161" cy="290739"/>
      </dsp:txXfrm>
    </dsp:sp>
    <dsp:sp modelId="{79250952-6011-4ED6-AD39-4EB45E169743}">
      <dsp:nvSpPr>
        <dsp:cNvPr id="0" name=""/>
        <dsp:cNvSpPr/>
      </dsp:nvSpPr>
      <dsp:spPr>
        <a:xfrm>
          <a:off x="956646" y="1530819"/>
          <a:ext cx="4270248" cy="500176"/>
        </a:xfrm>
        <a:prstGeom prst="roundRect">
          <a:avLst>
            <a:gd name="adj" fmla="val 10000"/>
          </a:avLst>
        </a:prstGeom>
        <a:solidFill>
          <a:schemeClr val="accent2">
            <a:hueOff val="-1091522"/>
            <a:satOff val="-62946"/>
            <a:lumOff val="6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114000"/>
            </a:lnSpc>
            <a:spcBef>
              <a:spcPct val="0"/>
            </a:spcBef>
            <a:spcAft>
              <a:spcPct val="35000"/>
            </a:spcAft>
            <a:buNone/>
          </a:pPr>
          <a:r>
            <a:rPr lang="en-US" sz="1100" b="1" kern="1200"/>
            <a:t>Pre-trial, depositions &amp; reception of evidence conducted by LID and BOA</a:t>
          </a:r>
        </a:p>
      </dsp:txBody>
      <dsp:txXfrm>
        <a:off x="971296" y="1545469"/>
        <a:ext cx="3596951" cy="470876"/>
      </dsp:txXfrm>
    </dsp:sp>
    <dsp:sp modelId="{96964D6A-86CB-4A82-9DAF-DA6E025821F0}">
      <dsp:nvSpPr>
        <dsp:cNvPr id="0" name=""/>
        <dsp:cNvSpPr/>
      </dsp:nvSpPr>
      <dsp:spPr>
        <a:xfrm>
          <a:off x="1275528" y="2183589"/>
          <a:ext cx="4270248" cy="500176"/>
        </a:xfrm>
        <a:prstGeom prst="roundRect">
          <a:avLst>
            <a:gd name="adj" fmla="val 10000"/>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114000"/>
            </a:lnSpc>
            <a:spcBef>
              <a:spcPct val="0"/>
            </a:spcBef>
            <a:spcAft>
              <a:spcPct val="35000"/>
            </a:spcAft>
            <a:buNone/>
          </a:pPr>
          <a:r>
            <a:rPr lang="en-US" sz="1100" b="1" kern="1200"/>
            <a:t>Decision-making - discussions and vote on the case by PRC and BOA</a:t>
          </a:r>
        </a:p>
      </dsp:txBody>
      <dsp:txXfrm>
        <a:off x="1290178" y="2198239"/>
        <a:ext cx="3596951" cy="470876"/>
      </dsp:txXfrm>
    </dsp:sp>
    <dsp:sp modelId="{2B159C70-DCEB-4589-AD01-BF79A13AEAC1}">
      <dsp:nvSpPr>
        <dsp:cNvPr id="0" name=""/>
        <dsp:cNvSpPr/>
      </dsp:nvSpPr>
      <dsp:spPr>
        <a:xfrm>
          <a:off x="3945133" y="389159"/>
          <a:ext cx="325114" cy="325114"/>
        </a:xfrm>
        <a:prstGeom prst="downArrow">
          <a:avLst>
            <a:gd name="adj1" fmla="val 55000"/>
            <a:gd name="adj2" fmla="val 45000"/>
          </a:avLst>
        </a:prstGeom>
        <a:solidFill>
          <a:srgbClr val="8C8D90">
            <a:alpha val="90000"/>
          </a:srgb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endParaRPr lang="en-US" sz="1100" b="1" kern="1200"/>
        </a:p>
      </dsp:txBody>
      <dsp:txXfrm>
        <a:off x="4018284" y="389159"/>
        <a:ext cx="178812" cy="244648"/>
      </dsp:txXfrm>
    </dsp:sp>
    <dsp:sp modelId="{8D125B7C-7A74-4678-B5F5-7626F02075F5}">
      <dsp:nvSpPr>
        <dsp:cNvPr id="0" name=""/>
        <dsp:cNvSpPr/>
      </dsp:nvSpPr>
      <dsp:spPr>
        <a:xfrm>
          <a:off x="4264015" y="863810"/>
          <a:ext cx="325114" cy="325114"/>
        </a:xfrm>
        <a:prstGeom prst="downArrow">
          <a:avLst>
            <a:gd name="adj1" fmla="val 55000"/>
            <a:gd name="adj2" fmla="val 45000"/>
          </a:avLst>
        </a:prstGeom>
        <a:solidFill>
          <a:srgbClr val="8C8D90">
            <a:alpha val="90000"/>
          </a:srgbClr>
        </a:solidFill>
        <a:ln w="12700" cap="flat" cmpd="sng" algn="ctr">
          <a:solidFill>
            <a:schemeClr val="accent2">
              <a:tint val="40000"/>
              <a:alpha val="90000"/>
              <a:hueOff val="-283075"/>
              <a:satOff val="-25115"/>
              <a:lumOff val="-25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endParaRPr lang="en-US" sz="1100" b="1" kern="1200"/>
        </a:p>
      </dsp:txBody>
      <dsp:txXfrm>
        <a:off x="4337166" y="863810"/>
        <a:ext cx="178812" cy="244648"/>
      </dsp:txXfrm>
    </dsp:sp>
    <dsp:sp modelId="{501FF243-BBB0-4923-8E01-3288D3FD2583}">
      <dsp:nvSpPr>
        <dsp:cNvPr id="0" name=""/>
        <dsp:cNvSpPr/>
      </dsp:nvSpPr>
      <dsp:spPr>
        <a:xfrm>
          <a:off x="4582897" y="1353848"/>
          <a:ext cx="325114" cy="325114"/>
        </a:xfrm>
        <a:prstGeom prst="downArrow">
          <a:avLst>
            <a:gd name="adj1" fmla="val 55000"/>
            <a:gd name="adj2" fmla="val 45000"/>
          </a:avLst>
        </a:prstGeom>
        <a:solidFill>
          <a:srgbClr val="8C8D90">
            <a:alpha val="90000"/>
          </a:srgbClr>
        </a:solidFill>
        <a:ln w="12700" cap="flat" cmpd="sng" algn="ctr">
          <a:solidFill>
            <a:schemeClr val="accent2">
              <a:tint val="40000"/>
              <a:alpha val="90000"/>
              <a:hueOff val="-566151"/>
              <a:satOff val="-50231"/>
              <a:lumOff val="-51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endParaRPr lang="en-US" sz="1100" b="1" kern="1200"/>
        </a:p>
      </dsp:txBody>
      <dsp:txXfrm>
        <a:off x="4656048" y="1353848"/>
        <a:ext cx="178812" cy="244648"/>
      </dsp:txXfrm>
    </dsp:sp>
    <dsp:sp modelId="{F5CDC3F8-98AF-453F-B7AA-BBF5460EC691}">
      <dsp:nvSpPr>
        <dsp:cNvPr id="0" name=""/>
        <dsp:cNvSpPr/>
      </dsp:nvSpPr>
      <dsp:spPr>
        <a:xfrm>
          <a:off x="4901779" y="2024059"/>
          <a:ext cx="325114" cy="325114"/>
        </a:xfrm>
        <a:prstGeom prst="downArrow">
          <a:avLst>
            <a:gd name="adj1" fmla="val 55000"/>
            <a:gd name="adj2" fmla="val 45000"/>
          </a:avLst>
        </a:prstGeom>
        <a:solidFill>
          <a:srgbClr val="8C8D90">
            <a:alpha val="90000"/>
          </a:srgbClr>
        </a:solidFill>
        <a:ln w="12700" cap="flat" cmpd="sng" algn="ctr">
          <a:solidFill>
            <a:schemeClr val="accent2">
              <a:tint val="40000"/>
              <a:alpha val="90000"/>
              <a:hueOff val="-849226"/>
              <a:satOff val="-75346"/>
              <a:lumOff val="-7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endParaRPr lang="en-US" sz="1100" b="1" kern="1200"/>
        </a:p>
      </dsp:txBody>
      <dsp:txXfrm>
        <a:off x="4974930" y="2024059"/>
        <a:ext cx="178812" cy="24464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6AD444-3660-4B43-B8FA-9340AC429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114</Pages>
  <Words>35384</Words>
  <Characters>201690</Characters>
  <Application>Microsoft Office Word</Application>
  <DocSecurity>0</DocSecurity>
  <Lines>1680</Lines>
  <Paragraphs>473</Paragraphs>
  <ScaleCrop>false</ScaleCrop>
  <HeadingPairs>
    <vt:vector size="4" baseType="variant">
      <vt:variant>
        <vt:lpstr>Title</vt:lpstr>
      </vt:variant>
      <vt:variant>
        <vt:i4>1</vt:i4>
      </vt:variant>
      <vt:variant>
        <vt:lpstr>Headings</vt:lpstr>
      </vt:variant>
      <vt:variant>
        <vt:i4>30</vt:i4>
      </vt:variant>
    </vt:vector>
  </HeadingPairs>
  <TitlesOfParts>
    <vt:vector size="31" baseType="lpstr">
      <vt:lpstr/>
      <vt:lpstr>Contents</vt:lpstr>
      <vt:lpstr>Abbreviations and Acronyms</vt:lpstr>
      <vt:lpstr>Preface</vt:lpstr>
      <vt:lpstr>Acknowledgements</vt:lpstr>
      <vt:lpstr>Executive Summary</vt:lpstr>
      <vt:lpstr>        Overview of Accounting and Auditing Environment</vt:lpstr>
      <vt:lpstr>        Key Recommendations and Related Challenges</vt:lpstr>
      <vt:lpstr>I. INTRODUCTION</vt:lpstr>
      <vt:lpstr>    Country Background</vt:lpstr>
      <vt:lpstr>    Approach</vt:lpstr>
      <vt:lpstr>    Economic Context </vt:lpstr>
      <vt:lpstr>    Corporate and Financial Sector</vt:lpstr>
      <vt:lpstr>        Publicly Listed Companies</vt:lpstr>
      <vt:lpstr>        Banking Sector</vt:lpstr>
      <vt:lpstr>        Insurance Sector</vt:lpstr>
      <vt:lpstr>        Non-Listed Commercial Enterprises</vt:lpstr>
      <vt:lpstr>        Micro, Small and Medium Sized Enterprises</vt:lpstr>
      <vt:lpstr>        State Owned Enterprises / Government Owned and Controlled Corporations </vt:lpstr>
      <vt:lpstr>    Linkage of the Assessment to the Philippines’ Development Agenda </vt:lpstr>
      <vt:lpstr>II. ASSESSMENT</vt:lpstr>
      <vt:lpstr>    A&amp;A Standards </vt:lpstr>
      <vt:lpstr>        Financial Reporting Standards Analysis</vt:lpstr>
      <vt:lpstr>        Auditing Standards Analysis</vt:lpstr>
      <vt:lpstr>    Institutional Framework for Corporate Financial Reporting </vt:lpstr>
      <vt:lpstr>        General Financial Reporting Requirements</vt:lpstr>
      <vt:lpstr>        Publicly Listed Companies</vt:lpstr>
      <vt:lpstr>        Banking Sector</vt:lpstr>
      <vt:lpstr>        Insurance Sector</vt:lpstr>
      <vt:lpstr>        Non Listed Commercial Enterprises and Micro, Small and Medium Sized Enterprises</vt:lpstr>
      <vt:lpstr>        State Owned Enterprises / Government Owned and Controlled Corporations (GOCCs)</vt:lpstr>
    </vt:vector>
  </TitlesOfParts>
  <Company/>
  <LinksUpToDate>false</LinksUpToDate>
  <CharactersWithSpaces>236601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Schroeder</dc:creator>
  <cp:keywords/>
  <dc:description/>
  <cp:lastModifiedBy>Bonnie Ann Sirois</cp:lastModifiedBy>
  <cp:revision>3</cp:revision>
  <cp:lastPrinted>2018-03-06T07:12:00Z</cp:lastPrinted>
  <dcterms:created xsi:type="dcterms:W3CDTF">2018-02-22T14:28:00Z</dcterms:created>
  <dcterms:modified xsi:type="dcterms:W3CDTF">2018-03-06T07:26:00Z</dcterms:modified>
</cp:coreProperties>
</file>