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C95430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25.1pt;margin-top:-66.5pt;width:132pt;height:42.75pt;z-index:251658240" stroked="f">
                  <v:textbox>
                    <w:txbxContent>
                      <w:p w:rsidR="00C95430" w:rsidRPr="00C95430" w:rsidRDefault="00C95430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68978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A22054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A22054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A22054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A22054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05/14/2012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A22054" w:rsidP="00176201">
            <w:bookmarkStart w:id="5" w:name="basprojid_fld"/>
            <w:r>
              <w:t>P105140</w:t>
            </w:r>
            <w:bookmarkEnd w:id="5"/>
            <w:r w:rsidR="00F539A4">
              <w:t xml:space="preserve">: </w:t>
            </w:r>
            <w:bookmarkStart w:id="6" w:name="basprojnam_fld"/>
            <w:r>
              <w:t xml:space="preserve">3A-West Africa </w:t>
            </w:r>
            <w:proofErr w:type="spellStart"/>
            <w:r>
              <w:t>Biosafety</w:t>
            </w:r>
            <w:bookmarkEnd w:id="6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A22054" w:rsidP="00176201">
            <w:bookmarkStart w:id="7" w:name="basctry_fld"/>
            <w:r>
              <w:t>Africa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A22054" w:rsidP="00176201">
            <w:bookmarkStart w:id="8" w:name="basttl_fld"/>
            <w:r>
              <w:t xml:space="preserve">Denis Jean-Jacques </w:t>
            </w:r>
            <w:proofErr w:type="spellStart"/>
            <w:r>
              <w:t>Jordy</w:t>
            </w:r>
            <w:bookmarkEnd w:id="8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A22054" w:rsidP="00176201">
            <w:bookmarkStart w:id="9" w:name="bassmd_fld"/>
            <w:proofErr w:type="spellStart"/>
            <w:r>
              <w:t>Idah</w:t>
            </w:r>
            <w:proofErr w:type="spellEnd"/>
            <w:r>
              <w:t xml:space="preserve"> Z. </w:t>
            </w:r>
            <w:proofErr w:type="spellStart"/>
            <w:r>
              <w:t>Pswarayi-Riddihough</w:t>
            </w:r>
            <w:bookmarkEnd w:id="9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A22054" w:rsidP="00176201">
            <w:bookmarkStart w:id="10" w:name="basctryd_fld"/>
            <w:r>
              <w:t xml:space="preserve">Elizabeth Laura </w:t>
            </w:r>
            <w:proofErr w:type="spellStart"/>
            <w:r>
              <w:t>Lule</w:t>
            </w:r>
            <w:bookmarkEnd w:id="10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A22054" w:rsidP="00176201">
            <w:bookmarkStart w:id="11" w:name="piobad_fld"/>
            <w:r>
              <w:t>11/13/2007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A22054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A22054" w:rsidP="00176201">
            <w:bookmarkStart w:id="13" w:name="pioclo_date"/>
            <w:r>
              <w:t>06/30/2012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A22054" w:rsidP="00176201">
            <w:bookmarkStart w:id="14" w:name="picurclosdate_fld"/>
            <w:r>
              <w:t>06/30/2013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A22054" w:rsidP="00176201">
            <w:bookmarkStart w:id="15" w:name="piproclosdate_fld"/>
            <w:r>
              <w:t>06/30/2013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A22054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A22054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A22054" w:rsidP="00176201">
            <w:bookmarkStart w:id="18" w:name="basenvdate_fld"/>
            <w:r>
              <w:t>04/15/2006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A22054" w:rsidRPr="00B70C28" w:rsidTr="005518B3">
        <w:tc>
          <w:tcPr>
            <w:tcW w:w="4560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A22054" w:rsidRPr="00B70C28" w:rsidRDefault="00A22054" w:rsidP="005518B3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A22054" w:rsidRPr="00B70C28" w:rsidRDefault="00A22054" w:rsidP="005518B3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A22054" w:rsidRPr="00B70C28" w:rsidTr="005518B3">
        <w:tc>
          <w:tcPr>
            <w:tcW w:w="4560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A22054" w:rsidRPr="00B70C28" w:rsidRDefault="00A22054" w:rsidP="005518B3">
            <w:pPr>
              <w:keepNext/>
              <w:tabs>
                <w:tab w:val="decimal" w:pos="1812"/>
              </w:tabs>
            </w:pPr>
            <w:r>
              <w:t>3.90</w:t>
            </w:r>
          </w:p>
        </w:tc>
        <w:tc>
          <w:tcPr>
            <w:tcW w:w="2880" w:type="dxa"/>
          </w:tcPr>
          <w:p w:rsidR="00A22054" w:rsidRPr="00B70C28" w:rsidRDefault="00A22054" w:rsidP="005518B3">
            <w:pPr>
              <w:keepNext/>
              <w:tabs>
                <w:tab w:val="decimal" w:pos="1812"/>
              </w:tabs>
            </w:pPr>
            <w:r>
              <w:t>3.90</w:t>
            </w:r>
          </w:p>
        </w:tc>
      </w:tr>
      <w:tr w:rsidR="00A22054" w:rsidRPr="00B70C28" w:rsidTr="005518B3">
        <w:tc>
          <w:tcPr>
            <w:tcW w:w="4560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bookmarkStart w:id="20" w:name="REV_FIN_PLAN_COL_1"/>
            <w:r w:rsidRPr="00A22054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A22054" w:rsidRPr="00B70C28" w:rsidRDefault="00A22054" w:rsidP="005518B3">
            <w:pPr>
              <w:keepNext/>
              <w:tabs>
                <w:tab w:val="decimal" w:pos="1812"/>
              </w:tabs>
            </w:pPr>
            <w:bookmarkStart w:id="21" w:name="REV_FIN_PLAN_COL_2"/>
            <w:r>
              <w:t>3.90</w:t>
            </w:r>
            <w:bookmarkEnd w:id="21"/>
          </w:p>
        </w:tc>
        <w:tc>
          <w:tcPr>
            <w:tcW w:w="2880" w:type="dxa"/>
          </w:tcPr>
          <w:p w:rsidR="00A22054" w:rsidRPr="00B70C28" w:rsidRDefault="00A22054" w:rsidP="005518B3">
            <w:pPr>
              <w:keepNext/>
              <w:tabs>
                <w:tab w:val="decimal" w:pos="1812"/>
              </w:tabs>
            </w:pPr>
            <w:bookmarkStart w:id="22" w:name="REV_FIN_PLAN_COL_3"/>
            <w:r>
              <w:t>3.90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22054" w:rsidRPr="00B70C28" w:rsidTr="005518B3">
        <w:tc>
          <w:tcPr>
            <w:tcW w:w="3520" w:type="dxa"/>
            <w:shd w:val="clear" w:color="auto" w:fill="auto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Ministry of Economy and Finances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A22054" w:rsidRPr="00B70C28" w:rsidRDefault="00A22054" w:rsidP="005518B3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A22054" w:rsidRPr="00B70C28" w:rsidRDefault="00A22054" w:rsidP="005518B3">
            <w:pPr>
              <w:keepNext/>
            </w:pPr>
            <w:bookmarkStart w:id="26" w:name="BORR_INFO_COL_3"/>
            <w:r>
              <w:t>Burkina Faso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22054" w:rsidRPr="00B70C28" w:rsidTr="005518B3">
        <w:tc>
          <w:tcPr>
            <w:tcW w:w="3684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bookmarkStart w:id="28" w:name="IMP_AGEN_COL_1"/>
            <w:r>
              <w:t xml:space="preserve">National </w:t>
            </w:r>
            <w:proofErr w:type="spellStart"/>
            <w:r>
              <w:t>Biosafety</w:t>
            </w:r>
            <w:proofErr w:type="spellEnd"/>
            <w:r>
              <w:t xml:space="preserve"> Agency</w:t>
            </w:r>
            <w:bookmarkEnd w:id="28"/>
          </w:p>
        </w:tc>
        <w:tc>
          <w:tcPr>
            <w:tcW w:w="3192" w:type="dxa"/>
          </w:tcPr>
          <w:p w:rsidR="00A22054" w:rsidRPr="00B70C28" w:rsidRDefault="00A22054" w:rsidP="005518B3">
            <w:pPr>
              <w:keepNext/>
            </w:pPr>
            <w:bookmarkStart w:id="29" w:name="IMP_AGEN_COL_2"/>
            <w:bookmarkEnd w:id="29"/>
          </w:p>
        </w:tc>
        <w:tc>
          <w:tcPr>
            <w:tcW w:w="3684" w:type="dxa"/>
          </w:tcPr>
          <w:p w:rsidR="00A22054" w:rsidRPr="00B70C28" w:rsidRDefault="00A22054" w:rsidP="005518B3">
            <w:pPr>
              <w:keepNext/>
            </w:pPr>
            <w:bookmarkStart w:id="30" w:name="IMP_AGEN_COL_3"/>
            <w:r>
              <w:t>Burkina Faso</w:t>
            </w:r>
            <w:bookmarkEnd w:id="30"/>
          </w:p>
        </w:tc>
      </w:tr>
    </w:tbl>
    <w:p w:rsidR="00112BBB" w:rsidRDefault="00112BBB" w:rsidP="00176201">
      <w:pPr>
        <w:ind w:left="-600"/>
      </w:pPr>
      <w:bookmarkStart w:id="31" w:name="IMP_AGEN"/>
      <w:bookmarkEnd w:id="31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A22054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2" w:name="disb_fld_lbl"/>
            <w:r>
              <w:rPr>
                <w:b/>
              </w:rPr>
              <w:t>Actual amount disbursed as of 05/17/2012</w:t>
            </w:r>
            <w:bookmarkEnd w:id="32"/>
            <w:r w:rsidR="00DA44BB" w:rsidRPr="0022023C">
              <w:rPr>
                <w:b/>
              </w:rPr>
              <w:tab/>
            </w:r>
            <w:bookmarkStart w:id="33" w:name="disb_fld"/>
            <w:r>
              <w:rPr>
                <w:b/>
              </w:rPr>
              <w:t>0.60</w:t>
            </w:r>
            <w:bookmarkEnd w:id="33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A22054" w:rsidRPr="00B70C28" w:rsidTr="005518B3">
        <w:tc>
          <w:tcPr>
            <w:tcW w:w="3520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A22054" w:rsidRPr="00B70C28" w:rsidRDefault="00A22054" w:rsidP="005518B3">
            <w:pPr>
              <w:keepNext/>
              <w:tabs>
                <w:tab w:val="decimal" w:pos="2492"/>
              </w:tabs>
            </w:pPr>
            <w:r>
              <w:t>0.30</w:t>
            </w:r>
          </w:p>
        </w:tc>
        <w:tc>
          <w:tcPr>
            <w:tcW w:w="3520" w:type="dxa"/>
          </w:tcPr>
          <w:p w:rsidR="00A22054" w:rsidRPr="00B70C28" w:rsidRDefault="00A22054" w:rsidP="005518B3">
            <w:pPr>
              <w:keepNext/>
              <w:tabs>
                <w:tab w:val="decimal" w:pos="2492"/>
              </w:tabs>
            </w:pPr>
            <w:r>
              <w:t>0.90</w:t>
            </w:r>
          </w:p>
        </w:tc>
      </w:tr>
      <w:tr w:rsidR="00A22054" w:rsidRPr="00B70C28" w:rsidTr="005518B3">
        <w:tc>
          <w:tcPr>
            <w:tcW w:w="3520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A22054" w:rsidRPr="00B70C28" w:rsidRDefault="00A22054" w:rsidP="005518B3">
            <w:pPr>
              <w:keepNext/>
              <w:tabs>
                <w:tab w:val="decimal" w:pos="2492"/>
              </w:tabs>
            </w:pPr>
            <w:r>
              <w:t>3.00</w:t>
            </w:r>
          </w:p>
        </w:tc>
        <w:tc>
          <w:tcPr>
            <w:tcW w:w="3520" w:type="dxa"/>
          </w:tcPr>
          <w:p w:rsidR="00A22054" w:rsidRPr="00B70C28" w:rsidRDefault="00A22054" w:rsidP="005518B3">
            <w:pPr>
              <w:keepNext/>
              <w:tabs>
                <w:tab w:val="decimal" w:pos="2492"/>
              </w:tabs>
            </w:pPr>
            <w:r>
              <w:t>3.90</w:t>
            </w:r>
          </w:p>
        </w:tc>
      </w:tr>
      <w:tr w:rsidR="00A22054" w:rsidRPr="00B70C28" w:rsidTr="005518B3">
        <w:tc>
          <w:tcPr>
            <w:tcW w:w="3520" w:type="dxa"/>
          </w:tcPr>
          <w:p w:rsidR="00A22054" w:rsidRPr="00B70C28" w:rsidRDefault="00A22054" w:rsidP="005518B3">
            <w:pPr>
              <w:keepNext/>
            </w:pPr>
            <w:r w:rsidRPr="00B70C28">
              <w:t xml:space="preserve"> </w:t>
            </w:r>
            <w:bookmarkStart w:id="34" w:name="DISB_ESTM_COL_1"/>
            <w:bookmarkEnd w:id="34"/>
          </w:p>
        </w:tc>
        <w:tc>
          <w:tcPr>
            <w:tcW w:w="3520" w:type="dxa"/>
          </w:tcPr>
          <w:p w:rsidR="00A22054" w:rsidRPr="00B70C28" w:rsidRDefault="00A22054" w:rsidP="005518B3">
            <w:pPr>
              <w:keepNext/>
              <w:tabs>
                <w:tab w:val="decimal" w:pos="2492"/>
              </w:tabs>
            </w:pPr>
            <w:bookmarkStart w:id="35" w:name="DISB_ESTM_COL_2"/>
            <w:r w:rsidRPr="00A22054">
              <w:rPr>
                <w:b/>
              </w:rPr>
              <w:t>Total</w:t>
            </w:r>
            <w:bookmarkEnd w:id="35"/>
          </w:p>
        </w:tc>
        <w:tc>
          <w:tcPr>
            <w:tcW w:w="3520" w:type="dxa"/>
          </w:tcPr>
          <w:p w:rsidR="00A22054" w:rsidRPr="00B70C28" w:rsidRDefault="00A22054" w:rsidP="005518B3">
            <w:pPr>
              <w:keepNext/>
              <w:tabs>
                <w:tab w:val="decimal" w:pos="2492"/>
              </w:tabs>
            </w:pPr>
            <w:bookmarkStart w:id="36" w:name="DISB_ESTM_COL_3"/>
            <w:r w:rsidRPr="00A22054">
              <w:rPr>
                <w:b/>
              </w:rPr>
              <w:t>3.90</w:t>
            </w:r>
            <w:bookmarkEnd w:id="36"/>
          </w:p>
        </w:tc>
      </w:tr>
    </w:tbl>
    <w:p w:rsidR="00442A03" w:rsidRDefault="00442A03" w:rsidP="00442A03">
      <w:pPr>
        <w:ind w:left="-600"/>
      </w:pPr>
      <w:bookmarkStart w:id="37" w:name="DISB_ESTM"/>
      <w:bookmarkEnd w:id="37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A22054" w:rsidP="0022023C">
            <w:pPr>
              <w:keepNext/>
              <w:rPr>
                <w:b/>
              </w:rPr>
            </w:pPr>
            <w:bookmarkStart w:id="38" w:name="pibankexp_fld_lbl"/>
            <w:r>
              <w:rPr>
                <w:b/>
              </w:rPr>
              <w:t>Does the restructured project require any exceptions to Bank policies?</w:t>
            </w:r>
            <w:bookmarkEnd w:id="38"/>
          </w:p>
        </w:tc>
        <w:tc>
          <w:tcPr>
            <w:tcW w:w="1080" w:type="dxa"/>
          </w:tcPr>
          <w:p w:rsidR="009D0382" w:rsidRDefault="00A22054" w:rsidP="0022023C">
            <w:pPr>
              <w:keepNext/>
              <w:jc w:val="center"/>
            </w:pPr>
            <w:bookmarkStart w:id="39" w:name="pibankexp_fld"/>
            <w:r>
              <w:t>N</w:t>
            </w:r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banmng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banmng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expboard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expboard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A22054" w:rsidP="0022023C">
            <w:pPr>
              <w:keepNext/>
              <w:rPr>
                <w:b/>
              </w:rPr>
            </w:pPr>
            <w:bookmarkStart w:id="44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4"/>
          </w:p>
        </w:tc>
        <w:tc>
          <w:tcPr>
            <w:tcW w:w="1080" w:type="dxa"/>
          </w:tcPr>
          <w:p w:rsidR="009D0382" w:rsidRDefault="00A22054" w:rsidP="0022023C">
            <w:pPr>
              <w:keepNext/>
              <w:jc w:val="center"/>
            </w:pPr>
            <w:bookmarkStart w:id="45" w:name="pisfg_fld"/>
            <w:r>
              <w:t>N</w:t>
            </w:r>
            <w:bookmarkEnd w:id="45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6" w:name="SG_INFO"/>
      <w:bookmarkEnd w:id="46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A22054" w:rsidP="00176201">
            <w:bookmarkStart w:id="47" w:name="PDO"/>
            <w:r>
              <w:t xml:space="preserve">The Project development objective is to support the West African Economic and Monetary Union (WAEMU) for the establishment of an operational institutional, legal and regulatory regional </w:t>
            </w:r>
            <w:proofErr w:type="spellStart"/>
            <w:r>
              <w:t>biosafety</w:t>
            </w:r>
            <w:proofErr w:type="spellEnd"/>
            <w:r>
              <w:t xml:space="preserve"> framework for the regulation of Living Modified Organisms (LMOs). </w:t>
            </w:r>
            <w:bookmarkEnd w:id="47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A22054" w:rsidP="002D3D89">
            <w:bookmarkStart w:id="48" w:name="RPDO"/>
            <w:r>
              <w:t xml:space="preserve"> </w:t>
            </w:r>
            <w:bookmarkEnd w:id="48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2C" w:rsidRDefault="0005702C">
      <w:r>
        <w:separator/>
      </w:r>
    </w:p>
  </w:endnote>
  <w:endnote w:type="continuationSeparator" w:id="0">
    <w:p w:rsidR="0005702C" w:rsidRDefault="0005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F51BDC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5430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2C" w:rsidRDefault="0005702C">
      <w:r>
        <w:separator/>
      </w:r>
    </w:p>
  </w:footnote>
  <w:footnote w:type="continuationSeparator" w:id="0">
    <w:p w:rsidR="0005702C" w:rsidRDefault="00057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DC"/>
    <w:rsid w:val="00020F75"/>
    <w:rsid w:val="0005702C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518B3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22054"/>
    <w:rsid w:val="00A347BF"/>
    <w:rsid w:val="00AE6FCD"/>
    <w:rsid w:val="00B61719"/>
    <w:rsid w:val="00BB0451"/>
    <w:rsid w:val="00BC3745"/>
    <w:rsid w:val="00BF00E9"/>
    <w:rsid w:val="00C61C22"/>
    <w:rsid w:val="00C842FC"/>
    <w:rsid w:val="00C95430"/>
    <w:rsid w:val="00CF19A7"/>
    <w:rsid w:val="00D76075"/>
    <w:rsid w:val="00DA44BB"/>
    <w:rsid w:val="00DB7EB1"/>
    <w:rsid w:val="00EA6A30"/>
    <w:rsid w:val="00EB453E"/>
    <w:rsid w:val="00EF6E0C"/>
    <w:rsid w:val="00F51BD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0514017462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P10514017462Restructuring_DataSheet.dot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wb406484</cp:lastModifiedBy>
  <cp:revision>2</cp:revision>
  <dcterms:created xsi:type="dcterms:W3CDTF">2012-05-17T12:46:00Z</dcterms:created>
  <dcterms:modified xsi:type="dcterms:W3CDTF">2012-05-17T19:39:00Z</dcterms:modified>
</cp:coreProperties>
</file>