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02EFF6" w14:textId="77777777" w:rsidR="00292325" w:rsidRPr="009200FF" w:rsidRDefault="00292325" w:rsidP="00292325">
      <w:pPr>
        <w:jc w:val="center"/>
        <w:rPr>
          <w:b/>
          <w:color w:val="365F91" w:themeColor="accent1" w:themeShade="BF"/>
          <w:sz w:val="28"/>
          <w:szCs w:val="28"/>
        </w:rPr>
      </w:pPr>
      <w:r w:rsidRPr="009200FF">
        <w:rPr>
          <w:b/>
          <w:color w:val="365F91" w:themeColor="accent1" w:themeShade="BF"/>
          <w:sz w:val="28"/>
          <w:szCs w:val="28"/>
        </w:rPr>
        <w:t>COUNTRY ECONOMIC MEMORANDUM</w:t>
      </w:r>
    </w:p>
    <w:p w14:paraId="41BC8F4D" w14:textId="77777777" w:rsidR="00292325" w:rsidRPr="009200FF" w:rsidRDefault="00292325" w:rsidP="00292325">
      <w:pPr>
        <w:jc w:val="center"/>
        <w:rPr>
          <w:b/>
          <w:color w:val="365F91" w:themeColor="accent1" w:themeShade="BF"/>
          <w:sz w:val="28"/>
          <w:szCs w:val="28"/>
        </w:rPr>
      </w:pPr>
      <w:r w:rsidRPr="009200FF">
        <w:rPr>
          <w:b/>
          <w:color w:val="365F91" w:themeColor="accent1" w:themeShade="BF"/>
          <w:sz w:val="28"/>
          <w:szCs w:val="28"/>
        </w:rPr>
        <w:t>for São Tomé and Príncipe</w:t>
      </w:r>
    </w:p>
    <w:p w14:paraId="79D25C21" w14:textId="77777777" w:rsidR="00292325" w:rsidRPr="009200FF" w:rsidRDefault="00292325" w:rsidP="00292325">
      <w:pPr>
        <w:jc w:val="center"/>
        <w:rPr>
          <w:b/>
          <w:color w:val="365F91" w:themeColor="accent1" w:themeShade="BF"/>
          <w:sz w:val="28"/>
          <w:szCs w:val="28"/>
        </w:rPr>
      </w:pPr>
      <w:r w:rsidRPr="009200FF">
        <w:rPr>
          <w:b/>
          <w:color w:val="365F91" w:themeColor="accent1" w:themeShade="BF"/>
          <w:sz w:val="28"/>
          <w:szCs w:val="28"/>
        </w:rPr>
        <w:t>Background Notes</w:t>
      </w:r>
    </w:p>
    <w:p w14:paraId="1625520E" w14:textId="77777777" w:rsidR="00292325" w:rsidRPr="009200FF" w:rsidRDefault="00565822" w:rsidP="00292325">
      <w:pPr>
        <w:jc w:val="center"/>
        <w:rPr>
          <w:b/>
          <w:color w:val="365F91" w:themeColor="accent1" w:themeShade="BF"/>
          <w:sz w:val="28"/>
          <w:szCs w:val="28"/>
        </w:rPr>
      </w:pPr>
      <w:r w:rsidRPr="009200FF">
        <w:rPr>
          <w:noProof/>
        </w:rPr>
        <mc:AlternateContent>
          <mc:Choice Requires="wps">
            <w:drawing>
              <wp:anchor distT="4294967293" distB="4294967293" distL="114300" distR="114300" simplePos="0" relativeHeight="251660288" behindDoc="0" locked="0" layoutInCell="1" allowOverlap="1" wp14:anchorId="5AA18E40" wp14:editId="02DB05F8">
                <wp:simplePos x="0" y="0"/>
                <wp:positionH relativeFrom="column">
                  <wp:posOffset>-20955</wp:posOffset>
                </wp:positionH>
                <wp:positionV relativeFrom="paragraph">
                  <wp:posOffset>91439</wp:posOffset>
                </wp:positionV>
                <wp:extent cx="6057265" cy="0"/>
                <wp:effectExtent l="0" t="0" r="13335" b="25400"/>
                <wp:wrapNone/>
                <wp:docPr id="1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57265" cy="0"/>
                        </a:xfrm>
                        <a:prstGeom prst="line">
                          <a:avLst/>
                        </a:prstGeom>
                        <a:ln w="15875">
                          <a:solidFill>
                            <a:srgbClr val="ED7D3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E2D0EDD" id="Straight Connector 6" o:spid="_x0000_s1026" style="position:absolute;z-index:251660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65pt,7.2pt" to="475.3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" strokecolor="#ed7d31" strokeweight="1.25pt">
                <o:lock v:ext="edit" shapetype="f"/>
              </v:line>
            </w:pict>
          </mc:Fallback>
        </mc:AlternateContent>
      </w:r>
    </w:p>
    <w:p w14:paraId="30C9A480" w14:textId="25BB7230" w:rsidR="00EB138A" w:rsidRPr="009200FF" w:rsidRDefault="00292325" w:rsidP="00292325">
      <w:pPr>
        <w:spacing w:after="240"/>
        <w:jc w:val="both"/>
        <w:rPr>
          <w:b/>
          <w:color w:val="365F91" w:themeColor="accent1" w:themeShade="BF"/>
          <w:sz w:val="24"/>
          <w:szCs w:val="24"/>
        </w:rPr>
      </w:pPr>
      <w:r w:rsidRPr="009200FF">
        <w:rPr>
          <w:b/>
          <w:color w:val="365F91" w:themeColor="accent1" w:themeShade="BF"/>
          <w:sz w:val="24"/>
          <w:szCs w:val="24"/>
        </w:rPr>
        <w:t>Note #</w:t>
      </w:r>
      <w:r w:rsidR="00531C48">
        <w:rPr>
          <w:b/>
          <w:color w:val="365F91" w:themeColor="accent1" w:themeShade="BF"/>
          <w:sz w:val="24"/>
          <w:szCs w:val="24"/>
        </w:rPr>
        <w:t>7</w:t>
      </w:r>
      <w:bookmarkStart w:id="0" w:name="_GoBack"/>
      <w:bookmarkEnd w:id="0"/>
      <w:r w:rsidRPr="009200FF">
        <w:rPr>
          <w:b/>
          <w:color w:val="365F91" w:themeColor="accent1" w:themeShade="BF"/>
          <w:sz w:val="24"/>
          <w:szCs w:val="24"/>
        </w:rPr>
        <w:t xml:space="preserve"> – What are the </w:t>
      </w:r>
      <w:r w:rsidR="009C43AD" w:rsidRPr="009200FF">
        <w:rPr>
          <w:b/>
          <w:color w:val="365F91" w:themeColor="accent1" w:themeShade="BF"/>
          <w:sz w:val="24"/>
          <w:szCs w:val="24"/>
        </w:rPr>
        <w:t>bottlenecks</w:t>
      </w:r>
      <w:r w:rsidRPr="009200FF">
        <w:rPr>
          <w:b/>
          <w:color w:val="365F91" w:themeColor="accent1" w:themeShade="BF"/>
          <w:sz w:val="24"/>
          <w:szCs w:val="24"/>
        </w:rPr>
        <w:t xml:space="preserve"> on land governance</w:t>
      </w:r>
      <w:r w:rsidR="00954B30" w:rsidRPr="009200FF">
        <w:rPr>
          <w:rStyle w:val="FootnoteReference"/>
          <w:b/>
          <w:color w:val="365F91" w:themeColor="accent1" w:themeShade="BF"/>
          <w:sz w:val="24"/>
          <w:szCs w:val="24"/>
        </w:rPr>
        <w:footnoteReference w:id="1"/>
      </w:r>
      <w:r w:rsidRPr="009200FF">
        <w:rPr>
          <w:b/>
          <w:color w:val="365F91" w:themeColor="accent1" w:themeShade="BF"/>
          <w:sz w:val="24"/>
          <w:szCs w:val="24"/>
        </w:rPr>
        <w:t xml:space="preserve"> and how to remove them to support tourism and agriculture development?</w:t>
      </w:r>
    </w:p>
    <w:p w14:paraId="42B88BEE" w14:textId="77777777" w:rsidR="00EB138A" w:rsidRPr="009200FF" w:rsidRDefault="00EB138A" w:rsidP="00EB138A">
      <w:pPr>
        <w:autoSpaceDE w:val="0"/>
        <w:autoSpaceDN w:val="0"/>
        <w:adjustRightInd w:val="0"/>
        <w:spacing w:after="0" w:line="240" w:lineRule="auto"/>
        <w:jc w:val="right"/>
        <w:rPr>
          <w:rFonts w:eastAsia="MS Mincho"/>
          <w:color w:val="000000"/>
          <w:sz w:val="20"/>
          <w:szCs w:val="20"/>
          <w:lang w:val="pt-BR" w:eastAsia="ja-JP"/>
        </w:rPr>
      </w:pPr>
      <w:r w:rsidRPr="009200FF">
        <w:rPr>
          <w:sz w:val="20"/>
          <w:szCs w:val="20"/>
          <w:lang w:val="pt-BR"/>
        </w:rPr>
        <w:t xml:space="preserve">Ivonne </w:t>
      </w:r>
      <w:r w:rsidR="00FD37C8" w:rsidRPr="009200FF">
        <w:rPr>
          <w:sz w:val="20"/>
          <w:szCs w:val="20"/>
          <w:lang w:val="pt-BR"/>
        </w:rPr>
        <w:t xml:space="preserve">Moreno </w:t>
      </w:r>
      <w:r w:rsidRPr="009200FF">
        <w:rPr>
          <w:sz w:val="20"/>
          <w:szCs w:val="20"/>
          <w:lang w:val="pt-BR"/>
        </w:rPr>
        <w:t>Horta</w:t>
      </w:r>
      <w:r w:rsidRPr="009200FF">
        <w:rPr>
          <w:rStyle w:val="FootnoteReference"/>
          <w:rFonts w:eastAsia="MS Mincho"/>
          <w:color w:val="000000"/>
          <w:lang w:val="pt-BR" w:eastAsia="ja-JP"/>
        </w:rPr>
        <w:t xml:space="preserve"> </w:t>
      </w:r>
      <w:r w:rsidRPr="009200FF">
        <w:rPr>
          <w:rStyle w:val="FootnoteReference"/>
          <w:rFonts w:eastAsia="MS Mincho"/>
          <w:color w:val="000000"/>
          <w:lang w:eastAsia="ja-JP"/>
        </w:rPr>
        <w:footnoteReference w:customMarkFollows="1" w:id="2"/>
        <w:sym w:font="Symbol" w:char="F02A"/>
      </w:r>
    </w:p>
    <w:p w14:paraId="3CDD039A" w14:textId="77777777" w:rsidR="00032113" w:rsidRPr="009200FF" w:rsidRDefault="00EB138A">
      <w:pPr>
        <w:spacing w:after="240"/>
        <w:jc w:val="right"/>
        <w:rPr>
          <w:b/>
          <w:color w:val="365F91" w:themeColor="accent1" w:themeShade="BF"/>
          <w:sz w:val="24"/>
          <w:szCs w:val="24"/>
          <w:lang w:val="pt-BR"/>
        </w:rPr>
      </w:pPr>
      <w:r w:rsidRPr="009200FF">
        <w:rPr>
          <w:rFonts w:eastAsia="MS Mincho"/>
          <w:color w:val="000000"/>
          <w:sz w:val="20"/>
          <w:szCs w:val="20"/>
          <w:lang w:val="pt-BR" w:eastAsia="ja-JP"/>
        </w:rPr>
        <w:t>Camilo Pardo</w:t>
      </w:r>
    </w:p>
    <w:p w14:paraId="05DFF222" w14:textId="77777777" w:rsidR="00292325" w:rsidRPr="009200FF" w:rsidRDefault="002C14C8" w:rsidP="00D2064B">
      <w:pPr>
        <w:pStyle w:val="ListParagraph"/>
        <w:numPr>
          <w:ilvl w:val="0"/>
          <w:numId w:val="11"/>
        </w:numPr>
        <w:spacing w:before="240" w:after="120"/>
        <w:ind w:left="504"/>
        <w:contextualSpacing w:val="0"/>
        <w:jc w:val="both"/>
        <w:rPr>
          <w:b/>
          <w:color w:val="365F91" w:themeColor="accent1" w:themeShade="BF"/>
          <w:sz w:val="24"/>
          <w:szCs w:val="24"/>
        </w:rPr>
      </w:pPr>
      <w:r w:rsidRPr="009200FF">
        <w:rPr>
          <w:b/>
          <w:color w:val="365F91" w:themeColor="accent1" w:themeShade="BF"/>
          <w:sz w:val="24"/>
          <w:szCs w:val="24"/>
        </w:rPr>
        <w:t>Introduction</w:t>
      </w:r>
    </w:p>
    <w:p w14:paraId="7B58A4E4" w14:textId="4FA4B066" w:rsidR="007A17A3" w:rsidRPr="009200FF" w:rsidRDefault="00292325" w:rsidP="007A17A3">
      <w:pPr>
        <w:pStyle w:val="ListParagraph"/>
        <w:numPr>
          <w:ilvl w:val="0"/>
          <w:numId w:val="3"/>
        </w:numPr>
        <w:spacing w:after="120"/>
        <w:ind w:left="0" w:firstLine="0"/>
        <w:contextualSpacing w:val="0"/>
        <w:jc w:val="both"/>
      </w:pPr>
      <w:r w:rsidRPr="009200FF">
        <w:rPr>
          <w:rFonts w:cstheme="minorHAnsi"/>
          <w:b/>
        </w:rPr>
        <w:t xml:space="preserve">This </w:t>
      </w:r>
      <w:r w:rsidR="006F4783" w:rsidRPr="009200FF">
        <w:rPr>
          <w:rFonts w:cstheme="minorHAnsi"/>
          <w:b/>
        </w:rPr>
        <w:t xml:space="preserve">note </w:t>
      </w:r>
      <w:r w:rsidRPr="009200FF">
        <w:rPr>
          <w:rFonts w:cstheme="minorHAnsi"/>
          <w:b/>
        </w:rPr>
        <w:t>explores land governance</w:t>
      </w:r>
      <w:r w:rsidR="00E441C4" w:rsidRPr="009200FF">
        <w:rPr>
          <w:rFonts w:cstheme="minorHAnsi"/>
          <w:b/>
        </w:rPr>
        <w:t>-</w:t>
      </w:r>
      <w:r w:rsidRPr="009200FF">
        <w:rPr>
          <w:rFonts w:cstheme="minorHAnsi"/>
          <w:b/>
        </w:rPr>
        <w:t xml:space="preserve">related constraints </w:t>
      </w:r>
      <w:r w:rsidR="003E04C6" w:rsidRPr="009200FF">
        <w:rPr>
          <w:rFonts w:cstheme="minorHAnsi"/>
          <w:b/>
        </w:rPr>
        <w:t>holding back</w:t>
      </w:r>
      <w:r w:rsidRPr="009200FF">
        <w:rPr>
          <w:rFonts w:cstheme="minorHAnsi"/>
          <w:b/>
        </w:rPr>
        <w:t xml:space="preserve"> </w:t>
      </w:r>
      <w:r w:rsidR="003E04C6" w:rsidRPr="009200FF">
        <w:rPr>
          <w:rFonts w:cstheme="minorHAnsi"/>
          <w:b/>
        </w:rPr>
        <w:t xml:space="preserve">the </w:t>
      </w:r>
      <w:r w:rsidR="006F4783" w:rsidRPr="009200FF">
        <w:rPr>
          <w:rFonts w:cstheme="minorHAnsi"/>
          <w:b/>
        </w:rPr>
        <w:t xml:space="preserve">growth </w:t>
      </w:r>
      <w:r w:rsidRPr="009200FF">
        <w:rPr>
          <w:rFonts w:cstheme="minorHAnsi"/>
          <w:b/>
        </w:rPr>
        <w:t xml:space="preserve">potential </w:t>
      </w:r>
      <w:r w:rsidR="003E04C6" w:rsidRPr="009200FF">
        <w:rPr>
          <w:rFonts w:cstheme="minorHAnsi"/>
          <w:b/>
        </w:rPr>
        <w:t xml:space="preserve">of the agriculture and tourism sectors </w:t>
      </w:r>
      <w:r w:rsidR="006F4783" w:rsidRPr="009200FF">
        <w:rPr>
          <w:rFonts w:cstheme="minorHAnsi"/>
          <w:b/>
        </w:rPr>
        <w:t>in the Democratic Republic of São Tomé and Pr</w:t>
      </w:r>
      <w:r w:rsidR="0027133D" w:rsidRPr="009200FF">
        <w:rPr>
          <w:rFonts w:cstheme="minorHAnsi"/>
          <w:b/>
        </w:rPr>
        <w:t>í</w:t>
      </w:r>
      <w:r w:rsidR="006F4783" w:rsidRPr="009200FF">
        <w:rPr>
          <w:rFonts w:cstheme="minorHAnsi"/>
          <w:b/>
        </w:rPr>
        <w:t>ncipe</w:t>
      </w:r>
      <w:r w:rsidR="007F7FB4" w:rsidRPr="009200FF">
        <w:rPr>
          <w:rFonts w:cstheme="minorHAnsi"/>
          <w:b/>
        </w:rPr>
        <w:t xml:space="preserve"> (STP)</w:t>
      </w:r>
      <w:r w:rsidRPr="009200FF">
        <w:rPr>
          <w:rFonts w:cstheme="minorHAnsi"/>
          <w:b/>
        </w:rPr>
        <w:t>.</w:t>
      </w:r>
      <w:r w:rsidR="003B035E" w:rsidRPr="009200FF">
        <w:rPr>
          <w:rFonts w:cstheme="minorHAnsi"/>
          <w:b/>
        </w:rPr>
        <w:t xml:space="preserve"> </w:t>
      </w:r>
      <w:r w:rsidR="00E2050B" w:rsidRPr="009200FF">
        <w:rPr>
          <w:rFonts w:cstheme="minorHAnsi"/>
        </w:rPr>
        <w:t xml:space="preserve">The absence of a </w:t>
      </w:r>
      <w:r w:rsidR="004F2E01" w:rsidRPr="009200FF">
        <w:rPr>
          <w:rFonts w:cstheme="minorHAnsi"/>
        </w:rPr>
        <w:t xml:space="preserve">proper </w:t>
      </w:r>
      <w:r w:rsidR="00E2050B" w:rsidRPr="009200FF">
        <w:rPr>
          <w:rFonts w:cstheme="minorHAnsi"/>
        </w:rPr>
        <w:t xml:space="preserve">land </w:t>
      </w:r>
      <w:r w:rsidR="00FA4920" w:rsidRPr="009200FF">
        <w:rPr>
          <w:rFonts w:cstheme="minorHAnsi"/>
        </w:rPr>
        <w:t>information</w:t>
      </w:r>
      <w:r w:rsidR="00E2050B" w:rsidRPr="009200FF">
        <w:rPr>
          <w:rFonts w:cstheme="minorHAnsi"/>
        </w:rPr>
        <w:t xml:space="preserve"> system</w:t>
      </w:r>
      <w:r w:rsidR="00B73DD5" w:rsidRPr="009200FF">
        <w:rPr>
          <w:rFonts w:cstheme="minorHAnsi"/>
        </w:rPr>
        <w:t xml:space="preserve"> and a weak land governance framework are</w:t>
      </w:r>
      <w:r w:rsidR="00E01E74" w:rsidRPr="009200FF">
        <w:rPr>
          <w:rFonts w:cstheme="minorHAnsi"/>
        </w:rPr>
        <w:t xml:space="preserve"> identified </w:t>
      </w:r>
      <w:r w:rsidR="00E2050B" w:rsidRPr="009200FF">
        <w:rPr>
          <w:rFonts w:cstheme="minorHAnsi"/>
        </w:rPr>
        <w:t xml:space="preserve">as </w:t>
      </w:r>
      <w:r w:rsidR="00E01E74" w:rsidRPr="009200FF">
        <w:rPr>
          <w:rFonts w:cstheme="minorHAnsi"/>
        </w:rPr>
        <w:t>the</w:t>
      </w:r>
      <w:r w:rsidR="00E2050B" w:rsidRPr="009200FF">
        <w:rPr>
          <w:rFonts w:cstheme="minorHAnsi"/>
        </w:rPr>
        <w:t xml:space="preserve"> major constraint</w:t>
      </w:r>
      <w:r w:rsidR="003E04C6" w:rsidRPr="009200FF">
        <w:rPr>
          <w:rFonts w:cstheme="minorHAnsi"/>
        </w:rPr>
        <w:t>s</w:t>
      </w:r>
      <w:r w:rsidR="00E2050B" w:rsidRPr="009200FF">
        <w:rPr>
          <w:rFonts w:cstheme="minorHAnsi"/>
        </w:rPr>
        <w:t xml:space="preserve"> to </w:t>
      </w:r>
      <w:r w:rsidR="00E01E74" w:rsidRPr="009200FF">
        <w:rPr>
          <w:rFonts w:cstheme="minorHAnsi"/>
        </w:rPr>
        <w:t xml:space="preserve">rural development and tourism. This </w:t>
      </w:r>
      <w:r w:rsidR="00736EC4" w:rsidRPr="009200FF">
        <w:rPr>
          <w:rFonts w:cstheme="minorHAnsi"/>
        </w:rPr>
        <w:t xml:space="preserve">note </w:t>
      </w:r>
      <w:r w:rsidR="00E01E74" w:rsidRPr="009200FF">
        <w:rPr>
          <w:rFonts w:cstheme="minorHAnsi"/>
        </w:rPr>
        <w:t>provides insights</w:t>
      </w:r>
      <w:r w:rsidR="009C43AD" w:rsidRPr="009200FF">
        <w:rPr>
          <w:rFonts w:cstheme="minorHAnsi"/>
        </w:rPr>
        <w:t>, identifies the most salient weaknesses</w:t>
      </w:r>
      <w:r w:rsidR="009C2C63" w:rsidRPr="009200FF">
        <w:rPr>
          <w:rFonts w:cstheme="minorHAnsi"/>
        </w:rPr>
        <w:t>,</w:t>
      </w:r>
      <w:r w:rsidR="009C43AD" w:rsidRPr="009200FF">
        <w:rPr>
          <w:rFonts w:cstheme="minorHAnsi"/>
        </w:rPr>
        <w:t xml:space="preserve"> </w:t>
      </w:r>
      <w:r w:rsidR="00E01E74" w:rsidRPr="009200FF">
        <w:rPr>
          <w:rFonts w:cstheme="minorHAnsi"/>
        </w:rPr>
        <w:t xml:space="preserve">and </w:t>
      </w:r>
      <w:r w:rsidR="00B73DD5" w:rsidRPr="009200FF">
        <w:rPr>
          <w:rFonts w:cstheme="minorHAnsi"/>
        </w:rPr>
        <w:t xml:space="preserve">presents </w:t>
      </w:r>
      <w:r w:rsidR="009C2C63" w:rsidRPr="009200FF">
        <w:rPr>
          <w:rFonts w:cstheme="minorHAnsi"/>
        </w:rPr>
        <w:t xml:space="preserve">recommendations </w:t>
      </w:r>
      <w:r w:rsidR="00511049" w:rsidRPr="009200FF">
        <w:rPr>
          <w:rFonts w:cstheme="minorHAnsi"/>
        </w:rPr>
        <w:t>to address</w:t>
      </w:r>
      <w:r w:rsidR="003E04C6" w:rsidRPr="009200FF">
        <w:rPr>
          <w:rFonts w:cstheme="minorHAnsi"/>
        </w:rPr>
        <w:t xml:space="preserve"> these issues. </w:t>
      </w:r>
      <w:r w:rsidR="009C43AD" w:rsidRPr="009200FF">
        <w:rPr>
          <w:rFonts w:cstheme="minorHAnsi"/>
        </w:rPr>
        <w:t xml:space="preserve">The first section </w:t>
      </w:r>
      <w:r w:rsidR="003E04C6" w:rsidRPr="009200FF">
        <w:rPr>
          <w:rFonts w:cstheme="minorHAnsi"/>
        </w:rPr>
        <w:t xml:space="preserve">describes the history of </w:t>
      </w:r>
      <w:r w:rsidR="009C43AD" w:rsidRPr="009200FF">
        <w:rPr>
          <w:rFonts w:cstheme="minorHAnsi"/>
        </w:rPr>
        <w:t>land tenure in the country</w:t>
      </w:r>
      <w:r w:rsidR="00E77C73" w:rsidRPr="009200FF">
        <w:rPr>
          <w:rFonts w:cstheme="minorHAnsi"/>
        </w:rPr>
        <w:t xml:space="preserve">. </w:t>
      </w:r>
      <w:r w:rsidR="00D43CCC" w:rsidRPr="009200FF">
        <w:rPr>
          <w:rFonts w:cstheme="minorHAnsi"/>
        </w:rPr>
        <w:t>The</w:t>
      </w:r>
      <w:r w:rsidR="00E77C73" w:rsidRPr="009200FF">
        <w:rPr>
          <w:rFonts w:cstheme="minorHAnsi"/>
        </w:rPr>
        <w:t xml:space="preserve"> second section</w:t>
      </w:r>
      <w:r w:rsidR="00776FCD" w:rsidRPr="009200FF">
        <w:rPr>
          <w:rFonts w:cstheme="minorHAnsi"/>
        </w:rPr>
        <w:t xml:space="preserve"> </w:t>
      </w:r>
      <w:r w:rsidR="003E04C6" w:rsidRPr="009200FF">
        <w:rPr>
          <w:rFonts w:cstheme="minorHAnsi"/>
        </w:rPr>
        <w:t xml:space="preserve">focuses on </w:t>
      </w:r>
      <w:r w:rsidR="00776FCD" w:rsidRPr="009200FF">
        <w:rPr>
          <w:rFonts w:cstheme="minorHAnsi"/>
        </w:rPr>
        <w:t>the</w:t>
      </w:r>
      <w:r w:rsidR="00335D21" w:rsidRPr="009200FF">
        <w:rPr>
          <w:rFonts w:cstheme="minorHAnsi"/>
        </w:rPr>
        <w:t xml:space="preserve"> positive impacts that </w:t>
      </w:r>
      <w:r w:rsidR="00776FCD" w:rsidRPr="009200FF">
        <w:rPr>
          <w:rFonts w:cstheme="minorHAnsi"/>
        </w:rPr>
        <w:t>the establishment of a land information system</w:t>
      </w:r>
      <w:r w:rsidR="00335D21" w:rsidRPr="009200FF">
        <w:rPr>
          <w:rFonts w:cstheme="minorHAnsi"/>
        </w:rPr>
        <w:t xml:space="preserve"> can have for rural </w:t>
      </w:r>
      <w:r w:rsidR="0097569D" w:rsidRPr="009200FF">
        <w:rPr>
          <w:rFonts w:cstheme="minorHAnsi"/>
        </w:rPr>
        <w:t>develo</w:t>
      </w:r>
      <w:r w:rsidR="00335D21" w:rsidRPr="009200FF">
        <w:rPr>
          <w:rFonts w:cstheme="minorHAnsi"/>
        </w:rPr>
        <w:t>pment and the tourism</w:t>
      </w:r>
      <w:r w:rsidR="00E77C73" w:rsidRPr="009200FF">
        <w:rPr>
          <w:rFonts w:cstheme="minorHAnsi"/>
        </w:rPr>
        <w:t xml:space="preserve"> sectors</w:t>
      </w:r>
      <w:r w:rsidR="00133BA1" w:rsidRPr="009200FF">
        <w:rPr>
          <w:rFonts w:cstheme="minorHAnsi"/>
        </w:rPr>
        <w:t xml:space="preserve"> and</w:t>
      </w:r>
      <w:r w:rsidR="00776FCD" w:rsidRPr="009200FF">
        <w:rPr>
          <w:rFonts w:cstheme="minorHAnsi"/>
        </w:rPr>
        <w:t xml:space="preserve"> </w:t>
      </w:r>
      <w:r w:rsidR="00E83B05" w:rsidRPr="009200FF">
        <w:rPr>
          <w:rFonts w:cstheme="minorHAnsi"/>
        </w:rPr>
        <w:t xml:space="preserve">describes the institutions </w:t>
      </w:r>
      <w:r w:rsidR="003E04C6" w:rsidRPr="009200FF">
        <w:rPr>
          <w:rFonts w:cstheme="minorHAnsi"/>
        </w:rPr>
        <w:t xml:space="preserve">in charge of land </w:t>
      </w:r>
      <w:r w:rsidR="00133BA1" w:rsidRPr="009200FF">
        <w:rPr>
          <w:rFonts w:cstheme="minorHAnsi"/>
        </w:rPr>
        <w:t>management</w:t>
      </w:r>
      <w:r w:rsidR="008164CF" w:rsidRPr="009200FF">
        <w:rPr>
          <w:rFonts w:cstheme="minorHAnsi"/>
        </w:rPr>
        <w:t xml:space="preserve"> and related legislation</w:t>
      </w:r>
      <w:r w:rsidR="00E83B05" w:rsidRPr="009200FF">
        <w:rPr>
          <w:rFonts w:cstheme="minorHAnsi"/>
        </w:rPr>
        <w:t xml:space="preserve">. </w:t>
      </w:r>
      <w:r w:rsidR="003E04C6" w:rsidRPr="009200FF">
        <w:rPr>
          <w:rFonts w:cstheme="minorHAnsi"/>
        </w:rPr>
        <w:t>The fourth</w:t>
      </w:r>
      <w:r w:rsidR="00E83B05" w:rsidRPr="009200FF">
        <w:rPr>
          <w:rFonts w:cstheme="minorHAnsi"/>
        </w:rPr>
        <w:t xml:space="preserve"> section identifies the main inefficiencies in land adminis</w:t>
      </w:r>
      <w:r w:rsidR="00335D21" w:rsidRPr="009200FF">
        <w:rPr>
          <w:rFonts w:cstheme="minorHAnsi"/>
        </w:rPr>
        <w:t xml:space="preserve">tration </w:t>
      </w:r>
      <w:r w:rsidR="00357828" w:rsidRPr="009200FF">
        <w:rPr>
          <w:rFonts w:cstheme="minorHAnsi"/>
        </w:rPr>
        <w:t>affecting economic growth</w:t>
      </w:r>
      <w:r w:rsidR="00133BA1" w:rsidRPr="009200FF">
        <w:rPr>
          <w:rFonts w:cstheme="minorHAnsi"/>
        </w:rPr>
        <w:t>. The</w:t>
      </w:r>
      <w:r w:rsidR="00AF20A7" w:rsidRPr="009200FF">
        <w:rPr>
          <w:rFonts w:cstheme="minorHAnsi"/>
        </w:rPr>
        <w:t xml:space="preserve"> </w:t>
      </w:r>
      <w:r w:rsidR="002758DC" w:rsidRPr="009200FF">
        <w:rPr>
          <w:rFonts w:cstheme="minorHAnsi"/>
        </w:rPr>
        <w:t>final</w:t>
      </w:r>
      <w:r w:rsidR="00AF20A7" w:rsidRPr="009200FF">
        <w:rPr>
          <w:rFonts w:cstheme="minorHAnsi"/>
        </w:rPr>
        <w:t xml:space="preserve"> section</w:t>
      </w:r>
      <w:r w:rsidR="00133BA1" w:rsidRPr="009200FF">
        <w:rPr>
          <w:rFonts w:cstheme="minorHAnsi"/>
        </w:rPr>
        <w:t>s outline</w:t>
      </w:r>
      <w:r w:rsidR="00AF20A7" w:rsidRPr="009200FF">
        <w:rPr>
          <w:rFonts w:cstheme="minorHAnsi"/>
        </w:rPr>
        <w:t xml:space="preserve"> </w:t>
      </w:r>
      <w:r w:rsidR="002758DC" w:rsidRPr="009200FF">
        <w:rPr>
          <w:rFonts w:cstheme="minorHAnsi"/>
        </w:rPr>
        <w:t xml:space="preserve">the </w:t>
      </w:r>
      <w:r w:rsidR="00AF20A7" w:rsidRPr="009200FF">
        <w:rPr>
          <w:rFonts w:cstheme="minorHAnsi"/>
        </w:rPr>
        <w:t xml:space="preserve">activities currently in </w:t>
      </w:r>
      <w:r w:rsidR="00133BA1" w:rsidRPr="009200FF">
        <w:rPr>
          <w:rFonts w:cstheme="minorHAnsi"/>
        </w:rPr>
        <w:t>execution</w:t>
      </w:r>
      <w:r w:rsidR="00AF20A7" w:rsidRPr="009200FF">
        <w:rPr>
          <w:rFonts w:cstheme="minorHAnsi"/>
        </w:rPr>
        <w:t xml:space="preserve"> </w:t>
      </w:r>
      <w:r w:rsidR="002758DC" w:rsidRPr="009200FF">
        <w:rPr>
          <w:rFonts w:cstheme="minorHAnsi"/>
        </w:rPr>
        <w:t xml:space="preserve">to </w:t>
      </w:r>
      <w:r w:rsidR="004570C9" w:rsidRPr="009200FF">
        <w:rPr>
          <w:rFonts w:cstheme="minorHAnsi"/>
        </w:rPr>
        <w:t>address such issues</w:t>
      </w:r>
      <w:r w:rsidR="00133BA1" w:rsidRPr="009200FF">
        <w:rPr>
          <w:rFonts w:cstheme="minorHAnsi"/>
        </w:rPr>
        <w:t xml:space="preserve"> and present policy recommendations</w:t>
      </w:r>
      <w:r w:rsidR="002758DC" w:rsidRPr="009200FF">
        <w:rPr>
          <w:rFonts w:cstheme="minorHAnsi"/>
        </w:rPr>
        <w:t>.</w:t>
      </w:r>
    </w:p>
    <w:p w14:paraId="12BAB4EB" w14:textId="77777777" w:rsidR="00E83B05" w:rsidRPr="009200FF" w:rsidRDefault="00C931E8" w:rsidP="00D2064B">
      <w:pPr>
        <w:pStyle w:val="ListParagraph"/>
        <w:numPr>
          <w:ilvl w:val="0"/>
          <w:numId w:val="11"/>
        </w:numPr>
        <w:spacing w:before="240" w:after="120"/>
        <w:ind w:left="504"/>
        <w:contextualSpacing w:val="0"/>
        <w:jc w:val="both"/>
        <w:rPr>
          <w:b/>
          <w:color w:val="365F91" w:themeColor="accent1" w:themeShade="BF"/>
          <w:sz w:val="24"/>
          <w:szCs w:val="24"/>
        </w:rPr>
      </w:pPr>
      <w:r w:rsidRPr="009200FF">
        <w:rPr>
          <w:b/>
          <w:color w:val="365F91" w:themeColor="accent1" w:themeShade="BF"/>
          <w:sz w:val="24"/>
          <w:szCs w:val="24"/>
        </w:rPr>
        <w:t xml:space="preserve">Land </w:t>
      </w:r>
      <w:r w:rsidR="001D70B5" w:rsidRPr="009200FF">
        <w:rPr>
          <w:b/>
          <w:color w:val="365F91" w:themeColor="accent1" w:themeShade="BF"/>
          <w:sz w:val="24"/>
          <w:szCs w:val="24"/>
        </w:rPr>
        <w:t>t</w:t>
      </w:r>
      <w:r w:rsidRPr="009200FF">
        <w:rPr>
          <w:b/>
          <w:color w:val="365F91" w:themeColor="accent1" w:themeShade="BF"/>
          <w:sz w:val="24"/>
          <w:szCs w:val="24"/>
        </w:rPr>
        <w:t xml:space="preserve">enure </w:t>
      </w:r>
      <w:r w:rsidR="001D70B5" w:rsidRPr="009200FF">
        <w:rPr>
          <w:b/>
          <w:color w:val="365F91" w:themeColor="accent1" w:themeShade="BF"/>
          <w:sz w:val="24"/>
          <w:szCs w:val="24"/>
        </w:rPr>
        <w:t xml:space="preserve">has evolved </w:t>
      </w:r>
      <w:r w:rsidRPr="009200FF">
        <w:rPr>
          <w:b/>
          <w:color w:val="365F91" w:themeColor="accent1" w:themeShade="BF"/>
          <w:sz w:val="24"/>
          <w:szCs w:val="24"/>
        </w:rPr>
        <w:t>in STP</w:t>
      </w:r>
      <w:r w:rsidR="001D70B5" w:rsidRPr="009200FF">
        <w:rPr>
          <w:b/>
          <w:color w:val="365F91" w:themeColor="accent1" w:themeShade="BF"/>
          <w:sz w:val="24"/>
          <w:szCs w:val="24"/>
        </w:rPr>
        <w:t xml:space="preserve"> and today is </w:t>
      </w:r>
      <w:r w:rsidR="00A93658" w:rsidRPr="009200FF">
        <w:rPr>
          <w:b/>
          <w:color w:val="365F91" w:themeColor="accent1" w:themeShade="BF"/>
          <w:sz w:val="24"/>
          <w:szCs w:val="24"/>
        </w:rPr>
        <w:t xml:space="preserve">a </w:t>
      </w:r>
      <w:r w:rsidR="00E0192F" w:rsidRPr="009200FF">
        <w:rPr>
          <w:b/>
          <w:color w:val="365F91" w:themeColor="accent1" w:themeShade="BF"/>
          <w:sz w:val="24"/>
          <w:szCs w:val="24"/>
        </w:rPr>
        <w:t>mix of private holding and usufruc</w:t>
      </w:r>
      <w:r w:rsidR="00D90681" w:rsidRPr="009200FF">
        <w:rPr>
          <w:b/>
          <w:color w:val="365F91" w:themeColor="accent1" w:themeShade="BF"/>
          <w:sz w:val="24"/>
          <w:szCs w:val="24"/>
        </w:rPr>
        <w:t>t of public land.</w:t>
      </w:r>
    </w:p>
    <w:p w14:paraId="1FBB590A" w14:textId="21AB093F" w:rsidR="004A1361" w:rsidRPr="009200FF" w:rsidRDefault="00025932" w:rsidP="00175BDE">
      <w:pPr>
        <w:spacing w:after="120"/>
        <w:jc w:val="both"/>
        <w:rPr>
          <w:rFonts w:cstheme="minorHAnsi"/>
          <w:b/>
        </w:rPr>
      </w:pPr>
      <w:r w:rsidRPr="009200FF">
        <w:rPr>
          <w:rFonts w:cstheme="minorHAnsi"/>
        </w:rPr>
        <w:t>2.</w:t>
      </w:r>
      <w:r w:rsidRPr="009200FF">
        <w:rPr>
          <w:rFonts w:cstheme="minorHAnsi"/>
          <w:b/>
        </w:rPr>
        <w:t xml:space="preserve"> </w:t>
      </w:r>
      <w:r w:rsidRPr="009200FF">
        <w:rPr>
          <w:rFonts w:cstheme="minorHAnsi"/>
          <w:b/>
        </w:rPr>
        <w:tab/>
      </w:r>
      <w:r w:rsidR="00674FF8" w:rsidRPr="009200FF">
        <w:rPr>
          <w:rFonts w:cstheme="minorHAnsi"/>
          <w:b/>
        </w:rPr>
        <w:t xml:space="preserve">São Tomé and Príncipe </w:t>
      </w:r>
      <w:r w:rsidR="00B541E1" w:rsidRPr="009200FF">
        <w:rPr>
          <w:rFonts w:cstheme="minorHAnsi"/>
          <w:b/>
        </w:rPr>
        <w:t xml:space="preserve">has experienced different </w:t>
      </w:r>
      <w:r w:rsidR="003E04C6" w:rsidRPr="009200FF">
        <w:rPr>
          <w:rFonts w:cstheme="minorHAnsi"/>
          <w:b/>
        </w:rPr>
        <w:t xml:space="preserve">land </w:t>
      </w:r>
      <w:r w:rsidR="00B541E1" w:rsidRPr="009200FF">
        <w:rPr>
          <w:rFonts w:cstheme="minorHAnsi"/>
          <w:b/>
        </w:rPr>
        <w:t xml:space="preserve">tenure structures since </w:t>
      </w:r>
      <w:r w:rsidR="008E0F1B" w:rsidRPr="009200FF">
        <w:rPr>
          <w:rFonts w:cstheme="minorHAnsi"/>
          <w:b/>
        </w:rPr>
        <w:t>independence</w:t>
      </w:r>
      <w:r w:rsidR="00B541E1" w:rsidRPr="009200FF">
        <w:rPr>
          <w:rFonts w:cstheme="minorHAnsi"/>
          <w:b/>
        </w:rPr>
        <w:t xml:space="preserve"> in 1975, but </w:t>
      </w:r>
      <w:r w:rsidR="00DA4C5F" w:rsidRPr="009200FF">
        <w:rPr>
          <w:rFonts w:cstheme="minorHAnsi"/>
          <w:b/>
        </w:rPr>
        <w:t xml:space="preserve">still facing challenges ahead </w:t>
      </w:r>
      <w:r w:rsidR="00357828" w:rsidRPr="009200FF">
        <w:rPr>
          <w:rFonts w:cstheme="minorHAnsi"/>
          <w:b/>
        </w:rPr>
        <w:t>for</w:t>
      </w:r>
      <w:r w:rsidR="00B541E1" w:rsidRPr="009200FF">
        <w:rPr>
          <w:rFonts w:cstheme="minorHAnsi"/>
          <w:b/>
        </w:rPr>
        <w:t xml:space="preserve"> </w:t>
      </w:r>
      <w:r w:rsidR="0039793D" w:rsidRPr="009200FF">
        <w:rPr>
          <w:rFonts w:cstheme="minorHAnsi"/>
          <w:b/>
        </w:rPr>
        <w:t>economic</w:t>
      </w:r>
      <w:r w:rsidR="00B541E1" w:rsidRPr="009200FF">
        <w:rPr>
          <w:rFonts w:cstheme="minorHAnsi"/>
          <w:b/>
        </w:rPr>
        <w:t xml:space="preserve"> development. </w:t>
      </w:r>
      <w:r w:rsidR="004E7BEE" w:rsidRPr="009200FF">
        <w:rPr>
          <w:rFonts w:cstheme="minorHAnsi"/>
        </w:rPr>
        <w:t>When the country achieved its independence from Portugal</w:t>
      </w:r>
      <w:r w:rsidR="004E7BEE" w:rsidRPr="009200FF">
        <w:t xml:space="preserve">, </w:t>
      </w:r>
      <w:r w:rsidR="00B541E1" w:rsidRPr="009200FF">
        <w:t>land was concentrated in the hands of the Portuguese</w:t>
      </w:r>
      <w:r w:rsidR="00170745" w:rsidRPr="009200FF">
        <w:t>,</w:t>
      </w:r>
      <w:r w:rsidR="000B02F6" w:rsidRPr="009200FF">
        <w:t xml:space="preserve"> </w:t>
      </w:r>
      <w:r w:rsidR="00B541E1" w:rsidRPr="009200FF">
        <w:t xml:space="preserve">and </w:t>
      </w:r>
      <w:r w:rsidR="004E7BEE" w:rsidRPr="009200FF">
        <w:t xml:space="preserve">the agricultural sector was based on a </w:t>
      </w:r>
      <w:r w:rsidR="00B73DD5" w:rsidRPr="009200FF">
        <w:t xml:space="preserve">cocoa monoculture </w:t>
      </w:r>
      <w:r w:rsidR="004E7BEE" w:rsidRPr="009200FF">
        <w:t xml:space="preserve">plantation system. </w:t>
      </w:r>
      <w:r w:rsidR="004A1361" w:rsidRPr="009200FF">
        <w:t>By the time</w:t>
      </w:r>
      <w:r w:rsidR="00141A66" w:rsidRPr="009200FF">
        <w:t xml:space="preserve"> the</w:t>
      </w:r>
      <w:r w:rsidR="004A1361" w:rsidRPr="009200FF">
        <w:t xml:space="preserve"> </w:t>
      </w:r>
      <w:r w:rsidR="00141A66" w:rsidRPr="009200FF">
        <w:t>Portuguese left</w:t>
      </w:r>
      <w:r w:rsidR="00023BE2" w:rsidRPr="009200FF">
        <w:t>, the</w:t>
      </w:r>
      <w:r w:rsidR="00141A66" w:rsidRPr="009200FF">
        <w:t xml:space="preserve"> </w:t>
      </w:r>
      <w:proofErr w:type="spellStart"/>
      <w:r w:rsidR="00F74056" w:rsidRPr="009200FF">
        <w:rPr>
          <w:i/>
        </w:rPr>
        <w:t>Roças</w:t>
      </w:r>
      <w:proofErr w:type="spellEnd"/>
      <w:r w:rsidR="00141A66" w:rsidRPr="009200FF">
        <w:t xml:space="preserve"> </w:t>
      </w:r>
      <w:r w:rsidR="00023BE2" w:rsidRPr="009200FF">
        <w:t>-</w:t>
      </w:r>
      <w:r w:rsidR="00410593" w:rsidRPr="009200FF">
        <w:t xml:space="preserve"> </w:t>
      </w:r>
      <w:r w:rsidR="00141A66" w:rsidRPr="009200FF">
        <w:t xml:space="preserve">as plantations </w:t>
      </w:r>
      <w:r w:rsidR="004A1361" w:rsidRPr="009200FF">
        <w:t>are</w:t>
      </w:r>
      <w:r w:rsidR="00141A66" w:rsidRPr="009200FF">
        <w:t xml:space="preserve"> known</w:t>
      </w:r>
      <w:r w:rsidR="00410593" w:rsidRPr="009200FF">
        <w:t xml:space="preserve"> </w:t>
      </w:r>
      <w:r w:rsidR="00023BE2" w:rsidRPr="009200FF">
        <w:t>-</w:t>
      </w:r>
      <w:r w:rsidR="00141A66" w:rsidRPr="009200FF">
        <w:t xml:space="preserve"> occupied over 90 per cent of the land, produced over 95 percent of the cocoa, and accounted for nearly 99 percent of the exports</w:t>
      </w:r>
      <w:r w:rsidR="006F3CFB" w:rsidRPr="009200FF">
        <w:rPr>
          <w:rStyle w:val="FootnoteReference"/>
        </w:rPr>
        <w:footnoteReference w:id="3"/>
      </w:r>
      <w:r w:rsidR="00141A66" w:rsidRPr="009200FF">
        <w:t xml:space="preserve">. </w:t>
      </w:r>
    </w:p>
    <w:p w14:paraId="71539AEA" w14:textId="77777777" w:rsidR="00363A80" w:rsidRPr="009200FF" w:rsidRDefault="00025932" w:rsidP="00175BDE">
      <w:pPr>
        <w:spacing w:after="120"/>
        <w:jc w:val="both"/>
      </w:pPr>
      <w:r w:rsidRPr="009200FF">
        <w:lastRenderedPageBreak/>
        <w:t>3.</w:t>
      </w:r>
      <w:r w:rsidRPr="009200FF">
        <w:rPr>
          <w:b/>
        </w:rPr>
        <w:tab/>
      </w:r>
      <w:r w:rsidR="005C6C41" w:rsidRPr="009200FF">
        <w:rPr>
          <w:b/>
        </w:rPr>
        <w:t>After</w:t>
      </w:r>
      <w:r w:rsidR="004A1361" w:rsidRPr="009200FF">
        <w:rPr>
          <w:b/>
        </w:rPr>
        <w:t xml:space="preserve"> independence</w:t>
      </w:r>
      <w:r w:rsidR="000F13DB" w:rsidRPr="009200FF">
        <w:rPr>
          <w:b/>
        </w:rPr>
        <w:t>,</w:t>
      </w:r>
      <w:r w:rsidR="00201832" w:rsidRPr="009200FF">
        <w:rPr>
          <w:b/>
        </w:rPr>
        <w:t xml:space="preserve"> STP became a one-party state </w:t>
      </w:r>
      <w:r w:rsidR="00B22361" w:rsidRPr="009200FF">
        <w:rPr>
          <w:b/>
        </w:rPr>
        <w:t>with a central</w:t>
      </w:r>
      <w:r w:rsidR="003D6A91" w:rsidRPr="009200FF">
        <w:rPr>
          <w:b/>
        </w:rPr>
        <w:t>ly planned</w:t>
      </w:r>
      <w:r w:rsidR="00B22361" w:rsidRPr="009200FF">
        <w:rPr>
          <w:b/>
        </w:rPr>
        <w:t xml:space="preserve"> economy </w:t>
      </w:r>
      <w:r w:rsidR="00201832" w:rsidRPr="009200FF">
        <w:rPr>
          <w:b/>
        </w:rPr>
        <w:t>and</w:t>
      </w:r>
      <w:r w:rsidR="004A1361" w:rsidRPr="009200FF">
        <w:rPr>
          <w:b/>
        </w:rPr>
        <w:t xml:space="preserve"> the privately held plantation system was replaced by a </w:t>
      </w:r>
      <w:r w:rsidR="00B07D4B" w:rsidRPr="009200FF">
        <w:rPr>
          <w:b/>
        </w:rPr>
        <w:t xml:space="preserve">network of </w:t>
      </w:r>
      <w:r w:rsidR="000F13DB" w:rsidRPr="009200FF">
        <w:rPr>
          <w:b/>
        </w:rPr>
        <w:t>s</w:t>
      </w:r>
      <w:r w:rsidR="00B07D4B" w:rsidRPr="009200FF">
        <w:rPr>
          <w:b/>
        </w:rPr>
        <w:t>tate-</w:t>
      </w:r>
      <w:r w:rsidR="00F149F9" w:rsidRPr="009200FF">
        <w:rPr>
          <w:b/>
        </w:rPr>
        <w:t>owned</w:t>
      </w:r>
      <w:r w:rsidR="00B07D4B" w:rsidRPr="009200FF">
        <w:rPr>
          <w:b/>
        </w:rPr>
        <w:t xml:space="preserve"> agricultural enterprises. </w:t>
      </w:r>
      <w:r w:rsidR="009024FE" w:rsidRPr="009200FF">
        <w:t>The abolition of the plantation system had been one of the main claims of the pro-independent, Marxist</w:t>
      </w:r>
      <w:r w:rsidR="000F13DB" w:rsidRPr="009200FF">
        <w:t>,</w:t>
      </w:r>
      <w:r w:rsidR="009024FE" w:rsidRPr="009200FF">
        <w:t xml:space="preserve"> </w:t>
      </w:r>
      <w:proofErr w:type="spellStart"/>
      <w:r w:rsidR="009024FE" w:rsidRPr="009200FF">
        <w:rPr>
          <w:i/>
        </w:rPr>
        <w:t>Movimento</w:t>
      </w:r>
      <w:proofErr w:type="spellEnd"/>
      <w:r w:rsidR="009024FE" w:rsidRPr="009200FF">
        <w:rPr>
          <w:i/>
        </w:rPr>
        <w:t xml:space="preserve"> de </w:t>
      </w:r>
      <w:proofErr w:type="spellStart"/>
      <w:r w:rsidR="009024FE" w:rsidRPr="009200FF">
        <w:rPr>
          <w:i/>
        </w:rPr>
        <w:t>Libertação</w:t>
      </w:r>
      <w:proofErr w:type="spellEnd"/>
      <w:r w:rsidR="009024FE" w:rsidRPr="009200FF">
        <w:rPr>
          <w:i/>
        </w:rPr>
        <w:t xml:space="preserve"> de São Tomé e Príncipe</w:t>
      </w:r>
      <w:r w:rsidR="009024FE" w:rsidRPr="009200FF">
        <w:t xml:space="preserve"> and land was nationalized a few months after independence</w:t>
      </w:r>
      <w:r w:rsidR="009024FE" w:rsidRPr="009200FF">
        <w:rPr>
          <w:rStyle w:val="FootnoteReference"/>
        </w:rPr>
        <w:footnoteReference w:id="4"/>
      </w:r>
      <w:r w:rsidR="009024FE" w:rsidRPr="009200FF">
        <w:t xml:space="preserve">. </w:t>
      </w:r>
      <w:r w:rsidR="00B07D4B" w:rsidRPr="009200FF">
        <w:t xml:space="preserve">Guided by the tenets of a planned economy, agricultural production </w:t>
      </w:r>
      <w:r w:rsidR="00363A80" w:rsidRPr="009200FF">
        <w:t>–</w:t>
      </w:r>
      <w:r w:rsidR="00C862AD" w:rsidRPr="009200FF">
        <w:t xml:space="preserve"> </w:t>
      </w:r>
      <w:r w:rsidR="00363A80" w:rsidRPr="009200FF">
        <w:t>still based on the cocoa monoculture</w:t>
      </w:r>
      <w:r w:rsidR="00C862AD" w:rsidRPr="009200FF">
        <w:t xml:space="preserve"> </w:t>
      </w:r>
      <w:r w:rsidR="00363A80" w:rsidRPr="009200FF">
        <w:t xml:space="preserve">- </w:t>
      </w:r>
      <w:r w:rsidR="00532F1D" w:rsidRPr="009200FF">
        <w:t xml:space="preserve">was </w:t>
      </w:r>
      <w:r w:rsidR="00812B10" w:rsidRPr="009200FF">
        <w:t xml:space="preserve">organized around a network of state-owned agricultural enterprises, </w:t>
      </w:r>
      <w:r w:rsidR="00532F1D" w:rsidRPr="009200FF">
        <w:t xml:space="preserve">which </w:t>
      </w:r>
      <w:r w:rsidR="00B07D4B" w:rsidRPr="009200FF">
        <w:t xml:space="preserve">was </w:t>
      </w:r>
      <w:r w:rsidR="00532F1D" w:rsidRPr="009200FF">
        <w:t>hope</w:t>
      </w:r>
      <w:r w:rsidR="00812B10" w:rsidRPr="009200FF">
        <w:t>d</w:t>
      </w:r>
      <w:r w:rsidR="00B07D4B" w:rsidRPr="009200FF">
        <w:t xml:space="preserve"> to provide enough revenue to develop other sectors </w:t>
      </w:r>
      <w:r w:rsidR="00532F1D" w:rsidRPr="009200FF">
        <w:t>of</w:t>
      </w:r>
      <w:r w:rsidR="00B07D4B" w:rsidRPr="009200FF">
        <w:t xml:space="preserve"> the economy. However, </w:t>
      </w:r>
      <w:r w:rsidR="00812B10" w:rsidRPr="009200FF">
        <w:t xml:space="preserve">the lack of incentives along </w:t>
      </w:r>
      <w:r w:rsidR="0034124B" w:rsidRPr="009200FF">
        <w:t xml:space="preserve">with </w:t>
      </w:r>
      <w:r w:rsidR="00B07D4B" w:rsidRPr="009200FF">
        <w:t>a mixture of mismanagement, corruption</w:t>
      </w:r>
      <w:r w:rsidR="00812B10" w:rsidRPr="009200FF">
        <w:t xml:space="preserve">, and </w:t>
      </w:r>
      <w:r w:rsidR="003D6A91" w:rsidRPr="009200FF">
        <w:t>low</w:t>
      </w:r>
      <w:r w:rsidR="003D297C" w:rsidRPr="009200FF">
        <w:t xml:space="preserve"> investment</w:t>
      </w:r>
      <w:r w:rsidR="00B07D4B" w:rsidRPr="009200FF">
        <w:t xml:space="preserve"> resulted </w:t>
      </w:r>
      <w:r w:rsidR="00363A80" w:rsidRPr="009200FF">
        <w:t>in the collapse</w:t>
      </w:r>
      <w:r w:rsidR="003D297C" w:rsidRPr="009200FF">
        <w:t xml:space="preserve"> of the system.</w:t>
      </w:r>
      <w:r w:rsidR="00363A80" w:rsidRPr="009200FF">
        <w:t xml:space="preserve"> By 1984, annual cocoa production had dropped to 3,400 from 25,000 tons </w:t>
      </w:r>
      <w:r w:rsidR="00B36D6B" w:rsidRPr="009200FF">
        <w:t>recorded at</w:t>
      </w:r>
      <w:r w:rsidR="00363A80" w:rsidRPr="009200FF">
        <w:t xml:space="preserve"> </w:t>
      </w:r>
      <w:r w:rsidR="00B36D6B" w:rsidRPr="009200FF">
        <w:t xml:space="preserve">the </w:t>
      </w:r>
      <w:r w:rsidR="00BA2BC9" w:rsidRPr="009200FF">
        <w:t xml:space="preserve">year </w:t>
      </w:r>
      <w:r w:rsidR="00B36D6B" w:rsidRPr="009200FF">
        <w:t>of independence. Cocoa production however,</w:t>
      </w:r>
      <w:r w:rsidR="00363A80" w:rsidRPr="009200FF">
        <w:t xml:space="preserve"> still represented more than 90</w:t>
      </w:r>
      <w:r w:rsidR="0034124B" w:rsidRPr="009200FF">
        <w:t xml:space="preserve"> percent</w:t>
      </w:r>
      <w:r w:rsidR="00363A80" w:rsidRPr="009200FF">
        <w:t xml:space="preserve"> of agricultural exports</w:t>
      </w:r>
      <w:r w:rsidR="00363A80" w:rsidRPr="009200FF">
        <w:rPr>
          <w:rStyle w:val="FootnoteReference"/>
        </w:rPr>
        <w:footnoteReference w:id="5"/>
      </w:r>
      <w:r w:rsidR="00363A80" w:rsidRPr="009200FF">
        <w:t xml:space="preserve">. </w:t>
      </w:r>
      <w:r w:rsidR="003D297C" w:rsidRPr="009200FF">
        <w:t xml:space="preserve"> </w:t>
      </w:r>
    </w:p>
    <w:p w14:paraId="2F6AEB62" w14:textId="77777777" w:rsidR="00ED5D8B" w:rsidRPr="009200FF" w:rsidRDefault="00ED5D8B" w:rsidP="00175BDE">
      <w:pPr>
        <w:spacing w:after="120"/>
        <w:jc w:val="both"/>
      </w:pPr>
      <w:r w:rsidRPr="009200FF">
        <w:t>4</w:t>
      </w:r>
      <w:r w:rsidRPr="009200FF">
        <w:rPr>
          <w:b/>
        </w:rPr>
        <w:t xml:space="preserve">. </w:t>
      </w:r>
      <w:r w:rsidRPr="009200FF">
        <w:rPr>
          <w:b/>
        </w:rPr>
        <w:tab/>
      </w:r>
      <w:r w:rsidR="009B168E" w:rsidRPr="009200FF">
        <w:rPr>
          <w:b/>
        </w:rPr>
        <w:t xml:space="preserve">A mixed model was then tested and the </w:t>
      </w:r>
      <w:r w:rsidR="003D297C" w:rsidRPr="009200FF">
        <w:rPr>
          <w:b/>
        </w:rPr>
        <w:t>S</w:t>
      </w:r>
      <w:r w:rsidR="00783599" w:rsidRPr="009200FF">
        <w:rPr>
          <w:b/>
        </w:rPr>
        <w:t>ã</w:t>
      </w:r>
      <w:r w:rsidR="003D297C" w:rsidRPr="009200FF">
        <w:rPr>
          <w:b/>
        </w:rPr>
        <w:t>o</w:t>
      </w:r>
      <w:r w:rsidR="00230A81" w:rsidRPr="009200FF">
        <w:rPr>
          <w:b/>
        </w:rPr>
        <w:t>-</w:t>
      </w:r>
      <w:r w:rsidR="003D297C" w:rsidRPr="009200FF">
        <w:rPr>
          <w:b/>
        </w:rPr>
        <w:t>Tomean government</w:t>
      </w:r>
      <w:r w:rsidR="00812B10" w:rsidRPr="009200FF">
        <w:rPr>
          <w:b/>
        </w:rPr>
        <w:t xml:space="preserve"> outsourced the management of some of the public enterprises to private managers</w:t>
      </w:r>
      <w:r w:rsidR="009B168E" w:rsidRPr="009200FF">
        <w:t>.</w:t>
      </w:r>
      <w:r w:rsidR="00812B10" w:rsidRPr="009200FF">
        <w:t xml:space="preserve"> </w:t>
      </w:r>
      <w:r w:rsidR="008208BA" w:rsidRPr="009200FF">
        <w:t xml:space="preserve">The central objective was to </w:t>
      </w:r>
      <w:r w:rsidR="00812B10" w:rsidRPr="009200FF">
        <w:t xml:space="preserve">increase </w:t>
      </w:r>
      <w:r w:rsidR="008208BA" w:rsidRPr="009200FF">
        <w:t>return</w:t>
      </w:r>
      <w:r w:rsidR="00230A81" w:rsidRPr="009200FF">
        <w:t>s</w:t>
      </w:r>
      <w:r w:rsidR="008208BA" w:rsidRPr="009200FF">
        <w:t xml:space="preserve"> through </w:t>
      </w:r>
      <w:r w:rsidR="00230A81" w:rsidRPr="009200FF">
        <w:t xml:space="preserve">higher </w:t>
      </w:r>
      <w:r w:rsidR="00812B10" w:rsidRPr="009200FF">
        <w:t>productivity</w:t>
      </w:r>
      <w:r w:rsidR="00E87FC8" w:rsidRPr="009200FF">
        <w:t>.</w:t>
      </w:r>
      <w:r w:rsidR="00812B10" w:rsidRPr="009200FF">
        <w:t xml:space="preserve"> </w:t>
      </w:r>
      <w:r w:rsidR="00E87FC8" w:rsidRPr="009200FF">
        <w:t>A</w:t>
      </w:r>
      <w:r w:rsidR="00AE0320" w:rsidRPr="009200FF">
        <w:t xml:space="preserve">lthough </w:t>
      </w:r>
      <w:r w:rsidR="00201832" w:rsidRPr="009200FF">
        <w:t>overall cocoa production increased to 4,560 tons in 1988</w:t>
      </w:r>
      <w:r w:rsidR="00201832" w:rsidRPr="009200FF">
        <w:rPr>
          <w:rStyle w:val="FootnoteReference"/>
        </w:rPr>
        <w:footnoteReference w:id="6"/>
      </w:r>
      <w:r w:rsidR="00AE0320" w:rsidRPr="009200FF">
        <w:t>,</w:t>
      </w:r>
      <w:r w:rsidR="00201832" w:rsidRPr="009200FF">
        <w:t xml:space="preserve"> </w:t>
      </w:r>
      <w:r w:rsidR="00BA2BC9" w:rsidRPr="009200FF">
        <w:t xml:space="preserve">falling </w:t>
      </w:r>
      <w:r w:rsidR="00812B10" w:rsidRPr="009200FF">
        <w:t>in</w:t>
      </w:r>
      <w:r w:rsidR="00AE0320" w:rsidRPr="009200FF">
        <w:t>ternational cocoa prices foiled the efforts.</w:t>
      </w:r>
      <w:r w:rsidR="008208BA" w:rsidRPr="009200FF">
        <w:t xml:space="preserve"> </w:t>
      </w:r>
      <w:r w:rsidRPr="009200FF">
        <w:t xml:space="preserve">Given the </w:t>
      </w:r>
      <w:r w:rsidR="00267CBB" w:rsidRPr="009200FF">
        <w:t>disappointing results</w:t>
      </w:r>
      <w:r w:rsidRPr="009200FF">
        <w:t xml:space="preserve">, </w:t>
      </w:r>
      <w:r w:rsidR="004C120B" w:rsidRPr="009200FF">
        <w:t xml:space="preserve">STP </w:t>
      </w:r>
      <w:r w:rsidR="00B22361" w:rsidRPr="009200FF">
        <w:t>became the first of the lusophone countries in Africa to announce the abolition of the one-party s</w:t>
      </w:r>
      <w:r w:rsidR="00E457FF" w:rsidRPr="009200FF">
        <w:t>ystem</w:t>
      </w:r>
      <w:r w:rsidR="00B22361" w:rsidRPr="009200FF">
        <w:t xml:space="preserve"> and </w:t>
      </w:r>
      <w:r w:rsidR="004C120B" w:rsidRPr="009200FF">
        <w:t xml:space="preserve">to </w:t>
      </w:r>
      <w:r w:rsidR="00B22361" w:rsidRPr="009200FF">
        <w:t>beg</w:t>
      </w:r>
      <w:r w:rsidRPr="009200FF">
        <w:t>i</w:t>
      </w:r>
      <w:r w:rsidR="00B22361" w:rsidRPr="009200FF">
        <w:t>n a peaceful transition towards a democratic market economy</w:t>
      </w:r>
      <w:r w:rsidRPr="009200FF">
        <w:t xml:space="preserve"> i</w:t>
      </w:r>
      <w:r w:rsidR="004C120B" w:rsidRPr="009200FF">
        <w:t>n 1989</w:t>
      </w:r>
      <w:r w:rsidR="00B22361" w:rsidRPr="009200FF">
        <w:t>.</w:t>
      </w:r>
      <w:r w:rsidR="00177EC8" w:rsidRPr="009200FF">
        <w:t xml:space="preserve"> </w:t>
      </w:r>
    </w:p>
    <w:p w14:paraId="33D4E97E" w14:textId="2F535564" w:rsidR="008C5671" w:rsidRPr="009200FF" w:rsidRDefault="00ED5D8B" w:rsidP="00175BDE">
      <w:pPr>
        <w:spacing w:after="120"/>
        <w:jc w:val="both"/>
      </w:pPr>
      <w:r w:rsidRPr="009200FF">
        <w:t xml:space="preserve">5. </w:t>
      </w:r>
      <w:r w:rsidRPr="009200FF">
        <w:tab/>
      </w:r>
      <w:r w:rsidR="00177EC8" w:rsidRPr="009200FF">
        <w:rPr>
          <w:b/>
        </w:rPr>
        <w:t>One of the key reforms</w:t>
      </w:r>
      <w:r w:rsidRPr="009200FF">
        <w:rPr>
          <w:b/>
        </w:rPr>
        <w:t xml:space="preserve"> of the </w:t>
      </w:r>
      <w:r w:rsidR="00F02DDD" w:rsidRPr="009200FF">
        <w:rPr>
          <w:b/>
        </w:rPr>
        <w:t xml:space="preserve">democratic </w:t>
      </w:r>
      <w:r w:rsidRPr="009200FF">
        <w:rPr>
          <w:b/>
        </w:rPr>
        <w:t xml:space="preserve">transition </w:t>
      </w:r>
      <w:r w:rsidR="0032207A" w:rsidRPr="009200FF">
        <w:rPr>
          <w:b/>
        </w:rPr>
        <w:t xml:space="preserve">in the 1990s </w:t>
      </w:r>
      <w:r w:rsidR="00177EC8" w:rsidRPr="009200FF">
        <w:rPr>
          <w:b/>
        </w:rPr>
        <w:t xml:space="preserve">was </w:t>
      </w:r>
      <w:r w:rsidR="00B22361" w:rsidRPr="009200FF">
        <w:rPr>
          <w:b/>
        </w:rPr>
        <w:t xml:space="preserve">the privatization of </w:t>
      </w:r>
      <w:r w:rsidR="00447C8B" w:rsidRPr="009200FF">
        <w:rPr>
          <w:b/>
        </w:rPr>
        <w:t>agriculture</w:t>
      </w:r>
      <w:r w:rsidRPr="009200FF">
        <w:t>.</w:t>
      </w:r>
      <w:r w:rsidR="00B22361" w:rsidRPr="009200FF">
        <w:t xml:space="preserve"> </w:t>
      </w:r>
      <w:r w:rsidR="00901942" w:rsidRPr="009200FF">
        <w:t>Through t</w:t>
      </w:r>
      <w:r w:rsidR="00B22361" w:rsidRPr="009200FF">
        <w:t xml:space="preserve">he execution </w:t>
      </w:r>
      <w:r w:rsidR="00177EC8" w:rsidRPr="009200FF">
        <w:t>of a large</w:t>
      </w:r>
      <w:r w:rsidR="000A0185" w:rsidRPr="009200FF">
        <w:t>-</w:t>
      </w:r>
      <w:r w:rsidR="00177EC8" w:rsidRPr="009200FF">
        <w:t xml:space="preserve">scale agrarian reform </w:t>
      </w:r>
      <w:r w:rsidR="00901942" w:rsidRPr="009200FF">
        <w:t xml:space="preserve">project, the government sought to transform </w:t>
      </w:r>
      <w:r w:rsidR="00177EC8" w:rsidRPr="009200FF">
        <w:t>the plantation economy into a new agrarian structure dominated by small</w:t>
      </w:r>
      <w:r w:rsidR="006322CB" w:rsidRPr="009200FF">
        <w:t>-</w:t>
      </w:r>
      <w:r w:rsidR="00177EC8" w:rsidRPr="009200FF">
        <w:t xml:space="preserve"> and medium-sized farmers. </w:t>
      </w:r>
      <w:r w:rsidR="0007491B" w:rsidRPr="009200FF">
        <w:t>Although distri</w:t>
      </w:r>
      <w:r w:rsidR="008C70C4" w:rsidRPr="009200FF">
        <w:t xml:space="preserve">butive efforts were </w:t>
      </w:r>
      <w:r w:rsidR="009D153E" w:rsidRPr="009200FF">
        <w:t>successful,</w:t>
      </w:r>
      <w:r w:rsidR="008C70C4" w:rsidRPr="009200FF">
        <w:t xml:space="preserve"> and</w:t>
      </w:r>
      <w:r w:rsidR="0007491B" w:rsidRPr="009200FF">
        <w:t xml:space="preserve"> </w:t>
      </w:r>
      <w:r w:rsidR="008C70C4" w:rsidRPr="009200FF">
        <w:t>more than</w:t>
      </w:r>
      <w:r w:rsidR="008F08EC" w:rsidRPr="009200FF">
        <w:t xml:space="preserve"> two thirds of plantation </w:t>
      </w:r>
      <w:r w:rsidR="0007491B" w:rsidRPr="009200FF">
        <w:t>lands were</w:t>
      </w:r>
      <w:r w:rsidR="008F08EC" w:rsidRPr="009200FF">
        <w:t xml:space="preserve"> distributed to small landholders</w:t>
      </w:r>
      <w:r w:rsidR="00A86047" w:rsidRPr="009200FF">
        <w:t xml:space="preserve"> who currently </w:t>
      </w:r>
      <w:r w:rsidR="00447C8B" w:rsidRPr="009200FF">
        <w:t xml:space="preserve">hold them on </w:t>
      </w:r>
      <w:r w:rsidR="007948A0" w:rsidRPr="009200FF">
        <w:t>a</w:t>
      </w:r>
      <w:r w:rsidR="00447C8B" w:rsidRPr="009200FF">
        <w:t xml:space="preserve"> usufruct base</w:t>
      </w:r>
      <w:r w:rsidR="008F08EC" w:rsidRPr="009200FF">
        <w:rPr>
          <w:rStyle w:val="FootnoteReference"/>
        </w:rPr>
        <w:footnoteReference w:id="7"/>
      </w:r>
      <w:r w:rsidR="0007491B" w:rsidRPr="009200FF">
        <w:t xml:space="preserve">, </w:t>
      </w:r>
      <w:r w:rsidR="00901942" w:rsidRPr="009200FF">
        <w:t xml:space="preserve">the reform </w:t>
      </w:r>
      <w:r w:rsidR="00DA4C5F" w:rsidRPr="009200FF">
        <w:t>did not</w:t>
      </w:r>
      <w:r w:rsidR="00901942" w:rsidRPr="009200FF">
        <w:t xml:space="preserve"> </w:t>
      </w:r>
      <w:r w:rsidR="005F0127" w:rsidRPr="009200FF">
        <w:t xml:space="preserve">increase </w:t>
      </w:r>
      <w:r w:rsidR="00FE03E3" w:rsidRPr="009200FF">
        <w:t xml:space="preserve">national </w:t>
      </w:r>
      <w:r w:rsidR="005F0127" w:rsidRPr="009200FF">
        <w:t xml:space="preserve">exports </w:t>
      </w:r>
      <w:r w:rsidR="0007491B" w:rsidRPr="009200FF">
        <w:t xml:space="preserve">revenue and </w:t>
      </w:r>
      <w:r w:rsidR="00DA4C5F" w:rsidRPr="009200FF">
        <w:t xml:space="preserve">neither contribute to </w:t>
      </w:r>
      <w:r w:rsidR="0007491B" w:rsidRPr="009200FF">
        <w:t>diversif</w:t>
      </w:r>
      <w:r w:rsidR="005F0127" w:rsidRPr="009200FF">
        <w:t>y</w:t>
      </w:r>
      <w:r w:rsidR="0007491B" w:rsidRPr="009200FF">
        <w:t xml:space="preserve"> agricultural exports. </w:t>
      </w:r>
      <w:r w:rsidR="00CE05E4" w:rsidRPr="009200FF">
        <w:t>B</w:t>
      </w:r>
      <w:r w:rsidR="006365FD" w:rsidRPr="009200FF">
        <w:t>y 2002 cocoa still represented 90.2</w:t>
      </w:r>
      <w:r w:rsidR="005E4CC8" w:rsidRPr="009200FF">
        <w:t xml:space="preserve"> percent</w:t>
      </w:r>
      <w:r w:rsidR="006365FD" w:rsidRPr="009200FF">
        <w:t xml:space="preserve"> of exports and production reached 3,462 tons</w:t>
      </w:r>
      <w:r w:rsidR="006365FD" w:rsidRPr="009200FF">
        <w:rPr>
          <w:rStyle w:val="FootnoteReference"/>
        </w:rPr>
        <w:footnoteReference w:id="8"/>
      </w:r>
      <w:r w:rsidR="008C70C4" w:rsidRPr="009200FF">
        <w:t>, a figure</w:t>
      </w:r>
      <w:r w:rsidR="006365FD" w:rsidRPr="009200FF">
        <w:t xml:space="preserve"> lower than before the transition. </w:t>
      </w:r>
      <w:r w:rsidR="00310E62" w:rsidRPr="009200FF">
        <w:t xml:space="preserve">On </w:t>
      </w:r>
      <w:r w:rsidR="00CE05E4" w:rsidRPr="009200FF">
        <w:t>its part</w:t>
      </w:r>
      <w:r w:rsidR="00310E62" w:rsidRPr="009200FF">
        <w:t xml:space="preserve">, </w:t>
      </w:r>
      <w:r w:rsidR="00FB3491" w:rsidRPr="009200FF">
        <w:t xml:space="preserve">production from subsistence agriculture </w:t>
      </w:r>
      <w:r w:rsidR="00CE05E4" w:rsidRPr="009200FF">
        <w:t xml:space="preserve">has continuously </w:t>
      </w:r>
      <w:r w:rsidR="00FB3491" w:rsidRPr="009200FF">
        <w:t>increased over time.</w:t>
      </w:r>
      <w:r w:rsidR="0007491B" w:rsidRPr="009200FF">
        <w:t xml:space="preserve"> </w:t>
      </w:r>
    </w:p>
    <w:p w14:paraId="0A0E46EA" w14:textId="76A32C88" w:rsidR="00FC21CB" w:rsidRPr="009200FF" w:rsidRDefault="00FC21CB" w:rsidP="00175BDE">
      <w:pPr>
        <w:spacing w:after="120"/>
        <w:jc w:val="both"/>
      </w:pPr>
      <w:r w:rsidRPr="009200FF">
        <w:t xml:space="preserve">6. </w:t>
      </w:r>
      <w:r w:rsidRPr="009200FF">
        <w:tab/>
      </w:r>
      <w:r w:rsidRPr="009200FF">
        <w:rPr>
          <w:b/>
        </w:rPr>
        <w:t xml:space="preserve">The agrarian reform had an important effect on population </w:t>
      </w:r>
      <w:r w:rsidR="00DE45A2" w:rsidRPr="009200FF">
        <w:rPr>
          <w:b/>
        </w:rPr>
        <w:t xml:space="preserve">migration </w:t>
      </w:r>
      <w:r w:rsidRPr="009200FF">
        <w:rPr>
          <w:b/>
        </w:rPr>
        <w:t>patterns.</w:t>
      </w:r>
      <w:r w:rsidRPr="009200FF">
        <w:t xml:space="preserve"> The lack of productivity in the agrarian sector, tied to its dependence on external shocks accelerated rural migration into urban areas. Rural population has </w:t>
      </w:r>
      <w:r w:rsidR="00E70A73" w:rsidRPr="009200FF">
        <w:t xml:space="preserve">steadily declined </w:t>
      </w:r>
      <w:r w:rsidR="00115A33" w:rsidRPr="009200FF">
        <w:t xml:space="preserve">from </w:t>
      </w:r>
      <w:r w:rsidR="00E70A73" w:rsidRPr="009200FF">
        <w:t>55 percent in 2002 to 28 percent in 2017. This massive human migration has pressured demand for land in cities</w:t>
      </w:r>
      <w:r w:rsidR="00DE45A2" w:rsidRPr="009200FF">
        <w:t>, particularly in the capital city of S</w:t>
      </w:r>
      <w:r w:rsidR="0042530E" w:rsidRPr="009200FF">
        <w:t>ã</w:t>
      </w:r>
      <w:r w:rsidR="00DE45A2" w:rsidRPr="009200FF">
        <w:t>o Tom</w:t>
      </w:r>
      <w:r w:rsidR="0042530E" w:rsidRPr="009200FF">
        <w:t>é</w:t>
      </w:r>
      <w:r w:rsidR="00DE45A2" w:rsidRPr="009200FF">
        <w:t>,</w:t>
      </w:r>
      <w:r w:rsidR="00E70A73" w:rsidRPr="009200FF">
        <w:t xml:space="preserve"> and resulted in important levels of insecure tenure of urban dwellers of lower income</w:t>
      </w:r>
      <w:r w:rsidR="00115A33" w:rsidRPr="009200FF">
        <w:t>.</w:t>
      </w:r>
      <w:r w:rsidR="00970043" w:rsidRPr="009200FF">
        <w:rPr>
          <w:rStyle w:val="FootnoteReference"/>
        </w:rPr>
        <w:footnoteReference w:id="9"/>
      </w:r>
      <w:r w:rsidR="00E70A73" w:rsidRPr="009200FF">
        <w:t xml:space="preserve">   </w:t>
      </w:r>
      <w:r w:rsidRPr="009200FF">
        <w:t xml:space="preserve"> </w:t>
      </w:r>
    </w:p>
    <w:p w14:paraId="60C34510" w14:textId="1E706814" w:rsidR="0032207A" w:rsidRPr="009200FF" w:rsidRDefault="00447C8B" w:rsidP="00175BDE">
      <w:pPr>
        <w:spacing w:after="120"/>
        <w:jc w:val="both"/>
      </w:pPr>
      <w:r w:rsidRPr="009200FF">
        <w:lastRenderedPageBreak/>
        <w:t>7.</w:t>
      </w:r>
      <w:r w:rsidRPr="009200FF">
        <w:tab/>
      </w:r>
      <w:r w:rsidR="006840CD" w:rsidRPr="009200FF">
        <w:rPr>
          <w:b/>
        </w:rPr>
        <w:t>Current l</w:t>
      </w:r>
      <w:r w:rsidRPr="009200FF">
        <w:rPr>
          <w:b/>
        </w:rPr>
        <w:t xml:space="preserve">and property regime </w:t>
      </w:r>
      <w:r w:rsidR="007948A0" w:rsidRPr="009200FF">
        <w:rPr>
          <w:b/>
        </w:rPr>
        <w:t xml:space="preserve">recognizes </w:t>
      </w:r>
      <w:r w:rsidR="006840CD" w:rsidRPr="009200FF">
        <w:rPr>
          <w:b/>
        </w:rPr>
        <w:t>different types of</w:t>
      </w:r>
      <w:r w:rsidR="007948A0" w:rsidRPr="009200FF">
        <w:rPr>
          <w:b/>
        </w:rPr>
        <w:t xml:space="preserve"> rights over land</w:t>
      </w:r>
      <w:r w:rsidR="00304D73" w:rsidRPr="009200FF">
        <w:rPr>
          <w:b/>
        </w:rPr>
        <w:t>, being usufruct the most common for rural land</w:t>
      </w:r>
      <w:r w:rsidR="007948A0" w:rsidRPr="009200FF">
        <w:t>. Most rural land is privately exploited under usufructs distributed by the government</w:t>
      </w:r>
      <w:r w:rsidR="00246D29" w:rsidRPr="009200FF">
        <w:t>,</w:t>
      </w:r>
      <w:r w:rsidR="007948A0" w:rsidRPr="009200FF">
        <w:t xml:space="preserve"> </w:t>
      </w:r>
      <w:r w:rsidR="006840CD" w:rsidRPr="009200FF">
        <w:t xml:space="preserve">who maintains ownership. This land was distributed </w:t>
      </w:r>
      <w:r w:rsidR="007948A0" w:rsidRPr="009200FF">
        <w:t xml:space="preserve">through </w:t>
      </w:r>
      <w:r w:rsidR="00365A52" w:rsidRPr="009200FF">
        <w:t xml:space="preserve">long-term </w:t>
      </w:r>
      <w:r w:rsidR="007948A0" w:rsidRPr="009200FF">
        <w:t>concession contracts</w:t>
      </w:r>
      <w:r w:rsidR="008B2554" w:rsidRPr="009200FF">
        <w:t>,</w:t>
      </w:r>
      <w:r w:rsidR="0032207A" w:rsidRPr="009200FF">
        <w:t xml:space="preserve"> granted as part of the execution of the agrarian reform of the 1990s. </w:t>
      </w:r>
      <w:r w:rsidR="008B2554" w:rsidRPr="009200FF">
        <w:t xml:space="preserve">The </w:t>
      </w:r>
      <w:r w:rsidR="007868DB" w:rsidRPr="009200FF">
        <w:t>M</w:t>
      </w:r>
      <w:r w:rsidR="008B2554" w:rsidRPr="009200FF">
        <w:t>inistry of Agriculture and Rural Development (MARD) is responsible for the administration of these rural lands. Individuals can gain access to rural land either through a formal request of a new concession to the MARD or through</w:t>
      </w:r>
      <w:r w:rsidR="006840CD" w:rsidRPr="009200FF">
        <w:t xml:space="preserve"> the</w:t>
      </w:r>
      <w:r w:rsidR="008B2554" w:rsidRPr="009200FF">
        <w:t xml:space="preserve"> transfer of existing concessions, </w:t>
      </w:r>
      <w:proofErr w:type="gramStart"/>
      <w:r w:rsidR="00C86209" w:rsidRPr="009200FF">
        <w:t>as long as</w:t>
      </w:r>
      <w:proofErr w:type="gramEnd"/>
      <w:r w:rsidR="00C86209" w:rsidRPr="009200FF">
        <w:t xml:space="preserve"> the </w:t>
      </w:r>
      <w:r w:rsidR="00F4316E" w:rsidRPr="009200FF">
        <w:t>MARD authorizes</w:t>
      </w:r>
      <w:r w:rsidR="00770EB8" w:rsidRPr="009200FF">
        <w:t xml:space="preserve"> it</w:t>
      </w:r>
      <w:r w:rsidR="005151E9" w:rsidRPr="009200FF">
        <w:t xml:space="preserve">. </w:t>
      </w:r>
    </w:p>
    <w:p w14:paraId="3E3D70A5" w14:textId="66232751" w:rsidR="005151E9" w:rsidRPr="009200FF" w:rsidRDefault="0016744A" w:rsidP="00175BDE">
      <w:pPr>
        <w:spacing w:after="120"/>
        <w:jc w:val="both"/>
      </w:pPr>
      <w:r w:rsidRPr="009200FF">
        <w:t>8.</w:t>
      </w:r>
      <w:r w:rsidR="005151E9" w:rsidRPr="009200FF">
        <w:tab/>
      </w:r>
      <w:r w:rsidR="0097569D" w:rsidRPr="009200FF">
        <w:rPr>
          <w:b/>
        </w:rPr>
        <w:t>P</w:t>
      </w:r>
      <w:r w:rsidR="005151E9" w:rsidRPr="009200FF">
        <w:rPr>
          <w:b/>
        </w:rPr>
        <w:t xml:space="preserve">rivate property </w:t>
      </w:r>
      <w:r w:rsidR="0097569D" w:rsidRPr="009200FF">
        <w:rPr>
          <w:b/>
        </w:rPr>
        <w:t>over rural land is also recognized</w:t>
      </w:r>
      <w:r w:rsidR="005151E9" w:rsidRPr="009200FF">
        <w:rPr>
          <w:b/>
        </w:rPr>
        <w:t xml:space="preserve">. </w:t>
      </w:r>
      <w:r w:rsidR="005151E9" w:rsidRPr="009200FF">
        <w:t xml:space="preserve">Transactions involving private land follow standard procedures in terms of willingness to participate in the exchange and previous agreement </w:t>
      </w:r>
      <w:r w:rsidRPr="009200FF">
        <w:t xml:space="preserve">by the parties </w:t>
      </w:r>
      <w:r w:rsidR="005151E9" w:rsidRPr="009200FF">
        <w:t xml:space="preserve">on the conditions of the deal. </w:t>
      </w:r>
      <w:r w:rsidRPr="009200FF">
        <w:t xml:space="preserve">Formal transfer </w:t>
      </w:r>
      <w:r w:rsidR="008910C5" w:rsidRPr="009200FF">
        <w:t xml:space="preserve">of ownership </w:t>
      </w:r>
      <w:r w:rsidRPr="009200FF">
        <w:t xml:space="preserve">occurs after a deed is signed by the parties involved </w:t>
      </w:r>
      <w:r w:rsidR="008910C5" w:rsidRPr="009200FF">
        <w:t>and</w:t>
      </w:r>
      <w:r w:rsidRPr="009200FF">
        <w:t xml:space="preserve"> registered in the country’s Real Estate Registry. Given the lack of </w:t>
      </w:r>
      <w:r w:rsidR="003E63A7" w:rsidRPr="009200FF">
        <w:t xml:space="preserve">a </w:t>
      </w:r>
      <w:r w:rsidRPr="009200FF">
        <w:t xml:space="preserve">functioning </w:t>
      </w:r>
      <w:r w:rsidR="003E63A7" w:rsidRPr="009200FF">
        <w:t xml:space="preserve">cadaster </w:t>
      </w:r>
      <w:r w:rsidR="00F4316E" w:rsidRPr="009200FF">
        <w:t xml:space="preserve">system, </w:t>
      </w:r>
      <w:r w:rsidR="003E63A7" w:rsidRPr="009200FF">
        <w:t>there are gaps in the</w:t>
      </w:r>
      <w:r w:rsidRPr="009200FF">
        <w:t xml:space="preserve"> inventory of privately held rural land. </w:t>
      </w:r>
    </w:p>
    <w:p w14:paraId="5617511E" w14:textId="77777777" w:rsidR="008910C5" w:rsidRPr="009200FF" w:rsidRDefault="0016744A" w:rsidP="00175BDE">
      <w:pPr>
        <w:spacing w:after="120"/>
        <w:jc w:val="both"/>
      </w:pPr>
      <w:r w:rsidRPr="009200FF">
        <w:t>9.</w:t>
      </w:r>
      <w:r w:rsidRPr="009200FF">
        <w:tab/>
      </w:r>
      <w:r w:rsidRPr="009200FF">
        <w:rPr>
          <w:b/>
        </w:rPr>
        <w:t>Urban land is mainly private.</w:t>
      </w:r>
      <w:r w:rsidR="0077059A" w:rsidRPr="009200FF">
        <w:t xml:space="preserve"> Responsibility for the administration of urban land rests on the Ministry of Infrastructure, Natural Resources</w:t>
      </w:r>
      <w:r w:rsidR="003D643E" w:rsidRPr="009200FF">
        <w:t>,</w:t>
      </w:r>
      <w:r w:rsidR="0077059A" w:rsidRPr="009200FF">
        <w:t xml:space="preserve"> and the Environment (MINRE)</w:t>
      </w:r>
      <w:r w:rsidR="006840CD" w:rsidRPr="009200FF">
        <w:t xml:space="preserve">. Private property is granted upon the existence </w:t>
      </w:r>
      <w:r w:rsidR="0097569D" w:rsidRPr="009200FF">
        <w:t>of infrastructure -</w:t>
      </w:r>
      <w:r w:rsidR="00136AB2" w:rsidRPr="009200FF">
        <w:t xml:space="preserve"> </w:t>
      </w:r>
      <w:r w:rsidR="006840CD" w:rsidRPr="009200FF">
        <w:t xml:space="preserve">or the </w:t>
      </w:r>
      <w:r w:rsidR="008910C5" w:rsidRPr="009200FF">
        <w:t>intention to construct</w:t>
      </w:r>
      <w:r w:rsidR="00136AB2" w:rsidRPr="009200FF">
        <w:t xml:space="preserve"> </w:t>
      </w:r>
      <w:r w:rsidR="0097569D" w:rsidRPr="009200FF">
        <w:t>-</w:t>
      </w:r>
      <w:r w:rsidR="008910C5" w:rsidRPr="009200FF">
        <w:t xml:space="preserve"> over the land. Tra</w:t>
      </w:r>
      <w:r w:rsidR="0097569D" w:rsidRPr="009200FF">
        <w:t xml:space="preserve">nsactions of private urban land </w:t>
      </w:r>
      <w:r w:rsidR="008910C5" w:rsidRPr="009200FF">
        <w:t xml:space="preserve">follow </w:t>
      </w:r>
      <w:r w:rsidR="0097569D" w:rsidRPr="009200FF">
        <w:t xml:space="preserve">the same </w:t>
      </w:r>
      <w:r w:rsidR="008910C5" w:rsidRPr="009200FF">
        <w:t xml:space="preserve">standard procedures </w:t>
      </w:r>
      <w:r w:rsidR="0097569D" w:rsidRPr="009200FF">
        <w:t>for</w:t>
      </w:r>
      <w:r w:rsidR="008910C5" w:rsidRPr="009200FF">
        <w:t xml:space="preserve"> the transfer of private rural land outlined above.</w:t>
      </w:r>
    </w:p>
    <w:p w14:paraId="578FCA4F" w14:textId="2A1FD955" w:rsidR="003B2DB8" w:rsidRPr="009200FF" w:rsidRDefault="008910C5" w:rsidP="003B2DB8">
      <w:pPr>
        <w:spacing w:after="120"/>
        <w:jc w:val="both"/>
      </w:pPr>
      <w:r w:rsidRPr="009200FF">
        <w:t xml:space="preserve">10. </w:t>
      </w:r>
      <w:r w:rsidRPr="009200FF">
        <w:tab/>
      </w:r>
      <w:r w:rsidR="00AD5910" w:rsidRPr="009200FF">
        <w:rPr>
          <w:b/>
        </w:rPr>
        <w:t>Foreign individuals or corporate entities</w:t>
      </w:r>
      <w:r w:rsidRPr="009200FF">
        <w:rPr>
          <w:b/>
        </w:rPr>
        <w:t xml:space="preserve"> can </w:t>
      </w:r>
      <w:r w:rsidR="00F84260" w:rsidRPr="009200FF">
        <w:rPr>
          <w:b/>
        </w:rPr>
        <w:t xml:space="preserve">access </w:t>
      </w:r>
      <w:r w:rsidRPr="009200FF">
        <w:rPr>
          <w:b/>
        </w:rPr>
        <w:t xml:space="preserve">land under certain limitations, however </w:t>
      </w:r>
      <w:r w:rsidR="00973A24" w:rsidRPr="009200FF">
        <w:rPr>
          <w:b/>
        </w:rPr>
        <w:t>the existing</w:t>
      </w:r>
      <w:r w:rsidRPr="009200FF">
        <w:rPr>
          <w:b/>
        </w:rPr>
        <w:t xml:space="preserve"> legal framework dealing with foreign investment </w:t>
      </w:r>
      <w:r w:rsidR="003E63A7" w:rsidRPr="009200FF">
        <w:rPr>
          <w:b/>
        </w:rPr>
        <w:t>should be strengthened</w:t>
      </w:r>
      <w:r w:rsidRPr="009200FF">
        <w:rPr>
          <w:b/>
        </w:rPr>
        <w:t>.</w:t>
      </w:r>
      <w:r w:rsidRPr="009200FF">
        <w:t xml:space="preserve">  </w:t>
      </w:r>
      <w:r w:rsidR="00AD5910" w:rsidRPr="009200FF">
        <w:t xml:space="preserve">The existing legal framework on property ownership allows foreign individuals </w:t>
      </w:r>
      <w:r w:rsidR="00F84260" w:rsidRPr="009200FF">
        <w:t xml:space="preserve">to be beneficiaries of concession contracts when the use and exploitation of the land is provided for investment projects authorized </w:t>
      </w:r>
      <w:r w:rsidR="0097569D" w:rsidRPr="009200FF">
        <w:t xml:space="preserve">by the MARD </w:t>
      </w:r>
      <w:r w:rsidR="00F84260" w:rsidRPr="009200FF">
        <w:t>and in accordance with the legislation in force</w:t>
      </w:r>
      <w:r w:rsidR="00F84260" w:rsidRPr="009200FF">
        <w:rPr>
          <w:rStyle w:val="FootnoteReference"/>
        </w:rPr>
        <w:footnoteReference w:id="10"/>
      </w:r>
      <w:r w:rsidR="00F84260" w:rsidRPr="009200FF">
        <w:t>.</w:t>
      </w:r>
      <w:r w:rsidR="00F6751E" w:rsidRPr="009200FF">
        <w:t xml:space="preserve"> Commercial companies with an adequate financial structure can also benefit from </w:t>
      </w:r>
      <w:r w:rsidR="00AE1955" w:rsidRPr="009200FF">
        <w:t xml:space="preserve">public </w:t>
      </w:r>
      <w:r w:rsidR="00F6751E" w:rsidRPr="009200FF">
        <w:t>land, provided that the intended use is not alien to its legal purpose</w:t>
      </w:r>
      <w:r w:rsidR="00C35F7F" w:rsidRPr="009200FF">
        <w:t>.</w:t>
      </w:r>
      <w:r w:rsidR="00F6751E" w:rsidRPr="009200FF">
        <w:rPr>
          <w:rStyle w:val="FootnoteReference"/>
        </w:rPr>
        <w:footnoteReference w:id="11"/>
      </w:r>
      <w:r w:rsidR="00C35F7F" w:rsidRPr="009200FF">
        <w:t xml:space="preserve"> </w:t>
      </w:r>
      <w:r w:rsidR="003B2DB8" w:rsidRPr="009200FF">
        <w:t>An investment law approved in 2016</w:t>
      </w:r>
      <w:r w:rsidR="003B2DB8" w:rsidRPr="009200FF">
        <w:rPr>
          <w:rStyle w:val="FootnoteReference"/>
        </w:rPr>
        <w:footnoteReference w:id="12"/>
      </w:r>
      <w:r w:rsidR="003B2DB8" w:rsidRPr="009200FF">
        <w:t xml:space="preserve"> also allows foreign investment in land -th</w:t>
      </w:r>
      <w:r w:rsidR="0012005A" w:rsidRPr="009200FF">
        <w:t>r</w:t>
      </w:r>
      <w:r w:rsidR="003B2DB8" w:rsidRPr="009200FF">
        <w:t xml:space="preserve">ough the acquisition of concession contracts- and lists these investments as susceptible to receive tax incentives. </w:t>
      </w:r>
    </w:p>
    <w:p w14:paraId="42510D71" w14:textId="367269C8" w:rsidR="003B2DB8" w:rsidRPr="009200FF" w:rsidRDefault="009F3989" w:rsidP="00175BDE">
      <w:pPr>
        <w:spacing w:after="120"/>
        <w:jc w:val="both"/>
        <w:rPr>
          <w:color w:val="FF0000"/>
        </w:rPr>
      </w:pPr>
      <w:r w:rsidRPr="009200FF">
        <w:t>11.</w:t>
      </w:r>
      <w:r w:rsidRPr="009200FF">
        <w:tab/>
      </w:r>
      <w:r w:rsidR="00F12990" w:rsidRPr="009200FF">
        <w:rPr>
          <w:b/>
        </w:rPr>
        <w:t xml:space="preserve">Notwithstanding these broad provisions, the legal framework regulating foreign investment </w:t>
      </w:r>
      <w:r w:rsidR="003E63A7" w:rsidRPr="009200FF">
        <w:rPr>
          <w:b/>
        </w:rPr>
        <w:t>can also be improved</w:t>
      </w:r>
      <w:r w:rsidR="00A93658" w:rsidRPr="009200FF">
        <w:t xml:space="preserve">. For example, although foreign capital can access land through concession contracts, </w:t>
      </w:r>
      <w:r w:rsidR="00BC212C" w:rsidRPr="009200FF">
        <w:t>the extension of land these can cover is not clear</w:t>
      </w:r>
      <w:r w:rsidR="00973A24" w:rsidRPr="009200FF">
        <w:t>, no</w:t>
      </w:r>
      <w:r w:rsidR="00A93658" w:rsidRPr="009200FF">
        <w:t xml:space="preserve">r </w:t>
      </w:r>
      <w:r w:rsidR="003B2DB8" w:rsidRPr="009200FF">
        <w:t xml:space="preserve">is </w:t>
      </w:r>
      <w:r w:rsidR="00973A24" w:rsidRPr="009200FF">
        <w:t xml:space="preserve">it the </w:t>
      </w:r>
      <w:r w:rsidR="00BC212C" w:rsidRPr="009200FF">
        <w:t xml:space="preserve">length </w:t>
      </w:r>
      <w:r w:rsidR="00973A24" w:rsidRPr="009200FF">
        <w:t>of time the</w:t>
      </w:r>
      <w:r w:rsidR="00BC212C" w:rsidRPr="009200FF">
        <w:t>y</w:t>
      </w:r>
      <w:r w:rsidR="00973A24" w:rsidRPr="009200FF">
        <w:t xml:space="preserve"> can </w:t>
      </w:r>
      <w:r w:rsidR="00BC212C" w:rsidRPr="009200FF">
        <w:t>last</w:t>
      </w:r>
      <w:r w:rsidR="00973A24" w:rsidRPr="009200FF">
        <w:t>. Clear i</w:t>
      </w:r>
      <w:r w:rsidR="00A93658" w:rsidRPr="009200FF">
        <w:t xml:space="preserve">nformation is also lacking in terms of </w:t>
      </w:r>
      <w:r w:rsidR="00973A24" w:rsidRPr="009200FF">
        <w:t xml:space="preserve">the rights protecting current holders and </w:t>
      </w:r>
      <w:r w:rsidR="00133BA1" w:rsidRPr="009200FF">
        <w:t>of</w:t>
      </w:r>
      <w:r w:rsidR="00973A24" w:rsidRPr="009200FF">
        <w:t xml:space="preserve"> investments on land held informally. </w:t>
      </w:r>
      <w:r w:rsidR="00A93658" w:rsidRPr="009200FF">
        <w:t xml:space="preserve"> </w:t>
      </w:r>
      <w:r w:rsidRPr="009200FF">
        <w:t>T</w:t>
      </w:r>
      <w:r w:rsidR="00324951" w:rsidRPr="009200FF">
        <w:t xml:space="preserve">wo legal initiatives are being discussed </w:t>
      </w:r>
      <w:proofErr w:type="gramStart"/>
      <w:r w:rsidR="00324951" w:rsidRPr="009200FF">
        <w:t>in order to</w:t>
      </w:r>
      <w:proofErr w:type="gramEnd"/>
      <w:r w:rsidR="003E63A7" w:rsidRPr="009200FF">
        <w:t xml:space="preserve"> clarify this</w:t>
      </w:r>
      <w:r w:rsidR="00324951" w:rsidRPr="009200FF">
        <w:t xml:space="preserve"> </w:t>
      </w:r>
      <w:r w:rsidR="00EC2447" w:rsidRPr="009200FF">
        <w:t>-</w:t>
      </w:r>
      <w:r w:rsidR="00324951" w:rsidRPr="009200FF">
        <w:t>a</w:t>
      </w:r>
      <w:r w:rsidR="008642B1" w:rsidRPr="009200FF">
        <w:t xml:space="preserve"> b</w:t>
      </w:r>
      <w:r w:rsidR="00324951" w:rsidRPr="009200FF">
        <w:t>ill updating the Property Ownership Law and another updating the Cadastre Law</w:t>
      </w:r>
      <w:r w:rsidR="00F4316E" w:rsidRPr="009200FF">
        <w:t xml:space="preserve">, </w:t>
      </w:r>
      <w:r w:rsidR="00257463" w:rsidRPr="009200FF">
        <w:t>therefore, i</w:t>
      </w:r>
      <w:r w:rsidR="00F4316E" w:rsidRPr="009200FF">
        <w:t xml:space="preserve">t is expected </w:t>
      </w:r>
      <w:r w:rsidR="00257463" w:rsidRPr="009200FF">
        <w:t>a sound analysis regarding</w:t>
      </w:r>
      <w:r w:rsidR="00F4316E" w:rsidRPr="009200FF">
        <w:t xml:space="preserve"> certainties to incentive social and environmentally responsible investments. </w:t>
      </w:r>
    </w:p>
    <w:p w14:paraId="3A7D9299" w14:textId="77777777" w:rsidR="0077059A" w:rsidRPr="009200FF" w:rsidRDefault="003B2DB8" w:rsidP="003B2DB8">
      <w:pPr>
        <w:tabs>
          <w:tab w:val="left" w:pos="6225"/>
        </w:tabs>
      </w:pPr>
      <w:r w:rsidRPr="009200FF">
        <w:tab/>
      </w:r>
    </w:p>
    <w:p w14:paraId="7E6DDCA8" w14:textId="73DD4929" w:rsidR="007A17A3" w:rsidRPr="009200FF" w:rsidRDefault="00596CA7" w:rsidP="00175BDE">
      <w:pPr>
        <w:spacing w:after="120"/>
        <w:jc w:val="both"/>
      </w:pPr>
      <w:r w:rsidRPr="009200FF">
        <w:lastRenderedPageBreak/>
        <w:t>1</w:t>
      </w:r>
      <w:r w:rsidR="00942DFD" w:rsidRPr="009200FF">
        <w:t>2</w:t>
      </w:r>
      <w:r w:rsidR="00901942" w:rsidRPr="009200FF">
        <w:t xml:space="preserve">. </w:t>
      </w:r>
      <w:r w:rsidR="00901942" w:rsidRPr="009200FF">
        <w:tab/>
      </w:r>
      <w:r w:rsidR="00731244" w:rsidRPr="009200FF">
        <w:rPr>
          <w:b/>
        </w:rPr>
        <w:t>Ultimately</w:t>
      </w:r>
      <w:r w:rsidR="00926469" w:rsidRPr="009200FF">
        <w:rPr>
          <w:b/>
        </w:rPr>
        <w:t>,</w:t>
      </w:r>
      <w:r w:rsidR="00731244" w:rsidRPr="009200FF">
        <w:rPr>
          <w:b/>
        </w:rPr>
        <w:t xml:space="preserve"> h</w:t>
      </w:r>
      <w:r w:rsidR="0081461F" w:rsidRPr="009200FF">
        <w:rPr>
          <w:b/>
        </w:rPr>
        <w:t>istory s</w:t>
      </w:r>
      <w:r w:rsidR="00182850" w:rsidRPr="009200FF">
        <w:rPr>
          <w:b/>
        </w:rPr>
        <w:t>uggests</w:t>
      </w:r>
      <w:r w:rsidR="0081461F" w:rsidRPr="009200FF">
        <w:rPr>
          <w:b/>
        </w:rPr>
        <w:t xml:space="preserve"> that</w:t>
      </w:r>
      <w:r w:rsidR="0081461F" w:rsidRPr="009200FF">
        <w:t xml:space="preserve"> </w:t>
      </w:r>
      <w:r w:rsidR="0081461F" w:rsidRPr="009200FF">
        <w:rPr>
          <w:b/>
        </w:rPr>
        <w:t>l</w:t>
      </w:r>
      <w:r w:rsidR="00901942" w:rsidRPr="009200FF">
        <w:rPr>
          <w:b/>
        </w:rPr>
        <w:t>and issues in the country are not marked by conflicts for access as is the case in most develop</w:t>
      </w:r>
      <w:r w:rsidR="007868DB" w:rsidRPr="009200FF">
        <w:rPr>
          <w:b/>
        </w:rPr>
        <w:t>ing</w:t>
      </w:r>
      <w:r w:rsidR="00901942" w:rsidRPr="009200FF">
        <w:rPr>
          <w:b/>
        </w:rPr>
        <w:t xml:space="preserve"> rural economies</w:t>
      </w:r>
      <w:r w:rsidR="008D634B" w:rsidRPr="009200FF">
        <w:rPr>
          <w:color w:val="FF0000"/>
        </w:rPr>
        <w:t xml:space="preserve"> </w:t>
      </w:r>
      <w:r w:rsidR="008D634B" w:rsidRPr="009200FF">
        <w:t>The</w:t>
      </w:r>
      <w:r w:rsidR="00134000" w:rsidRPr="009200FF">
        <w:rPr>
          <w:color w:val="FF0000"/>
        </w:rPr>
        <w:t xml:space="preserve"> </w:t>
      </w:r>
      <w:r w:rsidR="00134000" w:rsidRPr="009200FF">
        <w:t>S</w:t>
      </w:r>
      <w:r w:rsidR="00D52BDB" w:rsidRPr="009200FF">
        <w:t>ã</w:t>
      </w:r>
      <w:r w:rsidR="00134000" w:rsidRPr="009200FF">
        <w:t>o</w:t>
      </w:r>
      <w:r w:rsidR="00D52BDB" w:rsidRPr="009200FF">
        <w:t>-</w:t>
      </w:r>
      <w:r w:rsidR="00134000" w:rsidRPr="009200FF">
        <w:t xml:space="preserve">Tomean government </w:t>
      </w:r>
      <w:r w:rsidR="008D634B" w:rsidRPr="009200FF">
        <w:t xml:space="preserve">faces important challenges </w:t>
      </w:r>
      <w:r w:rsidR="00134000" w:rsidRPr="009200FF">
        <w:t>to implement a</w:t>
      </w:r>
      <w:r w:rsidR="008C70C4" w:rsidRPr="009200FF">
        <w:t>n evidence-</w:t>
      </w:r>
      <w:r w:rsidR="004D1492" w:rsidRPr="009200FF">
        <w:t>based</w:t>
      </w:r>
      <w:r w:rsidR="00134000" w:rsidRPr="009200FF">
        <w:t xml:space="preserve"> rural development strategy that would </w:t>
      </w:r>
      <w:r w:rsidR="008C70C4" w:rsidRPr="009200FF">
        <w:t xml:space="preserve">diversify agricultural production, increase productivity, and </w:t>
      </w:r>
      <w:r w:rsidR="00134000" w:rsidRPr="009200FF">
        <w:t xml:space="preserve">close the urban and rural </w:t>
      </w:r>
      <w:r w:rsidR="001912BB" w:rsidRPr="009200FF">
        <w:t>divide</w:t>
      </w:r>
      <w:r w:rsidR="00134000" w:rsidRPr="009200FF">
        <w:t xml:space="preserve">. </w:t>
      </w:r>
      <w:r w:rsidR="008D634B" w:rsidRPr="009200FF">
        <w:t>T</w:t>
      </w:r>
      <w:r w:rsidR="00731244" w:rsidRPr="009200FF">
        <w:t xml:space="preserve">he </w:t>
      </w:r>
      <w:r w:rsidR="00037356" w:rsidRPr="009200FF">
        <w:t>absence</w:t>
      </w:r>
      <w:r w:rsidR="00731244" w:rsidRPr="009200FF">
        <w:t xml:space="preserve"> of a</w:t>
      </w:r>
      <w:r w:rsidR="00FD37C8" w:rsidRPr="009200FF">
        <w:t xml:space="preserve">n adequate </w:t>
      </w:r>
      <w:r w:rsidR="00037356" w:rsidRPr="009200FF">
        <w:t>land management</w:t>
      </w:r>
      <w:r w:rsidR="00731244" w:rsidRPr="009200FF">
        <w:t xml:space="preserve"> system has </w:t>
      </w:r>
      <w:r w:rsidR="008D634B" w:rsidRPr="009200FF">
        <w:t xml:space="preserve">lagged </w:t>
      </w:r>
      <w:r w:rsidR="00731244" w:rsidRPr="009200FF">
        <w:t xml:space="preserve">efficient land use to promote social </w:t>
      </w:r>
      <w:r w:rsidR="00037356" w:rsidRPr="009200FF">
        <w:t xml:space="preserve">and </w:t>
      </w:r>
      <w:r w:rsidR="00731244" w:rsidRPr="009200FF">
        <w:t>economic</w:t>
      </w:r>
      <w:r w:rsidR="00037356" w:rsidRPr="009200FF">
        <w:t xml:space="preserve"> development in other</w:t>
      </w:r>
      <w:r w:rsidR="00133BA1" w:rsidRPr="009200FF">
        <w:t xml:space="preserve"> sectors such as tourism, which</w:t>
      </w:r>
      <w:r w:rsidR="00037356" w:rsidRPr="009200FF">
        <w:t xml:space="preserve"> </w:t>
      </w:r>
      <w:r w:rsidR="00830BE3" w:rsidRPr="009200FF">
        <w:t xml:space="preserve">can have an enormous </w:t>
      </w:r>
      <w:r w:rsidR="00037356" w:rsidRPr="009200FF">
        <w:t xml:space="preserve">positive impact </w:t>
      </w:r>
      <w:r w:rsidR="00830BE3" w:rsidRPr="009200FF">
        <w:t xml:space="preserve">on </w:t>
      </w:r>
      <w:r w:rsidR="00926469" w:rsidRPr="009200FF">
        <w:t xml:space="preserve">the </w:t>
      </w:r>
      <w:r w:rsidR="00037356" w:rsidRPr="009200FF">
        <w:t>S</w:t>
      </w:r>
      <w:r w:rsidR="00F95B17" w:rsidRPr="009200FF">
        <w:t>ã</w:t>
      </w:r>
      <w:r w:rsidR="00037356" w:rsidRPr="009200FF">
        <w:t>o</w:t>
      </w:r>
      <w:r w:rsidR="00F95B17" w:rsidRPr="009200FF">
        <w:t>-</w:t>
      </w:r>
      <w:r w:rsidR="00037356" w:rsidRPr="009200FF">
        <w:t xml:space="preserve">Tomean economy. </w:t>
      </w:r>
      <w:r w:rsidR="00830BE3" w:rsidRPr="009200FF">
        <w:t>Therefore</w:t>
      </w:r>
      <w:r w:rsidR="0081461F" w:rsidRPr="009200FF">
        <w:t>,</w:t>
      </w:r>
      <w:r w:rsidR="00134000" w:rsidRPr="009200FF">
        <w:t xml:space="preserve"> the establishment of a functioning </w:t>
      </w:r>
      <w:r w:rsidR="0081461F" w:rsidRPr="009200FF">
        <w:t xml:space="preserve">land information system and the strengthening of the country’s land governance framework are </w:t>
      </w:r>
      <w:r w:rsidR="00830BE3" w:rsidRPr="009200FF">
        <w:t>key to</w:t>
      </w:r>
      <w:r w:rsidR="0081461F" w:rsidRPr="009200FF">
        <w:t xml:space="preserve"> </w:t>
      </w:r>
      <w:r w:rsidR="00037356" w:rsidRPr="009200FF">
        <w:t xml:space="preserve">improve </w:t>
      </w:r>
      <w:r w:rsidR="00830BE3" w:rsidRPr="009200FF">
        <w:t xml:space="preserve">the </w:t>
      </w:r>
      <w:r w:rsidR="00037356" w:rsidRPr="009200FF">
        <w:t xml:space="preserve">socio-economic </w:t>
      </w:r>
      <w:r w:rsidR="0081461F" w:rsidRPr="009200FF">
        <w:t xml:space="preserve">development </w:t>
      </w:r>
      <w:r w:rsidR="00830BE3" w:rsidRPr="009200FF">
        <w:t xml:space="preserve">of </w:t>
      </w:r>
      <w:r w:rsidR="00037356" w:rsidRPr="009200FF">
        <w:t>the island state</w:t>
      </w:r>
      <w:r w:rsidR="0081461F" w:rsidRPr="009200FF">
        <w:t xml:space="preserve">. </w:t>
      </w:r>
    </w:p>
    <w:p w14:paraId="57B71A82" w14:textId="77777777" w:rsidR="0024705A" w:rsidRPr="009200FF" w:rsidRDefault="003D691F" w:rsidP="00F208D6">
      <w:pPr>
        <w:pStyle w:val="ListParagraph"/>
        <w:numPr>
          <w:ilvl w:val="0"/>
          <w:numId w:val="11"/>
        </w:numPr>
        <w:spacing w:before="240" w:after="120"/>
        <w:ind w:left="648"/>
        <w:contextualSpacing w:val="0"/>
        <w:jc w:val="both"/>
        <w:rPr>
          <w:b/>
          <w:color w:val="365F91" w:themeColor="accent1" w:themeShade="BF"/>
          <w:sz w:val="24"/>
          <w:szCs w:val="24"/>
        </w:rPr>
      </w:pPr>
      <w:r w:rsidRPr="009200FF">
        <w:rPr>
          <w:b/>
          <w:color w:val="365F91" w:themeColor="accent1" w:themeShade="BF"/>
          <w:sz w:val="24"/>
          <w:szCs w:val="24"/>
        </w:rPr>
        <w:t>Land Governance and sustainable development</w:t>
      </w:r>
    </w:p>
    <w:p w14:paraId="2680C246" w14:textId="77777777" w:rsidR="005C67D2" w:rsidRPr="009200FF" w:rsidRDefault="00596CA7" w:rsidP="00A165FF">
      <w:pPr>
        <w:spacing w:after="120"/>
        <w:jc w:val="both"/>
      </w:pPr>
      <w:r w:rsidRPr="009200FF">
        <w:t>1</w:t>
      </w:r>
      <w:r w:rsidR="00942DFD" w:rsidRPr="009200FF">
        <w:t>3</w:t>
      </w:r>
      <w:r w:rsidR="003508BB" w:rsidRPr="009200FF">
        <w:t>.</w:t>
      </w:r>
      <w:r w:rsidR="003508BB" w:rsidRPr="009200FF">
        <w:rPr>
          <w:b/>
        </w:rPr>
        <w:tab/>
      </w:r>
      <w:r w:rsidR="001842E6" w:rsidRPr="009200FF">
        <w:rPr>
          <w:b/>
        </w:rPr>
        <w:t xml:space="preserve">The establishment of </w:t>
      </w:r>
      <w:r w:rsidR="00F46265" w:rsidRPr="009200FF">
        <w:rPr>
          <w:b/>
        </w:rPr>
        <w:t xml:space="preserve">a </w:t>
      </w:r>
      <w:r w:rsidR="001842E6" w:rsidRPr="009200FF">
        <w:rPr>
          <w:b/>
        </w:rPr>
        <w:t xml:space="preserve">functioning land governance </w:t>
      </w:r>
      <w:r w:rsidR="00C9052E" w:rsidRPr="009200FF">
        <w:rPr>
          <w:b/>
        </w:rPr>
        <w:t xml:space="preserve">system is a precondition for sustainable </w:t>
      </w:r>
      <w:r w:rsidR="00037356" w:rsidRPr="009200FF">
        <w:rPr>
          <w:b/>
        </w:rPr>
        <w:t>socio-economic</w:t>
      </w:r>
      <w:r w:rsidR="00C9052E" w:rsidRPr="009200FF">
        <w:rPr>
          <w:b/>
        </w:rPr>
        <w:t xml:space="preserve"> development</w:t>
      </w:r>
      <w:r w:rsidR="001842E6" w:rsidRPr="009200FF">
        <w:rPr>
          <w:b/>
        </w:rPr>
        <w:t>.</w:t>
      </w:r>
      <w:r w:rsidR="00765596" w:rsidRPr="009200FF">
        <w:t xml:space="preserve"> </w:t>
      </w:r>
      <w:r w:rsidR="00474FA2" w:rsidRPr="009200FF">
        <w:t xml:space="preserve">Based </w:t>
      </w:r>
      <w:r w:rsidR="00914C35" w:rsidRPr="009200FF">
        <w:t xml:space="preserve">on </w:t>
      </w:r>
      <w:r w:rsidR="00474FA2" w:rsidRPr="009200FF">
        <w:t>land information infrastructures (property registry and cadastres), l</w:t>
      </w:r>
      <w:r w:rsidR="001B660C" w:rsidRPr="009200FF">
        <w:t>and administration systems gather and manage personal, legal</w:t>
      </w:r>
      <w:r w:rsidR="007D42CB" w:rsidRPr="009200FF">
        <w:t>,</w:t>
      </w:r>
      <w:r w:rsidR="001B660C" w:rsidRPr="009200FF">
        <w:t xml:space="preserve"> and geographical information about land tenure</w:t>
      </w:r>
      <w:r w:rsidR="00474FA2" w:rsidRPr="009200FF">
        <w:t xml:space="preserve"> with </w:t>
      </w:r>
      <w:r w:rsidR="000A0F97" w:rsidRPr="009200FF">
        <w:t>the aim of promoting sustainable economic development through two main channels:</w:t>
      </w:r>
      <w:r w:rsidR="00474FA2" w:rsidRPr="009200FF">
        <w:t xml:space="preserve">  (i) enabling </w:t>
      </w:r>
      <w:r w:rsidR="00B82372" w:rsidRPr="009200FF">
        <w:t xml:space="preserve">the emergence of efficient land markets and </w:t>
      </w:r>
      <w:r w:rsidR="005C67D2" w:rsidRPr="009200FF">
        <w:t>(ii) promoting</w:t>
      </w:r>
      <w:r w:rsidR="00474FA2" w:rsidRPr="009200FF">
        <w:t xml:space="preserve"> </w:t>
      </w:r>
      <w:r w:rsidR="00B82372" w:rsidRPr="009200FF">
        <w:t>sustainable land use management</w:t>
      </w:r>
      <w:r w:rsidR="007D42CB" w:rsidRPr="009200FF">
        <w:t xml:space="preserve">. </w:t>
      </w:r>
    </w:p>
    <w:p w14:paraId="34A9B120" w14:textId="77777777" w:rsidR="0024705A" w:rsidRPr="009200FF" w:rsidRDefault="000F48E2" w:rsidP="00A165FF">
      <w:pPr>
        <w:pStyle w:val="ListParagraph"/>
        <w:numPr>
          <w:ilvl w:val="1"/>
          <w:numId w:val="11"/>
        </w:numPr>
        <w:spacing w:before="240" w:after="120"/>
        <w:ind w:left="360"/>
        <w:contextualSpacing w:val="0"/>
        <w:jc w:val="both"/>
        <w:rPr>
          <w:b/>
          <w:color w:val="365F91" w:themeColor="accent1" w:themeShade="BF"/>
          <w:sz w:val="24"/>
          <w:szCs w:val="24"/>
        </w:rPr>
      </w:pPr>
      <w:r w:rsidRPr="009200FF">
        <w:rPr>
          <w:b/>
          <w:color w:val="365F91" w:themeColor="accent1" w:themeShade="BF"/>
          <w:sz w:val="24"/>
          <w:szCs w:val="24"/>
        </w:rPr>
        <w:t xml:space="preserve">Formal, clear and enforceable property rights are needed for </w:t>
      </w:r>
      <w:r w:rsidR="00366CD6" w:rsidRPr="009200FF">
        <w:rPr>
          <w:b/>
          <w:color w:val="365F91" w:themeColor="accent1" w:themeShade="BF"/>
          <w:sz w:val="24"/>
          <w:szCs w:val="24"/>
        </w:rPr>
        <w:t>efficient l</w:t>
      </w:r>
      <w:r w:rsidR="00D8008D" w:rsidRPr="009200FF">
        <w:rPr>
          <w:b/>
          <w:color w:val="365F91" w:themeColor="accent1" w:themeShade="BF"/>
          <w:sz w:val="24"/>
          <w:szCs w:val="24"/>
        </w:rPr>
        <w:t xml:space="preserve">and </w:t>
      </w:r>
      <w:r w:rsidR="00366CD6" w:rsidRPr="009200FF">
        <w:rPr>
          <w:b/>
          <w:color w:val="365F91" w:themeColor="accent1" w:themeShade="BF"/>
          <w:sz w:val="24"/>
          <w:szCs w:val="24"/>
        </w:rPr>
        <w:t>m</w:t>
      </w:r>
      <w:r w:rsidR="005A777A" w:rsidRPr="009200FF">
        <w:rPr>
          <w:b/>
          <w:color w:val="365F91" w:themeColor="accent1" w:themeShade="BF"/>
          <w:sz w:val="24"/>
          <w:szCs w:val="24"/>
        </w:rPr>
        <w:t>arkets</w:t>
      </w:r>
      <w:r w:rsidR="00366CD6" w:rsidRPr="009200FF">
        <w:rPr>
          <w:b/>
          <w:color w:val="365F91" w:themeColor="accent1" w:themeShade="BF"/>
          <w:sz w:val="24"/>
          <w:szCs w:val="24"/>
        </w:rPr>
        <w:t>, which are key</w:t>
      </w:r>
      <w:r w:rsidR="00F24E03" w:rsidRPr="009200FF">
        <w:rPr>
          <w:b/>
          <w:color w:val="365F91" w:themeColor="accent1" w:themeShade="BF"/>
          <w:sz w:val="24"/>
          <w:szCs w:val="24"/>
        </w:rPr>
        <w:t xml:space="preserve"> for </w:t>
      </w:r>
      <w:r w:rsidR="00366CD6" w:rsidRPr="009200FF">
        <w:rPr>
          <w:b/>
          <w:color w:val="365F91" w:themeColor="accent1" w:themeShade="BF"/>
          <w:sz w:val="24"/>
          <w:szCs w:val="24"/>
        </w:rPr>
        <w:t>a</w:t>
      </w:r>
      <w:r w:rsidR="002819DC" w:rsidRPr="009200FF">
        <w:rPr>
          <w:b/>
          <w:color w:val="365F91" w:themeColor="accent1" w:themeShade="BF"/>
          <w:sz w:val="24"/>
          <w:szCs w:val="24"/>
        </w:rPr>
        <w:t xml:space="preserve">griculture and </w:t>
      </w:r>
      <w:r w:rsidR="00366CD6" w:rsidRPr="009200FF">
        <w:rPr>
          <w:b/>
          <w:color w:val="365F91" w:themeColor="accent1" w:themeShade="BF"/>
          <w:sz w:val="24"/>
          <w:szCs w:val="24"/>
        </w:rPr>
        <w:t>t</w:t>
      </w:r>
      <w:r w:rsidR="002819DC" w:rsidRPr="009200FF">
        <w:rPr>
          <w:b/>
          <w:color w:val="365F91" w:themeColor="accent1" w:themeShade="BF"/>
          <w:sz w:val="24"/>
          <w:szCs w:val="24"/>
        </w:rPr>
        <w:t xml:space="preserve">ourism </w:t>
      </w:r>
      <w:r w:rsidR="00366CD6" w:rsidRPr="009200FF">
        <w:rPr>
          <w:b/>
          <w:color w:val="365F91" w:themeColor="accent1" w:themeShade="BF"/>
          <w:sz w:val="24"/>
          <w:szCs w:val="24"/>
        </w:rPr>
        <w:t>d</w:t>
      </w:r>
      <w:r w:rsidR="002819DC" w:rsidRPr="009200FF">
        <w:rPr>
          <w:b/>
          <w:color w:val="365F91" w:themeColor="accent1" w:themeShade="BF"/>
          <w:sz w:val="24"/>
          <w:szCs w:val="24"/>
        </w:rPr>
        <w:t>evelopment</w:t>
      </w:r>
    </w:p>
    <w:p w14:paraId="6CFCED37" w14:textId="77777777" w:rsidR="003103A6" w:rsidRPr="009200FF" w:rsidRDefault="00596CA7" w:rsidP="00A13324">
      <w:pPr>
        <w:spacing w:after="120"/>
        <w:jc w:val="both"/>
      </w:pPr>
      <w:r w:rsidRPr="009200FF">
        <w:t>1</w:t>
      </w:r>
      <w:r w:rsidR="00942DFD" w:rsidRPr="009200FF">
        <w:t>4</w:t>
      </w:r>
      <w:r w:rsidR="006E0909" w:rsidRPr="009200FF">
        <w:rPr>
          <w:b/>
        </w:rPr>
        <w:t xml:space="preserve">. </w:t>
      </w:r>
      <w:r w:rsidR="006E0909" w:rsidRPr="009200FF">
        <w:rPr>
          <w:b/>
        </w:rPr>
        <w:tab/>
      </w:r>
      <w:r w:rsidR="004853DA" w:rsidRPr="009200FF">
        <w:rPr>
          <w:b/>
        </w:rPr>
        <w:t>T</w:t>
      </w:r>
      <w:r w:rsidR="006E0909" w:rsidRPr="009200FF">
        <w:rPr>
          <w:b/>
        </w:rPr>
        <w:t xml:space="preserve">he agriculture </w:t>
      </w:r>
      <w:r w:rsidR="000A1CB6" w:rsidRPr="009200FF">
        <w:rPr>
          <w:b/>
        </w:rPr>
        <w:t xml:space="preserve">and tourism </w:t>
      </w:r>
      <w:r w:rsidR="006E0909" w:rsidRPr="009200FF">
        <w:rPr>
          <w:b/>
        </w:rPr>
        <w:t>sector</w:t>
      </w:r>
      <w:r w:rsidR="000A1CB6" w:rsidRPr="009200FF">
        <w:rPr>
          <w:b/>
        </w:rPr>
        <w:t>s</w:t>
      </w:r>
      <w:r w:rsidR="006E0909" w:rsidRPr="009200FF">
        <w:rPr>
          <w:b/>
        </w:rPr>
        <w:t xml:space="preserve"> in STP </w:t>
      </w:r>
      <w:r w:rsidR="00F24E03" w:rsidRPr="009200FF">
        <w:rPr>
          <w:b/>
        </w:rPr>
        <w:t>are</w:t>
      </w:r>
      <w:r w:rsidR="006E0909" w:rsidRPr="009200FF">
        <w:rPr>
          <w:b/>
        </w:rPr>
        <w:t xml:space="preserve"> important potential driver</w:t>
      </w:r>
      <w:r w:rsidR="00F24E03" w:rsidRPr="009200FF">
        <w:rPr>
          <w:b/>
        </w:rPr>
        <w:t>s</w:t>
      </w:r>
      <w:r w:rsidR="006E0909" w:rsidRPr="009200FF">
        <w:rPr>
          <w:b/>
        </w:rPr>
        <w:t xml:space="preserve"> for social and economic development.</w:t>
      </w:r>
      <w:r w:rsidR="006E0909" w:rsidRPr="009200FF">
        <w:t xml:space="preserve"> Agricultural land represents one half of the country’s total land, but it employs </w:t>
      </w:r>
      <w:r w:rsidR="00836552" w:rsidRPr="009200FF">
        <w:t>24</w:t>
      </w:r>
      <w:r w:rsidR="006E0909" w:rsidRPr="009200FF">
        <w:t xml:space="preserve"> percent of the </w:t>
      </w:r>
      <w:r w:rsidR="001E2CA0" w:rsidRPr="009200FF">
        <w:t>working population</w:t>
      </w:r>
      <w:r w:rsidR="006E0909" w:rsidRPr="009200FF">
        <w:t xml:space="preserve"> and its output represents </w:t>
      </w:r>
      <w:r w:rsidR="00836552" w:rsidRPr="009200FF">
        <w:t>5.</w:t>
      </w:r>
      <w:r w:rsidR="003D6986" w:rsidRPr="009200FF">
        <w:t>1</w:t>
      </w:r>
      <w:r w:rsidR="006E0909" w:rsidRPr="009200FF">
        <w:t xml:space="preserve"> percent of the </w:t>
      </w:r>
      <w:r w:rsidR="001E2CA0" w:rsidRPr="009200FF">
        <w:t>G</w:t>
      </w:r>
      <w:r w:rsidR="006E0909" w:rsidRPr="009200FF">
        <w:t xml:space="preserve">ross </w:t>
      </w:r>
      <w:r w:rsidR="001E2CA0" w:rsidRPr="009200FF">
        <w:t>D</w:t>
      </w:r>
      <w:r w:rsidR="006E0909" w:rsidRPr="009200FF">
        <w:t xml:space="preserve">omestic </w:t>
      </w:r>
      <w:r w:rsidR="001E2CA0" w:rsidRPr="009200FF">
        <w:t>P</w:t>
      </w:r>
      <w:r w:rsidR="006E0909" w:rsidRPr="009200FF">
        <w:t>roduct in the country</w:t>
      </w:r>
      <w:r w:rsidR="006E0909" w:rsidRPr="009200FF">
        <w:rPr>
          <w:rStyle w:val="FootnoteReference"/>
        </w:rPr>
        <w:footnoteReference w:id="13"/>
      </w:r>
      <w:r w:rsidR="006E0909" w:rsidRPr="009200FF">
        <w:t xml:space="preserve">. </w:t>
      </w:r>
      <w:r w:rsidR="003103A6" w:rsidRPr="009200FF">
        <w:t xml:space="preserve">On its part, tourism is the primary source of foreign exchange </w:t>
      </w:r>
      <w:r w:rsidR="00926C6D" w:rsidRPr="009200FF">
        <w:t>and</w:t>
      </w:r>
      <w:r w:rsidR="003103A6" w:rsidRPr="009200FF">
        <w:t xml:space="preserve"> </w:t>
      </w:r>
      <w:r w:rsidR="00926C6D" w:rsidRPr="009200FF">
        <w:t>represents an enormous</w:t>
      </w:r>
      <w:r w:rsidR="003103A6" w:rsidRPr="009200FF">
        <w:t xml:space="preserve"> poten</w:t>
      </w:r>
      <w:r w:rsidR="001A133B" w:rsidRPr="009200FF">
        <w:t>tial for</w:t>
      </w:r>
      <w:r w:rsidR="003103A6" w:rsidRPr="009200FF">
        <w:t xml:space="preserve"> income and employment </w:t>
      </w:r>
      <w:r w:rsidR="001A133B" w:rsidRPr="009200FF">
        <w:t>generation</w:t>
      </w:r>
      <w:r w:rsidR="003103A6" w:rsidRPr="009200FF">
        <w:t>.</w:t>
      </w:r>
      <w:r w:rsidR="00926C6D" w:rsidRPr="009200FF">
        <w:t xml:space="preserve"> </w:t>
      </w:r>
      <w:r w:rsidR="00486F38" w:rsidRPr="009200FF">
        <w:t>Efficient</w:t>
      </w:r>
      <w:r w:rsidR="003103A6" w:rsidRPr="009200FF">
        <w:t xml:space="preserve"> land markets -fostered by functioning land administration institutions- have the potential to </w:t>
      </w:r>
      <w:r w:rsidR="006A1C81" w:rsidRPr="009200FF">
        <w:t xml:space="preserve">increase agricultural production while </w:t>
      </w:r>
      <w:r w:rsidR="003103A6" w:rsidRPr="009200FF">
        <w:t>facilitat</w:t>
      </w:r>
      <w:r w:rsidR="006A1C81" w:rsidRPr="009200FF">
        <w:t>ing its diversification</w:t>
      </w:r>
      <w:r w:rsidR="00926C6D" w:rsidRPr="009200FF">
        <w:t xml:space="preserve">, incentivize investment in tourism, and </w:t>
      </w:r>
      <w:r w:rsidR="0022761A" w:rsidRPr="009200FF">
        <w:t>consequently</w:t>
      </w:r>
      <w:r w:rsidR="001A133B" w:rsidRPr="009200FF">
        <w:t xml:space="preserve"> </w:t>
      </w:r>
      <w:r w:rsidR="00926C6D" w:rsidRPr="009200FF">
        <w:t>increase returns in both sectors.</w:t>
      </w:r>
    </w:p>
    <w:p w14:paraId="3E2559F5" w14:textId="77777777" w:rsidR="00926C6D" w:rsidRPr="009200FF" w:rsidRDefault="00596CA7" w:rsidP="00A13324">
      <w:pPr>
        <w:spacing w:after="120"/>
        <w:jc w:val="both"/>
      </w:pPr>
      <w:r w:rsidRPr="009200FF">
        <w:t>1</w:t>
      </w:r>
      <w:r w:rsidR="00942DFD" w:rsidRPr="009200FF">
        <w:t>5</w:t>
      </w:r>
      <w:r w:rsidR="00926C6D" w:rsidRPr="009200FF">
        <w:t>.</w:t>
      </w:r>
      <w:r w:rsidR="00926C6D" w:rsidRPr="009200FF">
        <w:rPr>
          <w:b/>
        </w:rPr>
        <w:tab/>
        <w:t>Clear and enforceable property rights are the core element of land governance systems and efficient land markets</w:t>
      </w:r>
      <w:r w:rsidR="00926C6D" w:rsidRPr="009200FF">
        <w:t xml:space="preserve">. Formal property rights are associated to higher levels of economic development </w:t>
      </w:r>
      <w:r w:rsidR="002712D9" w:rsidRPr="009200FF">
        <w:t>by</w:t>
      </w:r>
      <w:r w:rsidR="00926C6D" w:rsidRPr="009200FF">
        <w:t xml:space="preserve"> </w:t>
      </w:r>
      <w:r w:rsidR="002712D9" w:rsidRPr="009200FF">
        <w:t xml:space="preserve">creating the </w:t>
      </w:r>
      <w:r w:rsidR="00926C6D" w:rsidRPr="009200FF">
        <w:t xml:space="preserve">enabling </w:t>
      </w:r>
      <w:r w:rsidR="002712D9" w:rsidRPr="009200FF">
        <w:t xml:space="preserve">conditions for </w:t>
      </w:r>
      <w:r w:rsidR="00926C6D" w:rsidRPr="009200FF">
        <w:t xml:space="preserve">markets and </w:t>
      </w:r>
      <w:r w:rsidR="002712D9" w:rsidRPr="009200FF">
        <w:t xml:space="preserve">the </w:t>
      </w:r>
      <w:r w:rsidR="00926C6D" w:rsidRPr="009200FF">
        <w:t xml:space="preserve">efficient allocation </w:t>
      </w:r>
      <w:r w:rsidR="005F1A0A" w:rsidRPr="009200FF">
        <w:t xml:space="preserve">of </w:t>
      </w:r>
      <w:r w:rsidR="00926C6D" w:rsidRPr="009200FF">
        <w:t>resource</w:t>
      </w:r>
      <w:r w:rsidR="002712D9" w:rsidRPr="009200FF">
        <w:t xml:space="preserve">s. Formal property rights also </w:t>
      </w:r>
      <w:r w:rsidR="002626C2" w:rsidRPr="009200FF">
        <w:t>foste</w:t>
      </w:r>
      <w:r w:rsidR="002712D9" w:rsidRPr="009200FF">
        <w:t>r</w:t>
      </w:r>
      <w:r w:rsidR="002626C2" w:rsidRPr="009200FF">
        <w:t xml:space="preserve"> </w:t>
      </w:r>
      <w:r w:rsidR="002712D9" w:rsidRPr="009200FF">
        <w:t>an environment for</w:t>
      </w:r>
      <w:r w:rsidR="00926C6D" w:rsidRPr="009200FF">
        <w:t xml:space="preserve"> </w:t>
      </w:r>
      <w:r w:rsidR="002626C2" w:rsidRPr="009200FF">
        <w:t xml:space="preserve">new </w:t>
      </w:r>
      <w:r w:rsidR="00926C6D" w:rsidRPr="009200FF">
        <w:t>investment</w:t>
      </w:r>
      <w:r w:rsidR="002626C2" w:rsidRPr="009200FF">
        <w:t>s</w:t>
      </w:r>
      <w:r w:rsidR="00926C6D" w:rsidRPr="009200FF">
        <w:t>, facilitat</w:t>
      </w:r>
      <w:r w:rsidR="002712D9" w:rsidRPr="009200FF">
        <w:t>e</w:t>
      </w:r>
      <w:r w:rsidR="00926C6D" w:rsidRPr="009200FF">
        <w:t xml:space="preserve"> access to credit,</w:t>
      </w:r>
      <w:r w:rsidR="00926469" w:rsidRPr="009200FF">
        <w:t xml:space="preserve"> </w:t>
      </w:r>
      <w:r w:rsidR="00D6247F" w:rsidRPr="009200FF">
        <w:t>improve fiscal capacity and efficiency</w:t>
      </w:r>
      <w:r w:rsidR="00690F19" w:rsidRPr="009200FF">
        <w:t xml:space="preserve"> of the state,</w:t>
      </w:r>
      <w:r w:rsidR="00926C6D" w:rsidRPr="009200FF">
        <w:t xml:space="preserve"> and </w:t>
      </w:r>
      <w:r w:rsidR="002626C2" w:rsidRPr="009200FF">
        <w:t xml:space="preserve">help tackle corruption which </w:t>
      </w:r>
      <w:r w:rsidR="00926C6D" w:rsidRPr="009200FF">
        <w:t>lead</w:t>
      </w:r>
      <w:r w:rsidR="002626C2" w:rsidRPr="009200FF">
        <w:t>s</w:t>
      </w:r>
      <w:r w:rsidR="00926C6D" w:rsidRPr="009200FF">
        <w:t xml:space="preserve"> to higher levels of legitimacy. A brief description of each causal mechanism follows.</w:t>
      </w:r>
    </w:p>
    <w:p w14:paraId="39F8D2F6" w14:textId="2E227F39" w:rsidR="00E26572" w:rsidRPr="009200FF" w:rsidRDefault="00926C6D" w:rsidP="00A13324">
      <w:pPr>
        <w:spacing w:after="120"/>
        <w:jc w:val="both"/>
      </w:pPr>
      <w:r w:rsidRPr="009200FF">
        <w:t>1</w:t>
      </w:r>
      <w:r w:rsidR="00942DFD" w:rsidRPr="009200FF">
        <w:t>6</w:t>
      </w:r>
      <w:r w:rsidRPr="009200FF">
        <w:t>.</w:t>
      </w:r>
      <w:r w:rsidRPr="009200FF">
        <w:rPr>
          <w:b/>
        </w:rPr>
        <w:tab/>
        <w:t>Land governance systems, with formal property rights at the core, enable the emergence of land markets</w:t>
      </w:r>
      <w:r w:rsidRPr="009200FF">
        <w:t xml:space="preserve">.  The existence of formal property rights and related public and freely accessible information fosters the emergence of land markets, which facilitate the transactions of land via lease or sale. Markets facilitate the mobility of land plots and ultimately achieve the allocation of the resource to </w:t>
      </w:r>
      <w:r w:rsidRPr="009200FF">
        <w:lastRenderedPageBreak/>
        <w:t>those most eager to put it to use. Additionally, functioning land markets reduce the amount of unused land and thereby increase productivity</w:t>
      </w:r>
      <w:r w:rsidRPr="009200FF">
        <w:rPr>
          <w:rStyle w:val="FootnoteReference"/>
        </w:rPr>
        <w:footnoteReference w:id="14"/>
      </w:r>
      <w:r w:rsidRPr="009200FF">
        <w:t xml:space="preserve">. </w:t>
      </w:r>
    </w:p>
    <w:p w14:paraId="19C201BC" w14:textId="30F7BAD0" w:rsidR="000A1CB6" w:rsidRPr="009200FF" w:rsidRDefault="00596CA7" w:rsidP="00A13324">
      <w:pPr>
        <w:spacing w:after="120"/>
        <w:jc w:val="both"/>
      </w:pPr>
      <w:r w:rsidRPr="009200FF">
        <w:t>1</w:t>
      </w:r>
      <w:r w:rsidR="00942DFD" w:rsidRPr="009200FF">
        <w:t>7</w:t>
      </w:r>
      <w:r w:rsidR="00926C6D" w:rsidRPr="009200FF">
        <w:t xml:space="preserve">. </w:t>
      </w:r>
      <w:r w:rsidR="00926C6D" w:rsidRPr="009200FF">
        <w:tab/>
      </w:r>
      <w:r w:rsidR="00926C6D" w:rsidRPr="009200FF">
        <w:rPr>
          <w:b/>
        </w:rPr>
        <w:t>Formal property rights foster productivity through investment</w:t>
      </w:r>
      <w:r w:rsidR="00926C6D" w:rsidRPr="009200FF">
        <w:rPr>
          <w:rStyle w:val="FootnoteReference"/>
        </w:rPr>
        <w:footnoteReference w:id="15"/>
      </w:r>
      <w:r w:rsidR="00926C6D" w:rsidRPr="009200FF">
        <w:rPr>
          <w:b/>
        </w:rPr>
        <w:t xml:space="preserve">. </w:t>
      </w:r>
      <w:r w:rsidR="00926C6D" w:rsidRPr="009200FF">
        <w:t>In the rural sector, levels of productivity are highly dependent on levels of investment</w:t>
      </w:r>
      <w:r w:rsidR="005F1A0A" w:rsidRPr="009200FF">
        <w:t>.</w:t>
      </w:r>
      <w:r w:rsidR="00926C6D" w:rsidRPr="009200FF">
        <w:t xml:space="preserve"> </w:t>
      </w:r>
      <w:r w:rsidR="005F1A0A" w:rsidRPr="009200FF">
        <w:t>T</w:t>
      </w:r>
      <w:r w:rsidR="00926C6D" w:rsidRPr="009200FF">
        <w:t xml:space="preserve">herefore, </w:t>
      </w:r>
      <w:r w:rsidR="00BD67C8" w:rsidRPr="009200FF">
        <w:t>land tenure informality</w:t>
      </w:r>
      <w:r w:rsidR="00926C6D" w:rsidRPr="009200FF">
        <w:t xml:space="preserve"> refrain from investing (capital, work, time, etc.) in the land. </w:t>
      </w:r>
      <w:r w:rsidR="000A1CB6" w:rsidRPr="009200FF">
        <w:t>Higher investment rates in the agricultural sector should turn into –</w:t>
      </w:r>
      <w:r w:rsidR="000A1CB6" w:rsidRPr="009200FF">
        <w:rPr>
          <w:i/>
        </w:rPr>
        <w:t>inter alia</w:t>
      </w:r>
      <w:r w:rsidR="000A1CB6" w:rsidRPr="009200FF">
        <w:t xml:space="preserve">- innovation in the form of planting techniques, machinery, seeds or irrigation services. Altogether these investments should result in a more efficient production function, an increase in rural employment, and a more diversified agricultural sector. </w:t>
      </w:r>
    </w:p>
    <w:p w14:paraId="42C93F05" w14:textId="1FF8B89A" w:rsidR="0043025F" w:rsidRPr="009200FF" w:rsidRDefault="00596CA7" w:rsidP="00A13324">
      <w:pPr>
        <w:spacing w:after="120"/>
        <w:jc w:val="both"/>
        <w:rPr>
          <w:caps/>
        </w:rPr>
      </w:pPr>
      <w:r w:rsidRPr="009200FF">
        <w:t>1</w:t>
      </w:r>
      <w:r w:rsidR="00942DFD" w:rsidRPr="009200FF">
        <w:t>8</w:t>
      </w:r>
      <w:r w:rsidR="000A1CB6" w:rsidRPr="009200FF">
        <w:t>.</w:t>
      </w:r>
      <w:r w:rsidR="000A1CB6" w:rsidRPr="009200FF">
        <w:tab/>
      </w:r>
      <w:r w:rsidR="0043025F" w:rsidRPr="009200FF">
        <w:rPr>
          <w:b/>
        </w:rPr>
        <w:t xml:space="preserve">Investment in tourism </w:t>
      </w:r>
      <w:r w:rsidR="004138CF" w:rsidRPr="009200FF">
        <w:rPr>
          <w:b/>
        </w:rPr>
        <w:t xml:space="preserve">projects </w:t>
      </w:r>
      <w:r w:rsidR="0043025F" w:rsidRPr="009200FF">
        <w:rPr>
          <w:b/>
        </w:rPr>
        <w:t xml:space="preserve">is also heavily dependent on the certainty of enforceable property rights. </w:t>
      </w:r>
      <w:r w:rsidR="004138CF" w:rsidRPr="009200FF">
        <w:t>S</w:t>
      </w:r>
      <w:r w:rsidR="00926C6D" w:rsidRPr="009200FF">
        <w:t xml:space="preserve">ecure property rights will foster stable and productive investment </w:t>
      </w:r>
      <w:r w:rsidR="004138CF" w:rsidRPr="009200FF">
        <w:t xml:space="preserve">by </w:t>
      </w:r>
      <w:r w:rsidR="008B1AD4" w:rsidRPr="009200FF">
        <w:t>reducing</w:t>
      </w:r>
      <w:r w:rsidR="00926C6D" w:rsidRPr="009200FF">
        <w:t xml:space="preserve"> the </w:t>
      </w:r>
      <w:r w:rsidR="00092B9F" w:rsidRPr="009200FF">
        <w:t>un</w:t>
      </w:r>
      <w:r w:rsidR="00926C6D" w:rsidRPr="009200FF">
        <w:t xml:space="preserve">certainty </w:t>
      </w:r>
      <w:r w:rsidR="00092B9F" w:rsidRPr="009200FF">
        <w:t xml:space="preserve">people </w:t>
      </w:r>
      <w:r w:rsidR="00D5723B" w:rsidRPr="009200FF">
        <w:t>face regarding the</w:t>
      </w:r>
      <w:r w:rsidR="004138CF" w:rsidRPr="009200FF">
        <w:t xml:space="preserve"> return on </w:t>
      </w:r>
      <w:r w:rsidR="00926C6D" w:rsidRPr="009200FF">
        <w:t>their investment</w:t>
      </w:r>
      <w:r w:rsidR="004138CF" w:rsidRPr="009200FF">
        <w:t>s</w:t>
      </w:r>
      <w:r w:rsidR="00926C6D" w:rsidRPr="009200FF">
        <w:t xml:space="preserve"> and will </w:t>
      </w:r>
      <w:r w:rsidR="00D5723B" w:rsidRPr="009200FF">
        <w:t xml:space="preserve">ensure investors </w:t>
      </w:r>
      <w:r w:rsidR="00C85437" w:rsidRPr="009200FF">
        <w:t>that their investment can be sold or</w:t>
      </w:r>
      <w:r w:rsidR="00727812" w:rsidRPr="009200FF">
        <w:t xml:space="preserve"> </w:t>
      </w:r>
      <w:r w:rsidR="00926C6D" w:rsidRPr="009200FF">
        <w:t>pass</w:t>
      </w:r>
      <w:r w:rsidR="00C85437" w:rsidRPr="009200FF">
        <w:t>ed</w:t>
      </w:r>
      <w:r w:rsidR="004138CF" w:rsidRPr="009200FF">
        <w:t xml:space="preserve"> </w:t>
      </w:r>
      <w:r w:rsidR="00926C6D" w:rsidRPr="009200FF">
        <w:t xml:space="preserve">along to their inheritors. </w:t>
      </w:r>
      <w:r w:rsidR="00673AC6" w:rsidRPr="009200FF">
        <w:t>Higher investment rates in</w:t>
      </w:r>
      <w:r w:rsidR="007F7FB4" w:rsidRPr="009200FF">
        <w:t xml:space="preserve"> tourism projects will result</w:t>
      </w:r>
      <w:r w:rsidR="00673AC6" w:rsidRPr="009200FF">
        <w:t>, among other things, in the improve</w:t>
      </w:r>
      <w:r w:rsidR="008A0CB2" w:rsidRPr="009200FF">
        <w:t>d</w:t>
      </w:r>
      <w:r w:rsidR="00673AC6" w:rsidRPr="009200FF">
        <w:t xml:space="preserve"> infrastructure for tourism-related services and </w:t>
      </w:r>
      <w:r w:rsidR="004138CF" w:rsidRPr="009200FF">
        <w:t xml:space="preserve">other leisure related options. </w:t>
      </w:r>
    </w:p>
    <w:p w14:paraId="3D8385B9" w14:textId="77777777" w:rsidR="003103A6" w:rsidRPr="009200FF" w:rsidRDefault="00073627" w:rsidP="00A13324">
      <w:pPr>
        <w:spacing w:after="120"/>
        <w:jc w:val="both"/>
      </w:pPr>
      <w:r w:rsidRPr="009200FF">
        <w:t>1</w:t>
      </w:r>
      <w:r w:rsidR="00942DFD" w:rsidRPr="009200FF">
        <w:t>9</w:t>
      </w:r>
      <w:r w:rsidR="00486F38" w:rsidRPr="009200FF">
        <w:t>.</w:t>
      </w:r>
      <w:r w:rsidR="00486F38" w:rsidRPr="009200FF">
        <w:rPr>
          <w:b/>
        </w:rPr>
        <w:tab/>
      </w:r>
      <w:r w:rsidR="0022761A" w:rsidRPr="009200FF">
        <w:rPr>
          <w:b/>
        </w:rPr>
        <w:t>F</w:t>
      </w:r>
      <w:r w:rsidR="00486F38" w:rsidRPr="009200FF">
        <w:rPr>
          <w:b/>
        </w:rPr>
        <w:t>ormal pro</w:t>
      </w:r>
      <w:r w:rsidR="0022761A" w:rsidRPr="009200FF">
        <w:rPr>
          <w:b/>
        </w:rPr>
        <w:t>perty rights to land facilitate</w:t>
      </w:r>
      <w:r w:rsidR="00486F38" w:rsidRPr="009200FF">
        <w:rPr>
          <w:b/>
        </w:rPr>
        <w:t xml:space="preserve"> access to credit</w:t>
      </w:r>
      <w:r w:rsidR="00486F38" w:rsidRPr="009200FF">
        <w:t>. To the extent that easily transferable land rights may be used as collateral, their availability will reduce the cost of accessing credit for rural entrepreneurs, thus increasing returns but also contributing to innovation and the development of financial systems</w:t>
      </w:r>
      <w:r w:rsidR="00486F38" w:rsidRPr="009200FF">
        <w:rPr>
          <w:rStyle w:val="FootnoteReference"/>
        </w:rPr>
        <w:footnoteReference w:id="16"/>
      </w:r>
      <w:r w:rsidR="00486F38" w:rsidRPr="009200FF">
        <w:t xml:space="preserve">. In the case of the tourism sector, access to credit is tied to increase in investments and the </w:t>
      </w:r>
      <w:r w:rsidR="007F7FB4" w:rsidRPr="009200FF">
        <w:t xml:space="preserve">consequent improvement in services </w:t>
      </w:r>
      <w:r w:rsidR="00486F38" w:rsidRPr="009200FF">
        <w:t xml:space="preserve">provision </w:t>
      </w:r>
      <w:r w:rsidR="007F7FB4" w:rsidRPr="009200FF">
        <w:t>for</w:t>
      </w:r>
      <w:r w:rsidR="00486F38" w:rsidRPr="009200FF">
        <w:t xml:space="preserve"> client in terms of facilities and human capital, which altogether will have positive effects on revenue.</w:t>
      </w:r>
    </w:p>
    <w:p w14:paraId="79ADDB0D" w14:textId="77777777" w:rsidR="00FA779B" w:rsidRPr="009200FF" w:rsidRDefault="00942DFD" w:rsidP="00A13324">
      <w:pPr>
        <w:spacing w:after="120"/>
        <w:jc w:val="both"/>
      </w:pPr>
      <w:r w:rsidRPr="009200FF">
        <w:t>20</w:t>
      </w:r>
      <w:r w:rsidR="00690F19" w:rsidRPr="009200FF">
        <w:t>.</w:t>
      </w:r>
      <w:r w:rsidR="00690F19" w:rsidRPr="009200FF">
        <w:tab/>
      </w:r>
      <w:r w:rsidR="00690F19" w:rsidRPr="009200FF">
        <w:rPr>
          <w:b/>
        </w:rPr>
        <w:t>Fiscal capacity and efficiency of states are enhanced by the existence of formal property titles.</w:t>
      </w:r>
      <w:r w:rsidR="00690F19" w:rsidRPr="009200FF">
        <w:t xml:space="preserve"> Land administration systems provide governments with </w:t>
      </w:r>
      <w:r w:rsidR="00860D38" w:rsidRPr="009200FF">
        <w:t xml:space="preserve">legal and geographical </w:t>
      </w:r>
      <w:r w:rsidR="00690F19" w:rsidRPr="009200FF">
        <w:t xml:space="preserve">information </w:t>
      </w:r>
      <w:r w:rsidR="00860D38" w:rsidRPr="009200FF">
        <w:t xml:space="preserve">about land and its attributes. This information is used </w:t>
      </w:r>
      <w:r w:rsidR="00FA779B" w:rsidRPr="009200FF">
        <w:t xml:space="preserve">by government </w:t>
      </w:r>
      <w:r w:rsidR="00860D38" w:rsidRPr="009200FF">
        <w:t xml:space="preserve">for valuation </w:t>
      </w:r>
      <w:r w:rsidR="00FA779B" w:rsidRPr="009200FF">
        <w:t>purposes</w:t>
      </w:r>
      <w:r w:rsidR="00BF2FE5" w:rsidRPr="009200FF">
        <w:t>,</w:t>
      </w:r>
      <w:r w:rsidR="00FA779B" w:rsidRPr="009200FF">
        <w:t xml:space="preserve"> which permits the design of</w:t>
      </w:r>
      <w:r w:rsidR="00860D38" w:rsidRPr="009200FF">
        <w:t xml:space="preserve"> efficient and equitable fiscal polic</w:t>
      </w:r>
      <w:r w:rsidR="00FA779B" w:rsidRPr="009200FF">
        <w:t>ies. In the agricultural sector</w:t>
      </w:r>
      <w:r w:rsidR="00BF2FE5" w:rsidRPr="009200FF">
        <w:t>,</w:t>
      </w:r>
      <w:r w:rsidR="00FA779B" w:rsidRPr="009200FF">
        <w:t xml:space="preserve"> taxation responsibilities are set according to the use of land, particularly its yielding capacity, whereas in urban contexts taxation varies according to the type of use, primarily </w:t>
      </w:r>
      <w:r w:rsidR="00073627" w:rsidRPr="009200FF">
        <w:t>whether it is</w:t>
      </w:r>
      <w:r w:rsidR="00FA779B" w:rsidRPr="009200FF">
        <w:t xml:space="preserve"> commercial or </w:t>
      </w:r>
      <w:r w:rsidR="00073627" w:rsidRPr="009200FF">
        <w:t>as</w:t>
      </w:r>
      <w:r w:rsidR="00FA779B" w:rsidRPr="009200FF">
        <w:t xml:space="preserve"> dwelling. Ultimately, the absence of accurate information about land and a functioning governance frame</w:t>
      </w:r>
      <w:r w:rsidR="00073627" w:rsidRPr="009200FF">
        <w:t>work</w:t>
      </w:r>
      <w:r w:rsidR="00FA779B" w:rsidRPr="009200FF">
        <w:t xml:space="preserve"> </w:t>
      </w:r>
      <w:r w:rsidR="00073627" w:rsidRPr="009200FF">
        <w:t xml:space="preserve">impedes tax collection and </w:t>
      </w:r>
      <w:r w:rsidR="00073627" w:rsidRPr="009200FF">
        <w:lastRenderedPageBreak/>
        <w:t xml:space="preserve">consequently </w:t>
      </w:r>
      <w:r w:rsidR="00FA779B" w:rsidRPr="009200FF">
        <w:t>ward</w:t>
      </w:r>
      <w:r w:rsidR="00073627" w:rsidRPr="009200FF">
        <w:t>s</w:t>
      </w:r>
      <w:r w:rsidR="00FA779B" w:rsidRPr="009200FF">
        <w:t xml:space="preserve"> off governments from an </w:t>
      </w:r>
      <w:r w:rsidR="00073627" w:rsidRPr="009200FF">
        <w:t xml:space="preserve">essential </w:t>
      </w:r>
      <w:r w:rsidR="00FA779B" w:rsidRPr="009200FF">
        <w:t>source</w:t>
      </w:r>
      <w:r w:rsidR="00073627" w:rsidRPr="009200FF">
        <w:t xml:space="preserve"> of revenue to promote social and economic development. </w:t>
      </w:r>
      <w:r w:rsidR="00FA779B" w:rsidRPr="009200FF">
        <w:t xml:space="preserve"> </w:t>
      </w:r>
    </w:p>
    <w:p w14:paraId="1DB9818E" w14:textId="77777777" w:rsidR="004853DA" w:rsidRPr="009200FF" w:rsidRDefault="00942DFD" w:rsidP="00A13324">
      <w:pPr>
        <w:spacing w:after="120"/>
        <w:jc w:val="both"/>
      </w:pPr>
      <w:r w:rsidRPr="009200FF">
        <w:t>21</w:t>
      </w:r>
      <w:r w:rsidR="004853DA" w:rsidRPr="009200FF">
        <w:t>.</w:t>
      </w:r>
      <w:r w:rsidR="004853DA" w:rsidRPr="009200FF">
        <w:rPr>
          <w:b/>
        </w:rPr>
        <w:tab/>
        <w:t xml:space="preserve">Finally, establishing and maintaining a functioning land governance system positively impacts accountability and legitimacy. </w:t>
      </w:r>
      <w:r w:rsidR="004853DA" w:rsidRPr="009200FF">
        <w:t>By defining and managing the rights to access land, systems of land governance have a strong impact in the daily lives of citizens. Making the processes through which rights are allocated and the information about such rights public</w:t>
      </w:r>
      <w:r w:rsidR="00323DB3" w:rsidRPr="009200FF">
        <w:t>ly available</w:t>
      </w:r>
      <w:r w:rsidR="004853DA" w:rsidRPr="009200FF">
        <w:t xml:space="preserve"> increases the possibility for efficient accountability and therefore the confidence of the citizens in the system.  </w:t>
      </w:r>
    </w:p>
    <w:p w14:paraId="70ABD390" w14:textId="77777777" w:rsidR="0024705A" w:rsidRPr="009200FF" w:rsidRDefault="005A777A" w:rsidP="00A13324">
      <w:pPr>
        <w:pStyle w:val="ListParagraph"/>
        <w:numPr>
          <w:ilvl w:val="1"/>
          <w:numId w:val="11"/>
        </w:numPr>
        <w:spacing w:before="240" w:after="120"/>
        <w:ind w:left="360"/>
        <w:contextualSpacing w:val="0"/>
        <w:jc w:val="both"/>
        <w:rPr>
          <w:b/>
          <w:color w:val="365F91" w:themeColor="accent1" w:themeShade="BF"/>
          <w:sz w:val="24"/>
          <w:szCs w:val="24"/>
        </w:rPr>
      </w:pPr>
      <w:r w:rsidRPr="009200FF">
        <w:rPr>
          <w:b/>
          <w:color w:val="365F91" w:themeColor="accent1" w:themeShade="BF"/>
          <w:sz w:val="24"/>
          <w:szCs w:val="24"/>
        </w:rPr>
        <w:t xml:space="preserve">Land </w:t>
      </w:r>
      <w:r w:rsidR="00925516" w:rsidRPr="009200FF">
        <w:rPr>
          <w:b/>
          <w:color w:val="365F91" w:themeColor="accent1" w:themeShade="BF"/>
          <w:sz w:val="24"/>
          <w:szCs w:val="24"/>
        </w:rPr>
        <w:t>u</w:t>
      </w:r>
      <w:r w:rsidRPr="009200FF">
        <w:rPr>
          <w:b/>
          <w:color w:val="365F91" w:themeColor="accent1" w:themeShade="BF"/>
          <w:sz w:val="24"/>
          <w:szCs w:val="24"/>
        </w:rPr>
        <w:t xml:space="preserve">se </w:t>
      </w:r>
      <w:r w:rsidR="00925516" w:rsidRPr="009200FF">
        <w:rPr>
          <w:b/>
          <w:color w:val="365F91" w:themeColor="accent1" w:themeShade="BF"/>
          <w:sz w:val="24"/>
          <w:szCs w:val="24"/>
        </w:rPr>
        <w:t>p</w:t>
      </w:r>
      <w:r w:rsidRPr="009200FF">
        <w:rPr>
          <w:b/>
          <w:color w:val="365F91" w:themeColor="accent1" w:themeShade="BF"/>
          <w:sz w:val="24"/>
          <w:szCs w:val="24"/>
        </w:rPr>
        <w:t>lanning</w:t>
      </w:r>
      <w:r w:rsidR="00696927" w:rsidRPr="009200FF">
        <w:rPr>
          <w:b/>
          <w:color w:val="365F91" w:themeColor="accent1" w:themeShade="BF"/>
          <w:sz w:val="24"/>
          <w:szCs w:val="24"/>
        </w:rPr>
        <w:t xml:space="preserve"> </w:t>
      </w:r>
      <w:r w:rsidR="008D0682" w:rsidRPr="009200FF">
        <w:rPr>
          <w:b/>
          <w:color w:val="365F91" w:themeColor="accent1" w:themeShade="BF"/>
          <w:sz w:val="24"/>
          <w:szCs w:val="24"/>
        </w:rPr>
        <w:t>is key to ensure the best use</w:t>
      </w:r>
      <w:r w:rsidR="009F696D" w:rsidRPr="009200FF">
        <w:rPr>
          <w:b/>
          <w:color w:val="365F91" w:themeColor="accent1" w:themeShade="BF"/>
          <w:sz w:val="24"/>
          <w:szCs w:val="24"/>
        </w:rPr>
        <w:t xml:space="preserve"> of land </w:t>
      </w:r>
      <w:r w:rsidR="00696927" w:rsidRPr="009200FF">
        <w:rPr>
          <w:b/>
          <w:color w:val="365F91" w:themeColor="accent1" w:themeShade="BF"/>
          <w:sz w:val="24"/>
          <w:szCs w:val="24"/>
        </w:rPr>
        <w:t xml:space="preserve">for </w:t>
      </w:r>
      <w:r w:rsidR="009F696D" w:rsidRPr="009200FF">
        <w:rPr>
          <w:b/>
          <w:color w:val="365F91" w:themeColor="accent1" w:themeShade="BF"/>
          <w:sz w:val="24"/>
          <w:szCs w:val="24"/>
        </w:rPr>
        <w:t>t</w:t>
      </w:r>
      <w:r w:rsidR="00A43C86" w:rsidRPr="009200FF">
        <w:rPr>
          <w:b/>
          <w:color w:val="365F91" w:themeColor="accent1" w:themeShade="BF"/>
          <w:sz w:val="24"/>
          <w:szCs w:val="24"/>
        </w:rPr>
        <w:t xml:space="preserve">ourism </w:t>
      </w:r>
      <w:r w:rsidR="00696927" w:rsidRPr="009200FF">
        <w:rPr>
          <w:b/>
          <w:color w:val="365F91" w:themeColor="accent1" w:themeShade="BF"/>
          <w:sz w:val="24"/>
          <w:szCs w:val="24"/>
        </w:rPr>
        <w:t xml:space="preserve">and </w:t>
      </w:r>
      <w:r w:rsidR="009F696D" w:rsidRPr="009200FF">
        <w:rPr>
          <w:b/>
          <w:color w:val="365F91" w:themeColor="accent1" w:themeShade="BF"/>
          <w:sz w:val="24"/>
          <w:szCs w:val="24"/>
        </w:rPr>
        <w:t>a</w:t>
      </w:r>
      <w:r w:rsidR="00A43C86" w:rsidRPr="009200FF">
        <w:rPr>
          <w:b/>
          <w:color w:val="365F91" w:themeColor="accent1" w:themeShade="BF"/>
          <w:sz w:val="24"/>
          <w:szCs w:val="24"/>
        </w:rPr>
        <w:t xml:space="preserve">gricultural </w:t>
      </w:r>
      <w:r w:rsidR="009F696D" w:rsidRPr="009200FF">
        <w:rPr>
          <w:b/>
          <w:color w:val="365F91" w:themeColor="accent1" w:themeShade="BF"/>
          <w:sz w:val="24"/>
          <w:szCs w:val="24"/>
        </w:rPr>
        <w:t>d</w:t>
      </w:r>
      <w:r w:rsidR="00696927" w:rsidRPr="009200FF">
        <w:rPr>
          <w:b/>
          <w:color w:val="365F91" w:themeColor="accent1" w:themeShade="BF"/>
          <w:sz w:val="24"/>
          <w:szCs w:val="24"/>
        </w:rPr>
        <w:t>evelopment</w:t>
      </w:r>
      <w:r w:rsidR="009F696D" w:rsidRPr="009200FF">
        <w:rPr>
          <w:b/>
          <w:color w:val="365F91" w:themeColor="accent1" w:themeShade="BF"/>
          <w:sz w:val="24"/>
          <w:szCs w:val="24"/>
        </w:rPr>
        <w:t>.</w:t>
      </w:r>
    </w:p>
    <w:p w14:paraId="0AE0373F" w14:textId="77777777" w:rsidR="0012104C" w:rsidRPr="009200FF" w:rsidRDefault="00596CA7" w:rsidP="00F208D6">
      <w:pPr>
        <w:spacing w:after="120"/>
        <w:jc w:val="both"/>
      </w:pPr>
      <w:r w:rsidRPr="009200FF">
        <w:t>2</w:t>
      </w:r>
      <w:r w:rsidR="00942DFD" w:rsidRPr="009200FF">
        <w:t>2</w:t>
      </w:r>
      <w:r w:rsidR="003508BB" w:rsidRPr="009200FF">
        <w:rPr>
          <w:b/>
        </w:rPr>
        <w:t>.</w:t>
      </w:r>
      <w:r w:rsidR="003508BB" w:rsidRPr="009200FF">
        <w:rPr>
          <w:b/>
        </w:rPr>
        <w:tab/>
      </w:r>
      <w:r w:rsidR="00E57A6E" w:rsidRPr="009200FF">
        <w:rPr>
          <w:b/>
        </w:rPr>
        <w:t xml:space="preserve">Land administration institutions serve a central role in </w:t>
      </w:r>
      <w:r w:rsidR="00AF20A7" w:rsidRPr="009200FF">
        <w:rPr>
          <w:b/>
        </w:rPr>
        <w:t xml:space="preserve">promoting </w:t>
      </w:r>
      <w:r w:rsidR="00E57A6E" w:rsidRPr="009200FF">
        <w:rPr>
          <w:b/>
        </w:rPr>
        <w:t xml:space="preserve">sustainable land use </w:t>
      </w:r>
      <w:r w:rsidR="00D902CC" w:rsidRPr="009200FF">
        <w:rPr>
          <w:b/>
        </w:rPr>
        <w:t xml:space="preserve">planning </w:t>
      </w:r>
      <w:r w:rsidR="000A0F97" w:rsidRPr="009200FF">
        <w:rPr>
          <w:b/>
        </w:rPr>
        <w:t>for economic development</w:t>
      </w:r>
      <w:r w:rsidR="00E57A6E" w:rsidRPr="009200FF">
        <w:rPr>
          <w:b/>
        </w:rPr>
        <w:t xml:space="preserve">. </w:t>
      </w:r>
      <w:r w:rsidR="00E57A6E" w:rsidRPr="009200FF">
        <w:t xml:space="preserve"> </w:t>
      </w:r>
      <w:r w:rsidR="001240A3" w:rsidRPr="009200FF">
        <w:t xml:space="preserve">Land can be used for </w:t>
      </w:r>
      <w:r w:rsidR="00914C35" w:rsidRPr="009200FF">
        <w:t>a myriad of</w:t>
      </w:r>
      <w:r w:rsidR="001240A3" w:rsidRPr="009200FF">
        <w:t xml:space="preserve"> </w:t>
      </w:r>
      <w:r w:rsidR="00914C35" w:rsidRPr="009200FF">
        <w:t xml:space="preserve">economic </w:t>
      </w:r>
      <w:r w:rsidR="001240A3" w:rsidRPr="009200FF">
        <w:t>purposes</w:t>
      </w:r>
      <w:r w:rsidR="00914C35" w:rsidRPr="009200FF">
        <w:t xml:space="preserve"> ranging</w:t>
      </w:r>
      <w:r w:rsidR="001240A3" w:rsidRPr="009200FF">
        <w:t xml:space="preserve"> </w:t>
      </w:r>
      <w:r w:rsidR="00DE6E2F" w:rsidRPr="009200FF">
        <w:t xml:space="preserve">from </w:t>
      </w:r>
      <w:r w:rsidR="001240A3" w:rsidRPr="009200FF">
        <w:t xml:space="preserve">agriculture </w:t>
      </w:r>
      <w:r w:rsidR="00352B8E" w:rsidRPr="009200FF">
        <w:t>and</w:t>
      </w:r>
      <w:r w:rsidR="001240A3" w:rsidRPr="009200FF">
        <w:t xml:space="preserve"> </w:t>
      </w:r>
      <w:r w:rsidR="00F221C1" w:rsidRPr="009200FF">
        <w:t>environmental</w:t>
      </w:r>
      <w:r w:rsidR="001240A3" w:rsidRPr="009200FF">
        <w:t xml:space="preserve"> conservation,</w:t>
      </w:r>
      <w:r w:rsidR="00352B8E" w:rsidRPr="009200FF">
        <w:t xml:space="preserve"> to</w:t>
      </w:r>
      <w:r w:rsidR="001240A3" w:rsidRPr="009200FF">
        <w:t xml:space="preserve"> urban </w:t>
      </w:r>
      <w:r w:rsidR="00F221C1" w:rsidRPr="009200FF">
        <w:t xml:space="preserve">or </w:t>
      </w:r>
      <w:r w:rsidR="001240A3" w:rsidRPr="009200FF">
        <w:t xml:space="preserve">industrial </w:t>
      </w:r>
      <w:r w:rsidR="00275EF1" w:rsidRPr="009200FF">
        <w:t>sites</w:t>
      </w:r>
      <w:r w:rsidR="001240A3" w:rsidRPr="009200FF">
        <w:t xml:space="preserve">, </w:t>
      </w:r>
      <w:r w:rsidR="00D8008D" w:rsidRPr="009200FF">
        <w:t xml:space="preserve">and </w:t>
      </w:r>
      <w:r w:rsidR="001240A3" w:rsidRPr="009200FF">
        <w:t>tourism. A</w:t>
      </w:r>
      <w:r w:rsidR="00D902CC" w:rsidRPr="009200FF">
        <w:t>ssess</w:t>
      </w:r>
      <w:r w:rsidR="001240A3" w:rsidRPr="009200FF">
        <w:t>ing</w:t>
      </w:r>
      <w:r w:rsidR="00D902CC" w:rsidRPr="009200FF">
        <w:t xml:space="preserve"> </w:t>
      </w:r>
      <w:r w:rsidR="001240A3" w:rsidRPr="009200FF">
        <w:t xml:space="preserve">these </w:t>
      </w:r>
      <w:r w:rsidR="00F14A34" w:rsidRPr="009200FF">
        <w:t xml:space="preserve">different </w:t>
      </w:r>
      <w:r w:rsidR="00D902CC" w:rsidRPr="009200FF">
        <w:t xml:space="preserve">potential uses </w:t>
      </w:r>
      <w:r w:rsidR="001240A3" w:rsidRPr="009200FF">
        <w:t xml:space="preserve">and </w:t>
      </w:r>
      <w:r w:rsidR="00D902CC" w:rsidRPr="009200FF">
        <w:t>select</w:t>
      </w:r>
      <w:r w:rsidR="001240A3" w:rsidRPr="009200FF">
        <w:t>ing</w:t>
      </w:r>
      <w:r w:rsidR="00D902CC" w:rsidRPr="009200FF">
        <w:t xml:space="preserve"> those that will </w:t>
      </w:r>
      <w:r w:rsidR="00352B8E" w:rsidRPr="009200FF">
        <w:t xml:space="preserve">prove to be </w:t>
      </w:r>
      <w:r w:rsidR="007C3796" w:rsidRPr="009200FF">
        <w:t xml:space="preserve">the </w:t>
      </w:r>
      <w:r w:rsidR="001240A3" w:rsidRPr="009200FF">
        <w:t xml:space="preserve">most </w:t>
      </w:r>
      <w:r w:rsidR="00F66979" w:rsidRPr="009200FF">
        <w:t>socially</w:t>
      </w:r>
      <w:r w:rsidR="005864D3" w:rsidRPr="009200FF">
        <w:t xml:space="preserve"> and economically</w:t>
      </w:r>
      <w:r w:rsidR="00F66979" w:rsidRPr="009200FF">
        <w:t xml:space="preserve"> </w:t>
      </w:r>
      <w:r w:rsidR="001240A3" w:rsidRPr="009200FF">
        <w:t>productive</w:t>
      </w:r>
      <w:r w:rsidR="00946851" w:rsidRPr="009200FF">
        <w:t>,</w:t>
      </w:r>
      <w:r w:rsidR="00D902CC" w:rsidRPr="009200FF">
        <w:t xml:space="preserve"> while safeguarding </w:t>
      </w:r>
      <w:r w:rsidR="001B660C" w:rsidRPr="009200FF">
        <w:t xml:space="preserve">the resource for the </w:t>
      </w:r>
      <w:r w:rsidR="00F66979" w:rsidRPr="009200FF">
        <w:t>future</w:t>
      </w:r>
      <w:r w:rsidR="00F14A34" w:rsidRPr="009200FF">
        <w:t xml:space="preserve"> </w:t>
      </w:r>
      <w:r w:rsidR="001240A3" w:rsidRPr="009200FF">
        <w:t xml:space="preserve">is the essence of land use planning efforts. </w:t>
      </w:r>
      <w:r w:rsidR="005864D3" w:rsidRPr="009200FF">
        <w:t xml:space="preserve">This </w:t>
      </w:r>
      <w:r w:rsidR="00D74376" w:rsidRPr="009200FF">
        <w:t>sub</w:t>
      </w:r>
      <w:r w:rsidR="005864D3" w:rsidRPr="009200FF">
        <w:t xml:space="preserve">section reviews the importance of land governance systems for sustainable land use by the tourism </w:t>
      </w:r>
      <w:r w:rsidR="00E26572" w:rsidRPr="009200FF">
        <w:t xml:space="preserve">and agricultural </w:t>
      </w:r>
      <w:r w:rsidR="005864D3" w:rsidRPr="009200FF">
        <w:t>sector</w:t>
      </w:r>
      <w:r w:rsidR="00E26572" w:rsidRPr="009200FF">
        <w:t>s</w:t>
      </w:r>
      <w:r w:rsidR="005864D3" w:rsidRPr="009200FF">
        <w:t>.</w:t>
      </w:r>
      <w:r w:rsidR="00C31F82" w:rsidRPr="009200FF">
        <w:t xml:space="preserve"> </w:t>
      </w:r>
    </w:p>
    <w:p w14:paraId="56B43025" w14:textId="77777777" w:rsidR="005864D3" w:rsidRPr="009200FF" w:rsidRDefault="0012104C" w:rsidP="00F208D6">
      <w:pPr>
        <w:spacing w:after="120"/>
        <w:jc w:val="both"/>
        <w:rPr>
          <w:sz w:val="20"/>
          <w:szCs w:val="20"/>
        </w:rPr>
      </w:pPr>
      <w:r w:rsidRPr="009200FF">
        <w:t xml:space="preserve"> </w:t>
      </w:r>
      <w:r w:rsidR="00596CA7" w:rsidRPr="009200FF">
        <w:t>2</w:t>
      </w:r>
      <w:r w:rsidR="00942DFD" w:rsidRPr="009200FF">
        <w:t>3</w:t>
      </w:r>
      <w:r w:rsidR="003508BB" w:rsidRPr="009200FF">
        <w:rPr>
          <w:b/>
        </w:rPr>
        <w:t>.</w:t>
      </w:r>
      <w:r w:rsidR="003508BB" w:rsidRPr="009200FF">
        <w:rPr>
          <w:b/>
        </w:rPr>
        <w:tab/>
      </w:r>
      <w:r w:rsidR="005864D3" w:rsidRPr="009200FF">
        <w:rPr>
          <w:b/>
        </w:rPr>
        <w:t>Access to land is a primary requirement for tourism development.</w:t>
      </w:r>
      <w:r w:rsidR="005864D3" w:rsidRPr="009200FF">
        <w:t xml:space="preserve"> </w:t>
      </w:r>
      <w:r w:rsidR="003421BC" w:rsidRPr="009200FF">
        <w:t>In a country with a limited size such as ST</w:t>
      </w:r>
      <w:r w:rsidR="007F7FB4" w:rsidRPr="009200FF">
        <w:t>P</w:t>
      </w:r>
      <w:r w:rsidR="003421BC" w:rsidRPr="009200FF">
        <w:t xml:space="preserve">, a </w:t>
      </w:r>
      <w:r w:rsidR="005864D3" w:rsidRPr="009200FF">
        <w:t xml:space="preserve">boost in the tourism sector </w:t>
      </w:r>
      <w:r w:rsidR="00A040B5" w:rsidRPr="009200FF">
        <w:t>can</w:t>
      </w:r>
      <w:r w:rsidR="005864D3" w:rsidRPr="009200FF">
        <w:t xml:space="preserve"> place great pressure on traditional landownership</w:t>
      </w:r>
      <w:r w:rsidR="003421BC" w:rsidRPr="009200FF">
        <w:t>.</w:t>
      </w:r>
      <w:r w:rsidR="005864D3" w:rsidRPr="009200FF">
        <w:t xml:space="preserve"> </w:t>
      </w:r>
      <w:r w:rsidR="003421BC" w:rsidRPr="009200FF">
        <w:t>T</w:t>
      </w:r>
      <w:r w:rsidR="005864D3" w:rsidRPr="009200FF">
        <w:t>herefore</w:t>
      </w:r>
      <w:r w:rsidR="003421BC" w:rsidRPr="009200FF">
        <w:t>,</w:t>
      </w:r>
      <w:r w:rsidR="005864D3" w:rsidRPr="009200FF">
        <w:t xml:space="preserve"> the need to improve security of rights through a proper land management system </w:t>
      </w:r>
      <w:r w:rsidR="003421BC" w:rsidRPr="009200FF">
        <w:t>is key</w:t>
      </w:r>
      <w:r w:rsidR="005864D3" w:rsidRPr="009200FF">
        <w:t xml:space="preserve">. A functioning land information system </w:t>
      </w:r>
      <w:r w:rsidR="00F850A0" w:rsidRPr="009200FF">
        <w:t>is</w:t>
      </w:r>
      <w:r w:rsidR="00387F19" w:rsidRPr="009200FF">
        <w:t xml:space="preserve"> also</w:t>
      </w:r>
      <w:r w:rsidR="005864D3" w:rsidRPr="009200FF">
        <w:t xml:space="preserve"> essential for the development of tourism infrastructure and facilities, as well as for associated businesses and services. </w:t>
      </w:r>
      <w:r w:rsidR="002B5F60" w:rsidRPr="009200FF">
        <w:t>In turn</w:t>
      </w:r>
      <w:r w:rsidR="005864D3" w:rsidRPr="009200FF">
        <w:t>, foreign investment</w:t>
      </w:r>
      <w:r w:rsidR="002B5F60" w:rsidRPr="009200FF">
        <w:t>s</w:t>
      </w:r>
      <w:r w:rsidR="005864D3" w:rsidRPr="009200FF">
        <w:t xml:space="preserve"> in tourism ventures will be greatly dependen</w:t>
      </w:r>
      <w:r w:rsidR="00CD67E2" w:rsidRPr="009200FF">
        <w:t>t upon the availability of land-</w:t>
      </w:r>
      <w:r w:rsidR="005864D3" w:rsidRPr="009200FF">
        <w:t>related information, the existence of a functioning land market, and the possibility of land to be</w:t>
      </w:r>
      <w:r w:rsidR="006C2EA2" w:rsidRPr="009200FF">
        <w:t xml:space="preserve"> used as collateral. </w:t>
      </w:r>
    </w:p>
    <w:p w14:paraId="59A7E77D" w14:textId="216EF60E" w:rsidR="005864D3" w:rsidRPr="009200FF" w:rsidRDefault="00596CA7" w:rsidP="00F208D6">
      <w:pPr>
        <w:spacing w:after="120"/>
        <w:jc w:val="both"/>
      </w:pPr>
      <w:r w:rsidRPr="009200FF">
        <w:t>2</w:t>
      </w:r>
      <w:r w:rsidR="00942DFD" w:rsidRPr="009200FF">
        <w:t>4</w:t>
      </w:r>
      <w:r w:rsidR="005864D3" w:rsidRPr="009200FF">
        <w:rPr>
          <w:b/>
        </w:rPr>
        <w:t xml:space="preserve">. </w:t>
      </w:r>
      <w:r w:rsidR="005864D3" w:rsidRPr="009200FF">
        <w:rPr>
          <w:b/>
        </w:rPr>
        <w:tab/>
        <w:t>The development of the tourism sector in a small island country as STP is likely to increase the demand for</w:t>
      </w:r>
      <w:r w:rsidR="007F2B8D" w:rsidRPr="009200FF">
        <w:rPr>
          <w:b/>
        </w:rPr>
        <w:t xml:space="preserve"> land</w:t>
      </w:r>
      <w:r w:rsidR="005864D3" w:rsidRPr="009200FF">
        <w:t>. In such a context, formal and enforceable land rights become a central element of any development initiative. Information produced by land information systems will not only allow government agencies to protect the property of its citizens f</w:t>
      </w:r>
      <w:r w:rsidR="00A46818" w:rsidRPr="009200FF">
        <w:t>ro</w:t>
      </w:r>
      <w:r w:rsidR="005864D3" w:rsidRPr="009200FF">
        <w:t xml:space="preserve">m potential seizures, as it would be clear who owns what </w:t>
      </w:r>
      <w:r w:rsidR="00A46818" w:rsidRPr="009200FF">
        <w:t xml:space="preserve">and </w:t>
      </w:r>
      <w:r w:rsidR="005864D3" w:rsidRPr="009200FF">
        <w:t xml:space="preserve">where, but to accurately establish an inventory of the different potential uses of land in order to avoid </w:t>
      </w:r>
      <w:r w:rsidR="00F850A0" w:rsidRPr="009200FF">
        <w:t xml:space="preserve">land </w:t>
      </w:r>
      <w:r w:rsidR="005864D3" w:rsidRPr="009200FF">
        <w:t>use-related conflicts</w:t>
      </w:r>
      <w:r w:rsidR="005864D3" w:rsidRPr="009200FF">
        <w:rPr>
          <w:rStyle w:val="FootnoteReference"/>
        </w:rPr>
        <w:footnoteReference w:id="17"/>
      </w:r>
      <w:r w:rsidR="005864D3" w:rsidRPr="009200FF">
        <w:t>.</w:t>
      </w:r>
    </w:p>
    <w:p w14:paraId="19687D68" w14:textId="77777777" w:rsidR="005864D3" w:rsidRPr="009200FF" w:rsidRDefault="00596CA7" w:rsidP="00F208D6">
      <w:pPr>
        <w:spacing w:after="120"/>
        <w:jc w:val="both"/>
      </w:pPr>
      <w:r w:rsidRPr="009200FF">
        <w:t>2</w:t>
      </w:r>
      <w:r w:rsidR="00942DFD" w:rsidRPr="009200FF">
        <w:t>5</w:t>
      </w:r>
      <w:r w:rsidR="005864D3" w:rsidRPr="009200FF">
        <w:t>.</w:t>
      </w:r>
      <w:r w:rsidR="005864D3" w:rsidRPr="009200FF">
        <w:rPr>
          <w:b/>
        </w:rPr>
        <w:tab/>
        <w:t xml:space="preserve">Building, renewing or expanding infrastructure for tourism promotion will be more efficient and effective if supported </w:t>
      </w:r>
      <w:r w:rsidR="006C2EA2" w:rsidRPr="009200FF">
        <w:rPr>
          <w:b/>
        </w:rPr>
        <w:t xml:space="preserve">by </w:t>
      </w:r>
      <w:r w:rsidR="005864D3" w:rsidRPr="009200FF">
        <w:rPr>
          <w:b/>
        </w:rPr>
        <w:t>accurate land information</w:t>
      </w:r>
      <w:r w:rsidR="005864D3" w:rsidRPr="009200FF">
        <w:t xml:space="preserve">. </w:t>
      </w:r>
      <w:r w:rsidR="006C2EA2" w:rsidRPr="009200FF">
        <w:t xml:space="preserve">Updated cadastre systems are </w:t>
      </w:r>
      <w:r w:rsidR="005864D3" w:rsidRPr="009200FF">
        <w:t>the source of information about the geographical location of land and its attributes</w:t>
      </w:r>
      <w:r w:rsidR="006C2EA2" w:rsidRPr="009200FF">
        <w:t>.</w:t>
      </w:r>
      <w:r w:rsidR="005864D3" w:rsidRPr="009200FF">
        <w:t xml:space="preserve"> , </w:t>
      </w:r>
      <w:r w:rsidR="006C2EA2" w:rsidRPr="009200FF">
        <w:t>F</w:t>
      </w:r>
      <w:r w:rsidR="005864D3" w:rsidRPr="009200FF">
        <w:t xml:space="preserve">or example, </w:t>
      </w:r>
      <w:r w:rsidR="00CD67E2" w:rsidRPr="009200FF">
        <w:t>cadasters</w:t>
      </w:r>
      <w:r w:rsidR="006C2EA2" w:rsidRPr="009200FF">
        <w:t xml:space="preserve"> are needed </w:t>
      </w:r>
      <w:r w:rsidR="005864D3" w:rsidRPr="009200FF">
        <w:t xml:space="preserve">for estimating demand for services and </w:t>
      </w:r>
      <w:r w:rsidR="006C2EA2" w:rsidRPr="009200FF">
        <w:t xml:space="preserve">necessary </w:t>
      </w:r>
      <w:r w:rsidR="005864D3" w:rsidRPr="009200FF">
        <w:t xml:space="preserve">infrastructure </w:t>
      </w:r>
      <w:r w:rsidR="00663280" w:rsidRPr="009200FF">
        <w:t>(</w:t>
      </w:r>
      <w:r w:rsidR="006C2EA2" w:rsidRPr="009200FF">
        <w:t xml:space="preserve">e.g. </w:t>
      </w:r>
      <w:r w:rsidR="00036325" w:rsidRPr="009200FF">
        <w:t xml:space="preserve">facilities, </w:t>
      </w:r>
      <w:r w:rsidR="00663280" w:rsidRPr="009200FF">
        <w:t xml:space="preserve">roads, water, sewerage, </w:t>
      </w:r>
      <w:r w:rsidR="00036325" w:rsidRPr="009200FF">
        <w:t>electricity, Internet</w:t>
      </w:r>
      <w:r w:rsidR="00663280" w:rsidRPr="009200FF">
        <w:t xml:space="preserve">, </w:t>
      </w:r>
      <w:r w:rsidR="00036325" w:rsidRPr="009200FF">
        <w:t>tele</w:t>
      </w:r>
      <w:r w:rsidR="00663280" w:rsidRPr="009200FF">
        <w:t>phone</w:t>
      </w:r>
      <w:r w:rsidR="00036325" w:rsidRPr="009200FF">
        <w:t>, etc.)</w:t>
      </w:r>
      <w:r w:rsidR="006C2EA2" w:rsidRPr="009200FF">
        <w:t xml:space="preserve"> in a particular region</w:t>
      </w:r>
      <w:r w:rsidR="005864D3" w:rsidRPr="009200FF">
        <w:t xml:space="preserve">. This information is also valuable </w:t>
      </w:r>
      <w:r w:rsidR="006C2EA2" w:rsidRPr="009200FF">
        <w:t xml:space="preserve">for </w:t>
      </w:r>
      <w:r w:rsidR="005864D3" w:rsidRPr="009200FF">
        <w:t>prioritiz</w:t>
      </w:r>
      <w:r w:rsidR="006C2EA2" w:rsidRPr="009200FF">
        <w:t>ing public expenditure.</w:t>
      </w:r>
    </w:p>
    <w:p w14:paraId="589FADD6" w14:textId="77777777" w:rsidR="005864D3" w:rsidRPr="009200FF" w:rsidRDefault="00942DFD" w:rsidP="00F208D6">
      <w:pPr>
        <w:spacing w:after="120"/>
        <w:jc w:val="both"/>
      </w:pPr>
      <w:r w:rsidRPr="009200FF">
        <w:lastRenderedPageBreak/>
        <w:t>26</w:t>
      </w:r>
      <w:r w:rsidR="005864D3" w:rsidRPr="009200FF">
        <w:t>.</w:t>
      </w:r>
      <w:r w:rsidR="005864D3" w:rsidRPr="009200FF">
        <w:rPr>
          <w:b/>
        </w:rPr>
        <w:t xml:space="preserve"> </w:t>
      </w:r>
      <w:r w:rsidR="00060B82" w:rsidRPr="009200FF">
        <w:rPr>
          <w:b/>
        </w:rPr>
        <w:tab/>
      </w:r>
      <w:r w:rsidR="00A43C86" w:rsidRPr="009200FF">
        <w:rPr>
          <w:b/>
        </w:rPr>
        <w:t>L</w:t>
      </w:r>
      <w:r w:rsidR="00BD2F1C" w:rsidRPr="009200FF">
        <w:rPr>
          <w:b/>
        </w:rPr>
        <w:t>and use planning is fundamental for environmental protection and therefore essential for the development of sustainable tourism</w:t>
      </w:r>
      <w:r w:rsidR="006C2EA2" w:rsidRPr="009200FF">
        <w:rPr>
          <w:b/>
        </w:rPr>
        <w:t xml:space="preserve">. </w:t>
      </w:r>
      <w:r w:rsidR="004D685F" w:rsidRPr="009200FF">
        <w:t>In essence, e</w:t>
      </w:r>
      <w:r w:rsidR="00A43C86" w:rsidRPr="009200FF">
        <w:t>nvironmentally conscious</w:t>
      </w:r>
      <w:r w:rsidR="00A43C86" w:rsidRPr="009200FF">
        <w:rPr>
          <w:b/>
        </w:rPr>
        <w:t xml:space="preserve"> </w:t>
      </w:r>
      <w:r w:rsidR="00A43C86" w:rsidRPr="009200FF">
        <w:t xml:space="preserve">land use planning </w:t>
      </w:r>
      <w:r w:rsidR="00F243D9" w:rsidRPr="009200FF">
        <w:t>allow</w:t>
      </w:r>
      <w:r w:rsidR="004D685F" w:rsidRPr="009200FF">
        <w:t>s</w:t>
      </w:r>
      <w:r w:rsidR="00F243D9" w:rsidRPr="009200FF">
        <w:t xml:space="preserve"> for the </w:t>
      </w:r>
      <w:r w:rsidR="004D685F" w:rsidRPr="009200FF">
        <w:t>e</w:t>
      </w:r>
      <w:r w:rsidR="00F243D9" w:rsidRPr="009200FF">
        <w:t xml:space="preserve">xtraction of financial </w:t>
      </w:r>
      <w:r w:rsidR="006C2EA2" w:rsidRPr="009200FF">
        <w:t>gains</w:t>
      </w:r>
      <w:r w:rsidR="004D685F" w:rsidRPr="009200FF">
        <w:t>,</w:t>
      </w:r>
      <w:r w:rsidR="00F243D9" w:rsidRPr="009200FF">
        <w:t xml:space="preserve"> while</w:t>
      </w:r>
      <w:r w:rsidR="00B36D6B" w:rsidRPr="009200FF">
        <w:t xml:space="preserve"> safeguarding the integrity of</w:t>
      </w:r>
      <w:r w:rsidR="006C2EA2" w:rsidRPr="009200FF">
        <w:t xml:space="preserve"> </w:t>
      </w:r>
      <w:r w:rsidR="00B36D6B" w:rsidRPr="009200FF">
        <w:t xml:space="preserve">areas of high </w:t>
      </w:r>
      <w:r w:rsidR="004450CB" w:rsidRPr="009200FF">
        <w:t xml:space="preserve">environmental </w:t>
      </w:r>
      <w:r w:rsidR="00B36D6B" w:rsidRPr="009200FF">
        <w:t>value</w:t>
      </w:r>
      <w:r w:rsidR="00060B82" w:rsidRPr="009200FF">
        <w:t xml:space="preserve">. </w:t>
      </w:r>
      <w:r w:rsidR="004D685F" w:rsidRPr="009200FF">
        <w:t>Land planning is considered as “t</w:t>
      </w:r>
      <w:r w:rsidR="00060B82" w:rsidRPr="009200FF">
        <w:t>he single most effective measure to protect biodiversity within a tourist destination</w:t>
      </w:r>
      <w:r w:rsidR="004D685F" w:rsidRPr="009200FF">
        <w:t>,”</w:t>
      </w:r>
      <w:r w:rsidR="00060B82" w:rsidRPr="009200FF">
        <w:t xml:space="preserve"> </w:t>
      </w:r>
      <w:r w:rsidR="004D685F" w:rsidRPr="009200FF">
        <w:t xml:space="preserve">as it allows the </w:t>
      </w:r>
      <w:r w:rsidR="00060B82" w:rsidRPr="009200FF">
        <w:t xml:space="preserve">zoning of land to </w:t>
      </w:r>
      <w:r w:rsidR="004D685F" w:rsidRPr="009200FF">
        <w:t xml:space="preserve">be </w:t>
      </w:r>
      <w:r w:rsidR="00060B82" w:rsidRPr="009200FF">
        <w:t>designate</w:t>
      </w:r>
      <w:r w:rsidR="004D685F" w:rsidRPr="009200FF">
        <w:t>d</w:t>
      </w:r>
      <w:r w:rsidR="00060B82" w:rsidRPr="009200FF">
        <w:t xml:space="preserve"> </w:t>
      </w:r>
      <w:r w:rsidR="004D685F" w:rsidRPr="009200FF">
        <w:t xml:space="preserve">as </w:t>
      </w:r>
      <w:r w:rsidR="00060B82" w:rsidRPr="009200FF">
        <w:t xml:space="preserve">protected areas and </w:t>
      </w:r>
      <w:r w:rsidR="004D685F" w:rsidRPr="009200FF">
        <w:t>therefore “</w:t>
      </w:r>
      <w:r w:rsidR="00060B82" w:rsidRPr="009200FF">
        <w:t>regulate the location, intensity and type of tourism development in accordance with ecological carrying capacities.</w:t>
      </w:r>
      <w:r w:rsidR="00B33169" w:rsidRPr="009200FF">
        <w:t>”</w:t>
      </w:r>
      <w:r w:rsidR="00B33169" w:rsidRPr="009200FF">
        <w:rPr>
          <w:rStyle w:val="FootnoteReference"/>
        </w:rPr>
        <w:footnoteReference w:id="18"/>
      </w:r>
      <w:r w:rsidR="00D71AF1" w:rsidRPr="009200FF">
        <w:rPr>
          <w:b/>
        </w:rPr>
        <w:tab/>
      </w:r>
      <w:r w:rsidR="009222C6" w:rsidRPr="009200FF">
        <w:t>Given the vitality of ecosystems and their corresponding</w:t>
      </w:r>
      <w:r w:rsidR="009222C6" w:rsidRPr="009200FF">
        <w:rPr>
          <w:b/>
        </w:rPr>
        <w:t xml:space="preserve"> </w:t>
      </w:r>
      <w:r w:rsidR="009222C6" w:rsidRPr="009200FF">
        <w:t>continuous transformation, t</w:t>
      </w:r>
      <w:r w:rsidR="004D685F" w:rsidRPr="009200FF">
        <w:t>o be most effective land planning should be implemented continuously and from an early stage of destination development</w:t>
      </w:r>
      <w:r w:rsidR="009222C6" w:rsidRPr="009200FF">
        <w:t>.</w:t>
      </w:r>
    </w:p>
    <w:p w14:paraId="00DCC748" w14:textId="77777777" w:rsidR="00E26572" w:rsidRPr="009200FF" w:rsidRDefault="00942DFD" w:rsidP="00F208D6">
      <w:pPr>
        <w:spacing w:after="120"/>
        <w:jc w:val="both"/>
      </w:pPr>
      <w:r w:rsidRPr="009200FF">
        <w:t>27</w:t>
      </w:r>
      <w:r w:rsidR="00E26572" w:rsidRPr="009200FF">
        <w:t>.</w:t>
      </w:r>
      <w:r w:rsidR="00E26572" w:rsidRPr="009200FF">
        <w:tab/>
      </w:r>
      <w:r w:rsidR="009222C6" w:rsidRPr="009200FF">
        <w:rPr>
          <w:b/>
        </w:rPr>
        <w:t>On its part, l</w:t>
      </w:r>
      <w:r w:rsidR="00E26572" w:rsidRPr="009200FF">
        <w:rPr>
          <w:b/>
        </w:rPr>
        <w:t xml:space="preserve">and use planning </w:t>
      </w:r>
      <w:r w:rsidR="00F243D9" w:rsidRPr="009200FF">
        <w:rPr>
          <w:b/>
        </w:rPr>
        <w:t>in agriculture permits a more productive use of the resource</w:t>
      </w:r>
      <w:r w:rsidR="00B45A35" w:rsidRPr="009200FF">
        <w:rPr>
          <w:b/>
        </w:rPr>
        <w:t>,</w:t>
      </w:r>
      <w:r w:rsidR="00F243D9" w:rsidRPr="009200FF">
        <w:rPr>
          <w:b/>
        </w:rPr>
        <w:t xml:space="preserve"> while safeguarding its fertility for </w:t>
      </w:r>
      <w:r w:rsidR="00643AED" w:rsidRPr="009200FF">
        <w:rPr>
          <w:b/>
        </w:rPr>
        <w:t>future</w:t>
      </w:r>
      <w:r w:rsidR="009441B3" w:rsidRPr="009200FF">
        <w:rPr>
          <w:b/>
        </w:rPr>
        <w:t xml:space="preserve"> </w:t>
      </w:r>
      <w:r w:rsidR="00F243D9" w:rsidRPr="009200FF">
        <w:rPr>
          <w:b/>
        </w:rPr>
        <w:t>generations.</w:t>
      </w:r>
      <w:r w:rsidR="00540180" w:rsidRPr="009200FF">
        <w:t xml:space="preserve"> </w:t>
      </w:r>
      <w:r w:rsidR="009222C6" w:rsidRPr="009200FF">
        <w:t>In agricultural contexts, l</w:t>
      </w:r>
      <w:r w:rsidR="00717C43" w:rsidRPr="009200FF">
        <w:t>and use planning is correlated to higher levels of productivity</w:t>
      </w:r>
      <w:r w:rsidR="004450CB" w:rsidRPr="009200FF">
        <w:t xml:space="preserve">. </w:t>
      </w:r>
      <w:r w:rsidR="00717C43" w:rsidRPr="009200FF">
        <w:t xml:space="preserve"> </w:t>
      </w:r>
      <w:r w:rsidR="00CD67E2" w:rsidRPr="009200FF">
        <w:t>Causal mechanisms explaining such relationship include</w:t>
      </w:r>
      <w:r w:rsidR="004450CB" w:rsidRPr="009200FF">
        <w:t>:</w:t>
      </w:r>
      <w:r w:rsidR="00717C43" w:rsidRPr="009200FF">
        <w:t xml:space="preserve"> the identification and selection</w:t>
      </w:r>
      <w:r w:rsidR="00696927" w:rsidRPr="009200FF">
        <w:t xml:space="preserve"> </w:t>
      </w:r>
      <w:r w:rsidR="004450CB" w:rsidRPr="009200FF">
        <w:t xml:space="preserve">of </w:t>
      </w:r>
      <w:r w:rsidR="00696927" w:rsidRPr="009200FF">
        <w:t xml:space="preserve">the most efficient use </w:t>
      </w:r>
      <w:r w:rsidR="00717C43" w:rsidRPr="009200FF">
        <w:t xml:space="preserve">of land </w:t>
      </w:r>
      <w:r w:rsidR="00696927" w:rsidRPr="009200FF">
        <w:t xml:space="preserve">depending on the types of soil, </w:t>
      </w:r>
      <w:r w:rsidR="00CD67E2" w:rsidRPr="009200FF">
        <w:t>decisions</w:t>
      </w:r>
      <w:r w:rsidR="00717C43" w:rsidRPr="009200FF">
        <w:t xml:space="preserve"> on </w:t>
      </w:r>
      <w:r w:rsidR="00696927" w:rsidRPr="009200FF">
        <w:t xml:space="preserve">the most efficient use of the resource in terms of models of agriculture, </w:t>
      </w:r>
      <w:r w:rsidR="00CD67E2" w:rsidRPr="009200FF">
        <w:t>the improvement of</w:t>
      </w:r>
      <w:r w:rsidR="004450CB" w:rsidRPr="009200FF">
        <w:t xml:space="preserve"> </w:t>
      </w:r>
      <w:r w:rsidR="00717C43" w:rsidRPr="009200FF">
        <w:t xml:space="preserve">fiscal </w:t>
      </w:r>
      <w:r w:rsidR="00A41C3F" w:rsidRPr="009200FF">
        <w:t>efficiency</w:t>
      </w:r>
      <w:r w:rsidR="00717C43" w:rsidRPr="009200FF">
        <w:t xml:space="preserve">, </w:t>
      </w:r>
      <w:r w:rsidR="00696927" w:rsidRPr="009200FF">
        <w:t xml:space="preserve">and </w:t>
      </w:r>
      <w:r w:rsidR="00A41C3F" w:rsidRPr="009200FF">
        <w:t xml:space="preserve">the </w:t>
      </w:r>
      <w:r w:rsidR="00717C43" w:rsidRPr="009200FF">
        <w:t>promot</w:t>
      </w:r>
      <w:r w:rsidR="00A41C3F" w:rsidRPr="009200FF">
        <w:t>ion of sustainable uses of land that will guarantee its productivity through time and mitigate the effects of climate change.</w:t>
      </w:r>
      <w:r w:rsidR="00717C43" w:rsidRPr="009200FF">
        <w:t xml:space="preserve"> </w:t>
      </w:r>
      <w:r w:rsidR="00696927" w:rsidRPr="009200FF">
        <w:t xml:space="preserve"> </w:t>
      </w:r>
      <w:r w:rsidR="00643AED" w:rsidRPr="009200FF">
        <w:t xml:space="preserve"> </w:t>
      </w:r>
    </w:p>
    <w:p w14:paraId="30D5D525" w14:textId="77777777" w:rsidR="001B1121" w:rsidRPr="009200FF" w:rsidRDefault="00942DFD" w:rsidP="00F208D6">
      <w:pPr>
        <w:spacing w:after="120"/>
        <w:jc w:val="both"/>
      </w:pPr>
      <w:r w:rsidRPr="009200FF">
        <w:t>28</w:t>
      </w:r>
      <w:r w:rsidR="001B1121" w:rsidRPr="009200FF">
        <w:t xml:space="preserve">. </w:t>
      </w:r>
      <w:r w:rsidR="001B1121" w:rsidRPr="009200FF">
        <w:tab/>
      </w:r>
      <w:r w:rsidR="00540180" w:rsidRPr="009200FF">
        <w:rPr>
          <w:b/>
        </w:rPr>
        <w:t>Rates of production by hectare increase when the appropriate combination of economic activity and soil potential is selected.</w:t>
      </w:r>
      <w:r w:rsidR="00540180" w:rsidRPr="009200FF">
        <w:t xml:space="preserve">  One of the attributes on land </w:t>
      </w:r>
      <w:r w:rsidR="00F43803" w:rsidRPr="009200FF">
        <w:t xml:space="preserve">surveyed </w:t>
      </w:r>
      <w:r w:rsidR="00540180" w:rsidRPr="009200FF">
        <w:t xml:space="preserve">by land information systems is the quality of </w:t>
      </w:r>
      <w:r w:rsidR="00E2733C" w:rsidRPr="009200FF">
        <w:t xml:space="preserve">the </w:t>
      </w:r>
      <w:r w:rsidR="00540180" w:rsidRPr="009200FF">
        <w:t>soil, which should determine the most efficient type of exploitation (crops, pastures, livestock</w:t>
      </w:r>
      <w:r w:rsidR="008104F4" w:rsidRPr="009200FF">
        <w:t>, etc.</w:t>
      </w:r>
      <w:r w:rsidR="00540180" w:rsidRPr="009200FF">
        <w:t>)</w:t>
      </w:r>
      <w:r w:rsidR="008104F4" w:rsidRPr="009200FF">
        <w:t xml:space="preserve"> to be pursued. The type </w:t>
      </w:r>
      <w:r w:rsidR="009E6DDC" w:rsidRPr="009200FF">
        <w:t xml:space="preserve">of </w:t>
      </w:r>
      <w:r w:rsidR="008104F4" w:rsidRPr="009200FF">
        <w:t xml:space="preserve">soil and the degree of fertility also determine the type of crops that will produce </w:t>
      </w:r>
      <w:r w:rsidR="00E2733C" w:rsidRPr="009200FF">
        <w:t xml:space="preserve">higher </w:t>
      </w:r>
      <w:r w:rsidR="008104F4" w:rsidRPr="009200FF">
        <w:t>yield</w:t>
      </w:r>
      <w:r w:rsidR="009E6DDC" w:rsidRPr="009200FF">
        <w:t>s</w:t>
      </w:r>
      <w:r w:rsidR="008104F4" w:rsidRPr="009200FF">
        <w:t xml:space="preserve"> by hectare. By analyzing this information</w:t>
      </w:r>
      <w:r w:rsidR="00233702" w:rsidRPr="009200FF">
        <w:t>,</w:t>
      </w:r>
      <w:r w:rsidR="008104F4" w:rsidRPr="009200FF">
        <w:t xml:space="preserve"> governments have the possibility to establish zoning policies to improve agricultural productivity and to protect the soil from </w:t>
      </w:r>
      <w:r w:rsidR="00FE3022" w:rsidRPr="009200FF">
        <w:t>detrimental</w:t>
      </w:r>
      <w:r w:rsidR="008104F4" w:rsidRPr="009200FF">
        <w:t xml:space="preserve"> uses</w:t>
      </w:r>
      <w:r w:rsidR="00FE3022" w:rsidRPr="009200FF">
        <w:t>.</w:t>
      </w:r>
      <w:r w:rsidR="008104F4" w:rsidRPr="009200FF">
        <w:t xml:space="preserve">  </w:t>
      </w:r>
      <w:r w:rsidR="00540180" w:rsidRPr="009200FF">
        <w:t xml:space="preserve"> </w:t>
      </w:r>
    </w:p>
    <w:p w14:paraId="165ECAEE" w14:textId="77777777" w:rsidR="000F24CA" w:rsidRPr="009200FF" w:rsidRDefault="0066527E" w:rsidP="00F208D6">
      <w:pPr>
        <w:spacing w:after="120"/>
        <w:jc w:val="both"/>
      </w:pPr>
      <w:r w:rsidRPr="009200FF">
        <w:t>2</w:t>
      </w:r>
      <w:r w:rsidR="00942DFD" w:rsidRPr="009200FF">
        <w:t>9</w:t>
      </w:r>
      <w:r w:rsidR="00FE3022" w:rsidRPr="009200FF">
        <w:t xml:space="preserve">. </w:t>
      </w:r>
      <w:r w:rsidR="00FE3022" w:rsidRPr="009200FF">
        <w:tab/>
      </w:r>
      <w:r w:rsidR="00FE3022" w:rsidRPr="009200FF">
        <w:rPr>
          <w:b/>
        </w:rPr>
        <w:t>Land information systems are the base for the design of national agricultural models.</w:t>
      </w:r>
      <w:r w:rsidR="00FE3022" w:rsidRPr="009200FF">
        <w:t xml:space="preserve">  Having an updated inventory of land </w:t>
      </w:r>
      <w:r w:rsidR="00C74376" w:rsidRPr="009200FF">
        <w:t xml:space="preserve">along with information about its productive potential, governments can also establish zoning policies to define the country’s agricultural production structure. </w:t>
      </w:r>
      <w:r w:rsidR="009E6DDC" w:rsidRPr="009200FF">
        <w:t>For example,</w:t>
      </w:r>
      <w:r w:rsidR="00C74376" w:rsidRPr="009200FF">
        <w:t xml:space="preserve"> national and local administration can decide on how much land </w:t>
      </w:r>
      <w:r w:rsidR="009E6DDC" w:rsidRPr="009200FF">
        <w:t xml:space="preserve">should be destined to </w:t>
      </w:r>
      <w:r w:rsidR="00C74376" w:rsidRPr="009200FF">
        <w:t xml:space="preserve">family agriculture production and how much for agribusiness initiatives. </w:t>
      </w:r>
    </w:p>
    <w:p w14:paraId="4D9BCD50" w14:textId="77777777" w:rsidR="00C74376" w:rsidRPr="009200FF" w:rsidRDefault="00942DFD" w:rsidP="00F208D6">
      <w:pPr>
        <w:spacing w:after="120"/>
        <w:jc w:val="both"/>
      </w:pPr>
      <w:r w:rsidRPr="009200FF">
        <w:t>30</w:t>
      </w:r>
      <w:r w:rsidR="000F24CA" w:rsidRPr="009200FF">
        <w:t xml:space="preserve">. </w:t>
      </w:r>
      <w:r w:rsidR="000F24CA" w:rsidRPr="009200FF">
        <w:tab/>
      </w:r>
      <w:r w:rsidR="00235E44" w:rsidRPr="009200FF">
        <w:rPr>
          <w:b/>
        </w:rPr>
        <w:t>Agricultural producti</w:t>
      </w:r>
      <w:r w:rsidR="00A47E5C" w:rsidRPr="009200FF">
        <w:rPr>
          <w:b/>
        </w:rPr>
        <w:t>on</w:t>
      </w:r>
      <w:r w:rsidR="00235E44" w:rsidRPr="009200FF">
        <w:rPr>
          <w:b/>
        </w:rPr>
        <w:t xml:space="preserve"> will also be impacted as functioning land governance systems act as</w:t>
      </w:r>
      <w:r w:rsidR="00AE46D2" w:rsidRPr="009200FF">
        <w:rPr>
          <w:b/>
        </w:rPr>
        <w:t xml:space="preserve"> disincentive</w:t>
      </w:r>
      <w:r w:rsidR="00235E44" w:rsidRPr="009200FF">
        <w:rPr>
          <w:b/>
        </w:rPr>
        <w:t>s</w:t>
      </w:r>
      <w:r w:rsidR="00AE46D2" w:rsidRPr="009200FF">
        <w:rPr>
          <w:b/>
        </w:rPr>
        <w:t xml:space="preserve"> </w:t>
      </w:r>
      <w:r w:rsidR="00D74376" w:rsidRPr="009200FF">
        <w:rPr>
          <w:b/>
        </w:rPr>
        <w:t xml:space="preserve">for </w:t>
      </w:r>
      <w:r w:rsidR="00235E44" w:rsidRPr="009200FF">
        <w:rPr>
          <w:b/>
        </w:rPr>
        <w:t>u</w:t>
      </w:r>
      <w:r w:rsidR="00AE46D2" w:rsidRPr="009200FF">
        <w:rPr>
          <w:b/>
        </w:rPr>
        <w:t>nused land</w:t>
      </w:r>
      <w:r w:rsidR="000F24CA" w:rsidRPr="009200FF">
        <w:rPr>
          <w:b/>
        </w:rPr>
        <w:t>.</w:t>
      </w:r>
      <w:r w:rsidR="000F24CA" w:rsidRPr="009200FF">
        <w:t xml:space="preserve"> </w:t>
      </w:r>
      <w:r w:rsidR="00AE46D2" w:rsidRPr="009200FF">
        <w:t>As mentioned above,</w:t>
      </w:r>
      <w:r w:rsidR="00BD245C" w:rsidRPr="009200FF">
        <w:t xml:space="preserve"> the availability of </w:t>
      </w:r>
      <w:r w:rsidR="00AE46D2" w:rsidRPr="009200FF">
        <w:t xml:space="preserve">land information </w:t>
      </w:r>
      <w:r w:rsidR="00BD245C" w:rsidRPr="009200FF">
        <w:t xml:space="preserve">allows </w:t>
      </w:r>
      <w:r w:rsidR="00AE46D2" w:rsidRPr="009200FF">
        <w:t>governments to design efficient fiscal policies</w:t>
      </w:r>
      <w:r w:rsidR="00BD245C" w:rsidRPr="009200FF">
        <w:t>. Based on this information, a functioning land governance framework will increase the capacity of governments to collect taxes and consequently</w:t>
      </w:r>
      <w:r w:rsidR="009E6DDC" w:rsidRPr="009200FF">
        <w:t xml:space="preserve"> </w:t>
      </w:r>
      <w:r w:rsidR="00BD245C" w:rsidRPr="009200FF">
        <w:t xml:space="preserve">production </w:t>
      </w:r>
      <w:r w:rsidR="00BA02B3" w:rsidRPr="009200FF">
        <w:t xml:space="preserve">becomes necessary </w:t>
      </w:r>
      <w:r w:rsidR="00235E44" w:rsidRPr="009200FF">
        <w:t xml:space="preserve">for the holder </w:t>
      </w:r>
      <w:r w:rsidR="00BD245C" w:rsidRPr="009200FF">
        <w:t>in order to be able</w:t>
      </w:r>
      <w:r w:rsidR="00235E44" w:rsidRPr="009200FF">
        <w:t xml:space="preserve"> to pay his/her</w:t>
      </w:r>
      <w:r w:rsidR="00BA02B3" w:rsidRPr="009200FF">
        <w:t xml:space="preserve"> taxes</w:t>
      </w:r>
      <w:r w:rsidR="00235E44" w:rsidRPr="009200FF">
        <w:t>.</w:t>
      </w:r>
      <w:r w:rsidR="00BD245C" w:rsidRPr="009200FF">
        <w:t xml:space="preserve">  </w:t>
      </w:r>
      <w:r w:rsidR="00AE46D2" w:rsidRPr="009200FF">
        <w:t xml:space="preserve"> </w:t>
      </w:r>
    </w:p>
    <w:p w14:paraId="6D2044C6" w14:textId="77777777" w:rsidR="00DE6E2F" w:rsidRPr="009200FF" w:rsidRDefault="00942DFD" w:rsidP="00F208D6">
      <w:pPr>
        <w:spacing w:after="120"/>
        <w:jc w:val="both"/>
      </w:pPr>
      <w:r w:rsidRPr="009200FF">
        <w:t>31</w:t>
      </w:r>
      <w:r w:rsidR="005864D3" w:rsidRPr="009200FF">
        <w:t>.</w:t>
      </w:r>
      <w:r w:rsidR="005864D3" w:rsidRPr="009200FF">
        <w:rPr>
          <w:b/>
        </w:rPr>
        <w:t xml:space="preserve"> </w:t>
      </w:r>
      <w:r w:rsidR="00235E44" w:rsidRPr="009200FF">
        <w:rPr>
          <w:b/>
        </w:rPr>
        <w:tab/>
        <w:t>L</w:t>
      </w:r>
      <w:r w:rsidR="00F66979" w:rsidRPr="009200FF">
        <w:rPr>
          <w:b/>
        </w:rPr>
        <w:t xml:space="preserve">and information </w:t>
      </w:r>
      <w:r w:rsidR="00B8592B" w:rsidRPr="009200FF">
        <w:rPr>
          <w:b/>
        </w:rPr>
        <w:t xml:space="preserve">plays a </w:t>
      </w:r>
      <w:r w:rsidR="00F66979" w:rsidRPr="009200FF">
        <w:rPr>
          <w:b/>
        </w:rPr>
        <w:t xml:space="preserve">central </w:t>
      </w:r>
      <w:r w:rsidR="00B8592B" w:rsidRPr="009200FF">
        <w:rPr>
          <w:b/>
        </w:rPr>
        <w:t>role in climate change</w:t>
      </w:r>
      <w:r w:rsidR="00F66979" w:rsidRPr="009200FF">
        <w:rPr>
          <w:b/>
        </w:rPr>
        <w:t xml:space="preserve"> mitigation</w:t>
      </w:r>
      <w:r w:rsidR="00B8592B" w:rsidRPr="009200FF">
        <w:rPr>
          <w:b/>
        </w:rPr>
        <w:t xml:space="preserve">. </w:t>
      </w:r>
      <w:r w:rsidR="00DE6E2F" w:rsidRPr="009200FF">
        <w:t xml:space="preserve">Policy decisions </w:t>
      </w:r>
      <w:r w:rsidR="00B8592B" w:rsidRPr="009200FF">
        <w:t xml:space="preserve">based on information provided by land information system can </w:t>
      </w:r>
      <w:r w:rsidR="00DE6E2F" w:rsidRPr="009200FF">
        <w:t>mitigat</w:t>
      </w:r>
      <w:r w:rsidR="00B8592B" w:rsidRPr="009200FF">
        <w:t>e</w:t>
      </w:r>
      <w:r w:rsidR="00DE6E2F" w:rsidRPr="009200FF">
        <w:t xml:space="preserve"> the effects of climate change by </w:t>
      </w:r>
      <w:r w:rsidR="00F66979" w:rsidRPr="009200FF">
        <w:t xml:space="preserve">reducing deforestation and carbon emissions, </w:t>
      </w:r>
      <w:r w:rsidR="00DE6E2F" w:rsidRPr="009200FF">
        <w:t>efficiently</w:t>
      </w:r>
      <w:r w:rsidR="00F66979" w:rsidRPr="009200FF">
        <w:t xml:space="preserve"> manag</w:t>
      </w:r>
      <w:r w:rsidR="00DE6E2F" w:rsidRPr="009200FF">
        <w:t>ing</w:t>
      </w:r>
      <w:r w:rsidR="00F66979" w:rsidRPr="009200FF">
        <w:t xml:space="preserve"> nonrenewable resources, and preventin</w:t>
      </w:r>
      <w:r w:rsidR="00DE6E2F" w:rsidRPr="009200FF">
        <w:t>g</w:t>
      </w:r>
      <w:r w:rsidR="00F66979" w:rsidRPr="009200FF">
        <w:t xml:space="preserve"> or </w:t>
      </w:r>
      <w:r w:rsidR="00F66979" w:rsidRPr="009200FF">
        <w:lastRenderedPageBreak/>
        <w:t>manag</w:t>
      </w:r>
      <w:r w:rsidR="00DE6E2F" w:rsidRPr="009200FF">
        <w:t>ing</w:t>
      </w:r>
      <w:r w:rsidR="00F66979" w:rsidRPr="009200FF">
        <w:t xml:space="preserve"> disasters </w:t>
      </w:r>
      <w:r w:rsidR="00DE6E2F" w:rsidRPr="009200FF">
        <w:t>are also</w:t>
      </w:r>
      <w:r w:rsidR="00B8592B" w:rsidRPr="009200FF">
        <w:t>.</w:t>
      </w:r>
      <w:r w:rsidR="00DE6E2F" w:rsidRPr="009200FF">
        <w:t xml:space="preserve"> </w:t>
      </w:r>
      <w:r w:rsidR="00B8592B" w:rsidRPr="009200FF">
        <w:t>B</w:t>
      </w:r>
      <w:r w:rsidR="00DE6E2F" w:rsidRPr="009200FF">
        <w:t>ased on this information</w:t>
      </w:r>
      <w:r w:rsidR="00B8592B" w:rsidRPr="009200FF">
        <w:t>,</w:t>
      </w:r>
      <w:r w:rsidR="00DE6E2F" w:rsidRPr="009200FF">
        <w:t xml:space="preserve"> governments </w:t>
      </w:r>
      <w:r w:rsidR="00B8592B" w:rsidRPr="009200FF">
        <w:t xml:space="preserve">can </w:t>
      </w:r>
      <w:r w:rsidR="00DE6E2F" w:rsidRPr="009200FF">
        <w:t>decide on their systems of environmentally protected areas, strategies for forest management, or decisions as to where to allow the construction of new housing developments.</w:t>
      </w:r>
    </w:p>
    <w:p w14:paraId="09FB45D6" w14:textId="77777777" w:rsidR="00756E4E" w:rsidRPr="009200FF" w:rsidRDefault="00942DFD" w:rsidP="00F208D6">
      <w:pPr>
        <w:spacing w:after="120"/>
        <w:jc w:val="both"/>
      </w:pPr>
      <w:r w:rsidRPr="009200FF">
        <w:t>32</w:t>
      </w:r>
      <w:r w:rsidR="00756E4E" w:rsidRPr="009200FF">
        <w:t>.</w:t>
      </w:r>
      <w:r w:rsidR="00756E4E" w:rsidRPr="009200FF">
        <w:rPr>
          <w:b/>
        </w:rPr>
        <w:tab/>
      </w:r>
      <w:r w:rsidR="00717C43" w:rsidRPr="009200FF">
        <w:rPr>
          <w:b/>
        </w:rPr>
        <w:t>Finally, p</w:t>
      </w:r>
      <w:r w:rsidR="00756E4E" w:rsidRPr="009200FF">
        <w:rPr>
          <w:b/>
        </w:rPr>
        <w:t>ublic policies</w:t>
      </w:r>
      <w:r w:rsidR="0066527E" w:rsidRPr="009200FF">
        <w:rPr>
          <w:b/>
        </w:rPr>
        <w:t xml:space="preserve"> </w:t>
      </w:r>
      <w:r w:rsidR="00756E4E" w:rsidRPr="009200FF">
        <w:rPr>
          <w:b/>
        </w:rPr>
        <w:t xml:space="preserve">achieve higher levels of efficiency if based on evidence provided by land information systems. </w:t>
      </w:r>
      <w:r w:rsidR="00756E4E" w:rsidRPr="009200FF">
        <w:t>Land administration systems produce key information for policymaker’s decisions</w:t>
      </w:r>
      <w:r w:rsidR="00132C49" w:rsidRPr="009200FF">
        <w:t>,</w:t>
      </w:r>
      <w:r w:rsidR="00B8592B" w:rsidRPr="009200FF">
        <w:t xml:space="preserve"> which </w:t>
      </w:r>
      <w:r w:rsidR="007455F8" w:rsidRPr="009200FF">
        <w:t xml:space="preserve">should </w:t>
      </w:r>
      <w:r w:rsidR="00756E4E" w:rsidRPr="009200FF">
        <w:t>allow government</w:t>
      </w:r>
      <w:r w:rsidR="007455F8" w:rsidRPr="009200FF">
        <w:t>s</w:t>
      </w:r>
      <w:r w:rsidR="00756E4E" w:rsidRPr="009200FF">
        <w:t xml:space="preserve"> to </w:t>
      </w:r>
      <w:r w:rsidR="00B8592B" w:rsidRPr="009200FF">
        <w:t xml:space="preserve">seek </w:t>
      </w:r>
      <w:r w:rsidR="00756E4E" w:rsidRPr="009200FF">
        <w:t>more efficient results. Whether it is the decision of where to</w:t>
      </w:r>
      <w:r w:rsidR="00B8592B" w:rsidRPr="009200FF">
        <w:t xml:space="preserve"> </w:t>
      </w:r>
      <w:r w:rsidR="00756E4E" w:rsidRPr="009200FF">
        <w:t>focus the supply of essential inputs for agriculture development such as water or electricity, or the design of a strategy to update networks of public services for tourism initiatives, or road infrastructure to facilitate access to markets and the delivery of inputs to agricultural production centers, or improve infrastructure to incentivize tourism, all will</w:t>
      </w:r>
      <w:r w:rsidR="000A67BB" w:rsidRPr="009200FF">
        <w:t xml:space="preserve"> be </w:t>
      </w:r>
      <w:r w:rsidR="00756E4E" w:rsidRPr="009200FF">
        <w:t>achieve</w:t>
      </w:r>
      <w:r w:rsidR="000A67BB" w:rsidRPr="009200FF">
        <w:t>d</w:t>
      </w:r>
      <w:r w:rsidR="00756E4E" w:rsidRPr="009200FF">
        <w:t xml:space="preserve"> more efficient</w:t>
      </w:r>
      <w:r w:rsidR="000A67BB" w:rsidRPr="009200FF">
        <w:t xml:space="preserve">ly </w:t>
      </w:r>
      <w:r w:rsidR="00756E4E" w:rsidRPr="009200FF">
        <w:t>if taken after the detailed analysis of information produced by land administration systems.</w:t>
      </w:r>
    </w:p>
    <w:p w14:paraId="07B2D76C" w14:textId="77777777" w:rsidR="0024705A" w:rsidRPr="009200FF" w:rsidRDefault="00133BA1" w:rsidP="00133BA1">
      <w:pPr>
        <w:spacing w:before="240" w:after="120"/>
        <w:jc w:val="both"/>
        <w:rPr>
          <w:b/>
          <w:color w:val="365F91" w:themeColor="accent1" w:themeShade="BF"/>
          <w:sz w:val="24"/>
          <w:szCs w:val="24"/>
        </w:rPr>
      </w:pPr>
      <w:r w:rsidRPr="009200FF">
        <w:rPr>
          <w:b/>
          <w:color w:val="365F91" w:themeColor="accent1" w:themeShade="BF"/>
          <w:sz w:val="24"/>
          <w:szCs w:val="24"/>
        </w:rPr>
        <w:t>IIIc.</w:t>
      </w:r>
      <w:r w:rsidRPr="009200FF">
        <w:rPr>
          <w:b/>
          <w:color w:val="365F91" w:themeColor="accent1" w:themeShade="BF"/>
          <w:sz w:val="24"/>
          <w:szCs w:val="24"/>
        </w:rPr>
        <w:tab/>
      </w:r>
      <w:r w:rsidR="00584336" w:rsidRPr="009200FF">
        <w:rPr>
          <w:b/>
          <w:color w:val="365F91" w:themeColor="accent1" w:themeShade="BF"/>
          <w:sz w:val="24"/>
          <w:szCs w:val="24"/>
        </w:rPr>
        <w:t>L</w:t>
      </w:r>
      <w:r w:rsidR="00E33C77" w:rsidRPr="009200FF">
        <w:rPr>
          <w:b/>
          <w:color w:val="365F91" w:themeColor="accent1" w:themeShade="BF"/>
          <w:sz w:val="24"/>
          <w:szCs w:val="24"/>
        </w:rPr>
        <w:t xml:space="preserve">and </w:t>
      </w:r>
      <w:r w:rsidR="00D65583" w:rsidRPr="009200FF">
        <w:rPr>
          <w:b/>
          <w:color w:val="365F91" w:themeColor="accent1" w:themeShade="BF"/>
          <w:sz w:val="24"/>
          <w:szCs w:val="24"/>
        </w:rPr>
        <w:t>g</w:t>
      </w:r>
      <w:r w:rsidR="00E33C77" w:rsidRPr="009200FF">
        <w:rPr>
          <w:b/>
          <w:color w:val="365F91" w:themeColor="accent1" w:themeShade="BF"/>
          <w:sz w:val="24"/>
          <w:szCs w:val="24"/>
        </w:rPr>
        <w:t xml:space="preserve">overnance </w:t>
      </w:r>
      <w:r w:rsidR="003B2DB8" w:rsidRPr="009200FF">
        <w:rPr>
          <w:b/>
          <w:color w:val="365F91" w:themeColor="accent1" w:themeShade="BF"/>
          <w:sz w:val="24"/>
          <w:szCs w:val="24"/>
        </w:rPr>
        <w:t>m</w:t>
      </w:r>
      <w:r w:rsidR="00D65583" w:rsidRPr="009200FF">
        <w:rPr>
          <w:b/>
          <w:color w:val="365F91" w:themeColor="accent1" w:themeShade="BF"/>
          <w:sz w:val="24"/>
          <w:szCs w:val="24"/>
        </w:rPr>
        <w:t>andates</w:t>
      </w:r>
      <w:r w:rsidR="00D65583" w:rsidRPr="009200FF" w:rsidDel="00FC5D13">
        <w:rPr>
          <w:b/>
          <w:color w:val="365F91" w:themeColor="accent1" w:themeShade="BF"/>
          <w:sz w:val="24"/>
          <w:szCs w:val="24"/>
        </w:rPr>
        <w:t xml:space="preserve"> </w:t>
      </w:r>
      <w:r w:rsidR="00D902CC" w:rsidRPr="009200FF">
        <w:rPr>
          <w:b/>
          <w:color w:val="365F91" w:themeColor="accent1" w:themeShade="BF"/>
          <w:sz w:val="24"/>
          <w:szCs w:val="24"/>
        </w:rPr>
        <w:t>in STP</w:t>
      </w:r>
      <w:r w:rsidR="00D65583" w:rsidRPr="009200FF">
        <w:rPr>
          <w:b/>
          <w:color w:val="365F91" w:themeColor="accent1" w:themeShade="BF"/>
          <w:sz w:val="24"/>
          <w:szCs w:val="24"/>
        </w:rPr>
        <w:t xml:space="preserve"> are spread </w:t>
      </w:r>
      <w:r w:rsidR="002B673C" w:rsidRPr="009200FF">
        <w:rPr>
          <w:b/>
          <w:color w:val="365F91" w:themeColor="accent1" w:themeShade="BF"/>
          <w:sz w:val="24"/>
          <w:szCs w:val="24"/>
        </w:rPr>
        <w:t>among</w:t>
      </w:r>
      <w:r w:rsidR="00D65583" w:rsidRPr="009200FF">
        <w:rPr>
          <w:b/>
          <w:color w:val="365F91" w:themeColor="accent1" w:themeShade="BF"/>
          <w:sz w:val="24"/>
          <w:szCs w:val="24"/>
        </w:rPr>
        <w:t xml:space="preserve"> several</w:t>
      </w:r>
      <w:r w:rsidR="00E33C77" w:rsidRPr="009200FF">
        <w:rPr>
          <w:b/>
          <w:color w:val="365F91" w:themeColor="accent1" w:themeShade="BF"/>
          <w:sz w:val="24"/>
          <w:szCs w:val="24"/>
        </w:rPr>
        <w:t xml:space="preserve">– </w:t>
      </w:r>
      <w:r w:rsidR="00D65583" w:rsidRPr="009200FF">
        <w:rPr>
          <w:b/>
          <w:color w:val="365F91" w:themeColor="accent1" w:themeShade="BF"/>
          <w:sz w:val="24"/>
          <w:szCs w:val="24"/>
        </w:rPr>
        <w:t>i</w:t>
      </w:r>
      <w:r w:rsidR="00E33C77" w:rsidRPr="009200FF">
        <w:rPr>
          <w:b/>
          <w:color w:val="365F91" w:themeColor="accent1" w:themeShade="BF"/>
          <w:sz w:val="24"/>
          <w:szCs w:val="24"/>
        </w:rPr>
        <w:t xml:space="preserve">nstitutions </w:t>
      </w:r>
    </w:p>
    <w:p w14:paraId="72FEF1F2" w14:textId="1B87C53A" w:rsidR="00584336" w:rsidRPr="009200FF" w:rsidRDefault="0066527E" w:rsidP="00F208D6">
      <w:pPr>
        <w:spacing w:after="120"/>
        <w:jc w:val="both"/>
      </w:pPr>
      <w:r w:rsidRPr="009200FF">
        <w:t>3</w:t>
      </w:r>
      <w:r w:rsidR="00942DFD" w:rsidRPr="009200FF">
        <w:t>3</w:t>
      </w:r>
      <w:r w:rsidR="003508BB" w:rsidRPr="009200FF">
        <w:rPr>
          <w:b/>
        </w:rPr>
        <w:t>.</w:t>
      </w:r>
      <w:r w:rsidR="003508BB" w:rsidRPr="009200FF">
        <w:rPr>
          <w:b/>
        </w:rPr>
        <w:tab/>
      </w:r>
      <w:r w:rsidR="00584336" w:rsidRPr="009200FF">
        <w:rPr>
          <w:b/>
        </w:rPr>
        <w:t xml:space="preserve">Land administration mandates are distributed among different government agencies </w:t>
      </w:r>
      <w:r w:rsidR="009F5C5B" w:rsidRPr="009200FF">
        <w:rPr>
          <w:b/>
        </w:rPr>
        <w:t>within</w:t>
      </w:r>
      <w:r w:rsidR="00584336" w:rsidRPr="009200FF">
        <w:rPr>
          <w:b/>
        </w:rPr>
        <w:t xml:space="preserve"> different </w:t>
      </w:r>
      <w:r w:rsidR="009F5C5B" w:rsidRPr="009200FF">
        <w:rPr>
          <w:b/>
        </w:rPr>
        <w:t>ministries</w:t>
      </w:r>
      <w:r w:rsidR="00584336" w:rsidRPr="009200FF">
        <w:rPr>
          <w:b/>
        </w:rPr>
        <w:t>.</w:t>
      </w:r>
      <w:r w:rsidR="00584336" w:rsidRPr="009200FF">
        <w:t xml:space="preserve"> The </w:t>
      </w:r>
      <w:r w:rsidR="00323E4B" w:rsidRPr="009200FF">
        <w:t xml:space="preserve">main </w:t>
      </w:r>
      <w:r w:rsidR="00584336" w:rsidRPr="009200FF">
        <w:t xml:space="preserve">participating </w:t>
      </w:r>
      <w:r w:rsidR="00323E4B" w:rsidRPr="009200FF">
        <w:t>agencies</w:t>
      </w:r>
      <w:r w:rsidR="00584336" w:rsidRPr="009200FF">
        <w:t xml:space="preserve"> are: </w:t>
      </w:r>
      <w:r w:rsidR="00EB7763" w:rsidRPr="009200FF">
        <w:t xml:space="preserve">(i) </w:t>
      </w:r>
      <w:r w:rsidR="00584336" w:rsidRPr="009200FF">
        <w:t>the General Directorat</w:t>
      </w:r>
      <w:r w:rsidR="00193406" w:rsidRPr="009200FF">
        <w:t>e for Registries and Notaries (GD</w:t>
      </w:r>
      <w:r w:rsidR="00584336" w:rsidRPr="009200FF">
        <w:t>R</w:t>
      </w:r>
      <w:r w:rsidR="00193406" w:rsidRPr="009200FF">
        <w:t>N</w:t>
      </w:r>
      <w:r w:rsidR="00584336" w:rsidRPr="009200FF">
        <w:t xml:space="preserve">) </w:t>
      </w:r>
      <w:r w:rsidR="00EB7763" w:rsidRPr="009200FF">
        <w:t>under</w:t>
      </w:r>
      <w:r w:rsidR="00584336" w:rsidRPr="009200FF">
        <w:t xml:space="preserve"> the Ministry of Justice and Human Rights</w:t>
      </w:r>
      <w:r w:rsidR="00731F8A" w:rsidRPr="009200FF">
        <w:t>,</w:t>
      </w:r>
      <w:r w:rsidR="00584336" w:rsidRPr="009200FF">
        <w:t xml:space="preserve"> which oversees notary records along with the different registries for Civil, Real Estate, Vehicle, and Commercial registries; </w:t>
      </w:r>
      <w:r w:rsidR="00731F8A" w:rsidRPr="009200FF">
        <w:t xml:space="preserve">(ii) </w:t>
      </w:r>
      <w:r w:rsidR="00584336" w:rsidRPr="009200FF">
        <w:t xml:space="preserve">the Directorate of Geographical and Cadastral Services (DGCS) </w:t>
      </w:r>
      <w:r w:rsidR="00252633" w:rsidRPr="009200FF">
        <w:t>under</w:t>
      </w:r>
      <w:r w:rsidR="00584336" w:rsidRPr="009200FF">
        <w:t xml:space="preserve"> the Ministry of Infrastructure and Natural Resources and the Environment</w:t>
      </w:r>
      <w:r w:rsidR="007F2B8D" w:rsidRPr="009200FF">
        <w:t xml:space="preserve"> (MIRNE)</w:t>
      </w:r>
      <w:r w:rsidR="00731F8A" w:rsidRPr="009200FF">
        <w:t>,</w:t>
      </w:r>
      <w:r w:rsidR="00584336" w:rsidRPr="009200FF">
        <w:t xml:space="preserve"> which oversees the management of the geographical cadastre; </w:t>
      </w:r>
      <w:r w:rsidR="00731F8A" w:rsidRPr="009200FF">
        <w:t xml:space="preserve">(iii) </w:t>
      </w:r>
      <w:r w:rsidR="00584336" w:rsidRPr="009200FF">
        <w:t xml:space="preserve">the Ministry of Agriculture and Rural Development in charge of land management and the development of the rural sector; </w:t>
      </w:r>
      <w:r w:rsidR="00252633" w:rsidRPr="009200FF">
        <w:t xml:space="preserve">(iv) </w:t>
      </w:r>
      <w:r w:rsidR="00584336" w:rsidRPr="009200FF">
        <w:t>the Ministry of Planning, Finance</w:t>
      </w:r>
      <w:r w:rsidR="00252633" w:rsidRPr="009200FF">
        <w:t>,</w:t>
      </w:r>
      <w:r w:rsidR="00584336" w:rsidRPr="009200FF">
        <w:t xml:space="preserve"> and the Blue Economy</w:t>
      </w:r>
      <w:r w:rsidR="00252633" w:rsidRPr="009200FF">
        <w:t>,</w:t>
      </w:r>
      <w:r w:rsidR="00584336" w:rsidRPr="009200FF">
        <w:t xml:space="preserve"> which fulfills general fiscal responsibilities through its Tax Directorate and manages state property through its Directorate of State </w:t>
      </w:r>
      <w:r w:rsidR="00484592" w:rsidRPr="009200FF">
        <w:t>Assets</w:t>
      </w:r>
      <w:r w:rsidR="00584336" w:rsidRPr="009200FF">
        <w:t xml:space="preserve">; and </w:t>
      </w:r>
      <w:r w:rsidR="00252633" w:rsidRPr="009200FF">
        <w:t xml:space="preserve">(v) </w:t>
      </w:r>
      <w:r w:rsidR="00584336" w:rsidRPr="009200FF">
        <w:t xml:space="preserve">the National Statistics </w:t>
      </w:r>
      <w:r w:rsidR="00252633" w:rsidRPr="009200FF">
        <w:t>Office (NSO) under</w:t>
      </w:r>
      <w:r w:rsidR="00584336" w:rsidRPr="009200FF">
        <w:t xml:space="preserve"> the Ministry of Planning, Finance and the Blue Economy, which consolidates and disseminates statistics for the </w:t>
      </w:r>
      <w:r w:rsidR="00323E4B" w:rsidRPr="009200FF">
        <w:t>productive</w:t>
      </w:r>
      <w:r w:rsidR="00584336" w:rsidRPr="009200FF">
        <w:t xml:space="preserve"> sector</w:t>
      </w:r>
      <w:r w:rsidR="00323E4B" w:rsidRPr="009200FF">
        <w:t>s in the country.</w:t>
      </w:r>
    </w:p>
    <w:p w14:paraId="3994B518" w14:textId="77777777" w:rsidR="00B75AE1" w:rsidRPr="009200FF" w:rsidRDefault="0066527E" w:rsidP="00F208D6">
      <w:pPr>
        <w:spacing w:after="120"/>
        <w:jc w:val="both"/>
      </w:pPr>
      <w:r w:rsidRPr="009200FF">
        <w:t>3</w:t>
      </w:r>
      <w:r w:rsidR="00942DFD" w:rsidRPr="009200FF">
        <w:t>4</w:t>
      </w:r>
      <w:r w:rsidR="003508BB" w:rsidRPr="009200FF">
        <w:rPr>
          <w:b/>
        </w:rPr>
        <w:t>.</w:t>
      </w:r>
      <w:r w:rsidR="003508BB" w:rsidRPr="009200FF">
        <w:rPr>
          <w:b/>
        </w:rPr>
        <w:tab/>
      </w:r>
      <w:r w:rsidR="00B75AE1" w:rsidRPr="009200FF">
        <w:rPr>
          <w:b/>
        </w:rPr>
        <w:t>G</w:t>
      </w:r>
      <w:r w:rsidR="00193406" w:rsidRPr="009200FF">
        <w:rPr>
          <w:b/>
        </w:rPr>
        <w:t>D</w:t>
      </w:r>
      <w:r w:rsidR="00B75AE1" w:rsidRPr="009200FF">
        <w:rPr>
          <w:b/>
        </w:rPr>
        <w:t>RN has administrative and financial autonomy, national jurisdiction, and i</w:t>
      </w:r>
      <w:r w:rsidR="00E85E4C" w:rsidRPr="009200FF">
        <w:rPr>
          <w:b/>
        </w:rPr>
        <w:t>t</w:t>
      </w:r>
      <w:r w:rsidR="00B75AE1" w:rsidRPr="009200FF">
        <w:rPr>
          <w:b/>
        </w:rPr>
        <w:t xml:space="preserve">s </w:t>
      </w:r>
      <w:r w:rsidR="00F74056" w:rsidRPr="009200FF">
        <w:rPr>
          <w:b/>
        </w:rPr>
        <w:t xml:space="preserve">core mission </w:t>
      </w:r>
      <w:r w:rsidR="000A67BB" w:rsidRPr="009200FF">
        <w:rPr>
          <w:b/>
        </w:rPr>
        <w:t xml:space="preserve">is </w:t>
      </w:r>
      <w:r w:rsidR="00F74056" w:rsidRPr="009200FF">
        <w:rPr>
          <w:b/>
        </w:rPr>
        <w:t xml:space="preserve">to direct, guide, and coordinate the services of </w:t>
      </w:r>
      <w:r w:rsidR="006B25FA" w:rsidRPr="009200FF">
        <w:rPr>
          <w:b/>
        </w:rPr>
        <w:t xml:space="preserve">all registries including the Real Estate Registry. </w:t>
      </w:r>
      <w:r w:rsidR="00F12990" w:rsidRPr="009200FF">
        <w:t>GDRN is also responsible for the Civil Registry (status and nationality), the Vehicle Registry, the Commercial Registry, and the notary records.</w:t>
      </w:r>
      <w:r w:rsidR="00DB121E" w:rsidRPr="009200FF">
        <w:t xml:space="preserve"> </w:t>
      </w:r>
      <w:r w:rsidR="00B75AE1" w:rsidRPr="009200FF">
        <w:t>Decree No. 43/09 created the General Directorate and its mandate includes the following activities</w:t>
      </w:r>
      <w:r w:rsidR="00B75AE1" w:rsidRPr="009200FF">
        <w:rPr>
          <w:vertAlign w:val="superscript"/>
        </w:rPr>
        <w:footnoteReference w:id="19"/>
      </w:r>
      <w:r w:rsidR="00B75AE1" w:rsidRPr="009200FF">
        <w:t xml:space="preserve">: </w:t>
      </w:r>
    </w:p>
    <w:p w14:paraId="18F42E04" w14:textId="77777777" w:rsidR="00B75AE1" w:rsidRPr="009200FF" w:rsidRDefault="00B75AE1" w:rsidP="00F208D6">
      <w:pPr>
        <w:pStyle w:val="HTMLPreformatted"/>
        <w:numPr>
          <w:ilvl w:val="0"/>
          <w:numId w:val="7"/>
        </w:numPr>
        <w:shd w:val="clear" w:color="auto" w:fill="FFFFFF"/>
        <w:spacing w:after="120" w:line="276" w:lineRule="auto"/>
        <w:rPr>
          <w:rFonts w:asciiTheme="minorHAnsi" w:eastAsiaTheme="minorHAnsi" w:hAnsiTheme="minorHAnsi" w:cstheme="minorBidi"/>
          <w:sz w:val="22"/>
          <w:szCs w:val="22"/>
        </w:rPr>
      </w:pPr>
      <w:r w:rsidRPr="009200FF">
        <w:rPr>
          <w:rFonts w:asciiTheme="minorHAnsi" w:eastAsiaTheme="minorHAnsi" w:hAnsiTheme="minorHAnsi" w:cstheme="minorBidi"/>
          <w:sz w:val="22"/>
          <w:szCs w:val="22"/>
        </w:rPr>
        <w:t>Formulating and implementing policies and measures for the registries, notary publics, and for the identification of pe</w:t>
      </w:r>
      <w:r w:rsidR="0063312F" w:rsidRPr="009200FF">
        <w:rPr>
          <w:rFonts w:asciiTheme="minorHAnsi" w:eastAsiaTheme="minorHAnsi" w:hAnsiTheme="minorHAnsi" w:cstheme="minorBidi"/>
          <w:sz w:val="22"/>
          <w:szCs w:val="22"/>
        </w:rPr>
        <w:t>ople</w:t>
      </w:r>
      <w:r w:rsidR="00232EB7" w:rsidRPr="009200FF">
        <w:rPr>
          <w:rFonts w:asciiTheme="minorHAnsi" w:eastAsiaTheme="minorHAnsi" w:hAnsiTheme="minorHAnsi" w:cstheme="minorBidi"/>
          <w:sz w:val="22"/>
          <w:szCs w:val="22"/>
        </w:rPr>
        <w:t>,</w:t>
      </w:r>
    </w:p>
    <w:p w14:paraId="6A961030" w14:textId="77777777" w:rsidR="00B75AE1" w:rsidRPr="009200FF" w:rsidRDefault="00B75AE1" w:rsidP="00F208D6">
      <w:pPr>
        <w:pStyle w:val="HTMLPreformatted"/>
        <w:numPr>
          <w:ilvl w:val="0"/>
          <w:numId w:val="7"/>
        </w:numPr>
        <w:shd w:val="clear" w:color="auto" w:fill="FFFFFF"/>
        <w:spacing w:after="120" w:line="276" w:lineRule="auto"/>
        <w:rPr>
          <w:rFonts w:asciiTheme="minorHAnsi" w:eastAsiaTheme="minorHAnsi" w:hAnsiTheme="minorHAnsi" w:cstheme="minorBidi"/>
          <w:sz w:val="22"/>
          <w:szCs w:val="22"/>
        </w:rPr>
      </w:pPr>
      <w:r w:rsidRPr="009200FF">
        <w:rPr>
          <w:rFonts w:asciiTheme="minorHAnsi" w:eastAsiaTheme="minorHAnsi" w:hAnsiTheme="minorHAnsi" w:cstheme="minorBidi"/>
          <w:sz w:val="22"/>
          <w:szCs w:val="22"/>
        </w:rPr>
        <w:t>Ensuring the effective</w:t>
      </w:r>
      <w:r w:rsidR="0063312F" w:rsidRPr="009200FF">
        <w:rPr>
          <w:rFonts w:asciiTheme="minorHAnsi" w:eastAsiaTheme="minorHAnsi" w:hAnsiTheme="minorHAnsi" w:cstheme="minorBidi"/>
          <w:sz w:val="22"/>
          <w:szCs w:val="22"/>
        </w:rPr>
        <w:t xml:space="preserve"> and</w:t>
      </w:r>
      <w:r w:rsidRPr="009200FF">
        <w:rPr>
          <w:rFonts w:asciiTheme="minorHAnsi" w:eastAsiaTheme="minorHAnsi" w:hAnsiTheme="minorHAnsi" w:cstheme="minorBidi"/>
          <w:sz w:val="22"/>
          <w:szCs w:val="22"/>
        </w:rPr>
        <w:t xml:space="preserve"> efficient provision of quality public services of registers, notaries and the identification of </w:t>
      </w:r>
      <w:r w:rsidR="00232EB7" w:rsidRPr="009200FF">
        <w:rPr>
          <w:rFonts w:asciiTheme="minorHAnsi" w:eastAsiaTheme="minorHAnsi" w:hAnsiTheme="minorHAnsi" w:cstheme="minorBidi"/>
          <w:sz w:val="22"/>
          <w:szCs w:val="22"/>
        </w:rPr>
        <w:t>people</w:t>
      </w:r>
      <w:r w:rsidRPr="009200FF">
        <w:rPr>
          <w:rFonts w:asciiTheme="minorHAnsi" w:eastAsiaTheme="minorHAnsi" w:hAnsiTheme="minorHAnsi" w:cstheme="minorBidi"/>
          <w:sz w:val="22"/>
          <w:szCs w:val="22"/>
        </w:rPr>
        <w:t>.</w:t>
      </w:r>
    </w:p>
    <w:p w14:paraId="19F7FF3F" w14:textId="77777777" w:rsidR="00B75AE1" w:rsidRPr="009200FF" w:rsidRDefault="00B75AE1" w:rsidP="00F208D6">
      <w:pPr>
        <w:pStyle w:val="HTMLPreformatted"/>
        <w:numPr>
          <w:ilvl w:val="0"/>
          <w:numId w:val="7"/>
        </w:numPr>
        <w:shd w:val="clear" w:color="auto" w:fill="FFFFFF"/>
        <w:spacing w:after="120" w:line="276" w:lineRule="auto"/>
        <w:rPr>
          <w:rFonts w:asciiTheme="minorHAnsi" w:eastAsiaTheme="minorHAnsi" w:hAnsiTheme="minorHAnsi" w:cstheme="minorBidi"/>
          <w:sz w:val="22"/>
          <w:szCs w:val="22"/>
        </w:rPr>
      </w:pPr>
      <w:r w:rsidRPr="009200FF">
        <w:rPr>
          <w:rFonts w:asciiTheme="minorHAnsi" w:eastAsiaTheme="minorHAnsi" w:hAnsiTheme="minorHAnsi" w:cstheme="minorBidi"/>
          <w:sz w:val="22"/>
          <w:szCs w:val="22"/>
        </w:rPr>
        <w:t>Collecting, processing and disseminating legislation, documentation, and relevant technical and legal information.</w:t>
      </w:r>
    </w:p>
    <w:p w14:paraId="5A07C663" w14:textId="77777777" w:rsidR="00B75AE1" w:rsidRPr="009200FF" w:rsidRDefault="00B75AE1" w:rsidP="00F208D6">
      <w:pPr>
        <w:pStyle w:val="HTMLPreformatted"/>
        <w:numPr>
          <w:ilvl w:val="0"/>
          <w:numId w:val="7"/>
        </w:numPr>
        <w:shd w:val="clear" w:color="auto" w:fill="FFFFFF"/>
        <w:spacing w:after="120" w:line="276" w:lineRule="auto"/>
        <w:rPr>
          <w:rFonts w:asciiTheme="minorHAnsi" w:eastAsiaTheme="minorHAnsi" w:hAnsiTheme="minorHAnsi" w:cstheme="minorBidi"/>
          <w:sz w:val="22"/>
          <w:szCs w:val="22"/>
        </w:rPr>
      </w:pPr>
      <w:r w:rsidRPr="009200FF">
        <w:rPr>
          <w:rFonts w:asciiTheme="minorHAnsi" w:eastAsiaTheme="minorHAnsi" w:hAnsiTheme="minorHAnsi" w:cstheme="minorBidi"/>
          <w:sz w:val="22"/>
          <w:szCs w:val="22"/>
        </w:rPr>
        <w:t>Conducting studies on measures and technical standards for the performance of services</w:t>
      </w:r>
      <w:r w:rsidR="00232EB7" w:rsidRPr="009200FF">
        <w:rPr>
          <w:rFonts w:asciiTheme="minorHAnsi" w:eastAsiaTheme="minorHAnsi" w:hAnsiTheme="minorHAnsi" w:cstheme="minorBidi"/>
          <w:sz w:val="22"/>
          <w:szCs w:val="22"/>
        </w:rPr>
        <w:t>; and</w:t>
      </w:r>
    </w:p>
    <w:p w14:paraId="7752AE23" w14:textId="77777777" w:rsidR="00B75AE1" w:rsidRPr="009200FF" w:rsidRDefault="00B75AE1" w:rsidP="00F208D6">
      <w:pPr>
        <w:pStyle w:val="HTMLPreformatted"/>
        <w:numPr>
          <w:ilvl w:val="0"/>
          <w:numId w:val="7"/>
        </w:numPr>
        <w:shd w:val="clear" w:color="auto" w:fill="FFFFFF"/>
        <w:spacing w:after="120" w:line="276" w:lineRule="auto"/>
        <w:rPr>
          <w:rFonts w:asciiTheme="minorHAnsi" w:eastAsiaTheme="minorHAnsi" w:hAnsiTheme="minorHAnsi" w:cstheme="minorBidi"/>
          <w:sz w:val="22"/>
          <w:szCs w:val="22"/>
        </w:rPr>
      </w:pPr>
      <w:r w:rsidRPr="009200FF">
        <w:rPr>
          <w:rFonts w:asciiTheme="minorHAnsi" w:eastAsiaTheme="minorHAnsi" w:hAnsiTheme="minorHAnsi" w:cstheme="minorBidi"/>
          <w:sz w:val="22"/>
          <w:szCs w:val="22"/>
        </w:rPr>
        <w:lastRenderedPageBreak/>
        <w:t>Optimize the management of available resources.</w:t>
      </w:r>
    </w:p>
    <w:p w14:paraId="39EF5D51" w14:textId="77777777" w:rsidR="008B3B1E" w:rsidRPr="009200FF" w:rsidRDefault="00942DFD" w:rsidP="00F208D6">
      <w:pPr>
        <w:spacing w:after="120"/>
        <w:jc w:val="both"/>
      </w:pPr>
      <w:r w:rsidRPr="009200FF">
        <w:t>35</w:t>
      </w:r>
      <w:r w:rsidR="003508BB" w:rsidRPr="009200FF">
        <w:rPr>
          <w:b/>
        </w:rPr>
        <w:t>.</w:t>
      </w:r>
      <w:r w:rsidR="003508BB" w:rsidRPr="009200FF">
        <w:rPr>
          <w:b/>
        </w:rPr>
        <w:tab/>
      </w:r>
      <w:r w:rsidR="002C0ABD" w:rsidRPr="009200FF">
        <w:rPr>
          <w:b/>
        </w:rPr>
        <w:t>The Directorate of Geographical and Cadastral Services</w:t>
      </w:r>
      <w:r w:rsidR="002C0ABD" w:rsidRPr="009200FF">
        <w:t xml:space="preserve"> </w:t>
      </w:r>
      <w:r w:rsidR="00F12990" w:rsidRPr="009200FF">
        <w:rPr>
          <w:b/>
        </w:rPr>
        <w:t xml:space="preserve">(DGCS) is under the MIRNE, which oversees the management of the geographical cadastre and is in charge of the execution of the cadastral and mapping policies. </w:t>
      </w:r>
      <w:r w:rsidR="004B19CF" w:rsidRPr="009200FF">
        <w:t>In that sense,</w:t>
      </w:r>
      <w:r w:rsidR="00034127" w:rsidRPr="009200FF">
        <w:t xml:space="preserve"> based on the cadastral information it produces</w:t>
      </w:r>
      <w:r w:rsidR="00442386" w:rsidRPr="009200FF">
        <w:t xml:space="preserve"> through its mapping and geodetic department</w:t>
      </w:r>
      <w:r w:rsidR="00034127" w:rsidRPr="009200FF">
        <w:t xml:space="preserve">, it </w:t>
      </w:r>
      <w:r w:rsidR="004B19CF" w:rsidRPr="009200FF">
        <w:t>ensures the implementation of the policy on land use planning in urban and rural contexts</w:t>
      </w:r>
      <w:r w:rsidR="00034127" w:rsidRPr="009200FF">
        <w:t xml:space="preserve">, and it leads the maintenance of the </w:t>
      </w:r>
      <w:r w:rsidR="00034127" w:rsidRPr="009200FF">
        <w:rPr>
          <w:rFonts w:cstheme="minorHAnsi"/>
        </w:rPr>
        <w:t>geodetic control network.</w:t>
      </w:r>
    </w:p>
    <w:p w14:paraId="2EDBB5C8" w14:textId="764DB08F" w:rsidR="00335301" w:rsidRPr="009200FF" w:rsidRDefault="00182850" w:rsidP="00F208D6">
      <w:pPr>
        <w:spacing w:after="120"/>
        <w:jc w:val="both"/>
      </w:pPr>
      <w:r w:rsidRPr="009200FF">
        <w:t>3</w:t>
      </w:r>
      <w:r w:rsidR="00942DFD" w:rsidRPr="009200FF">
        <w:t>6</w:t>
      </w:r>
      <w:r w:rsidR="003508BB" w:rsidRPr="009200FF">
        <w:rPr>
          <w:b/>
        </w:rPr>
        <w:t>.</w:t>
      </w:r>
      <w:r w:rsidR="003508BB" w:rsidRPr="009200FF">
        <w:rPr>
          <w:b/>
        </w:rPr>
        <w:tab/>
      </w:r>
      <w:r w:rsidR="002C0ABD" w:rsidRPr="009200FF">
        <w:rPr>
          <w:b/>
        </w:rPr>
        <w:t xml:space="preserve">The Ministry of Agriculture and Rural Development </w:t>
      </w:r>
      <w:r w:rsidR="00F12990" w:rsidRPr="009200FF">
        <w:rPr>
          <w:b/>
        </w:rPr>
        <w:t>(MARD)</w:t>
      </w:r>
      <w:r w:rsidR="00335301" w:rsidRPr="009200FF">
        <w:rPr>
          <w:b/>
        </w:rPr>
        <w:t xml:space="preserve"> </w:t>
      </w:r>
      <w:r w:rsidR="00F12990" w:rsidRPr="009200FF">
        <w:rPr>
          <w:b/>
        </w:rPr>
        <w:t xml:space="preserve">is </w:t>
      </w:r>
      <w:r w:rsidR="007F2B8D" w:rsidRPr="009200FF">
        <w:rPr>
          <w:b/>
        </w:rPr>
        <w:t>responsible for</w:t>
      </w:r>
      <w:r w:rsidR="00F12990" w:rsidRPr="009200FF">
        <w:rPr>
          <w:b/>
        </w:rPr>
        <w:t xml:space="preserve"> the organization of the rural cadastre</w:t>
      </w:r>
      <w:r w:rsidR="00F12990" w:rsidRPr="009200FF">
        <w:rPr>
          <w:b/>
          <w:vertAlign w:val="superscript"/>
        </w:rPr>
        <w:footnoteReference w:id="20"/>
      </w:r>
      <w:r w:rsidR="00F12990" w:rsidRPr="009200FF">
        <w:rPr>
          <w:b/>
        </w:rPr>
        <w:t>.</w:t>
      </w:r>
      <w:r w:rsidR="000A1DAF" w:rsidRPr="009200FF">
        <w:t xml:space="preserve"> MARD is also responsible for </w:t>
      </w:r>
      <w:r w:rsidR="002C0ABD" w:rsidRPr="009200FF">
        <w:t>designing, implementing, and evaluating policies on agriculture, livestock, forestry, and rural development</w:t>
      </w:r>
      <w:r w:rsidR="00DF1ACB" w:rsidRPr="009200FF">
        <w:t xml:space="preserve"> </w:t>
      </w:r>
      <w:r w:rsidR="00335301" w:rsidRPr="009200FF">
        <w:t xml:space="preserve">MARD is also responsible for the management of rural state land </w:t>
      </w:r>
      <w:r w:rsidR="002744C0" w:rsidRPr="009200FF">
        <w:t xml:space="preserve">granted to individuals through concession contracts </w:t>
      </w:r>
      <w:r w:rsidR="00335301" w:rsidRPr="009200FF">
        <w:t xml:space="preserve">and as such </w:t>
      </w:r>
      <w:r w:rsidR="002744C0" w:rsidRPr="009200FF">
        <w:t>is the government agency that</w:t>
      </w:r>
      <w:r w:rsidR="00335301" w:rsidRPr="009200FF">
        <w:t xml:space="preserve"> grant</w:t>
      </w:r>
      <w:r w:rsidR="002744C0" w:rsidRPr="009200FF">
        <w:t xml:space="preserve">s or denies </w:t>
      </w:r>
      <w:r w:rsidR="00335301" w:rsidRPr="009200FF">
        <w:t>access to rural land</w:t>
      </w:r>
      <w:r w:rsidR="002744C0" w:rsidRPr="009200FF">
        <w:t xml:space="preserve"> both </w:t>
      </w:r>
      <w:r w:rsidR="00335301" w:rsidRPr="009200FF">
        <w:t xml:space="preserve">to individual or firms.  </w:t>
      </w:r>
    </w:p>
    <w:p w14:paraId="3DD98CD4" w14:textId="1D7B5B4F" w:rsidR="00F27313" w:rsidRPr="009200FF" w:rsidRDefault="00942DFD" w:rsidP="00F208D6">
      <w:pPr>
        <w:spacing w:after="120"/>
        <w:jc w:val="both"/>
      </w:pPr>
      <w:r w:rsidRPr="009200FF">
        <w:t>37</w:t>
      </w:r>
      <w:r w:rsidR="003508BB" w:rsidRPr="009200FF">
        <w:rPr>
          <w:b/>
        </w:rPr>
        <w:t>.</w:t>
      </w:r>
      <w:r w:rsidR="003508BB" w:rsidRPr="009200FF">
        <w:rPr>
          <w:b/>
        </w:rPr>
        <w:tab/>
      </w:r>
      <w:r w:rsidR="00F27313" w:rsidRPr="009200FF">
        <w:rPr>
          <w:b/>
        </w:rPr>
        <w:t>The Tax Directorate</w:t>
      </w:r>
      <w:r w:rsidR="00F12990" w:rsidRPr="009200FF">
        <w:rPr>
          <w:b/>
        </w:rPr>
        <w:t xml:space="preserve"> is a stakeholder in the land governance process since it assesses and collects property tax</w:t>
      </w:r>
      <w:r w:rsidR="00123498" w:rsidRPr="009200FF">
        <w:t>.</w:t>
      </w:r>
      <w:r w:rsidR="00F27313" w:rsidRPr="009200FF">
        <w:t xml:space="preserve"> Th</w:t>
      </w:r>
      <w:r w:rsidR="004D41A1" w:rsidRPr="009200FF">
        <w:t>e</w:t>
      </w:r>
      <w:r w:rsidR="00F27313" w:rsidRPr="009200FF">
        <w:t xml:space="preserve"> directorate is responsible for carrying out the tax policy and the </w:t>
      </w:r>
      <w:r w:rsidR="00185249" w:rsidRPr="009200FF">
        <w:t>tax</w:t>
      </w:r>
      <w:r w:rsidR="00F27313" w:rsidRPr="009200FF">
        <w:t xml:space="preserve"> administration of the </w:t>
      </w:r>
      <w:r w:rsidR="0001760A" w:rsidRPr="009200FF">
        <w:t>s</w:t>
      </w:r>
      <w:r w:rsidR="00383B05" w:rsidRPr="009200FF">
        <w:t>tate</w:t>
      </w:r>
      <w:r w:rsidR="000A67BB" w:rsidRPr="009200FF">
        <w:t>,</w:t>
      </w:r>
      <w:r w:rsidR="00F27313" w:rsidRPr="009200FF">
        <w:t xml:space="preserve"> it manages a central register of taxpayers, and exercises a</w:t>
      </w:r>
      <w:r w:rsidR="0001760A" w:rsidRPr="009200FF">
        <w:t>n audit</w:t>
      </w:r>
      <w:r w:rsidR="00185249" w:rsidRPr="009200FF">
        <w:t xml:space="preserve"> </w:t>
      </w:r>
      <w:r w:rsidR="00F27313" w:rsidRPr="009200FF">
        <w:t>function over all sources of revenue per the national legislation.</w:t>
      </w:r>
      <w:r w:rsidR="00CB5A39" w:rsidRPr="009200FF">
        <w:t xml:space="preserve"> Its Tax Management and Collection Department monitors the evolution and collection of tax revenues through the general registry of taxpayers</w:t>
      </w:r>
      <w:r w:rsidR="00CB5A39" w:rsidRPr="009200FF">
        <w:rPr>
          <w:rStyle w:val="FootnoteReference"/>
        </w:rPr>
        <w:footnoteReference w:id="21"/>
      </w:r>
      <w:r w:rsidR="00CB5A39" w:rsidRPr="009200FF">
        <w:t>.</w:t>
      </w:r>
      <w:r w:rsidR="00672ADD" w:rsidRPr="009200FF">
        <w:t xml:space="preserve"> </w:t>
      </w:r>
    </w:p>
    <w:p w14:paraId="5DFC6C51" w14:textId="77777777" w:rsidR="008B3B1E" w:rsidRPr="009200FF" w:rsidRDefault="00182850" w:rsidP="00F208D6">
      <w:pPr>
        <w:spacing w:after="120"/>
        <w:jc w:val="both"/>
      </w:pPr>
      <w:r w:rsidRPr="009200FF">
        <w:t>3</w:t>
      </w:r>
      <w:r w:rsidR="00942DFD" w:rsidRPr="009200FF">
        <w:t>8</w:t>
      </w:r>
      <w:r w:rsidR="003508BB" w:rsidRPr="009200FF">
        <w:rPr>
          <w:b/>
        </w:rPr>
        <w:t>.</w:t>
      </w:r>
      <w:r w:rsidR="003508BB" w:rsidRPr="009200FF">
        <w:rPr>
          <w:b/>
        </w:rPr>
        <w:tab/>
      </w:r>
      <w:r w:rsidR="008B3B1E" w:rsidRPr="009200FF">
        <w:rPr>
          <w:b/>
        </w:rPr>
        <w:t xml:space="preserve">The National Statistics </w:t>
      </w:r>
      <w:r w:rsidR="0001760A" w:rsidRPr="009200FF">
        <w:rPr>
          <w:b/>
        </w:rPr>
        <w:t>Office</w:t>
      </w:r>
      <w:r w:rsidR="00FB0DFA" w:rsidRPr="009200FF">
        <w:rPr>
          <w:b/>
        </w:rPr>
        <w:t xml:space="preserve"> (NSO)</w:t>
      </w:r>
      <w:r w:rsidR="00A65585" w:rsidRPr="009200FF">
        <w:rPr>
          <w:b/>
        </w:rPr>
        <w:t xml:space="preserve"> is a part of </w:t>
      </w:r>
      <w:r w:rsidR="002F61FD" w:rsidRPr="009200FF">
        <w:rPr>
          <w:b/>
        </w:rPr>
        <w:t xml:space="preserve">the land governance process as it acts as the repository of all statistical information in the country. </w:t>
      </w:r>
      <w:r w:rsidR="00F12990" w:rsidRPr="009200FF">
        <w:t>The NSO is also</w:t>
      </w:r>
      <w:r w:rsidR="0001760A" w:rsidRPr="009200FF">
        <w:t xml:space="preserve"> </w:t>
      </w:r>
      <w:r w:rsidR="008B3B1E" w:rsidRPr="009200FF">
        <w:t xml:space="preserve">is </w:t>
      </w:r>
      <w:r w:rsidR="0001760A" w:rsidRPr="009200FF">
        <w:t>under</w:t>
      </w:r>
      <w:r w:rsidR="008B3B1E" w:rsidRPr="009200FF">
        <w:t xml:space="preserve"> the Ministry of Planning, Finance, and the Blue Economy</w:t>
      </w:r>
      <w:r w:rsidR="008B3B1E" w:rsidRPr="009200FF">
        <w:rPr>
          <w:b/>
        </w:rPr>
        <w:t>.</w:t>
      </w:r>
      <w:r w:rsidR="008B3B1E" w:rsidRPr="009200FF">
        <w:t xml:space="preserve"> Its purpose is to provide public administration agencies, private enterprises, organizations, media, researchers, and the public with statistical information on economic, social, demographic, cultural, and environmental matters. The NS</w:t>
      </w:r>
      <w:r w:rsidR="00FB0DFA" w:rsidRPr="009200FF">
        <w:t>O</w:t>
      </w:r>
      <w:r w:rsidR="008B3B1E" w:rsidRPr="009200FF">
        <w:t xml:space="preserve"> produces and publishes official statistics from the National Statistics System. In order to do so it defines, collects, processes, analyzes, and disseminates official statistical data of national interest.</w:t>
      </w:r>
    </w:p>
    <w:p w14:paraId="37D44E52" w14:textId="206A94D5" w:rsidR="00914003" w:rsidRPr="009200FF" w:rsidRDefault="004D2825" w:rsidP="00F208D6">
      <w:pPr>
        <w:spacing w:after="120"/>
        <w:jc w:val="both"/>
        <w:rPr>
          <w:rFonts w:cstheme="minorHAnsi"/>
        </w:rPr>
      </w:pPr>
      <w:r w:rsidRPr="009200FF">
        <w:rPr>
          <w:rFonts w:cstheme="minorHAnsi"/>
        </w:rPr>
        <w:t>3</w:t>
      </w:r>
      <w:r w:rsidR="00942DFD" w:rsidRPr="009200FF">
        <w:rPr>
          <w:rFonts w:cstheme="minorHAnsi"/>
        </w:rPr>
        <w:t>9</w:t>
      </w:r>
      <w:r w:rsidR="003508BB" w:rsidRPr="009200FF">
        <w:rPr>
          <w:rFonts w:cstheme="minorHAnsi"/>
          <w:b/>
        </w:rPr>
        <w:t>.</w:t>
      </w:r>
      <w:r w:rsidR="003508BB" w:rsidRPr="009200FF">
        <w:rPr>
          <w:rFonts w:cstheme="minorHAnsi"/>
          <w:b/>
        </w:rPr>
        <w:tab/>
      </w:r>
      <w:r w:rsidR="00672ADD" w:rsidRPr="009200FF">
        <w:rPr>
          <w:rFonts w:cstheme="minorHAnsi"/>
          <w:b/>
        </w:rPr>
        <w:t>The Directorate of State P</w:t>
      </w:r>
      <w:r w:rsidR="008164CF" w:rsidRPr="009200FF">
        <w:rPr>
          <w:rFonts w:cstheme="minorHAnsi"/>
          <w:b/>
        </w:rPr>
        <w:t>roperty</w:t>
      </w:r>
      <w:r w:rsidR="00672ADD" w:rsidRPr="009200FF">
        <w:rPr>
          <w:rFonts w:cstheme="minorHAnsi"/>
        </w:rPr>
        <w:t xml:space="preserve"> </w:t>
      </w:r>
      <w:r w:rsidR="00F12990" w:rsidRPr="009200FF">
        <w:rPr>
          <w:rFonts w:cstheme="minorHAnsi"/>
          <w:b/>
        </w:rPr>
        <w:t xml:space="preserve">(DSP) is under the Ministry of Planning, Finance, and the Blue Economy and manages of </w:t>
      </w:r>
      <w:proofErr w:type="gramStart"/>
      <w:r w:rsidR="00F12990" w:rsidRPr="009200FF">
        <w:rPr>
          <w:rFonts w:cstheme="minorHAnsi"/>
          <w:b/>
        </w:rPr>
        <w:t>all of</w:t>
      </w:r>
      <w:proofErr w:type="gramEnd"/>
      <w:r w:rsidR="00F12990" w:rsidRPr="009200FF">
        <w:rPr>
          <w:rFonts w:cstheme="minorHAnsi"/>
          <w:b/>
        </w:rPr>
        <w:t xml:space="preserve"> the State’s assets.</w:t>
      </w:r>
      <w:r w:rsidR="00672ADD" w:rsidRPr="009200FF">
        <w:rPr>
          <w:rFonts w:cstheme="minorHAnsi"/>
        </w:rPr>
        <w:t xml:space="preserve"> The DSP legally represents the </w:t>
      </w:r>
      <w:r w:rsidR="002F61FD" w:rsidRPr="009200FF">
        <w:rPr>
          <w:rFonts w:cstheme="minorHAnsi"/>
        </w:rPr>
        <w:t>s</w:t>
      </w:r>
      <w:r w:rsidR="00672ADD" w:rsidRPr="009200FF">
        <w:rPr>
          <w:rFonts w:cstheme="minorHAnsi"/>
        </w:rPr>
        <w:t xml:space="preserve">tate in contracts for the purchase or sale of movable and real estate property. Within the DSP, the Internal Inventory and Registry Department </w:t>
      </w:r>
      <w:r w:rsidR="002F61FD" w:rsidRPr="009200FF">
        <w:rPr>
          <w:rFonts w:cstheme="minorHAnsi"/>
        </w:rPr>
        <w:t>oversees</w:t>
      </w:r>
      <w:r w:rsidR="00672ADD" w:rsidRPr="009200FF">
        <w:rPr>
          <w:rFonts w:cstheme="minorHAnsi"/>
        </w:rPr>
        <w:t xml:space="preserve"> a general inventory of all property owned by the state and </w:t>
      </w:r>
      <w:r w:rsidR="000E154E" w:rsidRPr="009200FF">
        <w:rPr>
          <w:rFonts w:cstheme="minorHAnsi"/>
        </w:rPr>
        <w:t xml:space="preserve">updates </w:t>
      </w:r>
      <w:r w:rsidR="00672ADD" w:rsidRPr="009200FF">
        <w:rPr>
          <w:rFonts w:cstheme="minorHAnsi"/>
        </w:rPr>
        <w:t>the valuation of such property.</w:t>
      </w:r>
    </w:p>
    <w:p w14:paraId="66CD7308" w14:textId="77777777" w:rsidR="0024705A" w:rsidRPr="009200FF" w:rsidRDefault="0024705A" w:rsidP="00F208D6">
      <w:pPr>
        <w:pStyle w:val="Caption"/>
        <w:spacing w:after="120"/>
        <w:rPr>
          <w:b/>
          <w:color w:val="auto"/>
          <w:sz w:val="20"/>
          <w:szCs w:val="20"/>
        </w:rPr>
      </w:pPr>
      <w:r w:rsidRPr="009200FF">
        <w:rPr>
          <w:b/>
          <w:i w:val="0"/>
          <w:color w:val="auto"/>
          <w:sz w:val="20"/>
          <w:szCs w:val="20"/>
        </w:rPr>
        <w:t xml:space="preserve">Table </w:t>
      </w:r>
      <w:r w:rsidR="00CC2B25" w:rsidRPr="009200FF">
        <w:rPr>
          <w:b/>
          <w:i w:val="0"/>
          <w:color w:val="auto"/>
          <w:sz w:val="20"/>
          <w:szCs w:val="20"/>
        </w:rPr>
        <w:fldChar w:fldCharType="begin"/>
      </w:r>
      <w:r w:rsidRPr="009200FF">
        <w:rPr>
          <w:b/>
          <w:i w:val="0"/>
          <w:color w:val="auto"/>
          <w:sz w:val="20"/>
          <w:szCs w:val="20"/>
        </w:rPr>
        <w:instrText xml:space="preserve"> SEQ Table \* ARABIC </w:instrText>
      </w:r>
      <w:r w:rsidR="00CC2B25" w:rsidRPr="009200FF">
        <w:rPr>
          <w:b/>
          <w:i w:val="0"/>
          <w:color w:val="auto"/>
          <w:sz w:val="20"/>
          <w:szCs w:val="20"/>
        </w:rPr>
        <w:fldChar w:fldCharType="separate"/>
      </w:r>
      <w:r w:rsidRPr="009200FF">
        <w:rPr>
          <w:b/>
          <w:i w:val="0"/>
          <w:noProof/>
          <w:color w:val="auto"/>
          <w:sz w:val="20"/>
          <w:szCs w:val="20"/>
        </w:rPr>
        <w:t>1</w:t>
      </w:r>
      <w:r w:rsidR="00CC2B25" w:rsidRPr="009200FF">
        <w:rPr>
          <w:b/>
          <w:i w:val="0"/>
          <w:color w:val="auto"/>
          <w:sz w:val="20"/>
          <w:szCs w:val="20"/>
        </w:rPr>
        <w:fldChar w:fldCharType="end"/>
      </w:r>
      <w:r w:rsidRPr="009200FF">
        <w:rPr>
          <w:b/>
          <w:i w:val="0"/>
          <w:color w:val="auto"/>
          <w:sz w:val="20"/>
          <w:szCs w:val="20"/>
        </w:rPr>
        <w:t xml:space="preserve"> - Governing Legislation</w:t>
      </w:r>
    </w:p>
    <w:tbl>
      <w:tblPr>
        <w:tblStyle w:val="TableGrid"/>
        <w:tblW w:w="0" w:type="auto"/>
        <w:tblInd w:w="108" w:type="dxa"/>
        <w:tblLook w:val="04A0" w:firstRow="1" w:lastRow="0" w:firstColumn="1" w:lastColumn="0" w:noHBand="0" w:noVBand="1"/>
      </w:tblPr>
      <w:tblGrid>
        <w:gridCol w:w="2340"/>
        <w:gridCol w:w="3780"/>
        <w:gridCol w:w="3240"/>
      </w:tblGrid>
      <w:tr w:rsidR="008164CF" w:rsidRPr="009200FF" w14:paraId="0F5D398B" w14:textId="77777777" w:rsidTr="00BA4C26">
        <w:tc>
          <w:tcPr>
            <w:tcW w:w="2340" w:type="dxa"/>
          </w:tcPr>
          <w:p w14:paraId="72C2F28A" w14:textId="77777777" w:rsidR="008164CF" w:rsidRPr="009200FF" w:rsidRDefault="008164CF" w:rsidP="00477343">
            <w:pPr>
              <w:jc w:val="center"/>
              <w:rPr>
                <w:rFonts w:cs="Times New Roman"/>
                <w:b/>
              </w:rPr>
            </w:pPr>
            <w:r w:rsidRPr="009200FF">
              <w:rPr>
                <w:rFonts w:cs="Times New Roman"/>
                <w:b/>
              </w:rPr>
              <w:t>Institution</w:t>
            </w:r>
          </w:p>
        </w:tc>
        <w:tc>
          <w:tcPr>
            <w:tcW w:w="3780" w:type="dxa"/>
          </w:tcPr>
          <w:p w14:paraId="3BDF82E8" w14:textId="77777777" w:rsidR="008164CF" w:rsidRPr="009200FF" w:rsidRDefault="008164CF" w:rsidP="00477343">
            <w:pPr>
              <w:jc w:val="center"/>
              <w:rPr>
                <w:rFonts w:cs="Times New Roman"/>
                <w:b/>
              </w:rPr>
            </w:pPr>
            <w:r w:rsidRPr="009200FF">
              <w:rPr>
                <w:rFonts w:cs="Times New Roman"/>
                <w:b/>
              </w:rPr>
              <w:t>Mandate</w:t>
            </w:r>
          </w:p>
        </w:tc>
        <w:tc>
          <w:tcPr>
            <w:tcW w:w="3240" w:type="dxa"/>
          </w:tcPr>
          <w:p w14:paraId="08ADD1FB" w14:textId="77777777" w:rsidR="008164CF" w:rsidRPr="009200FF" w:rsidRDefault="008164CF" w:rsidP="00477343">
            <w:pPr>
              <w:jc w:val="center"/>
              <w:rPr>
                <w:rFonts w:cs="Times New Roman"/>
                <w:b/>
              </w:rPr>
            </w:pPr>
            <w:r w:rsidRPr="009200FF">
              <w:rPr>
                <w:rFonts w:cs="Times New Roman"/>
                <w:b/>
              </w:rPr>
              <w:t>Related legislation</w:t>
            </w:r>
          </w:p>
        </w:tc>
      </w:tr>
      <w:tr w:rsidR="008164CF" w:rsidRPr="009200FF" w14:paraId="2AB8E0E4" w14:textId="77777777" w:rsidTr="00BA4C26">
        <w:tc>
          <w:tcPr>
            <w:tcW w:w="2340" w:type="dxa"/>
          </w:tcPr>
          <w:p w14:paraId="0675352F" w14:textId="77777777" w:rsidR="008164CF" w:rsidRPr="009200FF" w:rsidRDefault="008164CF" w:rsidP="00477343">
            <w:pPr>
              <w:rPr>
                <w:rFonts w:cs="Times New Roman"/>
              </w:rPr>
            </w:pPr>
            <w:r w:rsidRPr="009200FF">
              <w:rPr>
                <w:rFonts w:cs="Times New Roman"/>
              </w:rPr>
              <w:t>Directorate of Notary and Registries</w:t>
            </w:r>
          </w:p>
        </w:tc>
        <w:tc>
          <w:tcPr>
            <w:tcW w:w="3780" w:type="dxa"/>
          </w:tcPr>
          <w:p w14:paraId="5985FB94" w14:textId="77777777" w:rsidR="008164CF" w:rsidRPr="009200FF" w:rsidRDefault="008164CF" w:rsidP="00477343">
            <w:pPr>
              <w:pStyle w:val="HTMLPreformatted"/>
              <w:shd w:val="clear" w:color="auto" w:fill="FFFFFF"/>
              <w:jc w:val="both"/>
              <w:rPr>
                <w:rFonts w:asciiTheme="minorHAnsi" w:hAnsiTheme="minorHAnsi" w:cs="Times New Roman"/>
                <w:sz w:val="22"/>
                <w:szCs w:val="22"/>
              </w:rPr>
            </w:pPr>
            <w:r w:rsidRPr="009200FF">
              <w:rPr>
                <w:rFonts w:asciiTheme="minorHAnsi" w:hAnsiTheme="minorHAnsi" w:cs="Times New Roman"/>
                <w:sz w:val="22"/>
                <w:szCs w:val="22"/>
              </w:rPr>
              <w:t xml:space="preserve">Direct, guide and coordinate: </w:t>
            </w:r>
          </w:p>
          <w:p w14:paraId="04113CC1" w14:textId="77777777" w:rsidR="00BD568F" w:rsidRPr="009200FF" w:rsidRDefault="008164CF" w:rsidP="00477343">
            <w:pPr>
              <w:pStyle w:val="HTMLPreformatted"/>
              <w:numPr>
                <w:ilvl w:val="0"/>
                <w:numId w:val="9"/>
              </w:numPr>
              <w:shd w:val="clear" w:color="auto" w:fill="FFFFFF"/>
              <w:ind w:left="228" w:hanging="180"/>
              <w:rPr>
                <w:rFonts w:asciiTheme="minorHAnsi" w:hAnsiTheme="minorHAnsi" w:cs="Times New Roman"/>
                <w:sz w:val="22"/>
                <w:szCs w:val="22"/>
              </w:rPr>
            </w:pPr>
            <w:r w:rsidRPr="009200FF">
              <w:rPr>
                <w:rFonts w:asciiTheme="minorHAnsi" w:hAnsiTheme="minorHAnsi" w:cs="Times New Roman"/>
                <w:sz w:val="22"/>
                <w:szCs w:val="22"/>
              </w:rPr>
              <w:t>Civil Registry</w:t>
            </w:r>
          </w:p>
          <w:p w14:paraId="24545F61" w14:textId="77777777" w:rsidR="008164CF" w:rsidRPr="009200FF" w:rsidRDefault="008164CF" w:rsidP="00477343">
            <w:pPr>
              <w:pStyle w:val="HTMLPreformatted"/>
              <w:numPr>
                <w:ilvl w:val="0"/>
                <w:numId w:val="9"/>
              </w:numPr>
              <w:shd w:val="clear" w:color="auto" w:fill="FFFFFF"/>
              <w:ind w:left="228" w:hanging="180"/>
              <w:rPr>
                <w:rFonts w:asciiTheme="minorHAnsi" w:hAnsiTheme="minorHAnsi" w:cs="Times New Roman"/>
                <w:sz w:val="22"/>
                <w:szCs w:val="22"/>
              </w:rPr>
            </w:pPr>
            <w:r w:rsidRPr="009200FF">
              <w:rPr>
                <w:rFonts w:asciiTheme="minorHAnsi" w:hAnsiTheme="minorHAnsi" w:cs="Times New Roman"/>
                <w:sz w:val="22"/>
                <w:szCs w:val="22"/>
              </w:rPr>
              <w:t>Real Estate Registry</w:t>
            </w:r>
          </w:p>
          <w:p w14:paraId="53DBC69B" w14:textId="77777777" w:rsidR="008164CF" w:rsidRPr="009200FF" w:rsidRDefault="008164CF" w:rsidP="00477343">
            <w:pPr>
              <w:pStyle w:val="HTMLPreformatted"/>
              <w:numPr>
                <w:ilvl w:val="0"/>
                <w:numId w:val="9"/>
              </w:numPr>
              <w:shd w:val="clear" w:color="auto" w:fill="FFFFFF"/>
              <w:ind w:left="228" w:hanging="180"/>
              <w:rPr>
                <w:rFonts w:asciiTheme="minorHAnsi" w:hAnsiTheme="minorHAnsi" w:cs="Times New Roman"/>
                <w:sz w:val="22"/>
                <w:szCs w:val="22"/>
              </w:rPr>
            </w:pPr>
            <w:r w:rsidRPr="009200FF">
              <w:rPr>
                <w:rFonts w:asciiTheme="minorHAnsi" w:hAnsiTheme="minorHAnsi" w:cs="Times New Roman"/>
                <w:sz w:val="22"/>
                <w:szCs w:val="22"/>
              </w:rPr>
              <w:t>Vehicle Registry</w:t>
            </w:r>
          </w:p>
          <w:p w14:paraId="315F1541" w14:textId="77777777" w:rsidR="008164CF" w:rsidRPr="009200FF" w:rsidRDefault="008164CF" w:rsidP="00477343">
            <w:pPr>
              <w:pStyle w:val="HTMLPreformatted"/>
              <w:numPr>
                <w:ilvl w:val="0"/>
                <w:numId w:val="9"/>
              </w:numPr>
              <w:shd w:val="clear" w:color="auto" w:fill="FFFFFF"/>
              <w:ind w:left="228" w:hanging="180"/>
              <w:rPr>
                <w:rFonts w:asciiTheme="minorHAnsi" w:hAnsiTheme="minorHAnsi" w:cs="Times New Roman"/>
                <w:sz w:val="22"/>
                <w:szCs w:val="22"/>
              </w:rPr>
            </w:pPr>
            <w:r w:rsidRPr="009200FF">
              <w:rPr>
                <w:rFonts w:asciiTheme="minorHAnsi" w:hAnsiTheme="minorHAnsi" w:cs="Times New Roman"/>
                <w:sz w:val="22"/>
                <w:szCs w:val="22"/>
              </w:rPr>
              <w:t>Commercial Registry</w:t>
            </w:r>
          </w:p>
          <w:p w14:paraId="27BF3C80" w14:textId="77777777" w:rsidR="008164CF" w:rsidRPr="009200FF" w:rsidRDefault="008164CF" w:rsidP="00477343">
            <w:pPr>
              <w:pStyle w:val="HTMLPreformatted"/>
              <w:numPr>
                <w:ilvl w:val="0"/>
                <w:numId w:val="9"/>
              </w:numPr>
              <w:shd w:val="clear" w:color="auto" w:fill="FFFFFF"/>
              <w:ind w:left="228" w:hanging="180"/>
              <w:rPr>
                <w:rFonts w:asciiTheme="minorHAnsi" w:hAnsiTheme="minorHAnsi" w:cs="Times New Roman"/>
                <w:sz w:val="22"/>
                <w:szCs w:val="22"/>
              </w:rPr>
            </w:pPr>
            <w:r w:rsidRPr="009200FF">
              <w:rPr>
                <w:rFonts w:asciiTheme="minorHAnsi" w:hAnsiTheme="minorHAnsi" w:cs="Times New Roman"/>
                <w:sz w:val="22"/>
                <w:szCs w:val="22"/>
              </w:rPr>
              <w:t>Notary records</w:t>
            </w:r>
          </w:p>
        </w:tc>
        <w:tc>
          <w:tcPr>
            <w:tcW w:w="3240" w:type="dxa"/>
          </w:tcPr>
          <w:p w14:paraId="6E80C4D4" w14:textId="77777777" w:rsidR="008164CF" w:rsidRPr="009200FF" w:rsidRDefault="008164CF" w:rsidP="00477343">
            <w:pPr>
              <w:rPr>
                <w:rFonts w:eastAsia="Times New Roman" w:cs="Times New Roman"/>
              </w:rPr>
            </w:pPr>
            <w:r w:rsidRPr="009200FF">
              <w:rPr>
                <w:rFonts w:eastAsia="Times New Roman" w:cs="Times New Roman"/>
              </w:rPr>
              <w:t>Decree No. 43/09</w:t>
            </w:r>
          </w:p>
          <w:p w14:paraId="5D0BDA0C" w14:textId="77777777" w:rsidR="008164CF" w:rsidRPr="009200FF" w:rsidRDefault="008164CF" w:rsidP="00477343">
            <w:pPr>
              <w:rPr>
                <w:rFonts w:cs="Times New Roman"/>
              </w:rPr>
            </w:pPr>
          </w:p>
        </w:tc>
      </w:tr>
      <w:tr w:rsidR="008164CF" w:rsidRPr="00531C48" w14:paraId="48FAEC23" w14:textId="77777777" w:rsidTr="00BA4C26">
        <w:tc>
          <w:tcPr>
            <w:tcW w:w="2340" w:type="dxa"/>
          </w:tcPr>
          <w:p w14:paraId="11985F33" w14:textId="77777777" w:rsidR="008164CF" w:rsidRPr="009200FF" w:rsidRDefault="008164CF" w:rsidP="00477343">
            <w:pPr>
              <w:rPr>
                <w:rFonts w:cs="Times New Roman"/>
                <w:shd w:val="clear" w:color="auto" w:fill="FFFFFF"/>
              </w:rPr>
            </w:pPr>
            <w:r w:rsidRPr="009200FF">
              <w:rPr>
                <w:rFonts w:cs="Times New Roman"/>
                <w:shd w:val="clear" w:color="auto" w:fill="FFFFFF"/>
              </w:rPr>
              <w:t xml:space="preserve">Directorate of Geographical and </w:t>
            </w:r>
            <w:r w:rsidRPr="009200FF">
              <w:rPr>
                <w:rFonts w:cs="Times New Roman"/>
                <w:shd w:val="clear" w:color="auto" w:fill="FFFFFF"/>
              </w:rPr>
              <w:lastRenderedPageBreak/>
              <w:t>Cadastral Services</w:t>
            </w:r>
          </w:p>
        </w:tc>
        <w:tc>
          <w:tcPr>
            <w:tcW w:w="3780" w:type="dxa"/>
          </w:tcPr>
          <w:p w14:paraId="1D88EF3C" w14:textId="77777777" w:rsidR="008164CF" w:rsidRPr="009200FF" w:rsidRDefault="002744C0" w:rsidP="002744C0">
            <w:pPr>
              <w:rPr>
                <w:rFonts w:cs="Times New Roman"/>
              </w:rPr>
            </w:pPr>
            <w:r w:rsidRPr="009200FF">
              <w:lastRenderedPageBreak/>
              <w:t>Execute the cadastral and mapping policies</w:t>
            </w:r>
          </w:p>
        </w:tc>
        <w:tc>
          <w:tcPr>
            <w:tcW w:w="3240" w:type="dxa"/>
          </w:tcPr>
          <w:p w14:paraId="294EA41E" w14:textId="77777777" w:rsidR="008164CF" w:rsidRPr="009200FF" w:rsidRDefault="00BA4C26" w:rsidP="00BA4C26">
            <w:pPr>
              <w:rPr>
                <w:rFonts w:cs="Times New Roman"/>
                <w:lang w:val="pt-BR"/>
              </w:rPr>
            </w:pPr>
            <w:r w:rsidRPr="009200FF">
              <w:rPr>
                <w:rFonts w:cs="Times New Roman"/>
                <w:lang w:val="pt-BR"/>
              </w:rPr>
              <w:t>Lei Organica do Minist</w:t>
            </w:r>
            <w:r w:rsidR="00BD568F" w:rsidRPr="009200FF">
              <w:rPr>
                <w:rFonts w:cs="Times New Roman"/>
                <w:lang w:val="pt-BR"/>
              </w:rPr>
              <w:t>é</w:t>
            </w:r>
            <w:r w:rsidRPr="009200FF">
              <w:rPr>
                <w:rFonts w:cs="Times New Roman"/>
                <w:lang w:val="pt-BR"/>
              </w:rPr>
              <w:t xml:space="preserve">rio das Infraestruturas, Recursos </w:t>
            </w:r>
            <w:r w:rsidRPr="009200FF">
              <w:rPr>
                <w:rFonts w:cs="Times New Roman"/>
                <w:lang w:val="pt-BR"/>
              </w:rPr>
              <w:lastRenderedPageBreak/>
              <w:t xml:space="preserve">Naturais  e </w:t>
            </w:r>
            <w:r w:rsidR="00BD568F" w:rsidRPr="009200FF">
              <w:rPr>
                <w:rFonts w:cs="Times New Roman"/>
                <w:lang w:val="pt-BR"/>
              </w:rPr>
              <w:t xml:space="preserve">Meio </w:t>
            </w:r>
            <w:r w:rsidRPr="009200FF">
              <w:rPr>
                <w:rFonts w:cs="Times New Roman"/>
                <w:lang w:val="pt-BR"/>
              </w:rPr>
              <w:t>Ambiente</w:t>
            </w:r>
          </w:p>
        </w:tc>
      </w:tr>
      <w:tr w:rsidR="008164CF" w:rsidRPr="009200FF" w14:paraId="2388E50C" w14:textId="77777777" w:rsidTr="00BA4C26">
        <w:tc>
          <w:tcPr>
            <w:tcW w:w="2340" w:type="dxa"/>
          </w:tcPr>
          <w:p w14:paraId="5D41E15D" w14:textId="77777777" w:rsidR="008164CF" w:rsidRPr="009200FF" w:rsidRDefault="008164CF" w:rsidP="00477343">
            <w:pPr>
              <w:rPr>
                <w:rFonts w:cs="Times New Roman"/>
              </w:rPr>
            </w:pPr>
            <w:r w:rsidRPr="009200FF">
              <w:rPr>
                <w:rFonts w:cs="Times New Roman"/>
                <w:shd w:val="clear" w:color="auto" w:fill="FFFFFF"/>
              </w:rPr>
              <w:lastRenderedPageBreak/>
              <w:t>Ministry of Agriculture and Rural Development</w:t>
            </w:r>
          </w:p>
        </w:tc>
        <w:tc>
          <w:tcPr>
            <w:tcW w:w="3780" w:type="dxa"/>
          </w:tcPr>
          <w:p w14:paraId="436FA725" w14:textId="77777777" w:rsidR="008164CF" w:rsidRPr="009200FF" w:rsidRDefault="008164CF" w:rsidP="00477343">
            <w:pPr>
              <w:rPr>
                <w:rFonts w:cs="Times New Roman"/>
              </w:rPr>
            </w:pPr>
            <w:r w:rsidRPr="009200FF">
              <w:rPr>
                <w:rFonts w:cs="Times New Roman"/>
                <w:shd w:val="clear" w:color="auto" w:fill="FFFFFF"/>
              </w:rPr>
              <w:t>Design, implement and evaluate agricultural and rural development policy</w:t>
            </w:r>
          </w:p>
        </w:tc>
        <w:tc>
          <w:tcPr>
            <w:tcW w:w="3240" w:type="dxa"/>
          </w:tcPr>
          <w:p w14:paraId="2D6C01AC" w14:textId="77777777" w:rsidR="008164CF" w:rsidRPr="009200FF" w:rsidRDefault="008164CF" w:rsidP="00477343">
            <w:pPr>
              <w:rPr>
                <w:rFonts w:cs="Times New Roman"/>
              </w:rPr>
            </w:pPr>
            <w:r w:rsidRPr="009200FF">
              <w:rPr>
                <w:rFonts w:eastAsia="Times New Roman" w:cs="Times New Roman"/>
              </w:rPr>
              <w:t>Legislative Decree No. 1/2015</w:t>
            </w:r>
          </w:p>
        </w:tc>
      </w:tr>
      <w:tr w:rsidR="008164CF" w:rsidRPr="009200FF" w14:paraId="7D34C127" w14:textId="77777777" w:rsidTr="00BA4C26">
        <w:tc>
          <w:tcPr>
            <w:tcW w:w="2340" w:type="dxa"/>
          </w:tcPr>
          <w:p w14:paraId="55C7D4BA" w14:textId="77777777" w:rsidR="008164CF" w:rsidRPr="009200FF" w:rsidRDefault="008164CF" w:rsidP="00477343">
            <w:pPr>
              <w:rPr>
                <w:rFonts w:cs="Times New Roman"/>
              </w:rPr>
            </w:pPr>
            <w:r w:rsidRPr="009200FF">
              <w:rPr>
                <w:rFonts w:cs="Times New Roman"/>
                <w:shd w:val="clear" w:color="auto" w:fill="FFFFFF"/>
              </w:rPr>
              <w:t>Tax Directorate</w:t>
            </w:r>
          </w:p>
        </w:tc>
        <w:tc>
          <w:tcPr>
            <w:tcW w:w="3780" w:type="dxa"/>
          </w:tcPr>
          <w:p w14:paraId="6E38B577" w14:textId="77777777" w:rsidR="008164CF" w:rsidRPr="009200FF" w:rsidRDefault="008164CF" w:rsidP="00477343">
            <w:pPr>
              <w:rPr>
                <w:rFonts w:cs="Times New Roman"/>
              </w:rPr>
            </w:pPr>
            <w:r w:rsidRPr="009200FF">
              <w:rPr>
                <w:rFonts w:cs="Times New Roman"/>
              </w:rPr>
              <w:t>Carry out the tax policy and the fiscal administration of the State.</w:t>
            </w:r>
          </w:p>
        </w:tc>
        <w:tc>
          <w:tcPr>
            <w:tcW w:w="3240" w:type="dxa"/>
          </w:tcPr>
          <w:p w14:paraId="10968487" w14:textId="77777777" w:rsidR="008164CF" w:rsidRPr="009200FF" w:rsidRDefault="008164CF" w:rsidP="00477343">
            <w:pPr>
              <w:rPr>
                <w:rFonts w:eastAsia="Times New Roman" w:cs="Times New Roman"/>
              </w:rPr>
            </w:pPr>
            <w:r w:rsidRPr="009200FF">
              <w:rPr>
                <w:rFonts w:eastAsia="Times New Roman" w:cs="Times New Roman"/>
              </w:rPr>
              <w:t>Legislative Decree No. 27/2005</w:t>
            </w:r>
          </w:p>
          <w:p w14:paraId="7966F0E7" w14:textId="77777777" w:rsidR="008164CF" w:rsidRPr="009200FF" w:rsidRDefault="008164CF" w:rsidP="00477343">
            <w:pPr>
              <w:rPr>
                <w:rFonts w:cs="Times New Roman"/>
              </w:rPr>
            </w:pPr>
          </w:p>
        </w:tc>
      </w:tr>
      <w:tr w:rsidR="008164CF" w:rsidRPr="009200FF" w14:paraId="7389ACD4" w14:textId="77777777" w:rsidTr="00BA4C26">
        <w:tc>
          <w:tcPr>
            <w:tcW w:w="2340" w:type="dxa"/>
          </w:tcPr>
          <w:p w14:paraId="6BE30374" w14:textId="77777777" w:rsidR="008164CF" w:rsidRPr="009200FF" w:rsidRDefault="008164CF" w:rsidP="00477343">
            <w:pPr>
              <w:rPr>
                <w:rFonts w:cs="Times New Roman"/>
              </w:rPr>
            </w:pPr>
            <w:r w:rsidRPr="009200FF">
              <w:rPr>
                <w:rFonts w:cs="Times New Roman"/>
                <w:shd w:val="clear" w:color="auto" w:fill="FFFFFF"/>
              </w:rPr>
              <w:t>National Statistics Department</w:t>
            </w:r>
          </w:p>
        </w:tc>
        <w:tc>
          <w:tcPr>
            <w:tcW w:w="3780" w:type="dxa"/>
          </w:tcPr>
          <w:p w14:paraId="7F0876F1" w14:textId="77777777" w:rsidR="008164CF" w:rsidRPr="009200FF" w:rsidRDefault="008164CF" w:rsidP="00477343">
            <w:pPr>
              <w:rPr>
                <w:rFonts w:cs="Times New Roman"/>
              </w:rPr>
            </w:pPr>
            <w:r w:rsidRPr="009200FF">
              <w:rPr>
                <w:rFonts w:cs="Times New Roman"/>
              </w:rPr>
              <w:t>Produce and publicize statistical information relating to the economic, social, demographic, cultural</w:t>
            </w:r>
            <w:r w:rsidR="006639EC" w:rsidRPr="009200FF">
              <w:rPr>
                <w:rFonts w:cs="Times New Roman"/>
              </w:rPr>
              <w:t>,</w:t>
            </w:r>
            <w:r w:rsidRPr="009200FF">
              <w:rPr>
                <w:rFonts w:cs="Times New Roman"/>
              </w:rPr>
              <w:t xml:space="preserve"> and environmental domains in the country</w:t>
            </w:r>
          </w:p>
        </w:tc>
        <w:tc>
          <w:tcPr>
            <w:tcW w:w="3240" w:type="dxa"/>
          </w:tcPr>
          <w:p w14:paraId="02C7FADC" w14:textId="77777777" w:rsidR="008164CF" w:rsidRPr="009200FF" w:rsidRDefault="008164CF" w:rsidP="00477343">
            <w:pPr>
              <w:rPr>
                <w:rFonts w:cs="Times New Roman"/>
              </w:rPr>
            </w:pPr>
            <w:r w:rsidRPr="009200FF">
              <w:rPr>
                <w:rFonts w:cs="Times New Roman"/>
              </w:rPr>
              <w:t>Law 5/98 on the National Statistical System</w:t>
            </w:r>
          </w:p>
          <w:p w14:paraId="4CEF6E69" w14:textId="77777777" w:rsidR="008164CF" w:rsidRPr="009200FF" w:rsidRDefault="008164CF" w:rsidP="00477343">
            <w:pPr>
              <w:rPr>
                <w:rFonts w:cs="Times New Roman"/>
              </w:rPr>
            </w:pPr>
            <w:r w:rsidRPr="009200FF">
              <w:rPr>
                <w:rFonts w:cs="Times New Roman"/>
              </w:rPr>
              <w:t>Decree No. 12/2018</w:t>
            </w:r>
          </w:p>
          <w:p w14:paraId="186B9D99" w14:textId="77777777" w:rsidR="008164CF" w:rsidRPr="009200FF" w:rsidRDefault="008164CF" w:rsidP="00477343">
            <w:pPr>
              <w:rPr>
                <w:rFonts w:cs="Times New Roman"/>
              </w:rPr>
            </w:pPr>
            <w:r w:rsidRPr="009200FF">
              <w:rPr>
                <w:rFonts w:cs="Times New Roman"/>
              </w:rPr>
              <w:t>Legislative Decree No. 22/2011 on the National Statistics System</w:t>
            </w:r>
          </w:p>
        </w:tc>
      </w:tr>
      <w:tr w:rsidR="008164CF" w:rsidRPr="009200FF" w14:paraId="6C09B87C" w14:textId="77777777" w:rsidTr="00BA4C26">
        <w:tc>
          <w:tcPr>
            <w:tcW w:w="2340" w:type="dxa"/>
          </w:tcPr>
          <w:p w14:paraId="03B82E57" w14:textId="77777777" w:rsidR="008164CF" w:rsidRPr="009200FF" w:rsidRDefault="008164CF" w:rsidP="00477343">
            <w:pPr>
              <w:rPr>
                <w:rFonts w:cs="Times New Roman"/>
                <w:shd w:val="clear" w:color="auto" w:fill="FFFFFF"/>
              </w:rPr>
            </w:pPr>
            <w:r w:rsidRPr="009200FF">
              <w:rPr>
                <w:rFonts w:cs="Times New Roman"/>
                <w:shd w:val="clear" w:color="auto" w:fill="FFFFFF"/>
              </w:rPr>
              <w:t>Directorate of State Patrimony</w:t>
            </w:r>
          </w:p>
        </w:tc>
        <w:tc>
          <w:tcPr>
            <w:tcW w:w="3780" w:type="dxa"/>
          </w:tcPr>
          <w:p w14:paraId="4BD673AE" w14:textId="77777777" w:rsidR="008164CF" w:rsidRPr="009200FF" w:rsidRDefault="008164CF" w:rsidP="00477343">
            <w:pPr>
              <w:rPr>
                <w:rFonts w:cs="Times New Roman"/>
              </w:rPr>
            </w:pPr>
            <w:r w:rsidRPr="009200FF">
              <w:rPr>
                <w:rFonts w:cs="Times New Roman"/>
              </w:rPr>
              <w:t>Management of state</w:t>
            </w:r>
            <w:r w:rsidR="006639EC" w:rsidRPr="009200FF">
              <w:rPr>
                <w:rFonts w:cs="Times New Roman"/>
              </w:rPr>
              <w:t>-</w:t>
            </w:r>
            <w:r w:rsidRPr="009200FF">
              <w:rPr>
                <w:rFonts w:cs="Times New Roman"/>
              </w:rPr>
              <w:t>owned property</w:t>
            </w:r>
          </w:p>
        </w:tc>
        <w:tc>
          <w:tcPr>
            <w:tcW w:w="3240" w:type="dxa"/>
          </w:tcPr>
          <w:p w14:paraId="7D20BD43" w14:textId="77777777" w:rsidR="008164CF" w:rsidRPr="009200FF" w:rsidRDefault="008164CF" w:rsidP="00477343">
            <w:pPr>
              <w:rPr>
                <w:rFonts w:cs="Times New Roman"/>
              </w:rPr>
            </w:pPr>
            <w:r w:rsidRPr="009200FF">
              <w:rPr>
                <w:rFonts w:cs="Times New Roman"/>
              </w:rPr>
              <w:t>Decree No. 31/2009</w:t>
            </w:r>
          </w:p>
        </w:tc>
      </w:tr>
    </w:tbl>
    <w:p w14:paraId="4BF764B5" w14:textId="77777777" w:rsidR="007A17A3" w:rsidRPr="009200FF" w:rsidRDefault="007A17A3" w:rsidP="007A17A3">
      <w:pPr>
        <w:spacing w:before="240" w:after="120"/>
        <w:jc w:val="both"/>
        <w:rPr>
          <w:b/>
          <w:color w:val="365F91" w:themeColor="accent1" w:themeShade="BF"/>
          <w:sz w:val="24"/>
          <w:szCs w:val="24"/>
        </w:rPr>
      </w:pPr>
    </w:p>
    <w:p w14:paraId="6CDF50BD" w14:textId="77777777" w:rsidR="00AB3164" w:rsidRPr="009200FF" w:rsidRDefault="00133BA1" w:rsidP="00DD058F">
      <w:pPr>
        <w:pStyle w:val="ListParagraph"/>
        <w:numPr>
          <w:ilvl w:val="0"/>
          <w:numId w:val="11"/>
        </w:numPr>
        <w:spacing w:before="240" w:after="120"/>
        <w:ind w:left="648"/>
        <w:contextualSpacing w:val="0"/>
        <w:jc w:val="both"/>
        <w:rPr>
          <w:b/>
          <w:color w:val="365F91" w:themeColor="accent1" w:themeShade="BF"/>
          <w:sz w:val="24"/>
          <w:szCs w:val="24"/>
        </w:rPr>
      </w:pPr>
      <w:r w:rsidRPr="009200FF">
        <w:rPr>
          <w:b/>
          <w:color w:val="365F91" w:themeColor="accent1" w:themeShade="BF"/>
          <w:sz w:val="24"/>
          <w:szCs w:val="24"/>
        </w:rPr>
        <w:t>Efficient and sustainable</w:t>
      </w:r>
      <w:r w:rsidR="001F5B84" w:rsidRPr="009200FF">
        <w:rPr>
          <w:b/>
          <w:color w:val="365F91" w:themeColor="accent1" w:themeShade="BF"/>
          <w:sz w:val="24"/>
          <w:szCs w:val="24"/>
        </w:rPr>
        <w:t xml:space="preserve"> land </w:t>
      </w:r>
      <w:r w:rsidR="00DD058F" w:rsidRPr="009200FF">
        <w:rPr>
          <w:b/>
          <w:color w:val="365F91" w:themeColor="accent1" w:themeShade="BF"/>
          <w:sz w:val="24"/>
          <w:szCs w:val="24"/>
        </w:rPr>
        <w:t>administration</w:t>
      </w:r>
      <w:r w:rsidR="001F5B84" w:rsidRPr="009200FF">
        <w:rPr>
          <w:b/>
          <w:color w:val="365F91" w:themeColor="accent1" w:themeShade="BF"/>
          <w:sz w:val="24"/>
          <w:szCs w:val="24"/>
        </w:rPr>
        <w:t xml:space="preserve"> </w:t>
      </w:r>
      <w:r w:rsidR="00DD058F" w:rsidRPr="009200FF">
        <w:rPr>
          <w:b/>
          <w:color w:val="365F91" w:themeColor="accent1" w:themeShade="BF"/>
          <w:sz w:val="24"/>
          <w:szCs w:val="24"/>
        </w:rPr>
        <w:t xml:space="preserve">is hindered by a weak land governance system </w:t>
      </w:r>
    </w:p>
    <w:p w14:paraId="4E294C75" w14:textId="77777777" w:rsidR="005034DE" w:rsidRPr="009200FF" w:rsidRDefault="00942DFD" w:rsidP="007E0B3A">
      <w:pPr>
        <w:spacing w:after="120"/>
        <w:jc w:val="both"/>
        <w:rPr>
          <w:rFonts w:cstheme="minorHAnsi"/>
        </w:rPr>
      </w:pPr>
      <w:r w:rsidRPr="009200FF">
        <w:rPr>
          <w:rFonts w:cstheme="minorHAnsi"/>
        </w:rPr>
        <w:t>40</w:t>
      </w:r>
      <w:r w:rsidR="003508BB" w:rsidRPr="009200FF">
        <w:rPr>
          <w:rFonts w:cstheme="minorHAnsi"/>
          <w:b/>
        </w:rPr>
        <w:t>.</w:t>
      </w:r>
      <w:r w:rsidR="003508BB" w:rsidRPr="009200FF">
        <w:rPr>
          <w:rFonts w:cstheme="minorHAnsi"/>
          <w:b/>
        </w:rPr>
        <w:tab/>
      </w:r>
      <w:r w:rsidR="00DF1ACB" w:rsidRPr="009200FF">
        <w:rPr>
          <w:rFonts w:cstheme="minorHAnsi"/>
          <w:b/>
        </w:rPr>
        <w:t xml:space="preserve">The absence of a functioning land </w:t>
      </w:r>
      <w:r w:rsidR="00FA4920" w:rsidRPr="009200FF">
        <w:rPr>
          <w:rFonts w:cstheme="minorHAnsi"/>
          <w:b/>
        </w:rPr>
        <w:t>information</w:t>
      </w:r>
      <w:r w:rsidR="00DF1ACB" w:rsidRPr="009200FF">
        <w:rPr>
          <w:rFonts w:cstheme="minorHAnsi"/>
          <w:b/>
        </w:rPr>
        <w:t xml:space="preserve"> system is identified as the major constraint </w:t>
      </w:r>
      <w:r w:rsidR="000A67BB" w:rsidRPr="009200FF">
        <w:rPr>
          <w:rFonts w:cstheme="minorHAnsi"/>
          <w:b/>
        </w:rPr>
        <w:t xml:space="preserve">for the government </w:t>
      </w:r>
      <w:r w:rsidR="00CD67E2" w:rsidRPr="009200FF">
        <w:rPr>
          <w:rFonts w:cstheme="minorHAnsi"/>
          <w:b/>
        </w:rPr>
        <w:t xml:space="preserve">to </w:t>
      </w:r>
      <w:r w:rsidR="00DF1ACB" w:rsidRPr="009200FF">
        <w:rPr>
          <w:rFonts w:cstheme="minorHAnsi"/>
          <w:b/>
        </w:rPr>
        <w:t>perform sustain</w:t>
      </w:r>
      <w:r w:rsidR="00CD67E2" w:rsidRPr="009200FF">
        <w:rPr>
          <w:rFonts w:cstheme="minorHAnsi"/>
          <w:b/>
        </w:rPr>
        <w:t>able land governance operations</w:t>
      </w:r>
      <w:r w:rsidR="00DF1ACB" w:rsidRPr="009200FF">
        <w:rPr>
          <w:rFonts w:cstheme="minorHAnsi"/>
          <w:b/>
        </w:rPr>
        <w:t>.</w:t>
      </w:r>
      <w:r w:rsidR="00FA4920" w:rsidRPr="009200FF">
        <w:rPr>
          <w:rFonts w:cstheme="minorHAnsi"/>
          <w:b/>
        </w:rPr>
        <w:t xml:space="preserve"> </w:t>
      </w:r>
      <w:r w:rsidR="00FA4920" w:rsidRPr="009200FF">
        <w:rPr>
          <w:rFonts w:cstheme="minorHAnsi"/>
        </w:rPr>
        <w:t>The possibility to record, store</w:t>
      </w:r>
      <w:r w:rsidR="00C017B8" w:rsidRPr="009200FF">
        <w:rPr>
          <w:rFonts w:cstheme="minorHAnsi"/>
        </w:rPr>
        <w:t>,</w:t>
      </w:r>
      <w:r w:rsidR="00FA4920" w:rsidRPr="009200FF">
        <w:rPr>
          <w:rFonts w:cstheme="minorHAnsi"/>
        </w:rPr>
        <w:t xml:space="preserve"> and manage information related to land is </w:t>
      </w:r>
      <w:r w:rsidR="009723AB" w:rsidRPr="009200FF">
        <w:rPr>
          <w:rFonts w:cstheme="minorHAnsi"/>
        </w:rPr>
        <w:t>essential</w:t>
      </w:r>
      <w:r w:rsidR="00FA4920" w:rsidRPr="009200FF">
        <w:rPr>
          <w:rFonts w:cstheme="minorHAnsi"/>
        </w:rPr>
        <w:t xml:space="preserve"> for any land governance effort</w:t>
      </w:r>
      <w:r w:rsidR="00FA4920" w:rsidRPr="009200FF">
        <w:rPr>
          <w:rStyle w:val="FootnoteReference"/>
          <w:rFonts w:cstheme="minorHAnsi"/>
        </w:rPr>
        <w:footnoteReference w:id="22"/>
      </w:r>
      <w:r w:rsidR="00FD26F1" w:rsidRPr="009200FF">
        <w:rPr>
          <w:rFonts w:cstheme="minorHAnsi"/>
        </w:rPr>
        <w:t xml:space="preserve">. It is based on accurate and updated </w:t>
      </w:r>
      <w:r w:rsidR="002031F1" w:rsidRPr="009200FF">
        <w:rPr>
          <w:rFonts w:cstheme="minorHAnsi"/>
        </w:rPr>
        <w:t xml:space="preserve">land </w:t>
      </w:r>
      <w:r w:rsidR="00FD26F1" w:rsidRPr="009200FF">
        <w:rPr>
          <w:rFonts w:cstheme="minorHAnsi"/>
        </w:rPr>
        <w:t>information that governments can</w:t>
      </w:r>
      <w:r w:rsidR="002031F1" w:rsidRPr="009200FF">
        <w:rPr>
          <w:rFonts w:cstheme="minorHAnsi"/>
        </w:rPr>
        <w:t xml:space="preserve"> assign and </w:t>
      </w:r>
      <w:r w:rsidR="00FD26F1" w:rsidRPr="009200FF">
        <w:rPr>
          <w:rFonts w:cstheme="minorHAnsi"/>
        </w:rPr>
        <w:t xml:space="preserve">protect land rights, </w:t>
      </w:r>
      <w:r w:rsidR="002031F1" w:rsidRPr="009200FF">
        <w:rPr>
          <w:rFonts w:cstheme="minorHAnsi"/>
        </w:rPr>
        <w:t>value and tax property, manage the use of the resource, and implement dispute resolution mechanisms</w:t>
      </w:r>
      <w:r w:rsidR="005034DE" w:rsidRPr="009200FF">
        <w:rPr>
          <w:rFonts w:cstheme="minorHAnsi"/>
        </w:rPr>
        <w:t>, all of which are essential objectives of sustainable land governance.</w:t>
      </w:r>
      <w:r w:rsidR="00BA4C26" w:rsidRPr="009200FF">
        <w:rPr>
          <w:rFonts w:cstheme="minorHAnsi"/>
        </w:rPr>
        <w:t xml:space="preserve"> </w:t>
      </w:r>
    </w:p>
    <w:p w14:paraId="216710A1" w14:textId="3D52E55F" w:rsidR="00914003" w:rsidRPr="009200FF" w:rsidRDefault="00942DFD" w:rsidP="007E0B3A">
      <w:pPr>
        <w:spacing w:after="120"/>
        <w:jc w:val="both"/>
        <w:rPr>
          <w:rFonts w:cstheme="minorHAnsi"/>
        </w:rPr>
      </w:pPr>
      <w:r w:rsidRPr="009200FF">
        <w:rPr>
          <w:rFonts w:cstheme="minorHAnsi"/>
        </w:rPr>
        <w:t>41</w:t>
      </w:r>
      <w:r w:rsidR="00BA4C26" w:rsidRPr="009200FF">
        <w:rPr>
          <w:rFonts w:cstheme="minorHAnsi"/>
        </w:rPr>
        <w:t xml:space="preserve">. </w:t>
      </w:r>
      <w:r w:rsidR="00BA4C26" w:rsidRPr="009200FF">
        <w:rPr>
          <w:rFonts w:cstheme="minorHAnsi"/>
        </w:rPr>
        <w:tab/>
      </w:r>
      <w:r w:rsidR="00AA69B3" w:rsidRPr="009200FF">
        <w:rPr>
          <w:rFonts w:cstheme="minorHAnsi"/>
          <w:b/>
        </w:rPr>
        <w:t xml:space="preserve">The lack of </w:t>
      </w:r>
      <w:r w:rsidR="007F2B8D" w:rsidRPr="009200FF">
        <w:rPr>
          <w:rFonts w:cstheme="minorHAnsi"/>
          <w:b/>
        </w:rPr>
        <w:t xml:space="preserve">an </w:t>
      </w:r>
      <w:r w:rsidR="00AA69B3" w:rsidRPr="009200FF">
        <w:rPr>
          <w:rFonts w:cstheme="minorHAnsi"/>
          <w:b/>
        </w:rPr>
        <w:t xml:space="preserve">updated land information </w:t>
      </w:r>
      <w:r w:rsidR="007F2B8D" w:rsidRPr="009200FF">
        <w:rPr>
          <w:rFonts w:cstheme="minorHAnsi"/>
          <w:b/>
        </w:rPr>
        <w:t xml:space="preserve">system </w:t>
      </w:r>
      <w:r w:rsidR="00AA69B3" w:rsidRPr="009200FF">
        <w:rPr>
          <w:rFonts w:cstheme="minorHAnsi"/>
          <w:b/>
        </w:rPr>
        <w:t>also acts as a disincentive for private investment</w:t>
      </w:r>
      <w:r w:rsidR="00E35855" w:rsidRPr="009200FF">
        <w:rPr>
          <w:rFonts w:cstheme="minorHAnsi"/>
          <w:b/>
        </w:rPr>
        <w:t>.</w:t>
      </w:r>
      <w:r w:rsidR="00E35855" w:rsidRPr="009200FF">
        <w:rPr>
          <w:rFonts w:cstheme="minorHAnsi"/>
        </w:rPr>
        <w:t xml:space="preserve"> The uncertainty about ownership and enforcement of contracts produced by informal land tenure along with the impossibility to use land as collateral to access the credit market are the main barriers for investment</w:t>
      </w:r>
      <w:r w:rsidR="00F14F71" w:rsidRPr="009200FF">
        <w:rPr>
          <w:rFonts w:cstheme="minorHAnsi"/>
        </w:rPr>
        <w:t xml:space="preserve"> in the agricultural and tourism sectors</w:t>
      </w:r>
      <w:r w:rsidR="00E35855" w:rsidRPr="009200FF">
        <w:rPr>
          <w:rFonts w:cstheme="minorHAnsi"/>
        </w:rPr>
        <w:t xml:space="preserve">. </w:t>
      </w:r>
      <w:r w:rsidR="00E07A57" w:rsidRPr="009200FF">
        <w:rPr>
          <w:rFonts w:cstheme="minorHAnsi"/>
        </w:rPr>
        <w:t>Additionally</w:t>
      </w:r>
      <w:r w:rsidR="00AA69B3" w:rsidRPr="009200FF">
        <w:rPr>
          <w:rFonts w:cstheme="minorHAnsi"/>
        </w:rPr>
        <w:t xml:space="preserve">, the lack of information about land </w:t>
      </w:r>
      <w:r w:rsidR="00A63513" w:rsidRPr="009200FF">
        <w:rPr>
          <w:rFonts w:cstheme="minorHAnsi"/>
        </w:rPr>
        <w:t>act as a barrier to the</w:t>
      </w:r>
      <w:r w:rsidR="007D0F32" w:rsidRPr="009200FF">
        <w:rPr>
          <w:rFonts w:cstheme="minorHAnsi"/>
        </w:rPr>
        <w:t xml:space="preserve"> emergence of functioning land markets</w:t>
      </w:r>
      <w:r w:rsidR="00A63513" w:rsidRPr="009200FF">
        <w:rPr>
          <w:rFonts w:cstheme="minorHAnsi"/>
        </w:rPr>
        <w:t>, disincentivizing</w:t>
      </w:r>
      <w:r w:rsidR="007D0F32" w:rsidRPr="009200FF">
        <w:rPr>
          <w:rFonts w:cstheme="minorHAnsi"/>
        </w:rPr>
        <w:t xml:space="preserve"> </w:t>
      </w:r>
      <w:r w:rsidR="00AA69B3" w:rsidRPr="009200FF">
        <w:rPr>
          <w:rFonts w:cstheme="minorHAnsi"/>
        </w:rPr>
        <w:t xml:space="preserve">private investment in </w:t>
      </w:r>
      <w:r w:rsidR="007D0F32" w:rsidRPr="009200FF">
        <w:rPr>
          <w:rFonts w:cstheme="minorHAnsi"/>
        </w:rPr>
        <w:t xml:space="preserve">any sector requiring the acquisition of land.  </w:t>
      </w:r>
      <w:r w:rsidR="00AA69B3" w:rsidRPr="009200FF">
        <w:rPr>
          <w:rFonts w:cstheme="minorHAnsi"/>
        </w:rPr>
        <w:t xml:space="preserve">  </w:t>
      </w:r>
    </w:p>
    <w:p w14:paraId="09F5A817" w14:textId="77777777" w:rsidR="0062420A" w:rsidRPr="009200FF" w:rsidRDefault="00942DFD" w:rsidP="007E0B3A">
      <w:pPr>
        <w:spacing w:after="120"/>
        <w:jc w:val="both"/>
        <w:rPr>
          <w:rFonts w:cstheme="minorHAnsi"/>
        </w:rPr>
      </w:pPr>
      <w:r w:rsidRPr="009200FF">
        <w:rPr>
          <w:rFonts w:cstheme="minorHAnsi"/>
        </w:rPr>
        <w:t>42</w:t>
      </w:r>
      <w:r w:rsidR="003508BB" w:rsidRPr="009200FF">
        <w:rPr>
          <w:rFonts w:cstheme="minorHAnsi"/>
          <w:b/>
        </w:rPr>
        <w:t>.</w:t>
      </w:r>
      <w:r w:rsidR="003508BB" w:rsidRPr="009200FF">
        <w:rPr>
          <w:rFonts w:cstheme="minorHAnsi"/>
          <w:b/>
        </w:rPr>
        <w:tab/>
      </w:r>
      <w:r w:rsidR="009C2465" w:rsidRPr="009200FF">
        <w:rPr>
          <w:rFonts w:cstheme="minorHAnsi"/>
          <w:b/>
        </w:rPr>
        <w:t xml:space="preserve">Land information systems (property registry and cadastre) are deficient and outdated. </w:t>
      </w:r>
      <w:r w:rsidR="0062420A" w:rsidRPr="009200FF">
        <w:rPr>
          <w:rFonts w:cstheme="minorHAnsi"/>
        </w:rPr>
        <w:t xml:space="preserve">Property registries in </w:t>
      </w:r>
      <w:r w:rsidR="00230E89" w:rsidRPr="009200FF">
        <w:rPr>
          <w:rFonts w:cstheme="minorHAnsi"/>
        </w:rPr>
        <w:t>STP</w:t>
      </w:r>
      <w:r w:rsidR="0062420A" w:rsidRPr="009200FF">
        <w:rPr>
          <w:rFonts w:cstheme="minorHAnsi"/>
        </w:rPr>
        <w:t xml:space="preserve"> follow the </w:t>
      </w:r>
      <w:r w:rsidR="0062420A" w:rsidRPr="009200FF">
        <w:rPr>
          <w:rFonts w:cstheme="minorHAnsi"/>
          <w:i/>
        </w:rPr>
        <w:t>folio real</w:t>
      </w:r>
      <w:r w:rsidR="0062420A" w:rsidRPr="009200FF">
        <w:rPr>
          <w:rFonts w:cstheme="minorHAnsi"/>
        </w:rPr>
        <w:t xml:space="preserve"> system</w:t>
      </w:r>
      <w:r w:rsidR="0013467D" w:rsidRPr="009200FF">
        <w:rPr>
          <w:rStyle w:val="FootnoteReference"/>
          <w:rFonts w:cstheme="minorHAnsi"/>
        </w:rPr>
        <w:footnoteReference w:id="23"/>
      </w:r>
      <w:r w:rsidR="0062420A" w:rsidRPr="009200FF">
        <w:rPr>
          <w:rFonts w:cstheme="minorHAnsi"/>
        </w:rPr>
        <w:t>, are paper-based</w:t>
      </w:r>
      <w:r w:rsidR="00DC1CF1" w:rsidRPr="009200FF">
        <w:rPr>
          <w:rFonts w:cstheme="minorHAnsi"/>
        </w:rPr>
        <w:t>,</w:t>
      </w:r>
      <w:r w:rsidR="0062420A" w:rsidRPr="009200FF">
        <w:rPr>
          <w:rFonts w:cstheme="minorHAnsi"/>
        </w:rPr>
        <w:t xml:space="preserve"> and require manual bookkeeping. This method increases the risk of human error and generates risks in terms of security, transparency/corruption, and legal certainty. Given the physical filing of registries and the lack of a unique identification number, the information does not interoperate with other data</w:t>
      </w:r>
      <w:r w:rsidR="0013467D" w:rsidRPr="009200FF">
        <w:rPr>
          <w:rFonts w:cstheme="minorHAnsi"/>
        </w:rPr>
        <w:t>bases</w:t>
      </w:r>
      <w:r w:rsidR="0062420A" w:rsidRPr="009200FF">
        <w:rPr>
          <w:rFonts w:cstheme="minorHAnsi"/>
        </w:rPr>
        <w:t xml:space="preserve"> like the tax or cadastre registry</w:t>
      </w:r>
      <w:r w:rsidR="0013467D" w:rsidRPr="009200FF">
        <w:rPr>
          <w:rFonts w:cstheme="minorHAnsi"/>
        </w:rPr>
        <w:t>.</w:t>
      </w:r>
    </w:p>
    <w:p w14:paraId="303E254A" w14:textId="77777777" w:rsidR="009C2465" w:rsidRPr="009200FF" w:rsidRDefault="00942DFD" w:rsidP="007E0B3A">
      <w:pPr>
        <w:spacing w:after="120"/>
        <w:jc w:val="both"/>
        <w:rPr>
          <w:rFonts w:cstheme="minorHAnsi"/>
        </w:rPr>
      </w:pPr>
      <w:r w:rsidRPr="009200FF">
        <w:rPr>
          <w:rFonts w:cstheme="minorHAnsi"/>
        </w:rPr>
        <w:lastRenderedPageBreak/>
        <w:t>43</w:t>
      </w:r>
      <w:r w:rsidR="003508BB" w:rsidRPr="009200FF">
        <w:rPr>
          <w:rFonts w:cstheme="minorHAnsi"/>
          <w:b/>
        </w:rPr>
        <w:t>.</w:t>
      </w:r>
      <w:r w:rsidR="003508BB" w:rsidRPr="009200FF">
        <w:rPr>
          <w:rFonts w:cstheme="minorHAnsi"/>
          <w:b/>
        </w:rPr>
        <w:tab/>
      </w:r>
      <w:r w:rsidR="009C2465" w:rsidRPr="009200FF">
        <w:rPr>
          <w:rFonts w:cstheme="minorHAnsi"/>
          <w:b/>
        </w:rPr>
        <w:t xml:space="preserve">Cadastral </w:t>
      </w:r>
      <w:r w:rsidR="002B47AD" w:rsidRPr="009200FF">
        <w:rPr>
          <w:rFonts w:cstheme="minorHAnsi"/>
          <w:b/>
        </w:rPr>
        <w:t xml:space="preserve">management is </w:t>
      </w:r>
      <w:r w:rsidR="0001451C" w:rsidRPr="009200FF">
        <w:rPr>
          <w:rFonts w:cstheme="minorHAnsi"/>
          <w:b/>
        </w:rPr>
        <w:t>poor</w:t>
      </w:r>
      <w:r w:rsidR="002B47AD" w:rsidRPr="009200FF">
        <w:rPr>
          <w:rFonts w:cstheme="minorHAnsi"/>
          <w:b/>
        </w:rPr>
        <w:t xml:space="preserve"> and the information </w:t>
      </w:r>
      <w:r w:rsidR="0001451C" w:rsidRPr="009200FF">
        <w:rPr>
          <w:rFonts w:cstheme="minorHAnsi"/>
          <w:b/>
        </w:rPr>
        <w:t xml:space="preserve">is </w:t>
      </w:r>
      <w:r w:rsidR="002B47AD" w:rsidRPr="009200FF">
        <w:rPr>
          <w:rFonts w:cstheme="minorHAnsi"/>
          <w:b/>
        </w:rPr>
        <w:t>outdated</w:t>
      </w:r>
      <w:r w:rsidR="009C2465" w:rsidRPr="009200FF">
        <w:rPr>
          <w:rFonts w:cstheme="minorHAnsi"/>
          <w:b/>
        </w:rPr>
        <w:t xml:space="preserve">. </w:t>
      </w:r>
      <w:r w:rsidR="0001451C" w:rsidRPr="009200FF">
        <w:rPr>
          <w:rFonts w:cstheme="minorHAnsi"/>
        </w:rPr>
        <w:t>Geographical information of parcels is generated, stored, and managed ma</w:t>
      </w:r>
      <w:r w:rsidR="00CD37D7" w:rsidRPr="009200FF">
        <w:rPr>
          <w:rFonts w:cstheme="minorHAnsi"/>
        </w:rPr>
        <w:t xml:space="preserve">nually </w:t>
      </w:r>
      <w:r w:rsidR="00837D43" w:rsidRPr="009200FF">
        <w:rPr>
          <w:rFonts w:cstheme="minorHAnsi"/>
        </w:rPr>
        <w:t>like in</w:t>
      </w:r>
      <w:r w:rsidR="00CD37D7" w:rsidRPr="009200FF">
        <w:rPr>
          <w:rFonts w:cstheme="minorHAnsi"/>
        </w:rPr>
        <w:t xml:space="preserve"> the case of the Property R</w:t>
      </w:r>
      <w:r w:rsidR="0001451C" w:rsidRPr="009200FF">
        <w:rPr>
          <w:rFonts w:cstheme="minorHAnsi"/>
        </w:rPr>
        <w:t xml:space="preserve">egistry. </w:t>
      </w:r>
      <w:r w:rsidR="009C2465" w:rsidRPr="009200FF">
        <w:rPr>
          <w:rFonts w:cstheme="minorHAnsi"/>
        </w:rPr>
        <w:t xml:space="preserve">The geodetic control network (a reference system of fixed geographical coordinates, upon which all geographical information contained in cadastre systems is based) is not dense enough, which limits the accuracy of the information </w:t>
      </w:r>
      <w:r w:rsidR="0001451C" w:rsidRPr="009200FF">
        <w:rPr>
          <w:rFonts w:cstheme="minorHAnsi"/>
        </w:rPr>
        <w:t>produced.</w:t>
      </w:r>
      <w:r w:rsidR="009C2465" w:rsidRPr="009200FF">
        <w:rPr>
          <w:rFonts w:cstheme="minorHAnsi"/>
        </w:rPr>
        <w:t xml:space="preserve">    </w:t>
      </w:r>
    </w:p>
    <w:p w14:paraId="5B2964CB" w14:textId="365C40EA" w:rsidR="0001451C" w:rsidRPr="009200FF" w:rsidRDefault="00942DFD" w:rsidP="007E0B3A">
      <w:pPr>
        <w:spacing w:after="120"/>
        <w:jc w:val="both"/>
        <w:rPr>
          <w:rFonts w:cstheme="minorHAnsi"/>
          <w:b/>
        </w:rPr>
      </w:pPr>
      <w:r w:rsidRPr="009200FF">
        <w:rPr>
          <w:rFonts w:cstheme="minorHAnsi"/>
        </w:rPr>
        <w:t>44</w:t>
      </w:r>
      <w:r w:rsidR="0001451C" w:rsidRPr="009200FF">
        <w:rPr>
          <w:rFonts w:cstheme="minorHAnsi"/>
          <w:b/>
        </w:rPr>
        <w:t>.</w:t>
      </w:r>
      <w:r w:rsidR="0001451C" w:rsidRPr="009200FF">
        <w:rPr>
          <w:rFonts w:cstheme="minorHAnsi"/>
          <w:b/>
        </w:rPr>
        <w:tab/>
        <w:t xml:space="preserve">Cadastre functions are distributed </w:t>
      </w:r>
      <w:r w:rsidR="00A63513" w:rsidRPr="009200FF">
        <w:rPr>
          <w:rFonts w:cstheme="minorHAnsi"/>
          <w:b/>
        </w:rPr>
        <w:t>between two</w:t>
      </w:r>
      <w:r w:rsidR="0001451C" w:rsidRPr="009200FF">
        <w:rPr>
          <w:rFonts w:cstheme="minorHAnsi"/>
          <w:b/>
        </w:rPr>
        <w:t xml:space="preserve"> governmental agencies reducing the efficiency in data production processes. </w:t>
      </w:r>
      <w:r w:rsidR="0001451C" w:rsidRPr="009200FF">
        <w:rPr>
          <w:rFonts w:cstheme="minorHAnsi"/>
        </w:rPr>
        <w:t>Responsibilities over the production, storage, and management of cadastral information are shared by</w:t>
      </w:r>
      <w:r w:rsidR="00A63513" w:rsidRPr="009200FF">
        <w:rPr>
          <w:rFonts w:cs="Times New Roman"/>
          <w:shd w:val="clear" w:color="auto" w:fill="FFFFFF"/>
        </w:rPr>
        <w:t xml:space="preserve"> the Directorate of Geographical and Cadastral Services, and the Ministry of Agriculture and Rural Development</w:t>
      </w:r>
      <w:r w:rsidR="0001451C" w:rsidRPr="009200FF">
        <w:rPr>
          <w:rFonts w:cstheme="minorHAnsi"/>
        </w:rPr>
        <w:t>. This distribution of the same mandate</w:t>
      </w:r>
      <w:r w:rsidR="000D4708" w:rsidRPr="009200FF">
        <w:rPr>
          <w:rFonts w:cstheme="minorHAnsi"/>
        </w:rPr>
        <w:t xml:space="preserve"> increases the</w:t>
      </w:r>
      <w:r w:rsidR="0001451C" w:rsidRPr="009200FF">
        <w:rPr>
          <w:rFonts w:cstheme="minorHAnsi"/>
        </w:rPr>
        <w:t xml:space="preserve"> risks</w:t>
      </w:r>
      <w:r w:rsidR="000D4708" w:rsidRPr="009200FF">
        <w:rPr>
          <w:rFonts w:cstheme="minorHAnsi"/>
        </w:rPr>
        <w:t xml:space="preserve"> of</w:t>
      </w:r>
      <w:r w:rsidR="0001451C" w:rsidRPr="009200FF">
        <w:rPr>
          <w:rFonts w:cstheme="minorHAnsi"/>
        </w:rPr>
        <w:t xml:space="preserve"> applying </w:t>
      </w:r>
      <w:r w:rsidR="000D4708" w:rsidRPr="009200FF">
        <w:rPr>
          <w:rFonts w:cstheme="minorHAnsi"/>
        </w:rPr>
        <w:t>non-harmonized</w:t>
      </w:r>
      <w:r w:rsidR="0001451C" w:rsidRPr="009200FF">
        <w:rPr>
          <w:rFonts w:cstheme="minorHAnsi"/>
        </w:rPr>
        <w:t xml:space="preserve"> standards by different agencies</w:t>
      </w:r>
      <w:r w:rsidR="002D36E3" w:rsidRPr="009200FF">
        <w:rPr>
          <w:rFonts w:cstheme="minorHAnsi"/>
        </w:rPr>
        <w:t>, which</w:t>
      </w:r>
      <w:r w:rsidR="0001451C" w:rsidRPr="009200FF">
        <w:rPr>
          <w:rFonts w:cstheme="minorHAnsi"/>
        </w:rPr>
        <w:t xml:space="preserve"> </w:t>
      </w:r>
      <w:r w:rsidR="000D4708" w:rsidRPr="009200FF">
        <w:rPr>
          <w:rFonts w:cstheme="minorHAnsi"/>
        </w:rPr>
        <w:t xml:space="preserve">in turn </w:t>
      </w:r>
      <w:r w:rsidR="00A63513" w:rsidRPr="009200FF">
        <w:rPr>
          <w:rFonts w:cstheme="minorHAnsi"/>
        </w:rPr>
        <w:t>jeopardize</w:t>
      </w:r>
      <w:r w:rsidR="002D36E3" w:rsidRPr="009200FF">
        <w:rPr>
          <w:rFonts w:cstheme="minorHAnsi"/>
        </w:rPr>
        <w:t xml:space="preserve"> the</w:t>
      </w:r>
      <w:r w:rsidR="0001451C" w:rsidRPr="009200FF">
        <w:rPr>
          <w:rFonts w:cstheme="minorHAnsi"/>
        </w:rPr>
        <w:t xml:space="preserve"> accuracy and consistency </w:t>
      </w:r>
      <w:r w:rsidR="002D36E3" w:rsidRPr="009200FF">
        <w:rPr>
          <w:rFonts w:cstheme="minorHAnsi"/>
        </w:rPr>
        <w:t xml:space="preserve">of </w:t>
      </w:r>
      <w:r w:rsidR="0001451C" w:rsidRPr="009200FF">
        <w:rPr>
          <w:rFonts w:cstheme="minorHAnsi"/>
        </w:rPr>
        <w:t>the information.</w:t>
      </w:r>
    </w:p>
    <w:p w14:paraId="5E0CA293" w14:textId="77777777" w:rsidR="00914003" w:rsidRPr="009200FF" w:rsidRDefault="00942DFD" w:rsidP="007E0B3A">
      <w:pPr>
        <w:spacing w:after="120"/>
        <w:jc w:val="both"/>
        <w:rPr>
          <w:rFonts w:cstheme="minorHAnsi"/>
        </w:rPr>
      </w:pPr>
      <w:r w:rsidRPr="009200FF">
        <w:rPr>
          <w:rFonts w:cstheme="minorHAnsi"/>
        </w:rPr>
        <w:t>45</w:t>
      </w:r>
      <w:r w:rsidR="003508BB" w:rsidRPr="009200FF">
        <w:rPr>
          <w:rFonts w:cstheme="minorHAnsi"/>
          <w:b/>
        </w:rPr>
        <w:t>.</w:t>
      </w:r>
      <w:r w:rsidR="003508BB" w:rsidRPr="009200FF">
        <w:rPr>
          <w:rFonts w:cstheme="minorHAnsi"/>
          <w:b/>
        </w:rPr>
        <w:tab/>
      </w:r>
      <w:r w:rsidR="000E14C3" w:rsidRPr="009200FF">
        <w:rPr>
          <w:rFonts w:cstheme="minorHAnsi"/>
        </w:rPr>
        <w:t xml:space="preserve"> </w:t>
      </w:r>
      <w:r w:rsidR="00914003" w:rsidRPr="009200FF">
        <w:rPr>
          <w:rFonts w:cstheme="minorHAnsi"/>
          <w:b/>
        </w:rPr>
        <w:t xml:space="preserve">The absence of a unique identification number for parcels prevents the existence of an integrated information system. </w:t>
      </w:r>
      <w:r w:rsidR="00914003" w:rsidRPr="009200FF">
        <w:rPr>
          <w:rFonts w:cstheme="minorHAnsi"/>
        </w:rPr>
        <w:t>Without a common identifier</w:t>
      </w:r>
      <w:r w:rsidR="00820C4A" w:rsidRPr="009200FF">
        <w:rPr>
          <w:rFonts w:cstheme="minorHAnsi"/>
        </w:rPr>
        <w:t>,</w:t>
      </w:r>
      <w:r w:rsidR="00914003" w:rsidRPr="009200FF">
        <w:rPr>
          <w:rFonts w:cstheme="minorHAnsi"/>
        </w:rPr>
        <w:t xml:space="preserve"> data sources cannot connect to each other</w:t>
      </w:r>
      <w:r w:rsidR="00D72524" w:rsidRPr="009200FF">
        <w:rPr>
          <w:rFonts w:cstheme="minorHAnsi"/>
        </w:rPr>
        <w:t>, which precludes the</w:t>
      </w:r>
      <w:r w:rsidR="00914003" w:rsidRPr="009200FF">
        <w:rPr>
          <w:rFonts w:cstheme="minorHAnsi"/>
        </w:rPr>
        <w:t xml:space="preserve"> ownership information of a parcel produced by the property registry </w:t>
      </w:r>
      <w:r w:rsidR="00D72524" w:rsidRPr="009200FF">
        <w:rPr>
          <w:rFonts w:cstheme="minorHAnsi"/>
        </w:rPr>
        <w:t xml:space="preserve">to </w:t>
      </w:r>
      <w:r w:rsidR="00914003" w:rsidRPr="009200FF">
        <w:rPr>
          <w:rFonts w:cstheme="minorHAnsi"/>
        </w:rPr>
        <w:t xml:space="preserve">be integrated with its geographical location produced by the cadastre, rendering all land management efforts inefficient. The lack of interoperability among all these sources of information results in data fragmentation, increased transaction costs, prevents economies of scale and altogether affects the quality of information to inform policy formulation. </w:t>
      </w:r>
    </w:p>
    <w:p w14:paraId="25C5D1A6" w14:textId="6D4E50D5" w:rsidR="0001451C" w:rsidRPr="009200FF" w:rsidRDefault="00942DFD" w:rsidP="007E0B3A">
      <w:pPr>
        <w:spacing w:after="120"/>
        <w:jc w:val="both"/>
        <w:rPr>
          <w:rFonts w:cstheme="minorHAnsi"/>
        </w:rPr>
      </w:pPr>
      <w:r w:rsidRPr="009200FF">
        <w:rPr>
          <w:rFonts w:cstheme="minorHAnsi"/>
        </w:rPr>
        <w:t>46</w:t>
      </w:r>
      <w:r w:rsidR="00914003" w:rsidRPr="009200FF">
        <w:rPr>
          <w:rFonts w:cstheme="minorHAnsi"/>
        </w:rPr>
        <w:t>.</w:t>
      </w:r>
      <w:r w:rsidR="00914003" w:rsidRPr="009200FF">
        <w:rPr>
          <w:rFonts w:cstheme="minorHAnsi"/>
        </w:rPr>
        <w:tab/>
      </w:r>
      <w:r w:rsidR="0001451C" w:rsidRPr="009200FF">
        <w:rPr>
          <w:rFonts w:cstheme="minorHAnsi"/>
          <w:b/>
        </w:rPr>
        <w:t xml:space="preserve">The lack of formal titles still affects a vast proportion of the country. </w:t>
      </w:r>
      <w:r w:rsidR="0001451C" w:rsidRPr="009200FF">
        <w:rPr>
          <w:rFonts w:cstheme="minorHAnsi"/>
        </w:rPr>
        <w:t xml:space="preserve">Although the GDRN </w:t>
      </w:r>
      <w:r w:rsidR="007A64A7" w:rsidRPr="009200FF">
        <w:rPr>
          <w:rFonts w:cstheme="minorHAnsi"/>
        </w:rPr>
        <w:t xml:space="preserve">has </w:t>
      </w:r>
      <w:r w:rsidR="0001451C" w:rsidRPr="009200FF">
        <w:rPr>
          <w:rFonts w:cstheme="minorHAnsi"/>
        </w:rPr>
        <w:t>put in place an ambitious plan for the period between 2017 and 2019, and considerable improvements have been made</w:t>
      </w:r>
      <w:r w:rsidR="00CD37D7" w:rsidRPr="009200FF">
        <w:rPr>
          <w:rFonts w:cstheme="minorHAnsi"/>
        </w:rPr>
        <w:t xml:space="preserve"> </w:t>
      </w:r>
      <w:r w:rsidR="00A773E9" w:rsidRPr="009200FF">
        <w:rPr>
          <w:rFonts w:cstheme="minorHAnsi"/>
        </w:rPr>
        <w:t>i</w:t>
      </w:r>
      <w:r w:rsidR="00CD37D7" w:rsidRPr="009200FF">
        <w:rPr>
          <w:rFonts w:cstheme="minorHAnsi"/>
        </w:rPr>
        <w:t>n this front</w:t>
      </w:r>
      <w:r w:rsidR="0001451C" w:rsidRPr="009200FF">
        <w:rPr>
          <w:rFonts w:cstheme="minorHAnsi"/>
        </w:rPr>
        <w:t xml:space="preserve">, clear and formal property titles are inexistent in vast areas of the country (especially rural ones). As </w:t>
      </w:r>
      <w:r w:rsidR="00E07A57" w:rsidRPr="009200FF">
        <w:rPr>
          <w:rFonts w:cstheme="minorHAnsi"/>
        </w:rPr>
        <w:t>previously mentioned</w:t>
      </w:r>
      <w:r w:rsidR="0001451C" w:rsidRPr="009200FF">
        <w:rPr>
          <w:rFonts w:cstheme="minorHAnsi"/>
        </w:rPr>
        <w:t xml:space="preserve">, this situation limits tax revenue, hinders economic activity due to the low investment </w:t>
      </w:r>
      <w:r w:rsidR="00A63513" w:rsidRPr="009200FF">
        <w:rPr>
          <w:rFonts w:cstheme="minorHAnsi"/>
        </w:rPr>
        <w:t xml:space="preserve">levels </w:t>
      </w:r>
      <w:r w:rsidR="0001451C" w:rsidRPr="009200FF">
        <w:rPr>
          <w:rFonts w:cstheme="minorHAnsi"/>
        </w:rPr>
        <w:t xml:space="preserve">in informal lands (from local and foreign investors), and creates a situation </w:t>
      </w:r>
      <w:r w:rsidR="007A64A7" w:rsidRPr="009200FF">
        <w:rPr>
          <w:rFonts w:cstheme="minorHAnsi"/>
        </w:rPr>
        <w:t xml:space="preserve">in which </w:t>
      </w:r>
      <w:r w:rsidR="0001451C" w:rsidRPr="009200FF">
        <w:rPr>
          <w:rFonts w:cstheme="minorHAnsi"/>
        </w:rPr>
        <w:t>land cannot be used as collateral for credit.</w:t>
      </w:r>
    </w:p>
    <w:p w14:paraId="31088487" w14:textId="2D96E220" w:rsidR="007D0F32" w:rsidRPr="009200FF" w:rsidRDefault="00942DFD" w:rsidP="007E0B3A">
      <w:pPr>
        <w:spacing w:after="120"/>
        <w:jc w:val="both"/>
        <w:rPr>
          <w:rFonts w:cstheme="minorHAnsi"/>
        </w:rPr>
      </w:pPr>
      <w:r w:rsidRPr="009200FF">
        <w:rPr>
          <w:rFonts w:cstheme="minorHAnsi"/>
        </w:rPr>
        <w:t>47</w:t>
      </w:r>
      <w:r w:rsidR="007D0F32" w:rsidRPr="009200FF">
        <w:rPr>
          <w:rFonts w:cstheme="minorHAnsi"/>
        </w:rPr>
        <w:t xml:space="preserve">. </w:t>
      </w:r>
      <w:r w:rsidR="007D0F32" w:rsidRPr="009200FF">
        <w:rPr>
          <w:rFonts w:cstheme="minorHAnsi"/>
        </w:rPr>
        <w:tab/>
      </w:r>
      <w:r w:rsidR="007D0F32" w:rsidRPr="009200FF">
        <w:rPr>
          <w:rFonts w:cstheme="minorHAnsi"/>
          <w:b/>
        </w:rPr>
        <w:t>The existing legal framework governing land access increases transaction costs</w:t>
      </w:r>
      <w:r w:rsidR="00396615" w:rsidRPr="009200FF">
        <w:rPr>
          <w:rFonts w:cstheme="minorHAnsi"/>
          <w:b/>
        </w:rPr>
        <w:t xml:space="preserve"> </w:t>
      </w:r>
      <w:r w:rsidR="007D0F32" w:rsidRPr="009200FF">
        <w:rPr>
          <w:rFonts w:cstheme="minorHAnsi"/>
          <w:b/>
        </w:rPr>
        <w:t>and consequently affects investment</w:t>
      </w:r>
      <w:r w:rsidR="009D6684" w:rsidRPr="009200FF">
        <w:rPr>
          <w:rFonts w:cstheme="minorHAnsi"/>
          <w:b/>
        </w:rPr>
        <w:t>s</w:t>
      </w:r>
      <w:r w:rsidR="007D0F32" w:rsidRPr="009200FF">
        <w:rPr>
          <w:rFonts w:cstheme="minorHAnsi"/>
          <w:b/>
        </w:rPr>
        <w:t xml:space="preserve">. </w:t>
      </w:r>
      <w:r w:rsidR="007D0F32" w:rsidRPr="009200FF">
        <w:rPr>
          <w:rFonts w:cstheme="minorHAnsi"/>
        </w:rPr>
        <w:t>The fact that r</w:t>
      </w:r>
      <w:r w:rsidR="00E85F13" w:rsidRPr="009200FF">
        <w:rPr>
          <w:rFonts w:cstheme="minorHAnsi"/>
        </w:rPr>
        <w:t xml:space="preserve">ural property cannot be exchanged freely but requires a governmental authorization acts as an unnecessary obstacle to the execution of projects requiring </w:t>
      </w:r>
      <w:r w:rsidR="004607FB" w:rsidRPr="009200FF">
        <w:rPr>
          <w:rFonts w:cstheme="minorHAnsi"/>
        </w:rPr>
        <w:t>rural land</w:t>
      </w:r>
      <w:r w:rsidR="00E85F13" w:rsidRPr="009200FF">
        <w:rPr>
          <w:rFonts w:cstheme="minorHAnsi"/>
        </w:rPr>
        <w:t xml:space="preserve"> acquisition</w:t>
      </w:r>
      <w:r w:rsidR="004607FB" w:rsidRPr="009200FF">
        <w:rPr>
          <w:rFonts w:cstheme="minorHAnsi"/>
        </w:rPr>
        <w:t>s</w:t>
      </w:r>
      <w:r w:rsidR="00E85F13" w:rsidRPr="009200FF">
        <w:rPr>
          <w:rFonts w:cstheme="minorHAnsi"/>
        </w:rPr>
        <w:t>. In a similar line, t</w:t>
      </w:r>
      <w:r w:rsidR="007D0F32" w:rsidRPr="009200FF">
        <w:rPr>
          <w:rFonts w:cstheme="minorHAnsi"/>
        </w:rPr>
        <w:t xml:space="preserve">he lack of a comprehensive policy regulating investment for land acquisition </w:t>
      </w:r>
      <w:r w:rsidR="00E85F13" w:rsidRPr="009200FF">
        <w:rPr>
          <w:rFonts w:cstheme="minorHAnsi"/>
        </w:rPr>
        <w:t xml:space="preserve">by foreign individuals or commercial companies </w:t>
      </w:r>
      <w:r w:rsidR="007D0F32" w:rsidRPr="009200FF">
        <w:rPr>
          <w:rFonts w:cstheme="minorHAnsi"/>
        </w:rPr>
        <w:t xml:space="preserve">creates a legal </w:t>
      </w:r>
      <w:r w:rsidR="00396615" w:rsidRPr="009200FF">
        <w:rPr>
          <w:rFonts w:cstheme="minorHAnsi"/>
        </w:rPr>
        <w:t>gap</w:t>
      </w:r>
      <w:r w:rsidR="007D0F32" w:rsidRPr="009200FF">
        <w:rPr>
          <w:rFonts w:cstheme="minorHAnsi"/>
        </w:rPr>
        <w:t xml:space="preserve"> that generates uncertainty and consequently keeps investment</w:t>
      </w:r>
      <w:r w:rsidR="006B14CD" w:rsidRPr="009200FF">
        <w:rPr>
          <w:rFonts w:cstheme="minorHAnsi"/>
        </w:rPr>
        <w:t>s</w:t>
      </w:r>
      <w:r w:rsidR="007D0F32" w:rsidRPr="009200FF">
        <w:rPr>
          <w:rFonts w:cstheme="minorHAnsi"/>
        </w:rPr>
        <w:t xml:space="preserve"> away. </w:t>
      </w:r>
    </w:p>
    <w:p w14:paraId="2ED103DD" w14:textId="77777777" w:rsidR="007A17A3" w:rsidRPr="009200FF" w:rsidRDefault="00942DFD" w:rsidP="007E0B3A">
      <w:pPr>
        <w:spacing w:after="120"/>
        <w:jc w:val="both"/>
        <w:rPr>
          <w:rFonts w:cstheme="minorHAnsi"/>
        </w:rPr>
      </w:pPr>
      <w:r w:rsidRPr="009200FF">
        <w:rPr>
          <w:rFonts w:cstheme="minorHAnsi"/>
        </w:rPr>
        <w:t>48</w:t>
      </w:r>
      <w:r w:rsidR="003508BB" w:rsidRPr="009200FF">
        <w:rPr>
          <w:rFonts w:cstheme="minorHAnsi"/>
        </w:rPr>
        <w:t>.</w:t>
      </w:r>
      <w:r w:rsidR="003508BB" w:rsidRPr="009200FF">
        <w:rPr>
          <w:rFonts w:cstheme="minorHAnsi"/>
          <w:b/>
        </w:rPr>
        <w:tab/>
      </w:r>
      <w:r w:rsidR="00E42DCD" w:rsidRPr="009200FF">
        <w:rPr>
          <w:rFonts w:cstheme="minorHAnsi"/>
          <w:b/>
        </w:rPr>
        <w:t>Women’s</w:t>
      </w:r>
      <w:r w:rsidR="00FE1165" w:rsidRPr="009200FF">
        <w:rPr>
          <w:rFonts w:cstheme="minorHAnsi"/>
          <w:b/>
        </w:rPr>
        <w:t xml:space="preserve"> rights to property can be enhanced</w:t>
      </w:r>
      <w:r w:rsidR="007549F7" w:rsidRPr="009200FF">
        <w:rPr>
          <w:rFonts w:cstheme="minorHAnsi"/>
          <w:b/>
        </w:rPr>
        <w:t xml:space="preserve"> through legal changes</w:t>
      </w:r>
      <w:r w:rsidR="00193406" w:rsidRPr="009200FF">
        <w:rPr>
          <w:rFonts w:cstheme="minorHAnsi"/>
          <w:b/>
        </w:rPr>
        <w:t>.</w:t>
      </w:r>
      <w:r w:rsidR="00193406" w:rsidRPr="009200FF">
        <w:rPr>
          <w:rFonts w:cstheme="minorHAnsi"/>
        </w:rPr>
        <w:t xml:space="preserve"> In many cases women are unaware of their land property rights or do not have the necessary documents or evidence to enforce their land rights. </w:t>
      </w:r>
      <w:r w:rsidR="00184F90" w:rsidRPr="009200FF">
        <w:rPr>
          <w:rFonts w:cstheme="minorHAnsi"/>
        </w:rPr>
        <w:t>Although existing legislation requires the declaration of both members in a couple, the challenge lies in maintaining the protection of women's rights even in cases of de-facto marital unions.</w:t>
      </w:r>
      <w:r w:rsidR="007E0B3A" w:rsidRPr="009200FF">
        <w:rPr>
          <w:rFonts w:cstheme="minorHAnsi"/>
        </w:rPr>
        <w:t xml:space="preserve"> </w:t>
      </w:r>
      <w:r w:rsidR="00193406" w:rsidRPr="009200FF">
        <w:rPr>
          <w:rFonts w:cstheme="minorHAnsi"/>
        </w:rPr>
        <w:t>In this sense, the Community of Portuguese</w:t>
      </w:r>
      <w:r w:rsidR="00F761EE" w:rsidRPr="009200FF">
        <w:rPr>
          <w:rFonts w:cstheme="minorHAnsi"/>
        </w:rPr>
        <w:t xml:space="preserve">-Speaking </w:t>
      </w:r>
      <w:r w:rsidR="00193406" w:rsidRPr="009200FF">
        <w:rPr>
          <w:rFonts w:cstheme="minorHAnsi"/>
        </w:rPr>
        <w:t>Countries (of which STP is a member) intends to propose non-discriminatory public policies and laws on land rights that recognize and protect the rights of women.</w:t>
      </w:r>
    </w:p>
    <w:p w14:paraId="238E0071" w14:textId="65706B71" w:rsidR="0024705A" w:rsidRPr="009200FF" w:rsidRDefault="00F766A7" w:rsidP="007E0B3A">
      <w:pPr>
        <w:pStyle w:val="ListParagraph"/>
        <w:numPr>
          <w:ilvl w:val="0"/>
          <w:numId w:val="11"/>
        </w:numPr>
        <w:spacing w:before="240" w:after="120"/>
        <w:ind w:left="648"/>
        <w:contextualSpacing w:val="0"/>
        <w:jc w:val="both"/>
        <w:rPr>
          <w:b/>
          <w:color w:val="365F91" w:themeColor="accent1" w:themeShade="BF"/>
          <w:sz w:val="24"/>
          <w:szCs w:val="24"/>
        </w:rPr>
      </w:pPr>
      <w:r w:rsidRPr="009200FF">
        <w:rPr>
          <w:b/>
          <w:color w:val="365F91" w:themeColor="accent1" w:themeShade="BF"/>
          <w:sz w:val="24"/>
          <w:szCs w:val="24"/>
        </w:rPr>
        <w:t>A</w:t>
      </w:r>
      <w:r w:rsidR="00F309FC" w:rsidRPr="009200FF">
        <w:rPr>
          <w:b/>
          <w:color w:val="365F91" w:themeColor="accent1" w:themeShade="BF"/>
          <w:sz w:val="24"/>
          <w:szCs w:val="24"/>
        </w:rPr>
        <w:t>ctivities currently in execution</w:t>
      </w:r>
      <w:r w:rsidR="00133BA1" w:rsidRPr="009200FF">
        <w:rPr>
          <w:b/>
          <w:color w:val="365F91" w:themeColor="accent1" w:themeShade="BF"/>
          <w:sz w:val="24"/>
          <w:szCs w:val="24"/>
        </w:rPr>
        <w:t xml:space="preserve"> will </w:t>
      </w:r>
      <w:r w:rsidR="00396615" w:rsidRPr="009200FF">
        <w:rPr>
          <w:b/>
          <w:color w:val="365F91" w:themeColor="accent1" w:themeShade="BF"/>
          <w:sz w:val="24"/>
          <w:szCs w:val="24"/>
        </w:rPr>
        <w:t xml:space="preserve">facilitate </w:t>
      </w:r>
      <w:r w:rsidR="00133BA1" w:rsidRPr="009200FF">
        <w:rPr>
          <w:b/>
          <w:color w:val="365F91" w:themeColor="accent1" w:themeShade="BF"/>
          <w:sz w:val="24"/>
          <w:szCs w:val="24"/>
        </w:rPr>
        <w:t xml:space="preserve">the </w:t>
      </w:r>
      <w:r w:rsidR="00396615" w:rsidRPr="009200FF">
        <w:rPr>
          <w:b/>
          <w:color w:val="365F91" w:themeColor="accent1" w:themeShade="BF"/>
          <w:sz w:val="24"/>
          <w:szCs w:val="24"/>
        </w:rPr>
        <w:t xml:space="preserve">development </w:t>
      </w:r>
      <w:r w:rsidR="00133BA1" w:rsidRPr="009200FF">
        <w:rPr>
          <w:b/>
          <w:color w:val="365F91" w:themeColor="accent1" w:themeShade="BF"/>
          <w:sz w:val="24"/>
          <w:szCs w:val="24"/>
        </w:rPr>
        <w:t>of the rural and tourism sectors</w:t>
      </w:r>
    </w:p>
    <w:p w14:paraId="19B3A9A6" w14:textId="614CB333" w:rsidR="00C16513" w:rsidRPr="009200FF" w:rsidRDefault="008A78B2" w:rsidP="00364A13">
      <w:pPr>
        <w:spacing w:after="120"/>
        <w:jc w:val="both"/>
        <w:rPr>
          <w:rFonts w:cstheme="minorHAnsi"/>
        </w:rPr>
      </w:pPr>
      <w:r w:rsidRPr="009200FF">
        <w:rPr>
          <w:rFonts w:cstheme="minorHAnsi"/>
        </w:rPr>
        <w:lastRenderedPageBreak/>
        <w:t>4</w:t>
      </w:r>
      <w:r w:rsidR="00942DFD" w:rsidRPr="009200FF">
        <w:rPr>
          <w:rFonts w:cstheme="minorHAnsi"/>
        </w:rPr>
        <w:t>9</w:t>
      </w:r>
      <w:r w:rsidRPr="009200FF">
        <w:rPr>
          <w:rFonts w:cstheme="minorHAnsi"/>
        </w:rPr>
        <w:t xml:space="preserve">. </w:t>
      </w:r>
      <w:r w:rsidRPr="009200FF">
        <w:rPr>
          <w:rFonts w:cstheme="minorHAnsi"/>
        </w:rPr>
        <w:tab/>
      </w:r>
      <w:r w:rsidR="00133BA1" w:rsidRPr="009200FF">
        <w:rPr>
          <w:rFonts w:cstheme="minorHAnsi"/>
          <w:b/>
        </w:rPr>
        <w:t>The Sao Tomean Government recognizes t</w:t>
      </w:r>
      <w:r w:rsidR="00F766A7" w:rsidRPr="009200FF">
        <w:rPr>
          <w:rFonts w:cstheme="minorHAnsi"/>
          <w:b/>
        </w:rPr>
        <w:t xml:space="preserve">he absence of a proper land administration system </w:t>
      </w:r>
      <w:r w:rsidR="00AB35F4" w:rsidRPr="009200FF">
        <w:rPr>
          <w:rFonts w:cstheme="minorHAnsi"/>
          <w:b/>
        </w:rPr>
        <w:t xml:space="preserve">as a limitation to its rural development </w:t>
      </w:r>
      <w:r w:rsidR="00C16513" w:rsidRPr="009200FF">
        <w:rPr>
          <w:rFonts w:cstheme="minorHAnsi"/>
          <w:b/>
        </w:rPr>
        <w:t xml:space="preserve">and tourism </w:t>
      </w:r>
      <w:r w:rsidR="00AB35F4" w:rsidRPr="009200FF">
        <w:rPr>
          <w:rFonts w:cstheme="minorHAnsi"/>
          <w:b/>
        </w:rPr>
        <w:t>initiatives.</w:t>
      </w:r>
      <w:r w:rsidR="00AB35F4" w:rsidRPr="009200FF">
        <w:rPr>
          <w:rFonts w:cstheme="minorHAnsi"/>
        </w:rPr>
        <w:t xml:space="preserve">  </w:t>
      </w:r>
      <w:proofErr w:type="gramStart"/>
      <w:r w:rsidR="00AB35F4" w:rsidRPr="009200FF">
        <w:rPr>
          <w:rFonts w:cstheme="minorHAnsi"/>
        </w:rPr>
        <w:t>In order to</w:t>
      </w:r>
      <w:proofErr w:type="gramEnd"/>
      <w:r w:rsidR="00AB35F4" w:rsidRPr="009200FF">
        <w:rPr>
          <w:rFonts w:cstheme="minorHAnsi"/>
        </w:rPr>
        <w:t xml:space="preserve"> address this </w:t>
      </w:r>
      <w:r w:rsidR="00C16513" w:rsidRPr="009200FF">
        <w:rPr>
          <w:rFonts w:cstheme="minorHAnsi"/>
        </w:rPr>
        <w:t>situation a set of actions in the technical, legal, and institutional realms is currently in execution</w:t>
      </w:r>
      <w:r w:rsidR="00396615" w:rsidRPr="009200FF">
        <w:rPr>
          <w:rFonts w:cstheme="minorHAnsi"/>
        </w:rPr>
        <w:t>, aiming to positively impact rural and tourism sectors.</w:t>
      </w:r>
      <w:r w:rsidR="00C16513" w:rsidRPr="009200FF">
        <w:rPr>
          <w:rFonts w:cstheme="minorHAnsi"/>
        </w:rPr>
        <w:t xml:space="preserve"> </w:t>
      </w:r>
    </w:p>
    <w:p w14:paraId="1C7FFA6E" w14:textId="22531B61" w:rsidR="00EA5D39" w:rsidRPr="009200FF" w:rsidRDefault="00942DFD" w:rsidP="00364A13">
      <w:pPr>
        <w:spacing w:after="120"/>
        <w:jc w:val="both"/>
        <w:rPr>
          <w:rFonts w:cstheme="minorHAnsi"/>
        </w:rPr>
      </w:pPr>
      <w:r w:rsidRPr="009200FF">
        <w:rPr>
          <w:rFonts w:cstheme="minorHAnsi"/>
        </w:rPr>
        <w:t>50</w:t>
      </w:r>
      <w:r w:rsidR="005B3342" w:rsidRPr="009200FF">
        <w:rPr>
          <w:rFonts w:cstheme="minorHAnsi"/>
        </w:rPr>
        <w:t xml:space="preserve">. </w:t>
      </w:r>
      <w:r w:rsidR="00433395" w:rsidRPr="009200FF">
        <w:rPr>
          <w:rFonts w:cstheme="minorHAnsi"/>
        </w:rPr>
        <w:tab/>
      </w:r>
      <w:r w:rsidR="0013184F" w:rsidRPr="009200FF">
        <w:rPr>
          <w:rFonts w:cstheme="minorHAnsi"/>
          <w:b/>
        </w:rPr>
        <w:t>For example, a</w:t>
      </w:r>
      <w:r w:rsidR="0050448D" w:rsidRPr="009200FF">
        <w:rPr>
          <w:rFonts w:cstheme="minorHAnsi"/>
          <w:b/>
        </w:rPr>
        <w:t xml:space="preserve">ddressing </w:t>
      </w:r>
      <w:r w:rsidR="0013184F" w:rsidRPr="009200FF">
        <w:rPr>
          <w:rFonts w:cstheme="minorHAnsi"/>
          <w:b/>
        </w:rPr>
        <w:t>one</w:t>
      </w:r>
      <w:r w:rsidR="0050448D" w:rsidRPr="009200FF">
        <w:rPr>
          <w:rFonts w:cstheme="minorHAnsi"/>
          <w:b/>
        </w:rPr>
        <w:t xml:space="preserve"> of the </w:t>
      </w:r>
      <w:r w:rsidR="0013184F" w:rsidRPr="009200FF">
        <w:rPr>
          <w:rFonts w:cstheme="minorHAnsi"/>
          <w:b/>
        </w:rPr>
        <w:t xml:space="preserve">most salient </w:t>
      </w:r>
      <w:r w:rsidR="0050448D" w:rsidRPr="009200FF">
        <w:rPr>
          <w:rFonts w:cstheme="minorHAnsi"/>
          <w:b/>
        </w:rPr>
        <w:t xml:space="preserve">technical issues, </w:t>
      </w:r>
      <w:r w:rsidR="0013184F" w:rsidRPr="009200FF">
        <w:rPr>
          <w:rFonts w:cstheme="minorHAnsi"/>
          <w:b/>
        </w:rPr>
        <w:t xml:space="preserve">the lack of digitized information, </w:t>
      </w:r>
      <w:r w:rsidR="0050448D" w:rsidRPr="009200FF">
        <w:rPr>
          <w:rFonts w:cstheme="minorHAnsi"/>
          <w:b/>
        </w:rPr>
        <w:t>t</w:t>
      </w:r>
      <w:r w:rsidR="005779A4" w:rsidRPr="009200FF">
        <w:rPr>
          <w:rFonts w:cstheme="minorHAnsi"/>
          <w:b/>
        </w:rPr>
        <w:t xml:space="preserve">he </w:t>
      </w:r>
      <w:r w:rsidR="00AF20A7" w:rsidRPr="009200FF">
        <w:rPr>
          <w:rFonts w:cstheme="minorHAnsi"/>
          <w:b/>
        </w:rPr>
        <w:t xml:space="preserve">government </w:t>
      </w:r>
      <w:r w:rsidR="005779A4" w:rsidRPr="009200FF">
        <w:rPr>
          <w:rFonts w:cstheme="minorHAnsi"/>
          <w:b/>
        </w:rPr>
        <w:t xml:space="preserve">recently </w:t>
      </w:r>
      <w:r w:rsidR="00D17996" w:rsidRPr="009200FF">
        <w:rPr>
          <w:rFonts w:cstheme="minorHAnsi"/>
          <w:b/>
        </w:rPr>
        <w:t xml:space="preserve">decided to </w:t>
      </w:r>
      <w:r w:rsidR="00AF20A7" w:rsidRPr="009200FF">
        <w:rPr>
          <w:rFonts w:cstheme="minorHAnsi"/>
          <w:b/>
        </w:rPr>
        <w:t xml:space="preserve">implement a </w:t>
      </w:r>
      <w:r w:rsidR="00EA5D39" w:rsidRPr="009200FF">
        <w:rPr>
          <w:rFonts w:cstheme="minorHAnsi"/>
          <w:b/>
        </w:rPr>
        <w:t xml:space="preserve">digital </w:t>
      </w:r>
      <w:r w:rsidR="00AF20A7" w:rsidRPr="009200FF">
        <w:rPr>
          <w:rFonts w:cstheme="minorHAnsi"/>
          <w:b/>
        </w:rPr>
        <w:t>Registry and Not</w:t>
      </w:r>
      <w:r w:rsidR="00F309FC" w:rsidRPr="009200FF">
        <w:rPr>
          <w:rFonts w:cstheme="minorHAnsi"/>
          <w:b/>
        </w:rPr>
        <w:t>ary Information System</w:t>
      </w:r>
      <w:r w:rsidR="00F309FC" w:rsidRPr="009200FF">
        <w:rPr>
          <w:rFonts w:cstheme="minorHAnsi"/>
        </w:rPr>
        <w:t xml:space="preserve"> (SIRN)</w:t>
      </w:r>
      <w:r w:rsidR="00AF20A7" w:rsidRPr="009200FF">
        <w:rPr>
          <w:rFonts w:cstheme="minorHAnsi"/>
        </w:rPr>
        <w:t xml:space="preserve"> based on the existing </w:t>
      </w:r>
      <w:r w:rsidR="00F309FC" w:rsidRPr="009200FF">
        <w:rPr>
          <w:rFonts w:cstheme="minorHAnsi"/>
        </w:rPr>
        <w:t xml:space="preserve">Integrated System of </w:t>
      </w:r>
      <w:r w:rsidR="006E7337" w:rsidRPr="009200FF">
        <w:rPr>
          <w:rFonts w:cstheme="minorHAnsi"/>
        </w:rPr>
        <w:t>Records</w:t>
      </w:r>
      <w:r w:rsidR="00F309FC" w:rsidRPr="009200FF">
        <w:rPr>
          <w:rFonts w:cstheme="minorHAnsi"/>
        </w:rPr>
        <w:t xml:space="preserve"> Management (</w:t>
      </w:r>
      <w:r w:rsidR="00AF20A7" w:rsidRPr="009200FF">
        <w:rPr>
          <w:rFonts w:cstheme="minorHAnsi"/>
          <w:i/>
        </w:rPr>
        <w:t xml:space="preserve">Sistema </w:t>
      </w:r>
      <w:proofErr w:type="spellStart"/>
      <w:r w:rsidR="00AF20A7" w:rsidRPr="009200FF">
        <w:rPr>
          <w:rFonts w:cstheme="minorHAnsi"/>
          <w:i/>
        </w:rPr>
        <w:t>Integrado</w:t>
      </w:r>
      <w:proofErr w:type="spellEnd"/>
      <w:r w:rsidR="00AF20A7" w:rsidRPr="009200FF">
        <w:rPr>
          <w:rFonts w:cstheme="minorHAnsi"/>
          <w:i/>
        </w:rPr>
        <w:t xml:space="preserve"> de </w:t>
      </w:r>
      <w:proofErr w:type="spellStart"/>
      <w:r w:rsidR="00AF20A7" w:rsidRPr="009200FF">
        <w:rPr>
          <w:rFonts w:cstheme="minorHAnsi"/>
          <w:i/>
        </w:rPr>
        <w:t>Gestão</w:t>
      </w:r>
      <w:proofErr w:type="spellEnd"/>
      <w:r w:rsidR="00AF20A7" w:rsidRPr="009200FF">
        <w:rPr>
          <w:rFonts w:cstheme="minorHAnsi"/>
          <w:i/>
        </w:rPr>
        <w:t xml:space="preserve"> de </w:t>
      </w:r>
      <w:proofErr w:type="spellStart"/>
      <w:r w:rsidR="00AF20A7" w:rsidRPr="009200FF">
        <w:rPr>
          <w:rFonts w:cstheme="minorHAnsi"/>
          <w:i/>
        </w:rPr>
        <w:t>Assentos</w:t>
      </w:r>
      <w:proofErr w:type="spellEnd"/>
      <w:r w:rsidR="00AF20A7" w:rsidRPr="009200FF">
        <w:rPr>
          <w:rFonts w:cstheme="minorHAnsi"/>
        </w:rPr>
        <w:t xml:space="preserve"> – SIGA</w:t>
      </w:r>
      <w:r w:rsidR="00F309FC" w:rsidRPr="009200FF">
        <w:rPr>
          <w:rFonts w:cstheme="minorHAnsi"/>
        </w:rPr>
        <w:t>)</w:t>
      </w:r>
      <w:r w:rsidR="00AF20A7" w:rsidRPr="009200FF">
        <w:rPr>
          <w:rFonts w:cstheme="minorHAnsi"/>
        </w:rPr>
        <w:t xml:space="preserve"> and the </w:t>
      </w:r>
      <w:r w:rsidR="00F309FC" w:rsidRPr="009200FF">
        <w:rPr>
          <w:rFonts w:cstheme="minorHAnsi"/>
        </w:rPr>
        <w:t>Electronic Firms Registry Platform (</w:t>
      </w:r>
      <w:proofErr w:type="spellStart"/>
      <w:r w:rsidR="00AF20A7" w:rsidRPr="009200FF">
        <w:rPr>
          <w:rFonts w:cstheme="minorHAnsi"/>
          <w:i/>
        </w:rPr>
        <w:t>Plataforma</w:t>
      </w:r>
      <w:proofErr w:type="spellEnd"/>
      <w:r w:rsidR="00AF20A7" w:rsidRPr="009200FF">
        <w:rPr>
          <w:rFonts w:cstheme="minorHAnsi"/>
          <w:i/>
        </w:rPr>
        <w:t xml:space="preserve"> de </w:t>
      </w:r>
      <w:proofErr w:type="spellStart"/>
      <w:r w:rsidR="00AF20A7" w:rsidRPr="009200FF">
        <w:rPr>
          <w:rFonts w:cstheme="minorHAnsi"/>
          <w:i/>
        </w:rPr>
        <w:t>Registo</w:t>
      </w:r>
      <w:proofErr w:type="spellEnd"/>
      <w:r w:rsidR="00AF20A7" w:rsidRPr="009200FF">
        <w:rPr>
          <w:rFonts w:cstheme="minorHAnsi"/>
          <w:i/>
        </w:rPr>
        <w:t xml:space="preserve"> </w:t>
      </w:r>
      <w:proofErr w:type="spellStart"/>
      <w:r w:rsidR="00AF20A7" w:rsidRPr="009200FF">
        <w:rPr>
          <w:rFonts w:cstheme="minorHAnsi"/>
          <w:i/>
        </w:rPr>
        <w:t>Electrónico</w:t>
      </w:r>
      <w:proofErr w:type="spellEnd"/>
      <w:r w:rsidR="00AF20A7" w:rsidRPr="009200FF">
        <w:rPr>
          <w:rFonts w:cstheme="minorHAnsi"/>
          <w:i/>
        </w:rPr>
        <w:t xml:space="preserve"> de </w:t>
      </w:r>
      <w:proofErr w:type="spellStart"/>
      <w:r w:rsidR="00AF20A7" w:rsidRPr="009200FF">
        <w:rPr>
          <w:rFonts w:cstheme="minorHAnsi"/>
          <w:i/>
        </w:rPr>
        <w:t>Empresas</w:t>
      </w:r>
      <w:proofErr w:type="spellEnd"/>
      <w:r w:rsidR="00AF20A7" w:rsidRPr="009200FF">
        <w:rPr>
          <w:rFonts w:cstheme="minorHAnsi"/>
        </w:rPr>
        <w:t xml:space="preserve"> - GUE NET</w:t>
      </w:r>
      <w:r w:rsidR="00F309FC" w:rsidRPr="009200FF">
        <w:rPr>
          <w:rFonts w:cstheme="minorHAnsi"/>
        </w:rPr>
        <w:t>)</w:t>
      </w:r>
      <w:r w:rsidR="00EA5D39" w:rsidRPr="009200FF">
        <w:rPr>
          <w:rFonts w:cstheme="minorHAnsi"/>
        </w:rPr>
        <w:t>. These efforts</w:t>
      </w:r>
      <w:r w:rsidR="00804BA2" w:rsidRPr="009200FF">
        <w:rPr>
          <w:rFonts w:cstheme="minorHAnsi"/>
        </w:rPr>
        <w:t xml:space="preserve"> will improve</w:t>
      </w:r>
      <w:r w:rsidR="00EA5D39" w:rsidRPr="009200FF">
        <w:rPr>
          <w:rFonts w:cstheme="minorHAnsi"/>
        </w:rPr>
        <w:t xml:space="preserve"> efficiency of the entire operation</w:t>
      </w:r>
      <w:r w:rsidR="00804BA2" w:rsidRPr="009200FF">
        <w:rPr>
          <w:rFonts w:cstheme="minorHAnsi"/>
        </w:rPr>
        <w:t xml:space="preserve"> by</w:t>
      </w:r>
      <w:r w:rsidR="00065672" w:rsidRPr="009200FF">
        <w:rPr>
          <w:rFonts w:cstheme="minorHAnsi"/>
        </w:rPr>
        <w:t xml:space="preserve"> producing a</w:t>
      </w:r>
      <w:r w:rsidR="00804BA2" w:rsidRPr="009200FF">
        <w:rPr>
          <w:rFonts w:cstheme="minorHAnsi"/>
        </w:rPr>
        <w:t xml:space="preserve">n updated information </w:t>
      </w:r>
      <w:r w:rsidR="00065672" w:rsidRPr="009200FF">
        <w:rPr>
          <w:rFonts w:cstheme="minorHAnsi"/>
        </w:rPr>
        <w:t>system</w:t>
      </w:r>
      <w:r w:rsidR="00804BA2" w:rsidRPr="009200FF">
        <w:rPr>
          <w:rFonts w:cstheme="minorHAnsi"/>
        </w:rPr>
        <w:t xml:space="preserve"> for property registration</w:t>
      </w:r>
      <w:r w:rsidR="00065672" w:rsidRPr="009200FF">
        <w:rPr>
          <w:rFonts w:cstheme="minorHAnsi"/>
        </w:rPr>
        <w:t>.</w:t>
      </w:r>
      <w:r w:rsidR="00EA5D39" w:rsidRPr="009200FF">
        <w:rPr>
          <w:rFonts w:cstheme="minorHAnsi"/>
        </w:rPr>
        <w:t xml:space="preserve"> </w:t>
      </w:r>
    </w:p>
    <w:p w14:paraId="74B71F7B" w14:textId="0DA39AE4" w:rsidR="0013184F" w:rsidRPr="009200FF" w:rsidRDefault="00942DFD" w:rsidP="00364A13">
      <w:pPr>
        <w:spacing w:after="120"/>
        <w:jc w:val="both"/>
        <w:rPr>
          <w:rFonts w:cstheme="minorHAnsi"/>
          <w:b/>
        </w:rPr>
      </w:pPr>
      <w:r w:rsidRPr="009200FF">
        <w:rPr>
          <w:rFonts w:cstheme="minorHAnsi"/>
        </w:rPr>
        <w:t>51</w:t>
      </w:r>
      <w:r w:rsidR="00417CC4" w:rsidRPr="009200FF">
        <w:rPr>
          <w:rFonts w:cstheme="minorHAnsi"/>
          <w:b/>
        </w:rPr>
        <w:t>.</w:t>
      </w:r>
      <w:r w:rsidR="00417CC4" w:rsidRPr="009200FF">
        <w:rPr>
          <w:rFonts w:cstheme="minorHAnsi"/>
          <w:b/>
        </w:rPr>
        <w:tab/>
      </w:r>
      <w:r w:rsidR="0013184F" w:rsidRPr="009200FF">
        <w:rPr>
          <w:rFonts w:cstheme="minorHAnsi"/>
          <w:b/>
        </w:rPr>
        <w:t xml:space="preserve">Along with the above, and addressing the lack of inter-operability of information systems through a unique identification number, another prominent technical issue, </w:t>
      </w:r>
      <w:r w:rsidR="004614D6" w:rsidRPr="009200FF">
        <w:rPr>
          <w:rFonts w:cstheme="minorHAnsi"/>
        </w:rPr>
        <w:t>t</w:t>
      </w:r>
      <w:r w:rsidR="0013184F" w:rsidRPr="009200FF">
        <w:rPr>
          <w:rFonts w:cstheme="minorHAnsi"/>
        </w:rPr>
        <w:t xml:space="preserve">he </w:t>
      </w:r>
      <w:r w:rsidR="004614D6" w:rsidRPr="009200FF">
        <w:rPr>
          <w:rFonts w:cstheme="minorHAnsi"/>
        </w:rPr>
        <w:t>Government agreed for</w:t>
      </w:r>
      <w:r w:rsidR="0013184F" w:rsidRPr="009200FF">
        <w:rPr>
          <w:rFonts w:cstheme="minorHAnsi"/>
        </w:rPr>
        <w:t xml:space="preserve"> the SIRN being interoperable with the data produced by the: i) Directorate of Geographical and Cadastral Services (</w:t>
      </w:r>
      <w:proofErr w:type="spellStart"/>
      <w:r w:rsidR="0013184F" w:rsidRPr="009200FF">
        <w:rPr>
          <w:rFonts w:cstheme="minorHAnsi"/>
          <w:i/>
        </w:rPr>
        <w:t>Direccão</w:t>
      </w:r>
      <w:proofErr w:type="spellEnd"/>
      <w:r w:rsidR="0013184F" w:rsidRPr="009200FF">
        <w:rPr>
          <w:rFonts w:cstheme="minorHAnsi"/>
          <w:i/>
        </w:rPr>
        <w:t xml:space="preserve"> dos </w:t>
      </w:r>
      <w:proofErr w:type="spellStart"/>
      <w:r w:rsidR="0013184F" w:rsidRPr="009200FF">
        <w:rPr>
          <w:rFonts w:cstheme="minorHAnsi"/>
          <w:i/>
        </w:rPr>
        <w:t>Servicos</w:t>
      </w:r>
      <w:proofErr w:type="spellEnd"/>
      <w:r w:rsidR="0013184F" w:rsidRPr="009200FF">
        <w:rPr>
          <w:rFonts w:cstheme="minorHAnsi"/>
          <w:i/>
        </w:rPr>
        <w:t xml:space="preserve"> </w:t>
      </w:r>
      <w:proofErr w:type="spellStart"/>
      <w:r w:rsidR="0013184F" w:rsidRPr="009200FF">
        <w:rPr>
          <w:rFonts w:cstheme="minorHAnsi"/>
          <w:i/>
        </w:rPr>
        <w:t>Geográficos</w:t>
      </w:r>
      <w:proofErr w:type="spellEnd"/>
      <w:r w:rsidR="0013184F" w:rsidRPr="009200FF">
        <w:rPr>
          <w:rFonts w:cstheme="minorHAnsi"/>
          <w:i/>
        </w:rPr>
        <w:t xml:space="preserve"> e </w:t>
      </w:r>
      <w:proofErr w:type="spellStart"/>
      <w:r w:rsidR="0013184F" w:rsidRPr="009200FF">
        <w:rPr>
          <w:rFonts w:cstheme="minorHAnsi"/>
          <w:i/>
        </w:rPr>
        <w:t>Cadastrais</w:t>
      </w:r>
      <w:proofErr w:type="spellEnd"/>
      <w:r w:rsidR="0013184F" w:rsidRPr="009200FF">
        <w:rPr>
          <w:rFonts w:cstheme="minorHAnsi"/>
        </w:rPr>
        <w:t>); ii) Directorate of Tax Administration (</w:t>
      </w:r>
      <w:proofErr w:type="spellStart"/>
      <w:r w:rsidR="0013184F" w:rsidRPr="009200FF">
        <w:rPr>
          <w:rFonts w:cstheme="minorHAnsi"/>
          <w:i/>
        </w:rPr>
        <w:t>Direccão</w:t>
      </w:r>
      <w:proofErr w:type="spellEnd"/>
      <w:r w:rsidR="0013184F" w:rsidRPr="009200FF">
        <w:rPr>
          <w:rFonts w:cstheme="minorHAnsi"/>
          <w:i/>
        </w:rPr>
        <w:t xml:space="preserve"> dos </w:t>
      </w:r>
      <w:proofErr w:type="spellStart"/>
      <w:r w:rsidR="0013184F" w:rsidRPr="009200FF">
        <w:rPr>
          <w:rFonts w:cstheme="minorHAnsi"/>
          <w:i/>
        </w:rPr>
        <w:t>Impostos</w:t>
      </w:r>
      <w:proofErr w:type="spellEnd"/>
      <w:r w:rsidR="0013184F" w:rsidRPr="009200FF">
        <w:rPr>
          <w:rFonts w:cstheme="minorHAnsi"/>
        </w:rPr>
        <w:t>); and (iii) Directorate of Land Transport (</w:t>
      </w:r>
      <w:proofErr w:type="spellStart"/>
      <w:r w:rsidR="0013184F" w:rsidRPr="009200FF">
        <w:rPr>
          <w:rFonts w:cstheme="minorHAnsi"/>
          <w:i/>
        </w:rPr>
        <w:t>Direccão</w:t>
      </w:r>
      <w:proofErr w:type="spellEnd"/>
      <w:r w:rsidR="0013184F" w:rsidRPr="009200FF">
        <w:rPr>
          <w:rFonts w:cstheme="minorHAnsi"/>
          <w:i/>
        </w:rPr>
        <w:t xml:space="preserve"> dos </w:t>
      </w:r>
      <w:proofErr w:type="spellStart"/>
      <w:r w:rsidR="0013184F" w:rsidRPr="009200FF">
        <w:rPr>
          <w:rFonts w:cstheme="minorHAnsi"/>
          <w:i/>
        </w:rPr>
        <w:t>Transportes</w:t>
      </w:r>
      <w:proofErr w:type="spellEnd"/>
      <w:r w:rsidR="0013184F" w:rsidRPr="009200FF">
        <w:rPr>
          <w:rFonts w:cstheme="minorHAnsi"/>
          <w:i/>
        </w:rPr>
        <w:t xml:space="preserve"> </w:t>
      </w:r>
      <w:proofErr w:type="spellStart"/>
      <w:r w:rsidR="0013184F" w:rsidRPr="009200FF">
        <w:rPr>
          <w:rFonts w:cstheme="minorHAnsi"/>
          <w:i/>
        </w:rPr>
        <w:t>Terrestres</w:t>
      </w:r>
      <w:proofErr w:type="spellEnd"/>
      <w:r w:rsidR="004614D6" w:rsidRPr="009200FF">
        <w:rPr>
          <w:rFonts w:cstheme="minorHAnsi"/>
        </w:rPr>
        <w:t>). The</w:t>
      </w:r>
      <w:r w:rsidR="0013184F" w:rsidRPr="009200FF">
        <w:rPr>
          <w:rFonts w:cstheme="minorHAnsi"/>
        </w:rPr>
        <w:t xml:space="preserve"> design </w:t>
      </w:r>
      <w:r w:rsidR="004614D6" w:rsidRPr="009200FF">
        <w:rPr>
          <w:rFonts w:cstheme="minorHAnsi"/>
        </w:rPr>
        <w:t xml:space="preserve">of this system </w:t>
      </w:r>
      <w:r w:rsidR="0013184F" w:rsidRPr="009200FF">
        <w:rPr>
          <w:rFonts w:cstheme="minorHAnsi"/>
        </w:rPr>
        <w:t xml:space="preserve">will include a unique, centralized, and integrated cadastre-register identification number in order to avoid data duplication and to support policy decisions. Terms of reference are currently being developed for an assessment of internal procedures, specifications for hardware acquisition, and the classification and digitization of land titles, mortgages, and property transactions. </w:t>
      </w:r>
      <w:r w:rsidR="00DA4C5F" w:rsidRPr="009200FF">
        <w:rPr>
          <w:rFonts w:cstheme="minorHAnsi"/>
        </w:rPr>
        <w:t>Additionally,</w:t>
      </w:r>
      <w:r w:rsidR="00804BA2" w:rsidRPr="009200FF">
        <w:rPr>
          <w:rFonts w:cstheme="minorHAnsi"/>
        </w:rPr>
        <w:t xml:space="preserve"> to the digitalization of paper records it will be important to strength the progressive inclusion of </w:t>
      </w:r>
      <w:r w:rsidR="00DA4C5F" w:rsidRPr="009200FF">
        <w:rPr>
          <w:rFonts w:cstheme="minorHAnsi"/>
        </w:rPr>
        <w:t>non-formal</w:t>
      </w:r>
      <w:r w:rsidR="00804BA2" w:rsidRPr="009200FF">
        <w:rPr>
          <w:rFonts w:cstheme="minorHAnsi"/>
        </w:rPr>
        <w:t xml:space="preserve"> </w:t>
      </w:r>
      <w:r w:rsidR="00DA4C5F" w:rsidRPr="009200FF">
        <w:rPr>
          <w:rFonts w:cstheme="minorHAnsi"/>
        </w:rPr>
        <w:t>land tenure rights into the property registration system</w:t>
      </w:r>
      <w:r w:rsidR="0013184F" w:rsidRPr="009200FF">
        <w:rPr>
          <w:rFonts w:cstheme="minorHAnsi"/>
        </w:rPr>
        <w:t>.</w:t>
      </w:r>
    </w:p>
    <w:p w14:paraId="303FA380" w14:textId="28DB13E1" w:rsidR="00653EE5" w:rsidRPr="009200FF" w:rsidRDefault="00653EE5" w:rsidP="00364A13">
      <w:pPr>
        <w:spacing w:after="120"/>
        <w:jc w:val="both"/>
        <w:rPr>
          <w:rFonts w:cstheme="minorHAnsi"/>
        </w:rPr>
      </w:pPr>
      <w:r w:rsidRPr="009200FF">
        <w:rPr>
          <w:rFonts w:cstheme="minorHAnsi"/>
        </w:rPr>
        <w:t>5</w:t>
      </w:r>
      <w:r w:rsidR="00942DFD" w:rsidRPr="009200FF">
        <w:rPr>
          <w:rFonts w:cstheme="minorHAnsi"/>
        </w:rPr>
        <w:t>2</w:t>
      </w:r>
      <w:r w:rsidR="00417CC4" w:rsidRPr="009200FF">
        <w:rPr>
          <w:rFonts w:cstheme="minorHAnsi"/>
        </w:rPr>
        <w:t xml:space="preserve">. </w:t>
      </w:r>
      <w:r w:rsidR="00417CC4" w:rsidRPr="009200FF">
        <w:rPr>
          <w:rFonts w:cstheme="minorHAnsi"/>
        </w:rPr>
        <w:tab/>
      </w:r>
      <w:r w:rsidR="004614D6" w:rsidRPr="009200FF">
        <w:rPr>
          <w:rFonts w:cstheme="minorHAnsi"/>
          <w:b/>
        </w:rPr>
        <w:t>In terms of the legal framework, a</w:t>
      </w:r>
      <w:r w:rsidRPr="009200FF">
        <w:rPr>
          <w:rFonts w:cstheme="minorHAnsi"/>
          <w:b/>
        </w:rPr>
        <w:t xml:space="preserve"> number of regulations were identified as outdated or inefficient to produce the changes sought and therefore their amendment </w:t>
      </w:r>
      <w:r w:rsidR="00AD6341" w:rsidRPr="009200FF">
        <w:rPr>
          <w:rFonts w:cstheme="minorHAnsi"/>
          <w:b/>
        </w:rPr>
        <w:t>is underway</w:t>
      </w:r>
      <w:r w:rsidRPr="009200FF">
        <w:rPr>
          <w:rFonts w:cstheme="minorHAnsi"/>
        </w:rPr>
        <w:t xml:space="preserve">. These include among others, the Land Registry and Notary Codes which require a regulatory decree to enable joint titling, registration of property, and a binding effect to the Inter-Institutional Committee of Registry and Cadastre. This amendment should be made through an administrative act </w:t>
      </w:r>
      <w:proofErr w:type="gramStart"/>
      <w:r w:rsidRPr="009200FF">
        <w:rPr>
          <w:rFonts w:cstheme="minorHAnsi"/>
        </w:rPr>
        <w:t>and also</w:t>
      </w:r>
      <w:proofErr w:type="gramEnd"/>
      <w:r w:rsidRPr="009200FF">
        <w:rPr>
          <w:rFonts w:cstheme="minorHAnsi"/>
        </w:rPr>
        <w:t xml:space="preserve"> be reflected in the GDRN’s Procedures Manual.</w:t>
      </w:r>
      <w:r w:rsidR="00AD6341" w:rsidRPr="009200FF">
        <w:rPr>
          <w:rFonts w:cstheme="minorHAnsi"/>
        </w:rPr>
        <w:t xml:space="preserve"> </w:t>
      </w:r>
    </w:p>
    <w:p w14:paraId="14703C0C" w14:textId="6130A41A" w:rsidR="00A12CA5" w:rsidRPr="009200FF" w:rsidRDefault="00653EE5" w:rsidP="00364A13">
      <w:pPr>
        <w:spacing w:after="120"/>
        <w:jc w:val="both"/>
        <w:rPr>
          <w:rFonts w:cstheme="minorHAnsi"/>
          <w:b/>
        </w:rPr>
      </w:pPr>
      <w:r w:rsidRPr="009200FF">
        <w:rPr>
          <w:rFonts w:cstheme="minorHAnsi"/>
        </w:rPr>
        <w:t>5</w:t>
      </w:r>
      <w:r w:rsidR="00A12CA5" w:rsidRPr="009200FF">
        <w:rPr>
          <w:rFonts w:cstheme="minorHAnsi"/>
        </w:rPr>
        <w:t>3</w:t>
      </w:r>
      <w:r w:rsidR="003508BB" w:rsidRPr="009200FF">
        <w:rPr>
          <w:rFonts w:cstheme="minorHAnsi"/>
          <w:b/>
        </w:rPr>
        <w:t>.</w:t>
      </w:r>
      <w:r w:rsidR="003508BB" w:rsidRPr="009200FF">
        <w:rPr>
          <w:rFonts w:cstheme="minorHAnsi"/>
          <w:b/>
        </w:rPr>
        <w:tab/>
      </w:r>
      <w:r w:rsidR="00A12CA5" w:rsidRPr="009200FF">
        <w:rPr>
          <w:rFonts w:cstheme="minorHAnsi"/>
          <w:b/>
        </w:rPr>
        <w:t>The legal framework governing women’s rights to land should play an important role in any development strategy.</w:t>
      </w:r>
      <w:r w:rsidR="00A12CA5" w:rsidRPr="009200FF">
        <w:rPr>
          <w:rFonts w:cstheme="minorHAnsi"/>
        </w:rPr>
        <w:t xml:space="preserve"> Close correlations between women’s land rights and improvements in food security, health indicators, and family welfare have been empirically recorded </w:t>
      </w:r>
      <w:r w:rsidR="0031496D" w:rsidRPr="009200FF">
        <w:rPr>
          <w:rFonts w:cstheme="minorHAnsi"/>
        </w:rPr>
        <w:t>worldwide. Having this in mind</w:t>
      </w:r>
      <w:r w:rsidR="00A12CA5" w:rsidRPr="009200FF">
        <w:rPr>
          <w:rFonts w:cstheme="minorHAnsi"/>
        </w:rPr>
        <w:t xml:space="preserve"> </w:t>
      </w:r>
      <w:r w:rsidR="0031496D" w:rsidRPr="009200FF">
        <w:rPr>
          <w:rFonts w:cstheme="minorHAnsi"/>
        </w:rPr>
        <w:t>t</w:t>
      </w:r>
      <w:r w:rsidR="00A12CA5" w:rsidRPr="009200FF">
        <w:rPr>
          <w:rFonts w:cstheme="minorHAnsi"/>
        </w:rPr>
        <w:t xml:space="preserve">he GDRN agreed to formulate new regulation for the implementation of </w:t>
      </w:r>
      <w:r w:rsidR="0031496D" w:rsidRPr="009200FF">
        <w:rPr>
          <w:rFonts w:cstheme="minorHAnsi"/>
        </w:rPr>
        <w:t>the Land Registry and Notary law</w:t>
      </w:r>
      <w:r w:rsidR="00A12CA5" w:rsidRPr="009200FF">
        <w:rPr>
          <w:rFonts w:cstheme="minorHAnsi"/>
        </w:rPr>
        <w:t xml:space="preserve">s, with a particular emphasis on facilitating joint titling and registration of property rights for both members of a couple. Emphasis </w:t>
      </w:r>
      <w:r w:rsidR="0031496D" w:rsidRPr="009200FF">
        <w:rPr>
          <w:rFonts w:cstheme="minorHAnsi"/>
        </w:rPr>
        <w:t>will</w:t>
      </w:r>
      <w:r w:rsidR="00A12CA5" w:rsidRPr="009200FF">
        <w:rPr>
          <w:rFonts w:cstheme="minorHAnsi"/>
        </w:rPr>
        <w:t xml:space="preserve"> be given to protecting women’s land rights in cases where they are in de facto marital unions. Along with this, it has been agreed that data on registration of rights will be recorded in a gender-disaggregated manner and reported as part of the regular M&amp;E</w:t>
      </w:r>
      <w:r w:rsidR="00EE61AC" w:rsidRPr="009200FF">
        <w:rPr>
          <w:rFonts w:cstheme="minorHAnsi"/>
        </w:rPr>
        <w:t xml:space="preserve"> framework</w:t>
      </w:r>
      <w:r w:rsidR="00396615" w:rsidRPr="009200FF">
        <w:rPr>
          <w:rFonts w:cstheme="minorHAnsi"/>
        </w:rPr>
        <w:t>.</w:t>
      </w:r>
    </w:p>
    <w:p w14:paraId="30BC43F8" w14:textId="4F4CBECD" w:rsidR="00AF20A7" w:rsidRPr="009200FF" w:rsidRDefault="00A12CA5" w:rsidP="00364A13">
      <w:pPr>
        <w:spacing w:after="120"/>
        <w:jc w:val="both"/>
        <w:rPr>
          <w:rFonts w:cstheme="minorHAnsi"/>
        </w:rPr>
      </w:pPr>
      <w:r w:rsidRPr="009200FF">
        <w:rPr>
          <w:rFonts w:cstheme="minorHAnsi"/>
          <w:b/>
        </w:rPr>
        <w:t>54.</w:t>
      </w:r>
      <w:r w:rsidRPr="009200FF">
        <w:rPr>
          <w:rFonts w:cstheme="minorHAnsi"/>
          <w:b/>
        </w:rPr>
        <w:tab/>
      </w:r>
      <w:r w:rsidR="00AF20A7" w:rsidRPr="009200FF">
        <w:rPr>
          <w:rFonts w:cstheme="minorHAnsi"/>
          <w:b/>
        </w:rPr>
        <w:t xml:space="preserve">Strengthening </w:t>
      </w:r>
      <w:r w:rsidR="0031211B" w:rsidRPr="009200FF">
        <w:rPr>
          <w:rFonts w:cstheme="minorHAnsi"/>
          <w:b/>
        </w:rPr>
        <w:t xml:space="preserve">of </w:t>
      </w:r>
      <w:r w:rsidR="0050448D" w:rsidRPr="009200FF">
        <w:rPr>
          <w:rFonts w:cstheme="minorHAnsi"/>
          <w:b/>
        </w:rPr>
        <w:t xml:space="preserve">institutional </w:t>
      </w:r>
      <w:r w:rsidR="00AF20A7" w:rsidRPr="009200FF">
        <w:rPr>
          <w:rFonts w:cstheme="minorHAnsi"/>
          <w:b/>
        </w:rPr>
        <w:t>capacities</w:t>
      </w:r>
      <w:r w:rsidR="00193406" w:rsidRPr="009200FF">
        <w:rPr>
          <w:rFonts w:cstheme="minorHAnsi"/>
        </w:rPr>
        <w:t xml:space="preserve">. </w:t>
      </w:r>
      <w:r w:rsidR="00E42DCD" w:rsidRPr="009200FF">
        <w:rPr>
          <w:rFonts w:cstheme="minorHAnsi"/>
        </w:rPr>
        <w:t>Building human technical capacities to operate a land go</w:t>
      </w:r>
      <w:r w:rsidR="00E52742" w:rsidRPr="009200FF">
        <w:rPr>
          <w:rFonts w:cstheme="minorHAnsi"/>
        </w:rPr>
        <w:t>vernance system is central to</w:t>
      </w:r>
      <w:r w:rsidR="00E42DCD" w:rsidRPr="009200FF">
        <w:rPr>
          <w:rFonts w:cstheme="minorHAnsi"/>
        </w:rPr>
        <w:t xml:space="preserve"> achieving its full potential in terms of development promotion. </w:t>
      </w:r>
      <w:r w:rsidR="0031211B" w:rsidRPr="009200FF">
        <w:rPr>
          <w:rFonts w:cstheme="minorHAnsi"/>
        </w:rPr>
        <w:t xml:space="preserve">In this sense, </w:t>
      </w:r>
      <w:r w:rsidR="00E42DCD" w:rsidRPr="009200FF">
        <w:rPr>
          <w:rFonts w:cstheme="minorHAnsi"/>
        </w:rPr>
        <w:t>t</w:t>
      </w:r>
      <w:r w:rsidR="00193406" w:rsidRPr="009200FF">
        <w:rPr>
          <w:rFonts w:cstheme="minorHAnsi"/>
        </w:rPr>
        <w:t xml:space="preserve">he </w:t>
      </w:r>
      <w:r w:rsidR="00AF20A7" w:rsidRPr="009200FF">
        <w:rPr>
          <w:rFonts w:cstheme="minorHAnsi"/>
        </w:rPr>
        <w:t>G</w:t>
      </w:r>
      <w:r w:rsidR="00193406" w:rsidRPr="009200FF">
        <w:rPr>
          <w:rFonts w:cstheme="minorHAnsi"/>
        </w:rPr>
        <w:t>DRN</w:t>
      </w:r>
      <w:r w:rsidR="00AF20A7" w:rsidRPr="009200FF">
        <w:rPr>
          <w:rFonts w:cstheme="minorHAnsi"/>
        </w:rPr>
        <w:t xml:space="preserve"> </w:t>
      </w:r>
      <w:r w:rsidR="0031211B" w:rsidRPr="009200FF">
        <w:rPr>
          <w:rFonts w:cstheme="minorHAnsi"/>
        </w:rPr>
        <w:t>is planning a</w:t>
      </w:r>
      <w:r w:rsidR="00AF20A7" w:rsidRPr="009200FF">
        <w:rPr>
          <w:rFonts w:cstheme="minorHAnsi"/>
        </w:rPr>
        <w:t xml:space="preserve"> comprehensive training plan that includes topics like the 2017 Declaration of Brasilia of Ministers of Justice of the Community of Portuguese </w:t>
      </w:r>
      <w:r w:rsidR="0050448D" w:rsidRPr="009200FF">
        <w:rPr>
          <w:rFonts w:cstheme="minorHAnsi"/>
        </w:rPr>
        <w:t xml:space="preserve">Speaking </w:t>
      </w:r>
      <w:r w:rsidR="00AF20A7" w:rsidRPr="009200FF">
        <w:rPr>
          <w:rFonts w:cstheme="minorHAnsi"/>
        </w:rPr>
        <w:t xml:space="preserve">Countries; the content and </w:t>
      </w:r>
      <w:r w:rsidR="00AF20A7" w:rsidRPr="009200FF">
        <w:rPr>
          <w:rFonts w:cstheme="minorHAnsi"/>
        </w:rPr>
        <w:lastRenderedPageBreak/>
        <w:t xml:space="preserve">scope of the Land Registry and Notary Codes and; the future regulatory instruments of the Land and Registry Codes. </w:t>
      </w:r>
    </w:p>
    <w:p w14:paraId="41884FFE" w14:textId="77777777" w:rsidR="00F766A7" w:rsidRPr="009200FF" w:rsidRDefault="00133BA1" w:rsidP="00133BA1">
      <w:pPr>
        <w:spacing w:after="120"/>
        <w:ind w:left="720" w:hanging="720"/>
        <w:jc w:val="both"/>
        <w:rPr>
          <w:rFonts w:cstheme="minorHAnsi"/>
        </w:rPr>
      </w:pPr>
      <w:r w:rsidRPr="009200FF">
        <w:rPr>
          <w:b/>
          <w:color w:val="365F91" w:themeColor="accent1" w:themeShade="BF"/>
          <w:sz w:val="24"/>
          <w:szCs w:val="24"/>
        </w:rPr>
        <w:t>VI.</w:t>
      </w:r>
      <w:r w:rsidRPr="009200FF">
        <w:rPr>
          <w:b/>
          <w:color w:val="365F91" w:themeColor="accent1" w:themeShade="BF"/>
          <w:sz w:val="24"/>
          <w:szCs w:val="24"/>
        </w:rPr>
        <w:tab/>
      </w:r>
      <w:r w:rsidR="00F766A7" w:rsidRPr="009200FF">
        <w:rPr>
          <w:b/>
          <w:color w:val="365F91" w:themeColor="accent1" w:themeShade="BF"/>
          <w:sz w:val="24"/>
          <w:szCs w:val="24"/>
        </w:rPr>
        <w:t>Policy recommendations</w:t>
      </w:r>
      <w:r w:rsidRPr="009200FF">
        <w:rPr>
          <w:b/>
          <w:color w:val="365F91" w:themeColor="accent1" w:themeShade="BF"/>
          <w:sz w:val="24"/>
          <w:szCs w:val="24"/>
        </w:rPr>
        <w:t xml:space="preserve"> to promote the efficient and sustainable development of the rural and tourism sectors.</w:t>
      </w:r>
    </w:p>
    <w:p w14:paraId="2571A761" w14:textId="77777777" w:rsidR="008F5B0B" w:rsidRPr="009200FF" w:rsidRDefault="005E70BA" w:rsidP="008F5B0B">
      <w:pPr>
        <w:spacing w:after="120"/>
        <w:jc w:val="both"/>
        <w:rPr>
          <w:rFonts w:cstheme="minorHAnsi"/>
        </w:rPr>
      </w:pPr>
      <w:r w:rsidRPr="009200FF">
        <w:rPr>
          <w:rFonts w:cstheme="minorHAnsi"/>
        </w:rPr>
        <w:t>5</w:t>
      </w:r>
      <w:r w:rsidR="0031496D" w:rsidRPr="009200FF">
        <w:rPr>
          <w:rFonts w:cstheme="minorHAnsi"/>
        </w:rPr>
        <w:t>5</w:t>
      </w:r>
      <w:r w:rsidR="003508BB" w:rsidRPr="009200FF">
        <w:rPr>
          <w:rFonts w:cstheme="minorHAnsi"/>
        </w:rPr>
        <w:t>.</w:t>
      </w:r>
      <w:r w:rsidRPr="009200FF">
        <w:rPr>
          <w:rFonts w:cstheme="minorHAnsi"/>
        </w:rPr>
        <w:tab/>
      </w:r>
      <w:r w:rsidR="00F766A7" w:rsidRPr="009200FF">
        <w:rPr>
          <w:rFonts w:cstheme="minorHAnsi"/>
          <w:b/>
        </w:rPr>
        <w:t>A comprehensive approach to design and implement a land administration system is the central recommendation.</w:t>
      </w:r>
      <w:r w:rsidR="00F766A7" w:rsidRPr="009200FF" w:rsidDel="00133C62">
        <w:rPr>
          <w:rFonts w:cstheme="minorHAnsi"/>
          <w:b/>
        </w:rPr>
        <w:t xml:space="preserve"> </w:t>
      </w:r>
      <w:r w:rsidR="008F5B0B" w:rsidRPr="009200FF">
        <w:rPr>
          <w:rFonts w:cstheme="minorHAnsi"/>
        </w:rPr>
        <w:t>Supported on land information structures, such as the property registry and the cadastre, land administration systems provide governments with the necessary tools to define and assign property rights to land as well as its value. Based on this, land markets should emerge and act as efficient allocating mechanisms, promote investment, and allow for the design and execution of fiscal policies. Also based on information provided by the property registry and the cadastre, governments define regulations for land use according to their priorities. Altogether, these policies should create the basis for sustainable socio-economic development by establishing clear rules and providing accurate information to those involved.</w:t>
      </w:r>
    </w:p>
    <w:p w14:paraId="142F017E" w14:textId="0594FE42" w:rsidR="00F766A7" w:rsidRPr="009200FF" w:rsidRDefault="008F5B0B" w:rsidP="00364A13">
      <w:pPr>
        <w:spacing w:after="120"/>
        <w:jc w:val="both"/>
        <w:rPr>
          <w:rFonts w:cstheme="minorHAnsi"/>
        </w:rPr>
      </w:pPr>
      <w:r w:rsidRPr="009200FF">
        <w:rPr>
          <w:rFonts w:cstheme="minorHAnsi"/>
        </w:rPr>
        <w:t xml:space="preserve">56. </w:t>
      </w:r>
      <w:r w:rsidRPr="009200FF">
        <w:rPr>
          <w:rFonts w:cstheme="minorHAnsi"/>
        </w:rPr>
        <w:tab/>
      </w:r>
      <w:r w:rsidRPr="009200FF">
        <w:rPr>
          <w:rFonts w:cstheme="minorHAnsi"/>
          <w:b/>
        </w:rPr>
        <w:t>The absence of functioning land information systems and a weak land governance framework are the major constraints to rural development and tourism.</w:t>
      </w:r>
      <w:r w:rsidRPr="009200FF">
        <w:rPr>
          <w:rFonts w:cstheme="minorHAnsi"/>
        </w:rPr>
        <w:t xml:space="preserve"> </w:t>
      </w:r>
      <w:r w:rsidR="00F766A7" w:rsidRPr="009200FF">
        <w:rPr>
          <w:rFonts w:cstheme="minorHAnsi"/>
        </w:rPr>
        <w:t xml:space="preserve">Major growth </w:t>
      </w:r>
      <w:r w:rsidR="00EE61AC" w:rsidRPr="009200FF">
        <w:rPr>
          <w:rFonts w:cstheme="minorHAnsi"/>
        </w:rPr>
        <w:t>will be foster by improvements in</w:t>
      </w:r>
      <w:r w:rsidR="00F766A7" w:rsidRPr="009200FF">
        <w:rPr>
          <w:rFonts w:cstheme="minorHAnsi"/>
        </w:rPr>
        <w:t xml:space="preserve"> the existing institutional framework governing the management of land in the country, </w:t>
      </w:r>
      <w:r w:rsidR="00EE61AC" w:rsidRPr="009200FF">
        <w:rPr>
          <w:rFonts w:cstheme="minorHAnsi"/>
        </w:rPr>
        <w:t xml:space="preserve">by </w:t>
      </w:r>
      <w:r w:rsidR="00F766A7" w:rsidRPr="009200FF">
        <w:rPr>
          <w:rFonts w:cstheme="minorHAnsi"/>
        </w:rPr>
        <w:t xml:space="preserve">producing, maintaining and, offering clear </w:t>
      </w:r>
      <w:r w:rsidR="00EE61AC" w:rsidRPr="009200FF">
        <w:rPr>
          <w:rFonts w:cstheme="minorHAnsi"/>
        </w:rPr>
        <w:t xml:space="preserve">land tenure </w:t>
      </w:r>
      <w:r w:rsidR="00F766A7" w:rsidRPr="009200FF">
        <w:rPr>
          <w:rFonts w:cstheme="minorHAnsi"/>
        </w:rPr>
        <w:t xml:space="preserve">information for the state, for its citizens, or for investors. </w:t>
      </w:r>
      <w:r w:rsidR="00EE61AC" w:rsidRPr="009200FF">
        <w:rPr>
          <w:rFonts w:cstheme="minorHAnsi"/>
        </w:rPr>
        <w:t>Therefore,</w:t>
      </w:r>
      <w:r w:rsidR="00F766A7" w:rsidRPr="009200FF">
        <w:rPr>
          <w:rFonts w:cstheme="minorHAnsi"/>
        </w:rPr>
        <w:t xml:space="preserve"> a comprehensive approach to design and implement a land administration system addressing (i) technical, (ii) legal and, (iii) institutional </w:t>
      </w:r>
      <w:r w:rsidR="00133BA1" w:rsidRPr="009200FF">
        <w:rPr>
          <w:rFonts w:cstheme="minorHAnsi"/>
        </w:rPr>
        <w:t>issues</w:t>
      </w:r>
      <w:r w:rsidR="00F766A7" w:rsidRPr="009200FF">
        <w:rPr>
          <w:rFonts w:cstheme="minorHAnsi"/>
        </w:rPr>
        <w:t xml:space="preserve"> is recommend</w:t>
      </w:r>
      <w:r w:rsidR="00133BA1" w:rsidRPr="009200FF">
        <w:rPr>
          <w:rFonts w:cstheme="minorHAnsi"/>
        </w:rPr>
        <w:t>ed</w:t>
      </w:r>
      <w:r w:rsidR="00F766A7" w:rsidRPr="009200FF">
        <w:rPr>
          <w:rFonts w:cstheme="minorHAnsi"/>
        </w:rPr>
        <w:t>.</w:t>
      </w:r>
    </w:p>
    <w:p w14:paraId="6A58FCA9" w14:textId="77777777" w:rsidR="00276BF8" w:rsidRPr="009200FF" w:rsidRDefault="00F90A59" w:rsidP="00364A13">
      <w:pPr>
        <w:spacing w:after="120"/>
        <w:jc w:val="both"/>
        <w:rPr>
          <w:rFonts w:cstheme="minorHAnsi"/>
        </w:rPr>
      </w:pPr>
      <w:r w:rsidRPr="009200FF">
        <w:rPr>
          <w:rFonts w:cstheme="minorHAnsi"/>
        </w:rPr>
        <w:t xml:space="preserve">59. </w:t>
      </w:r>
      <w:r w:rsidRPr="009200FF">
        <w:rPr>
          <w:rFonts w:cstheme="minorHAnsi"/>
        </w:rPr>
        <w:tab/>
      </w:r>
      <w:r w:rsidR="008F5B0B" w:rsidRPr="009200FF">
        <w:rPr>
          <w:rFonts w:cstheme="minorHAnsi"/>
          <w:b/>
        </w:rPr>
        <w:t xml:space="preserve">In terms of </w:t>
      </w:r>
      <w:r w:rsidR="00766B01" w:rsidRPr="009200FF">
        <w:rPr>
          <w:rFonts w:cstheme="minorHAnsi"/>
          <w:b/>
        </w:rPr>
        <w:t xml:space="preserve">technical issues the government should consider the </w:t>
      </w:r>
      <w:r w:rsidRPr="009200FF">
        <w:rPr>
          <w:rFonts w:cstheme="minorHAnsi"/>
          <w:b/>
        </w:rPr>
        <w:t>creation of a</w:t>
      </w:r>
      <w:r w:rsidR="00FD37C8" w:rsidRPr="009200FF">
        <w:rPr>
          <w:rFonts w:cstheme="minorHAnsi"/>
          <w:b/>
        </w:rPr>
        <w:t xml:space="preserve"> cadastre</w:t>
      </w:r>
      <w:r w:rsidRPr="009200FF">
        <w:rPr>
          <w:rFonts w:cstheme="minorHAnsi"/>
          <w:b/>
        </w:rPr>
        <w:t xml:space="preserve"> parcel-based land information system</w:t>
      </w:r>
      <w:r w:rsidR="00766B01" w:rsidRPr="009200FF">
        <w:rPr>
          <w:rFonts w:cstheme="minorHAnsi"/>
          <w:b/>
        </w:rPr>
        <w:t>.</w:t>
      </w:r>
      <w:r w:rsidRPr="009200FF">
        <w:rPr>
          <w:rFonts w:cstheme="minorHAnsi"/>
          <w:b/>
        </w:rPr>
        <w:t xml:space="preserve"> </w:t>
      </w:r>
      <w:r w:rsidRPr="009200FF">
        <w:rPr>
          <w:rFonts w:ascii="Calibri" w:hAnsi="Calibri" w:cs="Calibri"/>
          <w:bCs/>
        </w:rPr>
        <w:t xml:space="preserve">Creating a parcel-based system and ensuring that cadastral processes are integrated with land </w:t>
      </w:r>
      <w:r w:rsidR="00766B01" w:rsidRPr="009200FF">
        <w:rPr>
          <w:rFonts w:ascii="Calibri" w:hAnsi="Calibri" w:cs="Calibri"/>
          <w:bCs/>
        </w:rPr>
        <w:t>rights</w:t>
      </w:r>
      <w:r w:rsidRPr="009200FF">
        <w:rPr>
          <w:rFonts w:ascii="Calibri" w:hAnsi="Calibri" w:cs="Calibri"/>
          <w:bCs/>
        </w:rPr>
        <w:t xml:space="preserve"> </w:t>
      </w:r>
      <w:r w:rsidR="00276BF8" w:rsidRPr="009200FF">
        <w:rPr>
          <w:rFonts w:ascii="Calibri" w:hAnsi="Calibri" w:cs="Calibri"/>
          <w:bCs/>
        </w:rPr>
        <w:t>information</w:t>
      </w:r>
      <w:r w:rsidR="00766B01" w:rsidRPr="009200FF">
        <w:rPr>
          <w:rFonts w:ascii="Calibri" w:hAnsi="Calibri" w:cs="Calibri"/>
          <w:bCs/>
        </w:rPr>
        <w:t xml:space="preserve"> –stored in the property registry- </w:t>
      </w:r>
      <w:r w:rsidR="00276BF8" w:rsidRPr="009200FF">
        <w:rPr>
          <w:rFonts w:ascii="Calibri" w:hAnsi="Calibri" w:cs="Calibri"/>
          <w:bCs/>
        </w:rPr>
        <w:t>through a unique identification numbe</w:t>
      </w:r>
      <w:r w:rsidR="00837456" w:rsidRPr="009200FF">
        <w:rPr>
          <w:rFonts w:ascii="Calibri" w:hAnsi="Calibri" w:cs="Calibri"/>
          <w:bCs/>
        </w:rPr>
        <w:t>r</w:t>
      </w:r>
      <w:r w:rsidR="00276BF8" w:rsidRPr="009200FF">
        <w:rPr>
          <w:rFonts w:ascii="Calibri" w:hAnsi="Calibri" w:cs="Calibri"/>
          <w:bCs/>
        </w:rPr>
        <w:t xml:space="preserve"> will create the basis for the needed</w:t>
      </w:r>
      <w:r w:rsidR="00276BF8" w:rsidRPr="009200FF">
        <w:rPr>
          <w:rFonts w:cstheme="minorHAnsi"/>
          <w:b/>
        </w:rPr>
        <w:t xml:space="preserve"> </w:t>
      </w:r>
      <w:r w:rsidR="00276BF8" w:rsidRPr="009200FF">
        <w:rPr>
          <w:rFonts w:cstheme="minorHAnsi"/>
        </w:rPr>
        <w:t>a Land Administration System</w:t>
      </w:r>
      <w:r w:rsidR="00276BF8" w:rsidRPr="009200FF">
        <w:rPr>
          <w:rFonts w:ascii="Calibri" w:hAnsi="Calibri" w:cs="Calibri"/>
          <w:bCs/>
        </w:rPr>
        <w:t xml:space="preserve">. </w:t>
      </w:r>
      <w:r w:rsidR="00766B01" w:rsidRPr="009200FF">
        <w:rPr>
          <w:rFonts w:ascii="Calibri" w:hAnsi="Calibri" w:cs="Calibri"/>
          <w:bCs/>
        </w:rPr>
        <w:t xml:space="preserve">The creation of this system entails updating </w:t>
      </w:r>
      <w:r w:rsidR="00F6737F" w:rsidRPr="009200FF">
        <w:rPr>
          <w:rFonts w:ascii="Calibri" w:hAnsi="Calibri" w:cs="Calibri"/>
          <w:bCs/>
        </w:rPr>
        <w:t xml:space="preserve">and digitizing </w:t>
      </w:r>
      <w:r w:rsidR="00766B01" w:rsidRPr="009200FF">
        <w:rPr>
          <w:rFonts w:ascii="Calibri" w:hAnsi="Calibri" w:cs="Calibri"/>
          <w:bCs/>
        </w:rPr>
        <w:t xml:space="preserve">geographical and legal information about land and should consequently eliminate all manual </w:t>
      </w:r>
      <w:r w:rsidR="00F6737F" w:rsidRPr="009200FF">
        <w:rPr>
          <w:rFonts w:ascii="Calibri" w:hAnsi="Calibri" w:cs="Calibri"/>
          <w:bCs/>
        </w:rPr>
        <w:t xml:space="preserve">bookkeeping. Central to this process is the densification of the </w:t>
      </w:r>
      <w:r w:rsidR="00F6737F" w:rsidRPr="009200FF">
        <w:rPr>
          <w:rFonts w:cstheme="minorHAnsi"/>
        </w:rPr>
        <w:t>geodetic control network</w:t>
      </w:r>
      <w:r w:rsidR="00766B01" w:rsidRPr="009200FF">
        <w:rPr>
          <w:rFonts w:ascii="Calibri" w:hAnsi="Calibri" w:cs="Calibri"/>
          <w:bCs/>
        </w:rPr>
        <w:t xml:space="preserve"> </w:t>
      </w:r>
      <w:r w:rsidR="00F6737F" w:rsidRPr="009200FF">
        <w:rPr>
          <w:rFonts w:ascii="Calibri" w:hAnsi="Calibri" w:cs="Calibri"/>
          <w:bCs/>
        </w:rPr>
        <w:t>in the country.</w:t>
      </w:r>
      <w:r w:rsidR="00766B01" w:rsidRPr="009200FF">
        <w:rPr>
          <w:rFonts w:ascii="Calibri" w:hAnsi="Calibri" w:cs="Calibri"/>
          <w:bCs/>
        </w:rPr>
        <w:t xml:space="preserve"> </w:t>
      </w:r>
      <w:r w:rsidR="00276BF8" w:rsidRPr="009200FF">
        <w:rPr>
          <w:rFonts w:ascii="Calibri" w:hAnsi="Calibri" w:cs="Calibri"/>
          <w:bCs/>
        </w:rPr>
        <w:t xml:space="preserve"> </w:t>
      </w:r>
    </w:p>
    <w:p w14:paraId="72E1E0F1" w14:textId="303399C8" w:rsidR="00170A5E" w:rsidRPr="009200FF" w:rsidRDefault="00276BF8" w:rsidP="0053693C">
      <w:pPr>
        <w:spacing w:after="120"/>
        <w:jc w:val="both"/>
        <w:rPr>
          <w:rFonts w:ascii="Calibri" w:hAnsi="Calibri" w:cs="Calibri"/>
          <w:bCs/>
        </w:rPr>
      </w:pPr>
      <w:r w:rsidRPr="009200FF">
        <w:rPr>
          <w:rFonts w:ascii="Calibri" w:hAnsi="Calibri" w:cs="Calibri"/>
          <w:bCs/>
        </w:rPr>
        <w:t>60.</w:t>
      </w:r>
      <w:r w:rsidRPr="009200FF">
        <w:rPr>
          <w:rFonts w:ascii="Calibri" w:hAnsi="Calibri" w:cs="Calibri"/>
          <w:bCs/>
        </w:rPr>
        <w:tab/>
      </w:r>
      <w:r w:rsidR="00170A5E" w:rsidRPr="009200FF">
        <w:rPr>
          <w:rFonts w:cstheme="minorHAnsi"/>
          <w:b/>
        </w:rPr>
        <w:t xml:space="preserve">The legal framework governing land acquisition and foreign </w:t>
      </w:r>
      <w:r w:rsidR="001837C9" w:rsidRPr="009200FF">
        <w:rPr>
          <w:rFonts w:cstheme="minorHAnsi"/>
          <w:b/>
        </w:rPr>
        <w:t xml:space="preserve">investment </w:t>
      </w:r>
      <w:r w:rsidR="00170A5E" w:rsidRPr="009200FF">
        <w:rPr>
          <w:rFonts w:cstheme="minorHAnsi"/>
          <w:b/>
        </w:rPr>
        <w:t xml:space="preserve">should be </w:t>
      </w:r>
      <w:r w:rsidR="001837C9" w:rsidRPr="009200FF">
        <w:rPr>
          <w:rFonts w:cstheme="minorHAnsi"/>
          <w:b/>
        </w:rPr>
        <w:t>analyzed to undertake current development challenges</w:t>
      </w:r>
      <w:r w:rsidR="00170A5E" w:rsidRPr="009200FF">
        <w:rPr>
          <w:rFonts w:cstheme="minorHAnsi"/>
          <w:b/>
        </w:rPr>
        <w:t>.</w:t>
      </w:r>
      <w:r w:rsidR="00170A5E" w:rsidRPr="009200FF">
        <w:rPr>
          <w:rFonts w:cstheme="minorHAnsi"/>
        </w:rPr>
        <w:t xml:space="preserve"> </w:t>
      </w:r>
      <w:r w:rsidR="001837C9" w:rsidRPr="009200FF">
        <w:rPr>
          <w:rFonts w:cstheme="minorHAnsi"/>
        </w:rPr>
        <w:t>A</w:t>
      </w:r>
      <w:r w:rsidR="00170A5E" w:rsidRPr="009200FF">
        <w:rPr>
          <w:rFonts w:cstheme="minorHAnsi"/>
        </w:rPr>
        <w:t xml:space="preserve">llowing private ownership of rural land (or the free exchange of concession contracts), existing government agencies can transfer capacity and resources from the management of concession contracts to the actual management of land as a primary resource for sustainable socio-economic development as detailed above. In the case of foreign investment for land acquisition, an explicit regulatory framework detailing the processes for investors and the rights of current owners is lacking and should therefore be approved if investment is thought to drive development in the sectors under study. Current discussions on the bills on Land Property Ownership and Cadastre, as outlined above, are a good opportunity to </w:t>
      </w:r>
      <w:r w:rsidR="00EB0239" w:rsidRPr="009200FF">
        <w:rPr>
          <w:rFonts w:cstheme="minorHAnsi"/>
        </w:rPr>
        <w:t>strength the legal framework</w:t>
      </w:r>
      <w:r w:rsidR="00170A5E" w:rsidRPr="009200FF">
        <w:rPr>
          <w:rFonts w:cstheme="minorHAnsi"/>
        </w:rPr>
        <w:t xml:space="preserve">.    </w:t>
      </w:r>
    </w:p>
    <w:p w14:paraId="5E7F7FED" w14:textId="172182F5" w:rsidR="005034DE" w:rsidRDefault="00170A5E" w:rsidP="0053693C">
      <w:pPr>
        <w:spacing w:after="120"/>
        <w:jc w:val="both"/>
        <w:rPr>
          <w:rFonts w:ascii="Calibri" w:hAnsi="Calibri" w:cs="Calibri"/>
          <w:bCs/>
        </w:rPr>
      </w:pPr>
      <w:r w:rsidRPr="009200FF">
        <w:rPr>
          <w:rFonts w:ascii="Calibri" w:hAnsi="Calibri" w:cs="Calibri"/>
          <w:b/>
          <w:bCs/>
        </w:rPr>
        <w:t>61.</w:t>
      </w:r>
      <w:r w:rsidRPr="009200FF">
        <w:rPr>
          <w:rFonts w:ascii="Calibri" w:hAnsi="Calibri" w:cs="Calibri"/>
          <w:b/>
          <w:bCs/>
        </w:rPr>
        <w:tab/>
      </w:r>
      <w:r w:rsidR="00A54EFB" w:rsidRPr="009200FF">
        <w:rPr>
          <w:rFonts w:ascii="Calibri" w:hAnsi="Calibri" w:cs="Calibri"/>
          <w:b/>
          <w:bCs/>
        </w:rPr>
        <w:t>Improving and s</w:t>
      </w:r>
      <w:r w:rsidR="00276BF8" w:rsidRPr="009200FF">
        <w:rPr>
          <w:rFonts w:ascii="Calibri" w:hAnsi="Calibri" w:cs="Calibri"/>
          <w:b/>
          <w:bCs/>
        </w:rPr>
        <w:t>trengthening the existing institutional structure</w:t>
      </w:r>
      <w:r w:rsidR="00565822" w:rsidRPr="009200FF">
        <w:rPr>
          <w:rFonts w:ascii="Calibri" w:hAnsi="Calibri" w:cs="Calibri"/>
          <w:b/>
          <w:bCs/>
        </w:rPr>
        <w:t xml:space="preserve"> governing land-related issues must</w:t>
      </w:r>
      <w:r w:rsidR="00276BF8" w:rsidRPr="009200FF">
        <w:rPr>
          <w:rFonts w:ascii="Calibri" w:hAnsi="Calibri" w:cs="Calibri"/>
          <w:b/>
          <w:bCs/>
        </w:rPr>
        <w:t xml:space="preserve"> </w:t>
      </w:r>
      <w:r w:rsidR="00EB0239" w:rsidRPr="009200FF">
        <w:rPr>
          <w:rFonts w:ascii="Calibri" w:hAnsi="Calibri" w:cs="Calibri"/>
          <w:b/>
          <w:bCs/>
        </w:rPr>
        <w:t>positively impact STP land governance.</w:t>
      </w:r>
      <w:r w:rsidR="00F32EF8" w:rsidRPr="009200FF">
        <w:rPr>
          <w:rFonts w:ascii="Calibri" w:hAnsi="Calibri" w:cs="Calibri"/>
          <w:bCs/>
        </w:rPr>
        <w:t xml:space="preserve"> This should include a</w:t>
      </w:r>
      <w:r w:rsidR="007520D1" w:rsidRPr="009200FF">
        <w:rPr>
          <w:rFonts w:ascii="Calibri" w:hAnsi="Calibri" w:cs="Calibri"/>
          <w:bCs/>
        </w:rPr>
        <w:t xml:space="preserve"> </w:t>
      </w:r>
      <w:r w:rsidR="00EB0239" w:rsidRPr="009200FF">
        <w:rPr>
          <w:rFonts w:ascii="Calibri" w:hAnsi="Calibri" w:cs="Calibri"/>
          <w:bCs/>
        </w:rPr>
        <w:t xml:space="preserve">revision of roles and responsibilities of involved agencies, their </w:t>
      </w:r>
      <w:r w:rsidR="007520D1" w:rsidRPr="009200FF">
        <w:rPr>
          <w:rFonts w:ascii="Calibri" w:hAnsi="Calibri" w:cs="Calibri"/>
          <w:bCs/>
        </w:rPr>
        <w:t>institutional mandates and internal processes</w:t>
      </w:r>
      <w:r w:rsidR="00EB0239" w:rsidRPr="009200FF">
        <w:rPr>
          <w:rFonts w:ascii="Calibri" w:hAnsi="Calibri" w:cs="Calibri"/>
          <w:bCs/>
        </w:rPr>
        <w:t xml:space="preserve"> aiming to avoid gaps and the duplication of efforts, this </w:t>
      </w:r>
      <w:r w:rsidR="00374A96" w:rsidRPr="009200FF">
        <w:rPr>
          <w:rFonts w:ascii="Calibri" w:hAnsi="Calibri" w:cs="Calibri"/>
          <w:bCs/>
        </w:rPr>
        <w:t xml:space="preserve">should also </w:t>
      </w:r>
      <w:r w:rsidR="00EB0239" w:rsidRPr="009200FF">
        <w:rPr>
          <w:rFonts w:ascii="Calibri" w:hAnsi="Calibri" w:cs="Calibri"/>
          <w:bCs/>
        </w:rPr>
        <w:t xml:space="preserve">be </w:t>
      </w:r>
      <w:r w:rsidR="00374A96" w:rsidRPr="009200FF">
        <w:rPr>
          <w:rFonts w:ascii="Calibri" w:hAnsi="Calibri" w:cs="Calibri"/>
          <w:bCs/>
        </w:rPr>
        <w:t>align</w:t>
      </w:r>
      <w:r w:rsidR="00EB0239" w:rsidRPr="009200FF">
        <w:rPr>
          <w:rFonts w:ascii="Calibri" w:hAnsi="Calibri" w:cs="Calibri"/>
          <w:bCs/>
        </w:rPr>
        <w:t>ed</w:t>
      </w:r>
      <w:r w:rsidR="00374A96" w:rsidRPr="009200FF">
        <w:rPr>
          <w:rFonts w:ascii="Calibri" w:hAnsi="Calibri" w:cs="Calibri"/>
          <w:bCs/>
        </w:rPr>
        <w:t xml:space="preserve"> with a s</w:t>
      </w:r>
      <w:r w:rsidR="00F32EF8" w:rsidRPr="009200FF">
        <w:rPr>
          <w:rFonts w:ascii="Calibri" w:hAnsi="Calibri" w:cs="Calibri"/>
          <w:bCs/>
        </w:rPr>
        <w:t xml:space="preserve">pecial focus </w:t>
      </w:r>
      <w:r w:rsidR="00374A96" w:rsidRPr="009200FF">
        <w:rPr>
          <w:rFonts w:ascii="Calibri" w:hAnsi="Calibri" w:cs="Calibri"/>
          <w:bCs/>
        </w:rPr>
        <w:t>on</w:t>
      </w:r>
      <w:r w:rsidR="00F32EF8" w:rsidRPr="009200FF">
        <w:rPr>
          <w:rFonts w:ascii="Calibri" w:hAnsi="Calibri" w:cs="Calibri"/>
          <w:bCs/>
        </w:rPr>
        <w:t xml:space="preserve"> the strengthening of human, </w:t>
      </w:r>
      <w:r w:rsidR="00F32EF8" w:rsidRPr="009200FF">
        <w:rPr>
          <w:rFonts w:ascii="Calibri" w:hAnsi="Calibri" w:cs="Calibri"/>
          <w:bCs/>
        </w:rPr>
        <w:lastRenderedPageBreak/>
        <w:t>technical, and financial capacity of agencies</w:t>
      </w:r>
      <w:r w:rsidR="00A95B1B" w:rsidRPr="009200FF">
        <w:rPr>
          <w:rFonts w:ascii="Calibri" w:hAnsi="Calibri" w:cs="Calibri"/>
          <w:bCs/>
        </w:rPr>
        <w:t xml:space="preserve"> that will be responsible for the functioning of the land </w:t>
      </w:r>
      <w:r w:rsidR="00357828" w:rsidRPr="009200FF">
        <w:rPr>
          <w:rFonts w:ascii="Calibri" w:hAnsi="Calibri" w:cs="Calibri"/>
          <w:bCs/>
        </w:rPr>
        <w:t xml:space="preserve">administration </w:t>
      </w:r>
      <w:r w:rsidR="00A95B1B" w:rsidRPr="009200FF">
        <w:rPr>
          <w:rFonts w:ascii="Calibri" w:hAnsi="Calibri" w:cs="Calibri"/>
          <w:bCs/>
        </w:rPr>
        <w:t>system</w:t>
      </w:r>
      <w:r w:rsidR="00F32EF8" w:rsidRPr="009200FF">
        <w:rPr>
          <w:rFonts w:ascii="Calibri" w:hAnsi="Calibri" w:cs="Calibri"/>
          <w:bCs/>
        </w:rPr>
        <w:t>.</w:t>
      </w:r>
      <w:r w:rsidR="00357828">
        <w:rPr>
          <w:rFonts w:ascii="Calibri" w:hAnsi="Calibri" w:cs="Calibri"/>
          <w:bCs/>
        </w:rPr>
        <w:t xml:space="preserve"> </w:t>
      </w:r>
    </w:p>
    <w:p w14:paraId="5C5B8309" w14:textId="77777777" w:rsidR="004614D6" w:rsidRDefault="004614D6" w:rsidP="0053693C">
      <w:pPr>
        <w:spacing w:after="120"/>
        <w:jc w:val="both"/>
        <w:rPr>
          <w:rFonts w:ascii="Calibri" w:hAnsi="Calibri" w:cs="Calibri"/>
          <w:bCs/>
        </w:rPr>
      </w:pPr>
    </w:p>
    <w:p w14:paraId="3DBEC53D" w14:textId="77777777" w:rsidR="00170A5E" w:rsidRPr="0053693C" w:rsidRDefault="00170A5E">
      <w:pPr>
        <w:spacing w:after="120"/>
        <w:jc w:val="both"/>
        <w:rPr>
          <w:rFonts w:ascii="Calibri" w:hAnsi="Calibri" w:cs="Calibri"/>
          <w:bCs/>
        </w:rPr>
      </w:pPr>
    </w:p>
    <w:sectPr w:rsidR="00170A5E" w:rsidRPr="0053693C" w:rsidSect="005A676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0DDDEF" w14:textId="77777777" w:rsidR="004D55A2" w:rsidRDefault="004D55A2" w:rsidP="006F3CFB">
      <w:pPr>
        <w:spacing w:after="0" w:line="240" w:lineRule="auto"/>
      </w:pPr>
      <w:r>
        <w:separator/>
      </w:r>
    </w:p>
  </w:endnote>
  <w:endnote w:type="continuationSeparator" w:id="0">
    <w:p w14:paraId="1FC2F8F9" w14:textId="77777777" w:rsidR="004D55A2" w:rsidRDefault="004D55A2" w:rsidP="006F3C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D9BC5E" w14:textId="77777777" w:rsidR="004D55A2" w:rsidRDefault="004D55A2" w:rsidP="006F3CFB">
      <w:pPr>
        <w:spacing w:after="0" w:line="240" w:lineRule="auto"/>
      </w:pPr>
      <w:r>
        <w:separator/>
      </w:r>
    </w:p>
  </w:footnote>
  <w:footnote w:type="continuationSeparator" w:id="0">
    <w:p w14:paraId="013B9362" w14:textId="77777777" w:rsidR="004D55A2" w:rsidRDefault="004D55A2" w:rsidP="006F3CFB">
      <w:pPr>
        <w:spacing w:after="0" w:line="240" w:lineRule="auto"/>
      </w:pPr>
      <w:r>
        <w:continuationSeparator/>
      </w:r>
    </w:p>
  </w:footnote>
  <w:footnote w:id="1">
    <w:p w14:paraId="4EA91071" w14:textId="77777777" w:rsidR="00133BA1" w:rsidRDefault="00133BA1" w:rsidP="00954B30">
      <w:pPr>
        <w:pStyle w:val="FootnoteText"/>
        <w:jc w:val="both"/>
      </w:pPr>
      <w:r>
        <w:rPr>
          <w:rStyle w:val="FootnoteReference"/>
        </w:rPr>
        <w:footnoteRef/>
      </w:r>
      <w:r>
        <w:t xml:space="preserve"> Given the scope of the document the terms land governance, land management, and land administration systems are used interchangeably to denote the existing set of rules and institutions to gather, record and disseminate information about rights to land, its value, location, and potential uses, used to design and implement land management initiatives.   </w:t>
      </w:r>
    </w:p>
  </w:footnote>
  <w:footnote w:id="2">
    <w:p w14:paraId="46E898BD" w14:textId="77777777" w:rsidR="00133BA1" w:rsidRDefault="00133BA1" w:rsidP="00EB138A">
      <w:pPr>
        <w:pStyle w:val="FootnoteText"/>
      </w:pPr>
      <w:r w:rsidRPr="007C67AA">
        <w:rPr>
          <w:rStyle w:val="FootnoteReference"/>
        </w:rPr>
        <w:sym w:font="Symbol" w:char="F02A"/>
      </w:r>
      <w:r>
        <w:t xml:space="preserve"> Senior Land Administration Specialist at World Bank Social, Urban, Rural and Resilience Global Practice and consultant respectively.</w:t>
      </w:r>
    </w:p>
  </w:footnote>
  <w:footnote w:id="3">
    <w:p w14:paraId="643874C2" w14:textId="77777777" w:rsidR="00133BA1" w:rsidRPr="00DB5926" w:rsidRDefault="00133BA1" w:rsidP="00801F0D">
      <w:pPr>
        <w:spacing w:after="0" w:line="240" w:lineRule="auto"/>
        <w:rPr>
          <w:sz w:val="20"/>
          <w:szCs w:val="20"/>
        </w:rPr>
      </w:pPr>
      <w:r w:rsidRPr="00DB5926">
        <w:rPr>
          <w:rStyle w:val="FootnoteReference"/>
          <w:sz w:val="20"/>
          <w:szCs w:val="20"/>
        </w:rPr>
        <w:footnoteRef/>
      </w:r>
      <w:r w:rsidRPr="00DB5926">
        <w:rPr>
          <w:sz w:val="20"/>
          <w:szCs w:val="20"/>
        </w:rPr>
        <w:t xml:space="preserve"> Siebert, Gérard (2016) São Tomé and Príncipe 1975-2015: politics and economy in a former plantation colony. </w:t>
      </w:r>
      <w:proofErr w:type="spellStart"/>
      <w:r w:rsidRPr="00DB5926">
        <w:rPr>
          <w:i/>
          <w:sz w:val="20"/>
          <w:szCs w:val="20"/>
        </w:rPr>
        <w:t>Estudos</w:t>
      </w:r>
      <w:proofErr w:type="spellEnd"/>
      <w:r w:rsidRPr="00DB5926">
        <w:rPr>
          <w:i/>
          <w:sz w:val="20"/>
          <w:szCs w:val="20"/>
        </w:rPr>
        <w:t xml:space="preserve"> </w:t>
      </w:r>
      <w:proofErr w:type="spellStart"/>
      <w:r w:rsidRPr="00DB5926">
        <w:rPr>
          <w:i/>
          <w:sz w:val="20"/>
          <w:szCs w:val="20"/>
        </w:rPr>
        <w:t>Ibero</w:t>
      </w:r>
      <w:proofErr w:type="spellEnd"/>
      <w:r w:rsidRPr="00DB5926">
        <w:rPr>
          <w:i/>
          <w:sz w:val="20"/>
          <w:szCs w:val="20"/>
        </w:rPr>
        <w:t>-Americanos</w:t>
      </w:r>
      <w:r w:rsidRPr="00DB5926">
        <w:rPr>
          <w:sz w:val="20"/>
          <w:szCs w:val="20"/>
        </w:rPr>
        <w:t>, Vol. 42, Nº. 3, pgs. 987-1012.</w:t>
      </w:r>
    </w:p>
  </w:footnote>
  <w:footnote w:id="4">
    <w:p w14:paraId="64E4181B" w14:textId="77777777" w:rsidR="00133BA1" w:rsidRPr="000A0F97" w:rsidRDefault="00133BA1" w:rsidP="00801F0D">
      <w:pPr>
        <w:pStyle w:val="FootnoteText"/>
      </w:pPr>
      <w:r w:rsidRPr="00DB5926">
        <w:rPr>
          <w:rStyle w:val="FootnoteReference"/>
        </w:rPr>
        <w:footnoteRef/>
      </w:r>
      <w:r w:rsidRPr="00DB5926">
        <w:t xml:space="preserve"> Eyzaguirre, Pablo B. (1989) The Independence of Sao Tome E Principe and Agrarian Reform. </w:t>
      </w:r>
      <w:r w:rsidRPr="000A0F97">
        <w:rPr>
          <w:i/>
        </w:rPr>
        <w:t>Journal of Modern African Studies</w:t>
      </w:r>
      <w:r w:rsidRPr="000A0F97">
        <w:t>, Vol. 27, No. 4, pp. 671-678</w:t>
      </w:r>
    </w:p>
  </w:footnote>
  <w:footnote w:id="5">
    <w:p w14:paraId="1D7DB7A6" w14:textId="77777777" w:rsidR="00133BA1" w:rsidRDefault="00133BA1" w:rsidP="00801F0D">
      <w:pPr>
        <w:pStyle w:val="FootnoteText"/>
      </w:pPr>
      <w:r>
        <w:rPr>
          <w:rStyle w:val="FootnoteReference"/>
        </w:rPr>
        <w:footnoteRef/>
      </w:r>
      <w:r>
        <w:t xml:space="preserve"> Op. Cit. </w:t>
      </w:r>
      <w:r w:rsidRPr="00DB5926">
        <w:t>Siebert</w:t>
      </w:r>
      <w:r>
        <w:t>, p. 1002.</w:t>
      </w:r>
    </w:p>
  </w:footnote>
  <w:footnote w:id="6">
    <w:p w14:paraId="7AFB2E19" w14:textId="77777777" w:rsidR="00133BA1" w:rsidRDefault="00133BA1" w:rsidP="00801F0D">
      <w:pPr>
        <w:pStyle w:val="FootnoteText"/>
      </w:pPr>
      <w:r>
        <w:rPr>
          <w:rStyle w:val="FootnoteReference"/>
        </w:rPr>
        <w:footnoteRef/>
      </w:r>
      <w:r>
        <w:t xml:space="preserve"> Ibid.</w:t>
      </w:r>
    </w:p>
  </w:footnote>
  <w:footnote w:id="7">
    <w:p w14:paraId="11246A46" w14:textId="77777777" w:rsidR="00133BA1" w:rsidRPr="0007491B" w:rsidRDefault="00133BA1" w:rsidP="00801F0D">
      <w:pPr>
        <w:spacing w:after="0" w:line="240" w:lineRule="auto"/>
        <w:jc w:val="both"/>
        <w:rPr>
          <w:sz w:val="20"/>
          <w:szCs w:val="20"/>
        </w:rPr>
      </w:pPr>
      <w:r>
        <w:rPr>
          <w:rStyle w:val="FootnoteReference"/>
        </w:rPr>
        <w:footnoteRef/>
      </w:r>
      <w:r>
        <w:t xml:space="preserve"> </w:t>
      </w:r>
      <w:r w:rsidRPr="0007491B">
        <w:rPr>
          <w:sz w:val="20"/>
          <w:szCs w:val="20"/>
        </w:rPr>
        <w:t xml:space="preserve">Seibert, Gerhard (2006). </w:t>
      </w:r>
      <w:r w:rsidRPr="0007491B">
        <w:rPr>
          <w:i/>
          <w:sz w:val="20"/>
          <w:szCs w:val="20"/>
        </w:rPr>
        <w:t>Comrades, Clients and Cousins. Colonialism, Socialism and Democratization in São Tomé and Príncipe</w:t>
      </w:r>
      <w:r w:rsidRPr="0007491B">
        <w:rPr>
          <w:sz w:val="20"/>
          <w:szCs w:val="20"/>
        </w:rPr>
        <w:t>. Leiden &amp; Boston: Brill.</w:t>
      </w:r>
    </w:p>
  </w:footnote>
  <w:footnote w:id="8">
    <w:p w14:paraId="3D0DB634" w14:textId="77777777" w:rsidR="00133BA1" w:rsidRDefault="00133BA1" w:rsidP="00801F0D">
      <w:pPr>
        <w:pStyle w:val="FootnoteText"/>
      </w:pPr>
      <w:r>
        <w:rPr>
          <w:rStyle w:val="FootnoteReference"/>
        </w:rPr>
        <w:footnoteRef/>
      </w:r>
      <w:r>
        <w:t xml:space="preserve"> Ibid. p. 354.</w:t>
      </w:r>
    </w:p>
  </w:footnote>
  <w:footnote w:id="9">
    <w:p w14:paraId="5213BA43" w14:textId="77777777" w:rsidR="00133BA1" w:rsidRPr="00970043" w:rsidRDefault="00133BA1" w:rsidP="00970043">
      <w:pPr>
        <w:spacing w:after="0" w:line="240" w:lineRule="auto"/>
        <w:rPr>
          <w:sz w:val="20"/>
          <w:szCs w:val="20"/>
        </w:rPr>
      </w:pPr>
      <w:r>
        <w:rPr>
          <w:rStyle w:val="FootnoteReference"/>
        </w:rPr>
        <w:footnoteRef/>
      </w:r>
      <w:r w:rsidRPr="00970043">
        <w:t xml:space="preserve"> </w:t>
      </w:r>
      <w:r w:rsidRPr="00DB5926">
        <w:rPr>
          <w:sz w:val="20"/>
          <w:szCs w:val="20"/>
        </w:rPr>
        <w:t xml:space="preserve">Siebert, Gérard (2016) São Tomé and Príncipe 1975-2015: politics and economy in a former plantation colony. </w:t>
      </w:r>
      <w:r w:rsidRPr="00791E29">
        <w:rPr>
          <w:i/>
          <w:sz w:val="20"/>
          <w:szCs w:val="20"/>
          <w:lang w:val="pt-BR"/>
        </w:rPr>
        <w:t>Estudos Ibero-Americanos</w:t>
      </w:r>
      <w:r w:rsidRPr="00791E29">
        <w:rPr>
          <w:sz w:val="20"/>
          <w:szCs w:val="20"/>
          <w:lang w:val="pt-BR"/>
        </w:rPr>
        <w:t xml:space="preserve">, Vol. 42, Nº. 3. Pg. 1003; Cacoba A., Júlio Daniel (2017).  </w:t>
      </w:r>
      <w:r w:rsidRPr="00C51195">
        <w:rPr>
          <w:i/>
          <w:sz w:val="20"/>
          <w:szCs w:val="20"/>
          <w:lang w:val="pt-BR"/>
        </w:rPr>
        <w:t>Redesenhar O Tecido Urbano Do Bairro Do Riboque Na Cidade De Sãotomé</w:t>
      </w:r>
      <w:r w:rsidRPr="00C51195">
        <w:rPr>
          <w:sz w:val="20"/>
          <w:szCs w:val="20"/>
          <w:lang w:val="pt-BR"/>
        </w:rPr>
        <w:t xml:space="preserve">. </w:t>
      </w:r>
      <w:r w:rsidRPr="00DE45A2">
        <w:rPr>
          <w:sz w:val="20"/>
          <w:szCs w:val="20"/>
        </w:rPr>
        <w:t xml:space="preserve">Pg. 5 </w:t>
      </w:r>
      <w:hyperlink r:id="rId1" w:history="1">
        <w:r w:rsidRPr="00AF7FE2">
          <w:rPr>
            <w:rStyle w:val="Hyperlink"/>
            <w:sz w:val="20"/>
            <w:szCs w:val="20"/>
          </w:rPr>
          <w:t>https://www.repository.utl.pt/bitstream/10400.5/14538/1/TM%202035.pdf</w:t>
        </w:r>
      </w:hyperlink>
      <w:r w:rsidRPr="00AF7FE2">
        <w:rPr>
          <w:sz w:val="20"/>
          <w:szCs w:val="20"/>
        </w:rPr>
        <w:t>, last accessed</w:t>
      </w:r>
      <w:r>
        <w:rPr>
          <w:sz w:val="20"/>
          <w:szCs w:val="20"/>
        </w:rPr>
        <w:t>, February 25, 2019.</w:t>
      </w:r>
      <w:r w:rsidRPr="00AF7FE2">
        <w:rPr>
          <w:sz w:val="20"/>
          <w:szCs w:val="20"/>
        </w:rPr>
        <w:t xml:space="preserve">  </w:t>
      </w:r>
    </w:p>
  </w:footnote>
  <w:footnote w:id="10">
    <w:p w14:paraId="59DD8038" w14:textId="77777777" w:rsidR="00133BA1" w:rsidRDefault="00133BA1">
      <w:pPr>
        <w:pStyle w:val="FootnoteText"/>
      </w:pPr>
      <w:r>
        <w:rPr>
          <w:rStyle w:val="FootnoteReference"/>
        </w:rPr>
        <w:footnoteRef/>
      </w:r>
      <w:r>
        <w:t xml:space="preserve"> Law No.3/91 on Property Ownership. Art. 29</w:t>
      </w:r>
    </w:p>
  </w:footnote>
  <w:footnote w:id="11">
    <w:p w14:paraId="218CC30E" w14:textId="77777777" w:rsidR="00133BA1" w:rsidRDefault="00133BA1">
      <w:pPr>
        <w:pStyle w:val="FootnoteText"/>
      </w:pPr>
      <w:r>
        <w:rPr>
          <w:rStyle w:val="FootnoteReference"/>
        </w:rPr>
        <w:footnoteRef/>
      </w:r>
      <w:r>
        <w:t xml:space="preserve"> Ibid.</w:t>
      </w:r>
    </w:p>
  </w:footnote>
  <w:footnote w:id="12">
    <w:p w14:paraId="3023BA57" w14:textId="77777777" w:rsidR="00133BA1" w:rsidRDefault="00133BA1" w:rsidP="003B2DB8">
      <w:pPr>
        <w:pStyle w:val="FootnoteText"/>
      </w:pPr>
      <w:r>
        <w:rPr>
          <w:rStyle w:val="FootnoteReference"/>
        </w:rPr>
        <w:footnoteRef/>
      </w:r>
      <w:r>
        <w:t xml:space="preserve"> Decree-Law No. 19/2016. Investment Code.</w:t>
      </w:r>
    </w:p>
  </w:footnote>
  <w:footnote w:id="13">
    <w:p w14:paraId="65B075AB" w14:textId="77777777" w:rsidR="00133BA1" w:rsidRDefault="00133BA1" w:rsidP="006E0909">
      <w:pPr>
        <w:pStyle w:val="FootnoteText"/>
      </w:pPr>
      <w:r>
        <w:rPr>
          <w:rStyle w:val="FootnoteReference"/>
        </w:rPr>
        <w:footnoteRef/>
      </w:r>
      <w:r>
        <w:t xml:space="preserve"> Data from the 2012 census and 2017 GDP. </w:t>
      </w:r>
    </w:p>
  </w:footnote>
  <w:footnote w:id="14">
    <w:p w14:paraId="3D9F07B3" w14:textId="77777777" w:rsidR="00133BA1" w:rsidRPr="008360B3" w:rsidRDefault="00133BA1" w:rsidP="00926C6D">
      <w:pPr>
        <w:spacing w:after="0" w:line="240" w:lineRule="auto"/>
        <w:rPr>
          <w:sz w:val="20"/>
          <w:szCs w:val="20"/>
        </w:rPr>
      </w:pPr>
      <w:r w:rsidRPr="00DB5926">
        <w:rPr>
          <w:rStyle w:val="FootnoteReference"/>
          <w:sz w:val="20"/>
          <w:szCs w:val="20"/>
        </w:rPr>
        <w:footnoteRef/>
      </w:r>
      <w:r w:rsidRPr="00DB5926">
        <w:rPr>
          <w:sz w:val="20"/>
          <w:szCs w:val="20"/>
        </w:rPr>
        <w:t xml:space="preserve"> Everest-Phillips (2008); </w:t>
      </w:r>
      <w:proofErr w:type="spellStart"/>
      <w:r w:rsidRPr="00DB5926">
        <w:rPr>
          <w:sz w:val="20"/>
          <w:szCs w:val="20"/>
        </w:rPr>
        <w:t>Besley</w:t>
      </w:r>
      <w:proofErr w:type="spellEnd"/>
      <w:r w:rsidRPr="00DB5926">
        <w:rPr>
          <w:sz w:val="20"/>
          <w:szCs w:val="20"/>
        </w:rPr>
        <w:t xml:space="preserve"> and </w:t>
      </w:r>
      <w:proofErr w:type="spellStart"/>
      <w:r w:rsidRPr="00DB5926">
        <w:rPr>
          <w:sz w:val="20"/>
          <w:szCs w:val="20"/>
        </w:rPr>
        <w:t>Ghatak</w:t>
      </w:r>
      <w:proofErr w:type="spellEnd"/>
      <w:r w:rsidRPr="00DB5926">
        <w:rPr>
          <w:sz w:val="20"/>
          <w:szCs w:val="20"/>
        </w:rPr>
        <w:t xml:space="preserve"> (2009); Deininger, K., D. A. Ali, and T. Alemu. </w:t>
      </w:r>
      <w:r w:rsidRPr="00F74056">
        <w:rPr>
          <w:sz w:val="20"/>
          <w:szCs w:val="20"/>
        </w:rPr>
        <w:t>(2009)</w:t>
      </w:r>
    </w:p>
  </w:footnote>
  <w:footnote w:id="15">
    <w:p w14:paraId="18F72B0E" w14:textId="77777777" w:rsidR="00133BA1" w:rsidRPr="00DB5926" w:rsidRDefault="00133BA1" w:rsidP="00926C6D">
      <w:pPr>
        <w:spacing w:after="0" w:line="240" w:lineRule="auto"/>
        <w:jc w:val="both"/>
        <w:rPr>
          <w:sz w:val="20"/>
          <w:szCs w:val="20"/>
        </w:rPr>
      </w:pPr>
      <w:r w:rsidRPr="00DB5926">
        <w:rPr>
          <w:rStyle w:val="FootnoteReference"/>
          <w:sz w:val="20"/>
          <w:szCs w:val="20"/>
        </w:rPr>
        <w:footnoteRef/>
      </w:r>
      <w:r w:rsidRPr="00DB5926">
        <w:rPr>
          <w:sz w:val="20"/>
          <w:szCs w:val="20"/>
        </w:rPr>
        <w:t xml:space="preserve"> See </w:t>
      </w:r>
      <w:r w:rsidRPr="00DB5926">
        <w:rPr>
          <w:i/>
          <w:sz w:val="20"/>
          <w:szCs w:val="20"/>
        </w:rPr>
        <w:t>inter alia</w:t>
      </w:r>
      <w:r w:rsidRPr="00DB5926">
        <w:rPr>
          <w:sz w:val="20"/>
          <w:szCs w:val="20"/>
        </w:rPr>
        <w:t xml:space="preserve">: Everest-Phillips (2008). The Myth of ‘Secure Property Rights’: Good Economics as Bad History and its Impact on International Development. </w:t>
      </w:r>
      <w:r w:rsidRPr="00DB5926">
        <w:rPr>
          <w:i/>
          <w:sz w:val="20"/>
          <w:szCs w:val="20"/>
        </w:rPr>
        <w:t>SPIRU Working Paper 23</w:t>
      </w:r>
      <w:r w:rsidRPr="00DB5926">
        <w:rPr>
          <w:sz w:val="20"/>
          <w:szCs w:val="20"/>
        </w:rPr>
        <w:t xml:space="preserve">. London: Overseas Development Institute Working Paper. </w:t>
      </w:r>
      <w:proofErr w:type="spellStart"/>
      <w:r w:rsidRPr="00DB5926">
        <w:rPr>
          <w:sz w:val="20"/>
          <w:szCs w:val="20"/>
        </w:rPr>
        <w:t>Besley</w:t>
      </w:r>
      <w:proofErr w:type="spellEnd"/>
      <w:r w:rsidRPr="00DB5926">
        <w:rPr>
          <w:sz w:val="20"/>
          <w:szCs w:val="20"/>
        </w:rPr>
        <w:t xml:space="preserve"> and </w:t>
      </w:r>
      <w:proofErr w:type="spellStart"/>
      <w:r w:rsidRPr="00DB5926">
        <w:rPr>
          <w:sz w:val="20"/>
          <w:szCs w:val="20"/>
        </w:rPr>
        <w:t>Ghatak</w:t>
      </w:r>
      <w:proofErr w:type="spellEnd"/>
      <w:r w:rsidRPr="00DB5926">
        <w:rPr>
          <w:sz w:val="20"/>
          <w:szCs w:val="20"/>
        </w:rPr>
        <w:t xml:space="preserve"> (2009).  Property rights and economic development. In: D. Rodrik and M. Rosenzweig, eds., </w:t>
      </w:r>
      <w:r w:rsidRPr="00DB5926">
        <w:rPr>
          <w:i/>
          <w:sz w:val="20"/>
          <w:szCs w:val="20"/>
        </w:rPr>
        <w:t>Handbook of Development Economics</w:t>
      </w:r>
      <w:r w:rsidRPr="00DB5926">
        <w:rPr>
          <w:sz w:val="20"/>
          <w:szCs w:val="20"/>
        </w:rPr>
        <w:t xml:space="preserve">. Elsevier, pp.4525–4595. Acemoglu, D., Johnson, S. and Robinson, J.A., 2005. Institutions as a Fundamental Cause of Long-Run Growth. In: P. Aghion and S.N. </w:t>
      </w:r>
      <w:proofErr w:type="spellStart"/>
      <w:r w:rsidRPr="00DB5926">
        <w:rPr>
          <w:sz w:val="20"/>
          <w:szCs w:val="20"/>
        </w:rPr>
        <w:t>Durlauf</w:t>
      </w:r>
      <w:proofErr w:type="spellEnd"/>
      <w:r w:rsidRPr="00DB5926">
        <w:rPr>
          <w:sz w:val="20"/>
          <w:szCs w:val="20"/>
        </w:rPr>
        <w:t xml:space="preserve">, eds., Handbook of Economic Growth, 1A ed. Elsevier B.V., pp.385–472.Deininger et. al., </w:t>
      </w:r>
      <w:proofErr w:type="gramStart"/>
      <w:r w:rsidRPr="00DB5926">
        <w:rPr>
          <w:sz w:val="20"/>
          <w:szCs w:val="20"/>
        </w:rPr>
        <w:t>2008;  Deininger</w:t>
      </w:r>
      <w:proofErr w:type="gramEnd"/>
      <w:r w:rsidRPr="00DB5926">
        <w:rPr>
          <w:sz w:val="20"/>
          <w:szCs w:val="20"/>
        </w:rPr>
        <w:t xml:space="preserve">, K., D. A. Ali, and T. Alemu. (2009). Impacts of Land Certification on Tenure Security, Investment, and Land Markets: Evidence from Ethiopia. </w:t>
      </w:r>
      <w:r w:rsidRPr="00DB5926">
        <w:rPr>
          <w:i/>
          <w:sz w:val="20"/>
          <w:szCs w:val="20"/>
        </w:rPr>
        <w:t>Discussion Paper Series 09-11</w:t>
      </w:r>
      <w:r w:rsidRPr="00DB5926">
        <w:rPr>
          <w:sz w:val="20"/>
          <w:szCs w:val="20"/>
        </w:rPr>
        <w:t>. Gothenburg: Environment for Development (</w:t>
      </w:r>
      <w:proofErr w:type="spellStart"/>
      <w:r w:rsidRPr="00DB5926">
        <w:rPr>
          <w:sz w:val="20"/>
          <w:szCs w:val="20"/>
        </w:rPr>
        <w:t>EfD</w:t>
      </w:r>
      <w:proofErr w:type="spellEnd"/>
      <w:r w:rsidRPr="00DB5926">
        <w:rPr>
          <w:sz w:val="20"/>
          <w:szCs w:val="20"/>
        </w:rPr>
        <w:t xml:space="preserve">). Deininger, K., D. A. Ali, S. Holden, and J. </w:t>
      </w:r>
      <w:proofErr w:type="spellStart"/>
      <w:r w:rsidRPr="00DB5926">
        <w:rPr>
          <w:sz w:val="20"/>
          <w:szCs w:val="20"/>
        </w:rPr>
        <w:t>Zevenbergen</w:t>
      </w:r>
      <w:proofErr w:type="spellEnd"/>
      <w:r w:rsidRPr="00DB5926">
        <w:rPr>
          <w:sz w:val="20"/>
          <w:szCs w:val="20"/>
        </w:rPr>
        <w:t>. 2007 “Rural Land Certification in Ethiopia: Process, Initial Impact, and Implications for Other African Countries.” World Bank Policy Research Working Paper 4218. Washington, DC: The World Bank.</w:t>
      </w:r>
    </w:p>
  </w:footnote>
  <w:footnote w:id="16">
    <w:p w14:paraId="5D3B876F" w14:textId="77777777" w:rsidR="00133BA1" w:rsidRPr="00914C35" w:rsidRDefault="00133BA1" w:rsidP="00486F38">
      <w:pPr>
        <w:spacing w:after="0" w:line="240" w:lineRule="auto"/>
        <w:rPr>
          <w:sz w:val="20"/>
          <w:szCs w:val="20"/>
        </w:rPr>
      </w:pPr>
      <w:r w:rsidRPr="00DB5926">
        <w:rPr>
          <w:rStyle w:val="FootnoteReference"/>
          <w:sz w:val="20"/>
          <w:szCs w:val="20"/>
        </w:rPr>
        <w:footnoteRef/>
      </w:r>
      <w:r w:rsidRPr="00DB5926">
        <w:rPr>
          <w:sz w:val="20"/>
          <w:szCs w:val="20"/>
        </w:rPr>
        <w:t xml:space="preserve"> </w:t>
      </w:r>
      <w:r w:rsidRPr="00DB5926">
        <w:rPr>
          <w:rFonts w:cstheme="minorHAnsi"/>
          <w:sz w:val="20"/>
          <w:szCs w:val="20"/>
        </w:rPr>
        <w:t xml:space="preserve">Deininger, Klaus; Harris </w:t>
      </w:r>
      <w:proofErr w:type="spellStart"/>
      <w:r w:rsidRPr="00DB5926">
        <w:rPr>
          <w:rFonts w:cstheme="minorHAnsi"/>
          <w:sz w:val="20"/>
          <w:szCs w:val="20"/>
        </w:rPr>
        <w:t>Selod</w:t>
      </w:r>
      <w:proofErr w:type="spellEnd"/>
      <w:r w:rsidRPr="00DB5926">
        <w:rPr>
          <w:rFonts w:cstheme="minorHAnsi"/>
          <w:sz w:val="20"/>
          <w:szCs w:val="20"/>
        </w:rPr>
        <w:t xml:space="preserve">, and Anthony Burns (2012). The Land Governance Assessment Framework Identifying and Monitoring Good Practice in the Land Sector. </w:t>
      </w:r>
      <w:r w:rsidRPr="00914C35">
        <w:rPr>
          <w:rFonts w:cstheme="minorHAnsi"/>
          <w:sz w:val="20"/>
          <w:szCs w:val="20"/>
        </w:rPr>
        <w:t xml:space="preserve">World Bank, Washington DC. </w:t>
      </w:r>
    </w:p>
  </w:footnote>
  <w:footnote w:id="17">
    <w:p w14:paraId="4FC794E0" w14:textId="77777777" w:rsidR="00133BA1" w:rsidRPr="006B62D1" w:rsidRDefault="00133BA1" w:rsidP="005864D3">
      <w:pPr>
        <w:spacing w:after="0" w:line="240" w:lineRule="auto"/>
        <w:jc w:val="both"/>
      </w:pPr>
      <w:r>
        <w:rPr>
          <w:rStyle w:val="FootnoteReference"/>
        </w:rPr>
        <w:footnoteRef/>
      </w:r>
      <w:r>
        <w:t xml:space="preserve"> </w:t>
      </w:r>
      <w:proofErr w:type="spellStart"/>
      <w:r w:rsidRPr="00557B86">
        <w:rPr>
          <w:sz w:val="20"/>
          <w:szCs w:val="20"/>
        </w:rPr>
        <w:t>Pleumarom</w:t>
      </w:r>
      <w:proofErr w:type="spellEnd"/>
      <w:r w:rsidRPr="00557B86">
        <w:rPr>
          <w:sz w:val="20"/>
          <w:szCs w:val="20"/>
        </w:rPr>
        <w:t xml:space="preserve">, Anita (2012) </w:t>
      </w:r>
      <w:r w:rsidRPr="00557B86">
        <w:rPr>
          <w:i/>
          <w:sz w:val="20"/>
          <w:szCs w:val="20"/>
        </w:rPr>
        <w:t>The Politics of Tourism, Poverty Reduction and Sustainable Development</w:t>
      </w:r>
      <w:r w:rsidRPr="00557B86">
        <w:rPr>
          <w:sz w:val="20"/>
          <w:szCs w:val="20"/>
        </w:rPr>
        <w:t xml:space="preserve">. </w:t>
      </w:r>
      <w:r w:rsidRPr="006B62D1">
        <w:rPr>
          <w:sz w:val="20"/>
          <w:szCs w:val="20"/>
        </w:rPr>
        <w:t>Third World Network. Penang, Malaysia.</w:t>
      </w:r>
    </w:p>
  </w:footnote>
  <w:footnote w:id="18">
    <w:p w14:paraId="36A73044" w14:textId="77777777" w:rsidR="00133BA1" w:rsidRPr="00B33169" w:rsidRDefault="00133BA1" w:rsidP="00B33169">
      <w:pPr>
        <w:spacing w:after="0" w:line="240" w:lineRule="auto"/>
        <w:jc w:val="both"/>
        <w:rPr>
          <w:sz w:val="20"/>
          <w:szCs w:val="20"/>
        </w:rPr>
      </w:pPr>
      <w:r>
        <w:rPr>
          <w:rStyle w:val="FootnoteReference"/>
        </w:rPr>
        <w:footnoteRef/>
      </w:r>
      <w:r w:rsidRPr="000F1B28">
        <w:t xml:space="preserve"> </w:t>
      </w:r>
      <w:r w:rsidRPr="000F1B28">
        <w:rPr>
          <w:sz w:val="20"/>
          <w:szCs w:val="20"/>
        </w:rPr>
        <w:t xml:space="preserve">Styles, D.; H. </w:t>
      </w:r>
      <w:proofErr w:type="spellStart"/>
      <w:r w:rsidRPr="000F1B28">
        <w:rPr>
          <w:sz w:val="20"/>
          <w:szCs w:val="20"/>
        </w:rPr>
        <w:t>Schönberger</w:t>
      </w:r>
      <w:proofErr w:type="spellEnd"/>
      <w:r w:rsidRPr="000F1B28">
        <w:rPr>
          <w:sz w:val="20"/>
          <w:szCs w:val="20"/>
        </w:rPr>
        <w:t xml:space="preserve">; J.L. Galvez </w:t>
      </w:r>
      <w:proofErr w:type="spellStart"/>
      <w:r w:rsidRPr="000F1B28">
        <w:rPr>
          <w:sz w:val="20"/>
          <w:szCs w:val="20"/>
        </w:rPr>
        <w:t>Martos</w:t>
      </w:r>
      <w:proofErr w:type="spellEnd"/>
      <w:r w:rsidRPr="000F1B28">
        <w:rPr>
          <w:sz w:val="20"/>
          <w:szCs w:val="20"/>
        </w:rPr>
        <w:t xml:space="preserve"> (2013). </w:t>
      </w:r>
      <w:r w:rsidRPr="00B33169">
        <w:rPr>
          <w:i/>
          <w:sz w:val="20"/>
          <w:szCs w:val="20"/>
        </w:rPr>
        <w:t>JRC Scientific and Policy Report on Best Environmental Management Practice in the Tourism Sector</w:t>
      </w:r>
      <w:r w:rsidRPr="00B33169">
        <w:rPr>
          <w:sz w:val="20"/>
          <w:szCs w:val="20"/>
        </w:rPr>
        <w:t xml:space="preserve">. European, Joint Research Centre, Institute for Prospective Technological Studies. Available at: </w:t>
      </w:r>
      <w:hyperlink r:id="rId2" w:history="1">
        <w:r w:rsidRPr="00B33169">
          <w:rPr>
            <w:rStyle w:val="Hyperlink"/>
            <w:sz w:val="20"/>
            <w:szCs w:val="20"/>
          </w:rPr>
          <w:t>http://ec.europa.eu/environment/emas/pdf/other/TourismBEMP.pdf</w:t>
        </w:r>
      </w:hyperlink>
    </w:p>
  </w:footnote>
  <w:footnote w:id="19">
    <w:p w14:paraId="46F360D7" w14:textId="77777777" w:rsidR="00133BA1" w:rsidRPr="00DB5926" w:rsidRDefault="00133BA1" w:rsidP="00801F0D">
      <w:pPr>
        <w:pStyle w:val="FootnoteText"/>
        <w:rPr>
          <w:lang w:val="pt-BR"/>
        </w:rPr>
      </w:pPr>
      <w:r w:rsidRPr="00DB5926">
        <w:rPr>
          <w:rStyle w:val="FootnoteReference"/>
          <w:rFonts w:cs="Times New Roman"/>
        </w:rPr>
        <w:footnoteRef/>
      </w:r>
      <w:r>
        <w:rPr>
          <w:rFonts w:cs="Times New Roman"/>
          <w:lang w:val="pt-BR"/>
        </w:rPr>
        <w:t xml:space="preserve"> </w:t>
      </w:r>
      <w:r w:rsidRPr="00DB5926">
        <w:rPr>
          <w:rFonts w:cs="Times New Roman"/>
          <w:lang w:val="pt-BR"/>
        </w:rPr>
        <w:t xml:space="preserve"> S</w:t>
      </w:r>
      <w:r w:rsidRPr="00F12990">
        <w:rPr>
          <w:rFonts w:cs="Times New Roman"/>
          <w:lang w:val="pt-BR"/>
        </w:rPr>
        <w:t>ã</w:t>
      </w:r>
      <w:r w:rsidRPr="00DB5926">
        <w:rPr>
          <w:rFonts w:cs="Times New Roman"/>
          <w:lang w:val="pt-BR"/>
        </w:rPr>
        <w:t>o Tom</w:t>
      </w:r>
      <w:r>
        <w:rPr>
          <w:rFonts w:cs="Times New Roman"/>
          <w:lang w:val="pt-BR"/>
        </w:rPr>
        <w:t>é</w:t>
      </w:r>
      <w:r w:rsidRPr="00DB5926">
        <w:rPr>
          <w:rFonts w:cs="Times New Roman"/>
          <w:lang w:val="pt-BR"/>
        </w:rPr>
        <w:t xml:space="preserve"> e Pr</w:t>
      </w:r>
      <w:r>
        <w:rPr>
          <w:rFonts w:cs="Times New Roman"/>
          <w:lang w:val="pt-BR"/>
        </w:rPr>
        <w:t>í</w:t>
      </w:r>
      <w:r w:rsidRPr="00DB5926">
        <w:rPr>
          <w:rFonts w:cs="Times New Roman"/>
          <w:lang w:val="pt-BR"/>
        </w:rPr>
        <w:t>ncipe, Plano Estrat</w:t>
      </w:r>
      <w:r>
        <w:rPr>
          <w:rFonts w:cs="Times New Roman"/>
          <w:lang w:val="pt-BR"/>
        </w:rPr>
        <w:t>é</w:t>
      </w:r>
      <w:r w:rsidRPr="00DB5926">
        <w:rPr>
          <w:rFonts w:cs="Times New Roman"/>
          <w:lang w:val="pt-BR"/>
        </w:rPr>
        <w:t>gico dos Registos e No</w:t>
      </w:r>
      <w:r>
        <w:rPr>
          <w:rFonts w:cs="Times New Roman"/>
          <w:lang w:val="pt-BR"/>
        </w:rPr>
        <w:t>t</w:t>
      </w:r>
      <w:r w:rsidRPr="00DB5926">
        <w:rPr>
          <w:rFonts w:cs="Times New Roman"/>
          <w:lang w:val="pt-BR"/>
        </w:rPr>
        <w:t>ariado 2017-2019.</w:t>
      </w:r>
      <w:r w:rsidRPr="00DB5926">
        <w:rPr>
          <w:lang w:val="pt-BR"/>
        </w:rPr>
        <w:t xml:space="preserve"> </w:t>
      </w:r>
    </w:p>
  </w:footnote>
  <w:footnote w:id="20">
    <w:p w14:paraId="01D70488" w14:textId="77777777" w:rsidR="00133BA1" w:rsidRPr="00DB5926" w:rsidRDefault="00133BA1" w:rsidP="000A1DAF">
      <w:pPr>
        <w:pStyle w:val="FootnoteText"/>
      </w:pPr>
      <w:r w:rsidRPr="00DB5926">
        <w:rPr>
          <w:rStyle w:val="FootnoteReference"/>
        </w:rPr>
        <w:footnoteRef/>
      </w:r>
      <w:r w:rsidRPr="00DB5926">
        <w:t xml:space="preserve"> </w:t>
      </w:r>
      <w:proofErr w:type="spellStart"/>
      <w:r w:rsidRPr="00DB5926">
        <w:rPr>
          <w:rFonts w:eastAsia="Times New Roman" w:cs="Times New Roman"/>
          <w:bCs/>
          <w:kern w:val="36"/>
        </w:rPr>
        <w:t>Decreto</w:t>
      </w:r>
      <w:proofErr w:type="spellEnd"/>
      <w:r w:rsidRPr="00DB5926">
        <w:rPr>
          <w:rFonts w:eastAsia="Times New Roman" w:cs="Times New Roman"/>
          <w:bCs/>
          <w:kern w:val="36"/>
        </w:rPr>
        <w:t xml:space="preserve"> Lei n.° 1/2015, Organic Law of Government</w:t>
      </w:r>
    </w:p>
  </w:footnote>
  <w:footnote w:id="21">
    <w:p w14:paraId="30D58284" w14:textId="77777777" w:rsidR="00133BA1" w:rsidRPr="00F32E67" w:rsidRDefault="00133BA1" w:rsidP="00801F0D">
      <w:pPr>
        <w:spacing w:after="0" w:line="240" w:lineRule="auto"/>
        <w:jc w:val="both"/>
        <w:rPr>
          <w:sz w:val="20"/>
          <w:szCs w:val="20"/>
          <w:lang w:val="pt-BR"/>
        </w:rPr>
      </w:pPr>
      <w:r w:rsidRPr="00DB5926">
        <w:rPr>
          <w:rStyle w:val="FootnoteReference"/>
          <w:sz w:val="20"/>
          <w:szCs w:val="20"/>
        </w:rPr>
        <w:footnoteRef/>
      </w:r>
      <w:r w:rsidRPr="00F32E67">
        <w:rPr>
          <w:sz w:val="20"/>
          <w:szCs w:val="20"/>
          <w:lang w:val="pt-BR"/>
        </w:rPr>
        <w:t xml:space="preserve"> Decreto Lei n.º 27 / 2005. Aprova o Estatuto Orgânico da Direcção dos Imposto.</w:t>
      </w:r>
    </w:p>
  </w:footnote>
  <w:footnote w:id="22">
    <w:p w14:paraId="09FCC2C6" w14:textId="77777777" w:rsidR="00133BA1" w:rsidRPr="00DB5926" w:rsidRDefault="00133BA1" w:rsidP="00801F0D">
      <w:pPr>
        <w:spacing w:after="0" w:line="240" w:lineRule="auto"/>
        <w:rPr>
          <w:sz w:val="20"/>
          <w:szCs w:val="20"/>
        </w:rPr>
      </w:pPr>
      <w:r w:rsidRPr="00DB5926">
        <w:rPr>
          <w:rStyle w:val="FootnoteReference"/>
          <w:sz w:val="20"/>
          <w:szCs w:val="20"/>
        </w:rPr>
        <w:footnoteRef/>
      </w:r>
      <w:r w:rsidRPr="00DB5926">
        <w:rPr>
          <w:sz w:val="20"/>
          <w:szCs w:val="20"/>
        </w:rPr>
        <w:t xml:space="preserve"> See: </w:t>
      </w:r>
      <w:r w:rsidRPr="00DB5926">
        <w:rPr>
          <w:rFonts w:cstheme="minorHAnsi"/>
          <w:sz w:val="20"/>
          <w:szCs w:val="20"/>
        </w:rPr>
        <w:t xml:space="preserve">Food and Agriculture Organization of The United Nations (FAO) (2012). </w:t>
      </w:r>
      <w:r w:rsidRPr="00DB5926">
        <w:rPr>
          <w:sz w:val="20"/>
          <w:szCs w:val="20"/>
        </w:rPr>
        <w:t xml:space="preserve">Voluntary Guidelines on the Responsible Governance of Tenure of Land, Fisheries and Forests in the Context of National Food Security. Rome and; </w:t>
      </w:r>
      <w:r w:rsidRPr="00DB5926">
        <w:rPr>
          <w:rFonts w:cstheme="minorHAnsi"/>
          <w:sz w:val="20"/>
          <w:szCs w:val="20"/>
        </w:rPr>
        <w:t xml:space="preserve">Deininger, Klaus; Harris </w:t>
      </w:r>
      <w:proofErr w:type="spellStart"/>
      <w:r w:rsidRPr="00DB5926">
        <w:rPr>
          <w:rFonts w:cstheme="minorHAnsi"/>
          <w:sz w:val="20"/>
          <w:szCs w:val="20"/>
        </w:rPr>
        <w:t>Selod</w:t>
      </w:r>
      <w:proofErr w:type="spellEnd"/>
      <w:r w:rsidRPr="00DB5926">
        <w:rPr>
          <w:rFonts w:cstheme="minorHAnsi"/>
          <w:sz w:val="20"/>
          <w:szCs w:val="20"/>
        </w:rPr>
        <w:t xml:space="preserve">, and Anthony Burns (2012). The Land Governance Assessment Framework Identifying and Monitoring Good Practice in the Land Sector. World Bank, Washington DC. </w:t>
      </w:r>
    </w:p>
  </w:footnote>
  <w:footnote w:id="23">
    <w:p w14:paraId="40C8CE9E" w14:textId="77777777" w:rsidR="00133BA1" w:rsidRPr="00DB5926" w:rsidRDefault="00133BA1" w:rsidP="00801F0D">
      <w:pPr>
        <w:pStyle w:val="FootnoteText"/>
      </w:pPr>
      <w:r w:rsidRPr="00DB5926">
        <w:rPr>
          <w:rStyle w:val="FootnoteReference"/>
        </w:rPr>
        <w:footnoteRef/>
      </w:r>
      <w:r w:rsidRPr="00DB5926">
        <w:t xml:space="preserve"> Folio Real systems record information on the land as opposed to personal systems which record information about the owner.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E512C3"/>
    <w:multiLevelType w:val="multilevel"/>
    <w:tmpl w:val="F884A836"/>
    <w:lvl w:ilvl="0">
      <w:start w:val="1"/>
      <w:numFmt w:val="upperRoman"/>
      <w:lvlText w:val="%1."/>
      <w:lvlJc w:val="right"/>
      <w:pPr>
        <w:ind w:left="720" w:hanging="360"/>
      </w:pPr>
      <w:rPr>
        <w:rFonts w:hint="default"/>
      </w:rPr>
    </w:lvl>
    <w:lvl w:ilvl="1">
      <w:start w:val="1"/>
      <w:numFmt w:val="lowerLetter"/>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C2520BD"/>
    <w:multiLevelType w:val="hybridMultilevel"/>
    <w:tmpl w:val="0E2295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CC2616"/>
    <w:multiLevelType w:val="hybridMultilevel"/>
    <w:tmpl w:val="B100C8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8D52FD"/>
    <w:multiLevelType w:val="hybridMultilevel"/>
    <w:tmpl w:val="EDF8FB32"/>
    <w:lvl w:ilvl="0" w:tplc="31FE2264">
      <w:numFmt w:val="bullet"/>
      <w:lvlText w:val="-"/>
      <w:lvlJc w:val="left"/>
      <w:pPr>
        <w:ind w:left="720" w:hanging="360"/>
      </w:pPr>
      <w:rPr>
        <w:rFonts w:ascii="Calibri" w:eastAsiaTheme="minorHAnsi" w:hAnsi="Calibri" w:cstheme="minorBidi" w:hint="default"/>
      </w:rPr>
    </w:lvl>
    <w:lvl w:ilvl="1" w:tplc="AE8805B8" w:tentative="1">
      <w:start w:val="1"/>
      <w:numFmt w:val="bullet"/>
      <w:lvlText w:val="o"/>
      <w:lvlJc w:val="left"/>
      <w:pPr>
        <w:ind w:left="1440" w:hanging="360"/>
      </w:pPr>
      <w:rPr>
        <w:rFonts w:ascii="Courier New" w:hAnsi="Courier New" w:cs="Courier New" w:hint="default"/>
      </w:rPr>
    </w:lvl>
    <w:lvl w:ilvl="2" w:tplc="AD682298" w:tentative="1">
      <w:start w:val="1"/>
      <w:numFmt w:val="bullet"/>
      <w:lvlText w:val=""/>
      <w:lvlJc w:val="left"/>
      <w:pPr>
        <w:ind w:left="2160" w:hanging="360"/>
      </w:pPr>
      <w:rPr>
        <w:rFonts w:ascii="Wingdings" w:hAnsi="Wingdings" w:hint="default"/>
      </w:rPr>
    </w:lvl>
    <w:lvl w:ilvl="3" w:tplc="A0A08E98" w:tentative="1">
      <w:start w:val="1"/>
      <w:numFmt w:val="bullet"/>
      <w:lvlText w:val=""/>
      <w:lvlJc w:val="left"/>
      <w:pPr>
        <w:ind w:left="2880" w:hanging="360"/>
      </w:pPr>
      <w:rPr>
        <w:rFonts w:ascii="Symbol" w:hAnsi="Symbol" w:hint="default"/>
      </w:rPr>
    </w:lvl>
    <w:lvl w:ilvl="4" w:tplc="EF0C4CA8" w:tentative="1">
      <w:start w:val="1"/>
      <w:numFmt w:val="bullet"/>
      <w:lvlText w:val="o"/>
      <w:lvlJc w:val="left"/>
      <w:pPr>
        <w:ind w:left="3600" w:hanging="360"/>
      </w:pPr>
      <w:rPr>
        <w:rFonts w:ascii="Courier New" w:hAnsi="Courier New" w:cs="Courier New" w:hint="default"/>
      </w:rPr>
    </w:lvl>
    <w:lvl w:ilvl="5" w:tplc="3A3C9DF2" w:tentative="1">
      <w:start w:val="1"/>
      <w:numFmt w:val="bullet"/>
      <w:lvlText w:val=""/>
      <w:lvlJc w:val="left"/>
      <w:pPr>
        <w:ind w:left="4320" w:hanging="360"/>
      </w:pPr>
      <w:rPr>
        <w:rFonts w:ascii="Wingdings" w:hAnsi="Wingdings" w:hint="default"/>
      </w:rPr>
    </w:lvl>
    <w:lvl w:ilvl="6" w:tplc="CE02ABF4" w:tentative="1">
      <w:start w:val="1"/>
      <w:numFmt w:val="bullet"/>
      <w:lvlText w:val=""/>
      <w:lvlJc w:val="left"/>
      <w:pPr>
        <w:ind w:left="5040" w:hanging="360"/>
      </w:pPr>
      <w:rPr>
        <w:rFonts w:ascii="Symbol" w:hAnsi="Symbol" w:hint="default"/>
      </w:rPr>
    </w:lvl>
    <w:lvl w:ilvl="7" w:tplc="3F064380" w:tentative="1">
      <w:start w:val="1"/>
      <w:numFmt w:val="bullet"/>
      <w:lvlText w:val="o"/>
      <w:lvlJc w:val="left"/>
      <w:pPr>
        <w:ind w:left="5760" w:hanging="360"/>
      </w:pPr>
      <w:rPr>
        <w:rFonts w:ascii="Courier New" w:hAnsi="Courier New" w:cs="Courier New" w:hint="default"/>
      </w:rPr>
    </w:lvl>
    <w:lvl w:ilvl="8" w:tplc="DA92A15C" w:tentative="1">
      <w:start w:val="1"/>
      <w:numFmt w:val="bullet"/>
      <w:lvlText w:val=""/>
      <w:lvlJc w:val="left"/>
      <w:pPr>
        <w:ind w:left="6480" w:hanging="360"/>
      </w:pPr>
      <w:rPr>
        <w:rFonts w:ascii="Wingdings" w:hAnsi="Wingdings" w:hint="default"/>
      </w:rPr>
    </w:lvl>
  </w:abstractNum>
  <w:abstractNum w:abstractNumId="4" w15:restartNumberingAfterBreak="0">
    <w:nsid w:val="304912CA"/>
    <w:multiLevelType w:val="hybridMultilevel"/>
    <w:tmpl w:val="47249FF4"/>
    <w:lvl w:ilvl="0" w:tplc="5B6A6526">
      <w:numFmt w:val="bullet"/>
      <w:lvlText w:val="-"/>
      <w:lvlJc w:val="left"/>
      <w:pPr>
        <w:ind w:left="720" w:hanging="360"/>
      </w:pPr>
      <w:rPr>
        <w:rFonts w:ascii="Calibri" w:eastAsiaTheme="minorHAnsi" w:hAnsi="Calibri" w:cstheme="minorBidi" w:hint="default"/>
      </w:rPr>
    </w:lvl>
    <w:lvl w:ilvl="1" w:tplc="FA32F072" w:tentative="1">
      <w:start w:val="1"/>
      <w:numFmt w:val="bullet"/>
      <w:lvlText w:val="o"/>
      <w:lvlJc w:val="left"/>
      <w:pPr>
        <w:ind w:left="1440" w:hanging="360"/>
      </w:pPr>
      <w:rPr>
        <w:rFonts w:ascii="Courier New" w:hAnsi="Courier New" w:cs="Courier New" w:hint="default"/>
      </w:rPr>
    </w:lvl>
    <w:lvl w:ilvl="2" w:tplc="D416D244" w:tentative="1">
      <w:start w:val="1"/>
      <w:numFmt w:val="bullet"/>
      <w:lvlText w:val=""/>
      <w:lvlJc w:val="left"/>
      <w:pPr>
        <w:ind w:left="2160" w:hanging="360"/>
      </w:pPr>
      <w:rPr>
        <w:rFonts w:ascii="Wingdings" w:hAnsi="Wingdings" w:hint="default"/>
      </w:rPr>
    </w:lvl>
    <w:lvl w:ilvl="3" w:tplc="3A2C320C" w:tentative="1">
      <w:start w:val="1"/>
      <w:numFmt w:val="bullet"/>
      <w:lvlText w:val=""/>
      <w:lvlJc w:val="left"/>
      <w:pPr>
        <w:ind w:left="2880" w:hanging="360"/>
      </w:pPr>
      <w:rPr>
        <w:rFonts w:ascii="Symbol" w:hAnsi="Symbol" w:hint="default"/>
      </w:rPr>
    </w:lvl>
    <w:lvl w:ilvl="4" w:tplc="3D38EF16" w:tentative="1">
      <w:start w:val="1"/>
      <w:numFmt w:val="bullet"/>
      <w:lvlText w:val="o"/>
      <w:lvlJc w:val="left"/>
      <w:pPr>
        <w:ind w:left="3600" w:hanging="360"/>
      </w:pPr>
      <w:rPr>
        <w:rFonts w:ascii="Courier New" w:hAnsi="Courier New" w:cs="Courier New" w:hint="default"/>
      </w:rPr>
    </w:lvl>
    <w:lvl w:ilvl="5" w:tplc="DB0AC65C" w:tentative="1">
      <w:start w:val="1"/>
      <w:numFmt w:val="bullet"/>
      <w:lvlText w:val=""/>
      <w:lvlJc w:val="left"/>
      <w:pPr>
        <w:ind w:left="4320" w:hanging="360"/>
      </w:pPr>
      <w:rPr>
        <w:rFonts w:ascii="Wingdings" w:hAnsi="Wingdings" w:hint="default"/>
      </w:rPr>
    </w:lvl>
    <w:lvl w:ilvl="6" w:tplc="6AC6B6FA" w:tentative="1">
      <w:start w:val="1"/>
      <w:numFmt w:val="bullet"/>
      <w:lvlText w:val=""/>
      <w:lvlJc w:val="left"/>
      <w:pPr>
        <w:ind w:left="5040" w:hanging="360"/>
      </w:pPr>
      <w:rPr>
        <w:rFonts w:ascii="Symbol" w:hAnsi="Symbol" w:hint="default"/>
      </w:rPr>
    </w:lvl>
    <w:lvl w:ilvl="7" w:tplc="1E8A143A" w:tentative="1">
      <w:start w:val="1"/>
      <w:numFmt w:val="bullet"/>
      <w:lvlText w:val="o"/>
      <w:lvlJc w:val="left"/>
      <w:pPr>
        <w:ind w:left="5760" w:hanging="360"/>
      </w:pPr>
      <w:rPr>
        <w:rFonts w:ascii="Courier New" w:hAnsi="Courier New" w:cs="Courier New" w:hint="default"/>
      </w:rPr>
    </w:lvl>
    <w:lvl w:ilvl="8" w:tplc="6DF2662E" w:tentative="1">
      <w:start w:val="1"/>
      <w:numFmt w:val="bullet"/>
      <w:lvlText w:val=""/>
      <w:lvlJc w:val="left"/>
      <w:pPr>
        <w:ind w:left="6480" w:hanging="360"/>
      </w:pPr>
      <w:rPr>
        <w:rFonts w:ascii="Wingdings" w:hAnsi="Wingdings" w:hint="default"/>
      </w:rPr>
    </w:lvl>
  </w:abstractNum>
  <w:abstractNum w:abstractNumId="5" w15:restartNumberingAfterBreak="0">
    <w:nsid w:val="3ABE5B43"/>
    <w:multiLevelType w:val="multilevel"/>
    <w:tmpl w:val="120CC9E2"/>
    <w:lvl w:ilvl="0">
      <w:start w:val="1"/>
      <w:numFmt w:val="upperRoman"/>
      <w:lvlText w:val="%1)"/>
      <w:lvlJc w:val="left"/>
      <w:pPr>
        <w:ind w:left="360" w:hanging="360"/>
      </w:pPr>
      <w:rPr>
        <w:rFonts w:hint="default"/>
      </w:rPr>
    </w:lvl>
    <w:lvl w:ilvl="1">
      <w:start w:val="1"/>
      <w:numFmt w:val="lowerLetter"/>
      <w:lvlText w:val="%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47D86D23"/>
    <w:multiLevelType w:val="hybridMultilevel"/>
    <w:tmpl w:val="1AA821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886709D"/>
    <w:multiLevelType w:val="hybridMultilevel"/>
    <w:tmpl w:val="8DC2E4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0A1644F"/>
    <w:multiLevelType w:val="hybridMultilevel"/>
    <w:tmpl w:val="9C7A67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BE41390"/>
    <w:multiLevelType w:val="hybridMultilevel"/>
    <w:tmpl w:val="C3229B9A"/>
    <w:lvl w:ilvl="0" w:tplc="123263F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B475124"/>
    <w:multiLevelType w:val="hybridMultilevel"/>
    <w:tmpl w:val="82A6B88E"/>
    <w:lvl w:ilvl="0" w:tplc="3864DB8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DCE3F7B"/>
    <w:multiLevelType w:val="hybridMultilevel"/>
    <w:tmpl w:val="D66A2FBC"/>
    <w:lvl w:ilvl="0" w:tplc="ED70911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A4F6E05"/>
    <w:multiLevelType w:val="hybridMultilevel"/>
    <w:tmpl w:val="AB36E2E8"/>
    <w:lvl w:ilvl="0" w:tplc="D04C7204">
      <w:start w:val="1"/>
      <w:numFmt w:val="decimal"/>
      <w:lvlText w:val="%1."/>
      <w:lvlJc w:val="left"/>
      <w:pPr>
        <w:ind w:left="720" w:hanging="360"/>
      </w:pPr>
      <w:rPr>
        <w:rFonts w:hint="default"/>
      </w:rPr>
    </w:lvl>
    <w:lvl w:ilvl="1" w:tplc="A1829306" w:tentative="1">
      <w:start w:val="1"/>
      <w:numFmt w:val="lowerLetter"/>
      <w:lvlText w:val="%2."/>
      <w:lvlJc w:val="left"/>
      <w:pPr>
        <w:ind w:left="1440" w:hanging="360"/>
      </w:pPr>
    </w:lvl>
    <w:lvl w:ilvl="2" w:tplc="F6A6EA76" w:tentative="1">
      <w:start w:val="1"/>
      <w:numFmt w:val="lowerRoman"/>
      <w:lvlText w:val="%3."/>
      <w:lvlJc w:val="right"/>
      <w:pPr>
        <w:ind w:left="2160" w:hanging="180"/>
      </w:pPr>
    </w:lvl>
    <w:lvl w:ilvl="3" w:tplc="41D27F82" w:tentative="1">
      <w:start w:val="1"/>
      <w:numFmt w:val="decimal"/>
      <w:lvlText w:val="%4."/>
      <w:lvlJc w:val="left"/>
      <w:pPr>
        <w:ind w:left="2880" w:hanging="360"/>
      </w:pPr>
    </w:lvl>
    <w:lvl w:ilvl="4" w:tplc="3B361786" w:tentative="1">
      <w:start w:val="1"/>
      <w:numFmt w:val="lowerLetter"/>
      <w:lvlText w:val="%5."/>
      <w:lvlJc w:val="left"/>
      <w:pPr>
        <w:ind w:left="3600" w:hanging="360"/>
      </w:pPr>
    </w:lvl>
    <w:lvl w:ilvl="5" w:tplc="D0F4AED0" w:tentative="1">
      <w:start w:val="1"/>
      <w:numFmt w:val="lowerRoman"/>
      <w:lvlText w:val="%6."/>
      <w:lvlJc w:val="right"/>
      <w:pPr>
        <w:ind w:left="4320" w:hanging="180"/>
      </w:pPr>
    </w:lvl>
    <w:lvl w:ilvl="6" w:tplc="F0626042" w:tentative="1">
      <w:start w:val="1"/>
      <w:numFmt w:val="decimal"/>
      <w:lvlText w:val="%7."/>
      <w:lvlJc w:val="left"/>
      <w:pPr>
        <w:ind w:left="5040" w:hanging="360"/>
      </w:pPr>
    </w:lvl>
    <w:lvl w:ilvl="7" w:tplc="2C8C5780" w:tentative="1">
      <w:start w:val="1"/>
      <w:numFmt w:val="lowerLetter"/>
      <w:lvlText w:val="%8."/>
      <w:lvlJc w:val="left"/>
      <w:pPr>
        <w:ind w:left="5760" w:hanging="360"/>
      </w:pPr>
    </w:lvl>
    <w:lvl w:ilvl="8" w:tplc="24206BC6" w:tentative="1">
      <w:start w:val="1"/>
      <w:numFmt w:val="lowerRoman"/>
      <w:lvlText w:val="%9."/>
      <w:lvlJc w:val="right"/>
      <w:pPr>
        <w:ind w:left="6480" w:hanging="180"/>
      </w:pPr>
    </w:lvl>
  </w:abstractNum>
  <w:num w:numId="1">
    <w:abstractNumId w:val="8"/>
  </w:num>
  <w:num w:numId="2">
    <w:abstractNumId w:val="10"/>
  </w:num>
  <w:num w:numId="3">
    <w:abstractNumId w:val="7"/>
  </w:num>
  <w:num w:numId="4">
    <w:abstractNumId w:val="2"/>
  </w:num>
  <w:num w:numId="5">
    <w:abstractNumId w:val="6"/>
  </w:num>
  <w:num w:numId="6">
    <w:abstractNumId w:val="9"/>
  </w:num>
  <w:num w:numId="7">
    <w:abstractNumId w:val="3"/>
  </w:num>
  <w:num w:numId="8">
    <w:abstractNumId w:val="12"/>
  </w:num>
  <w:num w:numId="9">
    <w:abstractNumId w:val="4"/>
  </w:num>
  <w:num w:numId="10">
    <w:abstractNumId w:val="1"/>
  </w:num>
  <w:num w:numId="11">
    <w:abstractNumId w:val="0"/>
  </w:num>
  <w:num w:numId="12">
    <w:abstractNumId w:val="5"/>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B3D4B"/>
    <w:rsid w:val="00004C0E"/>
    <w:rsid w:val="0001294F"/>
    <w:rsid w:val="0001451C"/>
    <w:rsid w:val="00016C11"/>
    <w:rsid w:val="0001760A"/>
    <w:rsid w:val="00020552"/>
    <w:rsid w:val="00021EBB"/>
    <w:rsid w:val="000231B1"/>
    <w:rsid w:val="00023BE2"/>
    <w:rsid w:val="00025932"/>
    <w:rsid w:val="000261A9"/>
    <w:rsid w:val="00032113"/>
    <w:rsid w:val="00034127"/>
    <w:rsid w:val="00036325"/>
    <w:rsid w:val="00037356"/>
    <w:rsid w:val="00043467"/>
    <w:rsid w:val="000509BF"/>
    <w:rsid w:val="00052C85"/>
    <w:rsid w:val="00060415"/>
    <w:rsid w:val="00060B82"/>
    <w:rsid w:val="00065672"/>
    <w:rsid w:val="00073627"/>
    <w:rsid w:val="0007491B"/>
    <w:rsid w:val="00081AC0"/>
    <w:rsid w:val="00092B9F"/>
    <w:rsid w:val="000A0185"/>
    <w:rsid w:val="000A0F97"/>
    <w:rsid w:val="000A1CB6"/>
    <w:rsid w:val="000A1DAF"/>
    <w:rsid w:val="000A67BB"/>
    <w:rsid w:val="000B02F6"/>
    <w:rsid w:val="000C2A5F"/>
    <w:rsid w:val="000D4708"/>
    <w:rsid w:val="000D7351"/>
    <w:rsid w:val="000E14C3"/>
    <w:rsid w:val="000E154E"/>
    <w:rsid w:val="000E6C2A"/>
    <w:rsid w:val="000F13DB"/>
    <w:rsid w:val="000F1B28"/>
    <w:rsid w:val="000F24CA"/>
    <w:rsid w:val="000F48E2"/>
    <w:rsid w:val="000F5405"/>
    <w:rsid w:val="000F6AD7"/>
    <w:rsid w:val="000F768C"/>
    <w:rsid w:val="000F76A6"/>
    <w:rsid w:val="00115A33"/>
    <w:rsid w:val="0012005A"/>
    <w:rsid w:val="0012104C"/>
    <w:rsid w:val="00123498"/>
    <w:rsid w:val="001240A3"/>
    <w:rsid w:val="0013184F"/>
    <w:rsid w:val="00132C49"/>
    <w:rsid w:val="00133BA1"/>
    <w:rsid w:val="00133C62"/>
    <w:rsid w:val="00134000"/>
    <w:rsid w:val="0013467D"/>
    <w:rsid w:val="00136AB2"/>
    <w:rsid w:val="00141A66"/>
    <w:rsid w:val="001546D9"/>
    <w:rsid w:val="00156618"/>
    <w:rsid w:val="00163E10"/>
    <w:rsid w:val="0016744A"/>
    <w:rsid w:val="0017028C"/>
    <w:rsid w:val="00170745"/>
    <w:rsid w:val="00170A5E"/>
    <w:rsid w:val="00175BDE"/>
    <w:rsid w:val="00177EC8"/>
    <w:rsid w:val="00182850"/>
    <w:rsid w:val="001837C9"/>
    <w:rsid w:val="001842E6"/>
    <w:rsid w:val="00184F90"/>
    <w:rsid w:val="00185249"/>
    <w:rsid w:val="001912BB"/>
    <w:rsid w:val="00193406"/>
    <w:rsid w:val="001A133B"/>
    <w:rsid w:val="001A3C60"/>
    <w:rsid w:val="001A4A03"/>
    <w:rsid w:val="001B1121"/>
    <w:rsid w:val="001B3D4B"/>
    <w:rsid w:val="001B660C"/>
    <w:rsid w:val="001C269E"/>
    <w:rsid w:val="001D70B5"/>
    <w:rsid w:val="001E0720"/>
    <w:rsid w:val="001E09F3"/>
    <w:rsid w:val="001E2CA0"/>
    <w:rsid w:val="001E4118"/>
    <w:rsid w:val="001F3A95"/>
    <w:rsid w:val="001F5B84"/>
    <w:rsid w:val="001F7A20"/>
    <w:rsid w:val="00201832"/>
    <w:rsid w:val="002031F1"/>
    <w:rsid w:val="00207107"/>
    <w:rsid w:val="0021577A"/>
    <w:rsid w:val="00217E48"/>
    <w:rsid w:val="0022761A"/>
    <w:rsid w:val="00230A81"/>
    <w:rsid w:val="00230E89"/>
    <w:rsid w:val="00232EB7"/>
    <w:rsid w:val="00233702"/>
    <w:rsid w:val="00235E44"/>
    <w:rsid w:val="002452B8"/>
    <w:rsid w:val="00246D29"/>
    <w:rsid w:val="0024705A"/>
    <w:rsid w:val="00252633"/>
    <w:rsid w:val="0025347A"/>
    <w:rsid w:val="00254A59"/>
    <w:rsid w:val="00257463"/>
    <w:rsid w:val="002626C2"/>
    <w:rsid w:val="00267CBB"/>
    <w:rsid w:val="002712D9"/>
    <w:rsid w:val="0027133D"/>
    <w:rsid w:val="002744C0"/>
    <w:rsid w:val="002758DC"/>
    <w:rsid w:val="00275EF1"/>
    <w:rsid w:val="00276BF8"/>
    <w:rsid w:val="002819DC"/>
    <w:rsid w:val="00292325"/>
    <w:rsid w:val="002B47AD"/>
    <w:rsid w:val="002B5389"/>
    <w:rsid w:val="002B5F60"/>
    <w:rsid w:val="002B673C"/>
    <w:rsid w:val="002C0ABD"/>
    <w:rsid w:val="002C14C8"/>
    <w:rsid w:val="002C4BBE"/>
    <w:rsid w:val="002D36E3"/>
    <w:rsid w:val="002D381E"/>
    <w:rsid w:val="002E155E"/>
    <w:rsid w:val="002F34BA"/>
    <w:rsid w:val="002F5A01"/>
    <w:rsid w:val="002F61FD"/>
    <w:rsid w:val="00304D73"/>
    <w:rsid w:val="0030754B"/>
    <w:rsid w:val="003103A6"/>
    <w:rsid w:val="00310E62"/>
    <w:rsid w:val="0031211B"/>
    <w:rsid w:val="0031496D"/>
    <w:rsid w:val="00321210"/>
    <w:rsid w:val="0032167D"/>
    <w:rsid w:val="0032207A"/>
    <w:rsid w:val="00323DB3"/>
    <w:rsid w:val="00323E4B"/>
    <w:rsid w:val="00324951"/>
    <w:rsid w:val="00330681"/>
    <w:rsid w:val="00331047"/>
    <w:rsid w:val="00335301"/>
    <w:rsid w:val="00335D21"/>
    <w:rsid w:val="0034124B"/>
    <w:rsid w:val="003421BC"/>
    <w:rsid w:val="003508BB"/>
    <w:rsid w:val="00352B8E"/>
    <w:rsid w:val="003539B1"/>
    <w:rsid w:val="00357828"/>
    <w:rsid w:val="00363A80"/>
    <w:rsid w:val="00364A13"/>
    <w:rsid w:val="00365A52"/>
    <w:rsid w:val="00365A59"/>
    <w:rsid w:val="00366CD6"/>
    <w:rsid w:val="003677FA"/>
    <w:rsid w:val="00374A96"/>
    <w:rsid w:val="00383B05"/>
    <w:rsid w:val="00387F13"/>
    <w:rsid w:val="00387F19"/>
    <w:rsid w:val="0039451D"/>
    <w:rsid w:val="00396615"/>
    <w:rsid w:val="0039671E"/>
    <w:rsid w:val="0039793D"/>
    <w:rsid w:val="003A4029"/>
    <w:rsid w:val="003A435F"/>
    <w:rsid w:val="003B035E"/>
    <w:rsid w:val="003B2DB8"/>
    <w:rsid w:val="003D209B"/>
    <w:rsid w:val="003D297C"/>
    <w:rsid w:val="003D643E"/>
    <w:rsid w:val="003D691F"/>
    <w:rsid w:val="003D6986"/>
    <w:rsid w:val="003D6A91"/>
    <w:rsid w:val="003D7DEF"/>
    <w:rsid w:val="003E04C6"/>
    <w:rsid w:val="003E0908"/>
    <w:rsid w:val="003E63A7"/>
    <w:rsid w:val="00401495"/>
    <w:rsid w:val="00402957"/>
    <w:rsid w:val="00410593"/>
    <w:rsid w:val="004138CF"/>
    <w:rsid w:val="00417CC4"/>
    <w:rsid w:val="00423670"/>
    <w:rsid w:val="0042530E"/>
    <w:rsid w:val="0043025F"/>
    <w:rsid w:val="00433395"/>
    <w:rsid w:val="00435454"/>
    <w:rsid w:val="00440617"/>
    <w:rsid w:val="004412C2"/>
    <w:rsid w:val="00442386"/>
    <w:rsid w:val="00445097"/>
    <w:rsid w:val="004450CB"/>
    <w:rsid w:val="00447C8B"/>
    <w:rsid w:val="004510F1"/>
    <w:rsid w:val="004570C9"/>
    <w:rsid w:val="004607FB"/>
    <w:rsid w:val="004614D6"/>
    <w:rsid w:val="0046360C"/>
    <w:rsid w:val="00474FA2"/>
    <w:rsid w:val="00477343"/>
    <w:rsid w:val="004808F1"/>
    <w:rsid w:val="00482D9C"/>
    <w:rsid w:val="00484592"/>
    <w:rsid w:val="004853DA"/>
    <w:rsid w:val="00486F38"/>
    <w:rsid w:val="004A02B0"/>
    <w:rsid w:val="004A1361"/>
    <w:rsid w:val="004A4193"/>
    <w:rsid w:val="004B19CF"/>
    <w:rsid w:val="004B3B91"/>
    <w:rsid w:val="004B4CE7"/>
    <w:rsid w:val="004C120B"/>
    <w:rsid w:val="004D1492"/>
    <w:rsid w:val="004D250A"/>
    <w:rsid w:val="004D2825"/>
    <w:rsid w:val="004D33C8"/>
    <w:rsid w:val="004D41A1"/>
    <w:rsid w:val="004D55A2"/>
    <w:rsid w:val="004D685F"/>
    <w:rsid w:val="004E0C53"/>
    <w:rsid w:val="004E4978"/>
    <w:rsid w:val="004E7BEE"/>
    <w:rsid w:val="004F0AA3"/>
    <w:rsid w:val="004F2E01"/>
    <w:rsid w:val="00500CCF"/>
    <w:rsid w:val="005034DE"/>
    <w:rsid w:val="0050448D"/>
    <w:rsid w:val="00505872"/>
    <w:rsid w:val="00511049"/>
    <w:rsid w:val="005151E9"/>
    <w:rsid w:val="00531C48"/>
    <w:rsid w:val="00531C51"/>
    <w:rsid w:val="00532F1D"/>
    <w:rsid w:val="0053693C"/>
    <w:rsid w:val="00540180"/>
    <w:rsid w:val="0054384C"/>
    <w:rsid w:val="005618C4"/>
    <w:rsid w:val="00565822"/>
    <w:rsid w:val="00567136"/>
    <w:rsid w:val="00571845"/>
    <w:rsid w:val="005779A4"/>
    <w:rsid w:val="00582E7B"/>
    <w:rsid w:val="00584336"/>
    <w:rsid w:val="00584BB9"/>
    <w:rsid w:val="005864D3"/>
    <w:rsid w:val="00586F5C"/>
    <w:rsid w:val="00596CA7"/>
    <w:rsid w:val="005A6764"/>
    <w:rsid w:val="005A777A"/>
    <w:rsid w:val="005B3342"/>
    <w:rsid w:val="005C67D2"/>
    <w:rsid w:val="005C6C41"/>
    <w:rsid w:val="005D0876"/>
    <w:rsid w:val="005D5609"/>
    <w:rsid w:val="005E4CC8"/>
    <w:rsid w:val="005E70BA"/>
    <w:rsid w:val="005F0127"/>
    <w:rsid w:val="005F1A0A"/>
    <w:rsid w:val="006137A7"/>
    <w:rsid w:val="00616A78"/>
    <w:rsid w:val="006208A9"/>
    <w:rsid w:val="00620A93"/>
    <w:rsid w:val="0062420A"/>
    <w:rsid w:val="006322CB"/>
    <w:rsid w:val="0063312F"/>
    <w:rsid w:val="006365FD"/>
    <w:rsid w:val="006369B8"/>
    <w:rsid w:val="006428BB"/>
    <w:rsid w:val="00643AED"/>
    <w:rsid w:val="00653EE5"/>
    <w:rsid w:val="00655BDD"/>
    <w:rsid w:val="006623A3"/>
    <w:rsid w:val="00663280"/>
    <w:rsid w:val="006639EC"/>
    <w:rsid w:val="0066414D"/>
    <w:rsid w:val="0066527E"/>
    <w:rsid w:val="0066548A"/>
    <w:rsid w:val="00672ADD"/>
    <w:rsid w:val="00673AC6"/>
    <w:rsid w:val="00674FF8"/>
    <w:rsid w:val="006813C3"/>
    <w:rsid w:val="006840CD"/>
    <w:rsid w:val="00690426"/>
    <w:rsid w:val="00690F19"/>
    <w:rsid w:val="00694FB7"/>
    <w:rsid w:val="00696927"/>
    <w:rsid w:val="006A1C81"/>
    <w:rsid w:val="006A628E"/>
    <w:rsid w:val="006A7545"/>
    <w:rsid w:val="006B14CD"/>
    <w:rsid w:val="006B25FA"/>
    <w:rsid w:val="006B62D1"/>
    <w:rsid w:val="006C2EA2"/>
    <w:rsid w:val="006D411E"/>
    <w:rsid w:val="006E0909"/>
    <w:rsid w:val="006E3DBB"/>
    <w:rsid w:val="006E7337"/>
    <w:rsid w:val="006F3CFB"/>
    <w:rsid w:val="006F4783"/>
    <w:rsid w:val="006F4C76"/>
    <w:rsid w:val="0070142C"/>
    <w:rsid w:val="007038AB"/>
    <w:rsid w:val="00717C43"/>
    <w:rsid w:val="00721FFC"/>
    <w:rsid w:val="007232A7"/>
    <w:rsid w:val="00724868"/>
    <w:rsid w:val="00727812"/>
    <w:rsid w:val="00731244"/>
    <w:rsid w:val="00731F8A"/>
    <w:rsid w:val="007335B5"/>
    <w:rsid w:val="00736EC4"/>
    <w:rsid w:val="00741F6F"/>
    <w:rsid w:val="00744819"/>
    <w:rsid w:val="007455F8"/>
    <w:rsid w:val="007520D1"/>
    <w:rsid w:val="007549F7"/>
    <w:rsid w:val="0075565F"/>
    <w:rsid w:val="00756E4E"/>
    <w:rsid w:val="00760427"/>
    <w:rsid w:val="00765596"/>
    <w:rsid w:val="00766B01"/>
    <w:rsid w:val="00767EB0"/>
    <w:rsid w:val="0077059A"/>
    <w:rsid w:val="00770EB8"/>
    <w:rsid w:val="00776135"/>
    <w:rsid w:val="00776FCD"/>
    <w:rsid w:val="00783599"/>
    <w:rsid w:val="007868DB"/>
    <w:rsid w:val="00791E29"/>
    <w:rsid w:val="007948A0"/>
    <w:rsid w:val="00795783"/>
    <w:rsid w:val="007A17A3"/>
    <w:rsid w:val="007A64A7"/>
    <w:rsid w:val="007B2248"/>
    <w:rsid w:val="007B22F5"/>
    <w:rsid w:val="007B443B"/>
    <w:rsid w:val="007B607E"/>
    <w:rsid w:val="007C3796"/>
    <w:rsid w:val="007D0F32"/>
    <w:rsid w:val="007D42CB"/>
    <w:rsid w:val="007E0B3A"/>
    <w:rsid w:val="007F2B8D"/>
    <w:rsid w:val="007F5B1C"/>
    <w:rsid w:val="007F7FB4"/>
    <w:rsid w:val="00801F0D"/>
    <w:rsid w:val="00804BA2"/>
    <w:rsid w:val="008104F4"/>
    <w:rsid w:val="00812B10"/>
    <w:rsid w:val="0081461F"/>
    <w:rsid w:val="008164CF"/>
    <w:rsid w:val="008208BA"/>
    <w:rsid w:val="00820C4A"/>
    <w:rsid w:val="00821497"/>
    <w:rsid w:val="008226B9"/>
    <w:rsid w:val="00830BE3"/>
    <w:rsid w:val="008329F4"/>
    <w:rsid w:val="008360B3"/>
    <w:rsid w:val="00836552"/>
    <w:rsid w:val="00837456"/>
    <w:rsid w:val="00837D43"/>
    <w:rsid w:val="00840F5E"/>
    <w:rsid w:val="00851ECB"/>
    <w:rsid w:val="00860D38"/>
    <w:rsid w:val="0086322C"/>
    <w:rsid w:val="008642B1"/>
    <w:rsid w:val="00873C9C"/>
    <w:rsid w:val="00881922"/>
    <w:rsid w:val="008910C5"/>
    <w:rsid w:val="008A0393"/>
    <w:rsid w:val="008A0CB2"/>
    <w:rsid w:val="008A451B"/>
    <w:rsid w:val="008A78B2"/>
    <w:rsid w:val="008B18C1"/>
    <w:rsid w:val="008B1AD4"/>
    <w:rsid w:val="008B2554"/>
    <w:rsid w:val="008B3B1E"/>
    <w:rsid w:val="008C2A33"/>
    <w:rsid w:val="008C4DFB"/>
    <w:rsid w:val="008C5671"/>
    <w:rsid w:val="008C70C4"/>
    <w:rsid w:val="008D0682"/>
    <w:rsid w:val="008D3934"/>
    <w:rsid w:val="008D4B08"/>
    <w:rsid w:val="008D634B"/>
    <w:rsid w:val="008E0F1B"/>
    <w:rsid w:val="008F08EC"/>
    <w:rsid w:val="008F5B0B"/>
    <w:rsid w:val="008F6B59"/>
    <w:rsid w:val="00901942"/>
    <w:rsid w:val="009024FE"/>
    <w:rsid w:val="00914003"/>
    <w:rsid w:val="00914C35"/>
    <w:rsid w:val="009200FF"/>
    <w:rsid w:val="009222C6"/>
    <w:rsid w:val="00922862"/>
    <w:rsid w:val="00925516"/>
    <w:rsid w:val="00926469"/>
    <w:rsid w:val="00926C6D"/>
    <w:rsid w:val="00935138"/>
    <w:rsid w:val="00942DFD"/>
    <w:rsid w:val="009441B3"/>
    <w:rsid w:val="00946851"/>
    <w:rsid w:val="00954B30"/>
    <w:rsid w:val="00955E6D"/>
    <w:rsid w:val="00962001"/>
    <w:rsid w:val="00967E70"/>
    <w:rsid w:val="00970043"/>
    <w:rsid w:val="009706F5"/>
    <w:rsid w:val="0097162C"/>
    <w:rsid w:val="009723AB"/>
    <w:rsid w:val="00973A24"/>
    <w:rsid w:val="0097569D"/>
    <w:rsid w:val="00977C80"/>
    <w:rsid w:val="009B168E"/>
    <w:rsid w:val="009B75A9"/>
    <w:rsid w:val="009C2465"/>
    <w:rsid w:val="009C2C63"/>
    <w:rsid w:val="009C43AD"/>
    <w:rsid w:val="009D153E"/>
    <w:rsid w:val="009D6684"/>
    <w:rsid w:val="009E3DFA"/>
    <w:rsid w:val="009E6DDC"/>
    <w:rsid w:val="009E712C"/>
    <w:rsid w:val="009F235E"/>
    <w:rsid w:val="009F3989"/>
    <w:rsid w:val="009F5C5B"/>
    <w:rsid w:val="009F696D"/>
    <w:rsid w:val="00A025E0"/>
    <w:rsid w:val="00A02C91"/>
    <w:rsid w:val="00A040B5"/>
    <w:rsid w:val="00A11C9A"/>
    <w:rsid w:val="00A12CA5"/>
    <w:rsid w:val="00A13324"/>
    <w:rsid w:val="00A165FF"/>
    <w:rsid w:val="00A16D05"/>
    <w:rsid w:val="00A26D19"/>
    <w:rsid w:val="00A41C3F"/>
    <w:rsid w:val="00A428F0"/>
    <w:rsid w:val="00A43C86"/>
    <w:rsid w:val="00A46818"/>
    <w:rsid w:val="00A47E5C"/>
    <w:rsid w:val="00A54EFB"/>
    <w:rsid w:val="00A55E5A"/>
    <w:rsid w:val="00A63513"/>
    <w:rsid w:val="00A65585"/>
    <w:rsid w:val="00A773E9"/>
    <w:rsid w:val="00A86047"/>
    <w:rsid w:val="00A86C7B"/>
    <w:rsid w:val="00A93658"/>
    <w:rsid w:val="00A95B1B"/>
    <w:rsid w:val="00AA69B3"/>
    <w:rsid w:val="00AB3164"/>
    <w:rsid w:val="00AB35F4"/>
    <w:rsid w:val="00AB4A46"/>
    <w:rsid w:val="00AC69EC"/>
    <w:rsid w:val="00AD5910"/>
    <w:rsid w:val="00AD6341"/>
    <w:rsid w:val="00AE0320"/>
    <w:rsid w:val="00AE1955"/>
    <w:rsid w:val="00AE4591"/>
    <w:rsid w:val="00AE46D2"/>
    <w:rsid w:val="00AF1D57"/>
    <w:rsid w:val="00AF20A7"/>
    <w:rsid w:val="00AF3D95"/>
    <w:rsid w:val="00B04F4D"/>
    <w:rsid w:val="00B05EB8"/>
    <w:rsid w:val="00B07D4B"/>
    <w:rsid w:val="00B110E3"/>
    <w:rsid w:val="00B22361"/>
    <w:rsid w:val="00B328C6"/>
    <w:rsid w:val="00B33169"/>
    <w:rsid w:val="00B33674"/>
    <w:rsid w:val="00B36D6B"/>
    <w:rsid w:val="00B4188D"/>
    <w:rsid w:val="00B4586E"/>
    <w:rsid w:val="00B45A35"/>
    <w:rsid w:val="00B5352F"/>
    <w:rsid w:val="00B541E1"/>
    <w:rsid w:val="00B55298"/>
    <w:rsid w:val="00B610E2"/>
    <w:rsid w:val="00B65901"/>
    <w:rsid w:val="00B67422"/>
    <w:rsid w:val="00B73DD5"/>
    <w:rsid w:val="00B75AE1"/>
    <w:rsid w:val="00B82372"/>
    <w:rsid w:val="00B8592B"/>
    <w:rsid w:val="00B85A4A"/>
    <w:rsid w:val="00B8621C"/>
    <w:rsid w:val="00B92842"/>
    <w:rsid w:val="00B92C5C"/>
    <w:rsid w:val="00BA02B3"/>
    <w:rsid w:val="00BA2BC9"/>
    <w:rsid w:val="00BA4C26"/>
    <w:rsid w:val="00BC212C"/>
    <w:rsid w:val="00BD245C"/>
    <w:rsid w:val="00BD2F1C"/>
    <w:rsid w:val="00BD42D6"/>
    <w:rsid w:val="00BD568F"/>
    <w:rsid w:val="00BD6616"/>
    <w:rsid w:val="00BD67C8"/>
    <w:rsid w:val="00BF2FE5"/>
    <w:rsid w:val="00C017B8"/>
    <w:rsid w:val="00C10A92"/>
    <w:rsid w:val="00C16513"/>
    <w:rsid w:val="00C1743D"/>
    <w:rsid w:val="00C224F3"/>
    <w:rsid w:val="00C24205"/>
    <w:rsid w:val="00C2541B"/>
    <w:rsid w:val="00C257E9"/>
    <w:rsid w:val="00C31F82"/>
    <w:rsid w:val="00C35371"/>
    <w:rsid w:val="00C35F7F"/>
    <w:rsid w:val="00C36B3D"/>
    <w:rsid w:val="00C51195"/>
    <w:rsid w:val="00C6111F"/>
    <w:rsid w:val="00C656EB"/>
    <w:rsid w:val="00C74376"/>
    <w:rsid w:val="00C81398"/>
    <w:rsid w:val="00C81C12"/>
    <w:rsid w:val="00C85437"/>
    <w:rsid w:val="00C86209"/>
    <w:rsid w:val="00C862AD"/>
    <w:rsid w:val="00C9052E"/>
    <w:rsid w:val="00C908CA"/>
    <w:rsid w:val="00C931E8"/>
    <w:rsid w:val="00CA24D8"/>
    <w:rsid w:val="00CB5A39"/>
    <w:rsid w:val="00CC2B25"/>
    <w:rsid w:val="00CC317C"/>
    <w:rsid w:val="00CD37D7"/>
    <w:rsid w:val="00CD6421"/>
    <w:rsid w:val="00CD67E2"/>
    <w:rsid w:val="00CE05E4"/>
    <w:rsid w:val="00CE4ABB"/>
    <w:rsid w:val="00CF1CD1"/>
    <w:rsid w:val="00CF7E46"/>
    <w:rsid w:val="00D10981"/>
    <w:rsid w:val="00D14475"/>
    <w:rsid w:val="00D17996"/>
    <w:rsid w:val="00D179D7"/>
    <w:rsid w:val="00D2064B"/>
    <w:rsid w:val="00D24D93"/>
    <w:rsid w:val="00D43CCC"/>
    <w:rsid w:val="00D52BDB"/>
    <w:rsid w:val="00D56390"/>
    <w:rsid w:val="00D5723B"/>
    <w:rsid w:val="00D60F2E"/>
    <w:rsid w:val="00D6247F"/>
    <w:rsid w:val="00D64B2E"/>
    <w:rsid w:val="00D64B89"/>
    <w:rsid w:val="00D65583"/>
    <w:rsid w:val="00D71AF1"/>
    <w:rsid w:val="00D72524"/>
    <w:rsid w:val="00D74376"/>
    <w:rsid w:val="00D7654A"/>
    <w:rsid w:val="00D76B33"/>
    <w:rsid w:val="00D8008D"/>
    <w:rsid w:val="00D82C2D"/>
    <w:rsid w:val="00D863D2"/>
    <w:rsid w:val="00D902CC"/>
    <w:rsid w:val="00D90681"/>
    <w:rsid w:val="00D91D2B"/>
    <w:rsid w:val="00DA0A8E"/>
    <w:rsid w:val="00DA4C5F"/>
    <w:rsid w:val="00DA50B1"/>
    <w:rsid w:val="00DB121E"/>
    <w:rsid w:val="00DB2F54"/>
    <w:rsid w:val="00DB440F"/>
    <w:rsid w:val="00DB5926"/>
    <w:rsid w:val="00DC00A9"/>
    <w:rsid w:val="00DC1CF1"/>
    <w:rsid w:val="00DC2B6B"/>
    <w:rsid w:val="00DC47BE"/>
    <w:rsid w:val="00DC6426"/>
    <w:rsid w:val="00DD058F"/>
    <w:rsid w:val="00DD2A20"/>
    <w:rsid w:val="00DD6F7F"/>
    <w:rsid w:val="00DE3BD2"/>
    <w:rsid w:val="00DE45A2"/>
    <w:rsid w:val="00DE6E2F"/>
    <w:rsid w:val="00DF1ACB"/>
    <w:rsid w:val="00E002F8"/>
    <w:rsid w:val="00E0192F"/>
    <w:rsid w:val="00E01E74"/>
    <w:rsid w:val="00E031BC"/>
    <w:rsid w:val="00E0567F"/>
    <w:rsid w:val="00E07A57"/>
    <w:rsid w:val="00E10122"/>
    <w:rsid w:val="00E101FB"/>
    <w:rsid w:val="00E11EF5"/>
    <w:rsid w:val="00E1444A"/>
    <w:rsid w:val="00E2050B"/>
    <w:rsid w:val="00E21C04"/>
    <w:rsid w:val="00E26572"/>
    <w:rsid w:val="00E2733C"/>
    <w:rsid w:val="00E33C77"/>
    <w:rsid w:val="00E35855"/>
    <w:rsid w:val="00E42DCD"/>
    <w:rsid w:val="00E441C4"/>
    <w:rsid w:val="00E457FF"/>
    <w:rsid w:val="00E4697C"/>
    <w:rsid w:val="00E52742"/>
    <w:rsid w:val="00E54EEC"/>
    <w:rsid w:val="00E57A6E"/>
    <w:rsid w:val="00E611F3"/>
    <w:rsid w:val="00E62976"/>
    <w:rsid w:val="00E70A73"/>
    <w:rsid w:val="00E77C73"/>
    <w:rsid w:val="00E77CC2"/>
    <w:rsid w:val="00E823F4"/>
    <w:rsid w:val="00E83B05"/>
    <w:rsid w:val="00E85E4C"/>
    <w:rsid w:val="00E85F13"/>
    <w:rsid w:val="00E87FC8"/>
    <w:rsid w:val="00E9422A"/>
    <w:rsid w:val="00EA5D39"/>
    <w:rsid w:val="00EB0239"/>
    <w:rsid w:val="00EB138A"/>
    <w:rsid w:val="00EB7763"/>
    <w:rsid w:val="00EB7E63"/>
    <w:rsid w:val="00EC07BE"/>
    <w:rsid w:val="00EC21BC"/>
    <w:rsid w:val="00EC2447"/>
    <w:rsid w:val="00ED181E"/>
    <w:rsid w:val="00ED362A"/>
    <w:rsid w:val="00ED5148"/>
    <w:rsid w:val="00ED5D8B"/>
    <w:rsid w:val="00ED6F8F"/>
    <w:rsid w:val="00EE61AC"/>
    <w:rsid w:val="00EE62BF"/>
    <w:rsid w:val="00F02DDD"/>
    <w:rsid w:val="00F05491"/>
    <w:rsid w:val="00F12990"/>
    <w:rsid w:val="00F149F9"/>
    <w:rsid w:val="00F14A34"/>
    <w:rsid w:val="00F14F71"/>
    <w:rsid w:val="00F208D6"/>
    <w:rsid w:val="00F221C1"/>
    <w:rsid w:val="00F233E0"/>
    <w:rsid w:val="00F243D9"/>
    <w:rsid w:val="00F24E03"/>
    <w:rsid w:val="00F27313"/>
    <w:rsid w:val="00F279D4"/>
    <w:rsid w:val="00F309FC"/>
    <w:rsid w:val="00F32E67"/>
    <w:rsid w:val="00F32EF8"/>
    <w:rsid w:val="00F4316E"/>
    <w:rsid w:val="00F43803"/>
    <w:rsid w:val="00F43AAE"/>
    <w:rsid w:val="00F46265"/>
    <w:rsid w:val="00F4649A"/>
    <w:rsid w:val="00F50E6E"/>
    <w:rsid w:val="00F648A8"/>
    <w:rsid w:val="00F66979"/>
    <w:rsid w:val="00F6737F"/>
    <w:rsid w:val="00F6751E"/>
    <w:rsid w:val="00F74056"/>
    <w:rsid w:val="00F74586"/>
    <w:rsid w:val="00F761EE"/>
    <w:rsid w:val="00F766A7"/>
    <w:rsid w:val="00F76CAA"/>
    <w:rsid w:val="00F77CA8"/>
    <w:rsid w:val="00F84260"/>
    <w:rsid w:val="00F850A0"/>
    <w:rsid w:val="00F90A59"/>
    <w:rsid w:val="00F95B17"/>
    <w:rsid w:val="00FA4920"/>
    <w:rsid w:val="00FA70B0"/>
    <w:rsid w:val="00FA779B"/>
    <w:rsid w:val="00FB0DFA"/>
    <w:rsid w:val="00FB3491"/>
    <w:rsid w:val="00FB39B5"/>
    <w:rsid w:val="00FB5024"/>
    <w:rsid w:val="00FC21CB"/>
    <w:rsid w:val="00FC5D13"/>
    <w:rsid w:val="00FD26F1"/>
    <w:rsid w:val="00FD37C8"/>
    <w:rsid w:val="00FE03E3"/>
    <w:rsid w:val="00FE1165"/>
    <w:rsid w:val="00FE3022"/>
    <w:rsid w:val="00FF36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9BD9D82"/>
  <w15:docId w15:val="{AE2C66F9-F009-4D2E-96BC-DF206C286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923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292325"/>
    <w:rPr>
      <w:sz w:val="16"/>
      <w:szCs w:val="16"/>
    </w:rPr>
  </w:style>
  <w:style w:type="paragraph" w:styleId="CommentText">
    <w:name w:val="annotation text"/>
    <w:basedOn w:val="Normal"/>
    <w:link w:val="CommentTextChar"/>
    <w:uiPriority w:val="99"/>
    <w:semiHidden/>
    <w:unhideWhenUsed/>
    <w:rsid w:val="00292325"/>
    <w:pPr>
      <w:spacing w:line="240" w:lineRule="auto"/>
    </w:pPr>
    <w:rPr>
      <w:sz w:val="20"/>
      <w:szCs w:val="20"/>
    </w:rPr>
  </w:style>
  <w:style w:type="character" w:customStyle="1" w:styleId="CommentTextChar">
    <w:name w:val="Comment Text Char"/>
    <w:basedOn w:val="DefaultParagraphFont"/>
    <w:link w:val="CommentText"/>
    <w:uiPriority w:val="99"/>
    <w:semiHidden/>
    <w:rsid w:val="00292325"/>
    <w:rPr>
      <w:sz w:val="20"/>
      <w:szCs w:val="20"/>
    </w:rPr>
  </w:style>
  <w:style w:type="paragraph" w:styleId="BalloonText">
    <w:name w:val="Balloon Text"/>
    <w:basedOn w:val="Normal"/>
    <w:link w:val="BalloonTextChar"/>
    <w:uiPriority w:val="99"/>
    <w:semiHidden/>
    <w:unhideWhenUsed/>
    <w:rsid w:val="002923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2325"/>
    <w:rPr>
      <w:rFonts w:ascii="Tahoma" w:hAnsi="Tahoma" w:cs="Tahoma"/>
      <w:sz w:val="16"/>
      <w:szCs w:val="16"/>
    </w:rPr>
  </w:style>
  <w:style w:type="paragraph" w:styleId="ListParagraph">
    <w:name w:val="List Paragraph"/>
    <w:aliases w:val="List Paragraph (numbered (a)),Use Case List Paragraph,Bullets,References,Numbered Paragraph,Main numbered paragraph,Numbered List Paragraph,123 List Paragraph,List Paragraph nowy,Liste 1,List_Paragraph,Multilevel para_II,List Paragraph1"/>
    <w:basedOn w:val="Normal"/>
    <w:link w:val="ListParagraphChar"/>
    <w:uiPriority w:val="34"/>
    <w:qFormat/>
    <w:rsid w:val="00292325"/>
    <w:pPr>
      <w:ind w:left="720"/>
      <w:contextualSpacing/>
    </w:pPr>
  </w:style>
  <w:style w:type="paragraph" w:styleId="FootnoteText">
    <w:name w:val="footnote text"/>
    <w:aliases w:val="fn,FOOTNOTES,single space,ft,Char,f,Footnote Text Char1,Footnote Text Char2 Char,Footnote Text Char1 Char Char,Footnote Text Char2 Char Char Char,Footnote Text Char1 Char Char Char Char,ALTS FOOTNOTE,Footnote Text Char Char Char1,ADB,o"/>
    <w:basedOn w:val="Normal"/>
    <w:link w:val="FootnoteTextChar"/>
    <w:uiPriority w:val="99"/>
    <w:unhideWhenUsed/>
    <w:qFormat/>
    <w:rsid w:val="006F3CFB"/>
    <w:pPr>
      <w:spacing w:after="0" w:line="240" w:lineRule="auto"/>
    </w:pPr>
    <w:rPr>
      <w:sz w:val="20"/>
      <w:szCs w:val="20"/>
    </w:rPr>
  </w:style>
  <w:style w:type="character" w:customStyle="1" w:styleId="FootnoteTextChar">
    <w:name w:val="Footnote Text Char"/>
    <w:aliases w:val="fn Char,FOOTNOTES Char,single space Char,ft Char,Char Char,f Char,Footnote Text Char1 Char,Footnote Text Char2 Char Char,Footnote Text Char1 Char Char Char,Footnote Text Char2 Char Char Char Char,ALTS FOOTNOTE Char,ADB Char,o Char"/>
    <w:basedOn w:val="DefaultParagraphFont"/>
    <w:link w:val="FootnoteText"/>
    <w:uiPriority w:val="99"/>
    <w:rsid w:val="006F3CFB"/>
    <w:rPr>
      <w:sz w:val="20"/>
      <w:szCs w:val="20"/>
    </w:rPr>
  </w:style>
  <w:style w:type="character" w:styleId="FootnoteReference">
    <w:name w:val="footnote reference"/>
    <w:aliases w:val="ftref,16 Point,Superscript 6 Point,Car Car Char Car Char Car Car Char Car Char Char,Car Car Car Car Car Car Car Car Char Car Car Char Car Car Car Char Car Char Char Char,SUPERS,BVI f,Footnote Reference Number,Footnote Reference_LVL6"/>
    <w:basedOn w:val="DefaultParagraphFont"/>
    <w:link w:val="BVIfnr"/>
    <w:unhideWhenUsed/>
    <w:qFormat/>
    <w:rsid w:val="006F3CFB"/>
    <w:rPr>
      <w:vertAlign w:val="superscript"/>
    </w:rPr>
  </w:style>
  <w:style w:type="paragraph" w:styleId="HTMLPreformatted">
    <w:name w:val="HTML Preformatted"/>
    <w:basedOn w:val="Normal"/>
    <w:link w:val="HTMLPreformattedChar"/>
    <w:uiPriority w:val="99"/>
    <w:unhideWhenUsed/>
    <w:rsid w:val="00B75A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B75AE1"/>
    <w:rPr>
      <w:rFonts w:ascii="Courier New" w:eastAsia="Times New Roman" w:hAnsi="Courier New" w:cs="Courier New"/>
      <w:sz w:val="20"/>
      <w:szCs w:val="20"/>
    </w:rPr>
  </w:style>
  <w:style w:type="paragraph" w:customStyle="1" w:styleId="BVIfnr">
    <w:name w:val="BVI fnr"/>
    <w:aliases w:val="BVI fnr Car Car,BVI fnr Car,BVI fnr Car Car Car Car Char"/>
    <w:basedOn w:val="Normal"/>
    <w:link w:val="FootnoteReference"/>
    <w:uiPriority w:val="99"/>
    <w:rsid w:val="00B75AE1"/>
    <w:pPr>
      <w:spacing w:before="120" w:after="160" w:line="240" w:lineRule="exact"/>
      <w:jc w:val="both"/>
    </w:pPr>
    <w:rPr>
      <w:vertAlign w:val="superscript"/>
    </w:rPr>
  </w:style>
  <w:style w:type="paragraph" w:customStyle="1" w:styleId="Default">
    <w:name w:val="Default"/>
    <w:rsid w:val="002C0ABD"/>
    <w:pPr>
      <w:autoSpaceDE w:val="0"/>
      <w:autoSpaceDN w:val="0"/>
      <w:adjustRightInd w:val="0"/>
      <w:spacing w:after="0" w:line="240" w:lineRule="auto"/>
    </w:pPr>
    <w:rPr>
      <w:rFonts w:ascii="Calibri" w:hAnsi="Calibri" w:cs="Calibri"/>
      <w:color w:val="000000"/>
      <w:sz w:val="24"/>
      <w:szCs w:val="24"/>
    </w:rPr>
  </w:style>
  <w:style w:type="character" w:customStyle="1" w:styleId="ListParagraphChar">
    <w:name w:val="List Paragraph Char"/>
    <w:aliases w:val="List Paragraph (numbered (a)) Char,Use Case List Paragraph Char,Bullets Char,References Char,Numbered Paragraph Char,Main numbered paragraph Char,Numbered List Paragraph Char,123 List Paragraph Char,List Paragraph nowy Char"/>
    <w:basedOn w:val="DefaultParagraphFont"/>
    <w:link w:val="ListParagraph"/>
    <w:uiPriority w:val="34"/>
    <w:qFormat/>
    <w:locked/>
    <w:rsid w:val="002C0ABD"/>
  </w:style>
  <w:style w:type="table" w:styleId="TableGrid">
    <w:name w:val="Table Grid"/>
    <w:basedOn w:val="TableNormal"/>
    <w:uiPriority w:val="59"/>
    <w:rsid w:val="008164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rsid w:val="00D902CC"/>
    <w:pPr>
      <w:spacing w:after="0" w:line="240" w:lineRule="auto"/>
    </w:pPr>
    <w:rPr>
      <w:rFonts w:ascii="Times New Roman" w:eastAsia="Times New Roman" w:hAnsi="Times New Roman" w:cs="Times New Roman"/>
      <w:sz w:val="24"/>
      <w:szCs w:val="20"/>
      <w:lang w:val="en-GB"/>
    </w:rPr>
  </w:style>
  <w:style w:type="character" w:customStyle="1" w:styleId="BodyTextChar">
    <w:name w:val="Body Text Char"/>
    <w:basedOn w:val="DefaultParagraphFont"/>
    <w:link w:val="BodyText"/>
    <w:semiHidden/>
    <w:rsid w:val="00D902CC"/>
    <w:rPr>
      <w:rFonts w:ascii="Times New Roman" w:eastAsia="Times New Roman" w:hAnsi="Times New Roman" w:cs="Times New Roman"/>
      <w:sz w:val="24"/>
      <w:szCs w:val="20"/>
      <w:lang w:val="en-GB"/>
    </w:rPr>
  </w:style>
  <w:style w:type="character" w:styleId="Hyperlink">
    <w:name w:val="Hyperlink"/>
    <w:basedOn w:val="DefaultParagraphFont"/>
    <w:uiPriority w:val="99"/>
    <w:unhideWhenUsed/>
    <w:rsid w:val="000261A9"/>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9D153E"/>
    <w:rPr>
      <w:b/>
      <w:bCs/>
    </w:rPr>
  </w:style>
  <w:style w:type="character" w:customStyle="1" w:styleId="CommentSubjectChar">
    <w:name w:val="Comment Subject Char"/>
    <w:basedOn w:val="CommentTextChar"/>
    <w:link w:val="CommentSubject"/>
    <w:uiPriority w:val="99"/>
    <w:semiHidden/>
    <w:rsid w:val="009D153E"/>
    <w:rPr>
      <w:b/>
      <w:bCs/>
      <w:sz w:val="20"/>
      <w:szCs w:val="20"/>
    </w:rPr>
  </w:style>
  <w:style w:type="paragraph" w:styleId="Caption">
    <w:name w:val="caption"/>
    <w:basedOn w:val="Normal"/>
    <w:next w:val="Normal"/>
    <w:uiPriority w:val="35"/>
    <w:unhideWhenUsed/>
    <w:qFormat/>
    <w:rsid w:val="001E4118"/>
    <w:pPr>
      <w:spacing w:line="240" w:lineRule="auto"/>
    </w:pPr>
    <w:rPr>
      <w:i/>
      <w:iCs/>
      <w:color w:val="1F497D" w:themeColor="text2"/>
      <w:sz w:val="18"/>
      <w:szCs w:val="18"/>
    </w:rPr>
  </w:style>
  <w:style w:type="paragraph" w:customStyle="1" w:styleId="BVIfnrChar1CharCharCharCharChar">
    <w:name w:val="BVI fnr Char1 Char Char Char Char Char"/>
    <w:aliases w:val="BVI fnr Car Car Car Car Char2 Char Char Char Char Char,BVI fnr Car Car Char1 Char Char Char Char Char,BVI fnr Car Char1 Char Char Char Char Char"/>
    <w:basedOn w:val="Normal"/>
    <w:rsid w:val="005E70BA"/>
    <w:pPr>
      <w:spacing w:after="160" w:line="240" w:lineRule="exact"/>
    </w:pPr>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9441424">
      <w:bodyDiv w:val="1"/>
      <w:marLeft w:val="0"/>
      <w:marRight w:val="0"/>
      <w:marTop w:val="0"/>
      <w:marBottom w:val="0"/>
      <w:divBdr>
        <w:top w:val="none" w:sz="0" w:space="0" w:color="auto"/>
        <w:left w:val="none" w:sz="0" w:space="0" w:color="auto"/>
        <w:bottom w:val="none" w:sz="0" w:space="0" w:color="auto"/>
        <w:right w:val="none" w:sz="0" w:space="0" w:color="auto"/>
      </w:divBdr>
    </w:div>
    <w:div w:id="1894001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ec.europa.eu/environment/emas/pdf/other/TourismBEMP.pdf" TargetMode="External"/><Relationship Id="rId1" Type="http://schemas.openxmlformats.org/officeDocument/2006/relationships/hyperlink" Target="https://www.repository.utl.pt/bitstream/10400.5/14538/1/TM%202035.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WBOpsProjectDoc" ma:contentTypeID="0x01010054E0FEF4951F9D49A6F48A35419983C700B5AA65FDAE8E51458780F093348E1907" ma:contentTypeVersion="3" ma:contentTypeDescription="" ma:contentTypeScope="" ma:versionID="2ee6ee4c0e7e71af94f8c63ae6c5e6fe">
  <xsd:schema xmlns:xsd="http://www.w3.org/2001/XMLSchema" xmlns:xs="http://www.w3.org/2001/XMLSchema" xmlns:p="http://schemas.microsoft.com/office/2006/metadata/properties" xmlns:ns2="b99a068c-3844-4a16-badd-77233eea0529" targetNamespace="http://schemas.microsoft.com/office/2006/metadata/properties" ma:root="true" ma:fieldsID="fda24a9677bb9d21e2f1b3e6e3d6658a" ns2:_="">
    <xsd:import namespace="b99a068c-3844-4a16-badd-77233eea0529"/>
    <xsd:element name="properties">
      <xsd:complexType>
        <xsd:sequence>
          <xsd:element name="documentManagement">
            <xsd:complexType>
              <xsd:all>
                <xsd:element ref="ns2:ProjectID" minOccurs="0"/>
                <xsd:element ref="ns2:Stage" minOccurs="0"/>
                <xsd:element ref="ns2:Package" minOccurs="0"/>
                <xsd:element ref="ns2:DocumentType" minOccurs="0"/>
                <xsd:element ref="ns2:SortOrder" minOccurs="0"/>
                <xsd:element ref="ns2:AttachmentType" minOccurs="0"/>
                <xsd:element ref="ns2:Abstract" minOccurs="0"/>
                <xsd:element ref="ns2:SecurityClassification" minOccurs="0"/>
                <xsd:element ref="ns2:Cordis_x0020_ID" minOccurs="0"/>
                <xsd:element ref="ns2:Task_x0020_ID" minOccurs="0"/>
                <xsd:element ref="ns2:DependentDoc" minOccurs="0"/>
                <xsd:element ref="ns2:DeliverableID" minOccurs="0"/>
                <xsd:element ref="ns2:RefreshDate" minOccurs="0"/>
                <xsd:element ref="ns2:DocStatus" minOccurs="0"/>
                <xsd:element ref="ns2:ApprovedVersion" minOccurs="0"/>
                <xsd:element ref="ns2:DisclosedVersion" minOccurs="0"/>
                <xsd:element ref="ns2:HasUserUploaded" minOccurs="0"/>
                <xsd:element ref="ns2:IsMandatory" minOccurs="0"/>
                <xsd:element ref="ns2:IsTemplate" minOccurs="0"/>
                <xsd:element ref="ns2:SAPStage" minOccurs="0"/>
                <xsd:element ref="ns2:Authors" minOccurs="0"/>
                <xsd:element ref="ns2:DocAuthors" minOccurs="0"/>
                <xsd:element ref="ns2:DocumentDate" minOccurs="0"/>
                <xsd:element ref="ns2:PolicyExceptions" minOccurs="0"/>
                <xsd:element ref="ns2:WBDocType" minOccurs="0"/>
                <xsd:element ref="ns2:LockStatus" minOccurs="0"/>
                <xsd:element ref="ns2:DocumentAction" minOccurs="0"/>
                <xsd:element ref="ns2:IsHidden" minOccurs="0"/>
                <xsd:element ref="ns2:TemplateDocVersion" minOccurs="0"/>
                <xsd:element ref="ns2:SequenceNu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9a068c-3844-4a16-badd-77233eea0529" elementFormDefault="qualified">
    <xsd:import namespace="http://schemas.microsoft.com/office/2006/documentManagement/types"/>
    <xsd:import namespace="http://schemas.microsoft.com/office/infopath/2007/PartnerControls"/>
    <xsd:element name="ProjectID" ma:index="8" nillable="true" ma:displayName="ProjectID" ma:internalName="ProjectID">
      <xsd:simpleType>
        <xsd:restriction base="dms:Text">
          <xsd:maxLength value="255"/>
        </xsd:restriction>
      </xsd:simpleType>
    </xsd:element>
    <xsd:element name="Stage" ma:index="9" nillable="true" ma:displayName="Stage" ma:internalName="Stage">
      <xsd:simpleType>
        <xsd:restriction base="dms:Text">
          <xsd:maxLength value="255"/>
        </xsd:restriction>
      </xsd:simpleType>
    </xsd:element>
    <xsd:element name="Package" ma:index="10" nillable="true" ma:displayName="Package" ma:default="1" ma:internalName="Package">
      <xsd:simpleType>
        <xsd:restriction base="dms:Boolean"/>
      </xsd:simpleType>
    </xsd:element>
    <xsd:element name="DocumentType" ma:index="11" nillable="true" ma:displayName="DocumentType" ma:internalName="DocumentType">
      <xsd:simpleType>
        <xsd:restriction base="dms:Text">
          <xsd:maxLength value="255"/>
        </xsd:restriction>
      </xsd:simpleType>
    </xsd:element>
    <xsd:element name="SortOrder" ma:index="12" nillable="true" ma:displayName="SortOrder" ma:internalName="SortOrder">
      <xsd:simpleType>
        <xsd:restriction base="dms:Number"/>
      </xsd:simpleType>
    </xsd:element>
    <xsd:element name="AttachmentType" ma:index="13" nillable="true" ma:displayName="AttachmentType" ma:internalName="AttachmentType">
      <xsd:simpleType>
        <xsd:restriction base="dms:Text">
          <xsd:maxLength value="255"/>
        </xsd:restriction>
      </xsd:simpleType>
    </xsd:element>
    <xsd:element name="Abstract" ma:index="14" nillable="true" ma:displayName="Abstract" ma:internalName="Abstract">
      <xsd:simpleType>
        <xsd:restriction base="dms:Note"/>
      </xsd:simpleType>
    </xsd:element>
    <xsd:element name="SecurityClassification" ma:index="15" nillable="true" ma:displayName="SecurityClassification" ma:format="Dropdown" ma:internalName="SecurityClassification">
      <xsd:simpleType>
        <xsd:restriction base="dms:Choice">
          <xsd:enumeration value="Official use only"/>
          <xsd:enumeration value="Public"/>
        </xsd:restriction>
      </xsd:simpleType>
    </xsd:element>
    <xsd:element name="Cordis_x0020_ID" ma:index="16" nillable="true" ma:displayName="Cordis ID" ma:internalName="Cordis_x0020_ID">
      <xsd:simpleType>
        <xsd:restriction base="dms:Note"/>
      </xsd:simpleType>
    </xsd:element>
    <xsd:element name="Task_x0020_ID" ma:index="17" nillable="true" ma:displayName="Task ID" ma:internalName="Task_x0020_ID">
      <xsd:simpleType>
        <xsd:restriction base="dms:Note"/>
      </xsd:simpleType>
    </xsd:element>
    <xsd:element name="DependentDoc" ma:index="18" nillable="true" ma:displayName="DependentDoc" ma:internalName="DependentDoc">
      <xsd:simpleType>
        <xsd:restriction base="dms:Note"/>
      </xsd:simpleType>
    </xsd:element>
    <xsd:element name="DeliverableID" ma:index="19" nillable="true" ma:displayName="DeliverableID" ma:internalName="DeliverableID">
      <xsd:simpleType>
        <xsd:restriction base="dms:Note"/>
      </xsd:simpleType>
    </xsd:element>
    <xsd:element name="RefreshDate" ma:index="20" nillable="true" ma:displayName="RefreshDate" ma:format="DateTime" ma:internalName="RefreshDate">
      <xsd:simpleType>
        <xsd:restriction base="dms:DateTime"/>
      </xsd:simpleType>
    </xsd:element>
    <xsd:element name="DocStatus" ma:index="21" nillable="true" ma:displayName="DocStatus" ma:internalName="DocStatus">
      <xsd:simpleType>
        <xsd:restriction base="dms:Text">
          <xsd:maxLength value="255"/>
        </xsd:restriction>
      </xsd:simpleType>
    </xsd:element>
    <xsd:element name="ApprovedVersion" ma:index="22" nillable="true" ma:displayName="ApprovedVersion" ma:internalName="ApprovedVersion">
      <xsd:simpleType>
        <xsd:restriction base="dms:Text">
          <xsd:maxLength value="255"/>
        </xsd:restriction>
      </xsd:simpleType>
    </xsd:element>
    <xsd:element name="DisclosedVersion" ma:index="23" nillable="true" ma:displayName="DisclosedVersion" ma:internalName="DisclosedVersion">
      <xsd:simpleType>
        <xsd:restriction base="dms:Note"/>
      </xsd:simpleType>
    </xsd:element>
    <xsd:element name="HasUserUploaded" ma:index="24" nillable="true" ma:displayName="HasUserUploaded" ma:default="0" ma:internalName="HasUserUploaded">
      <xsd:simpleType>
        <xsd:restriction base="dms:Boolean"/>
      </xsd:simpleType>
    </xsd:element>
    <xsd:element name="IsMandatory" ma:index="25" nillable="true" ma:displayName="IsMandatory" ma:default="0" ma:internalName="IsMandatory">
      <xsd:simpleType>
        <xsd:restriction base="dms:Boolean"/>
      </xsd:simpleType>
    </xsd:element>
    <xsd:element name="IsTemplate" ma:index="26" nillable="true" ma:displayName="IsTemplate" ma:default="0" ma:internalName="IsTemplate">
      <xsd:simpleType>
        <xsd:restriction base="dms:Boolean"/>
      </xsd:simpleType>
    </xsd:element>
    <xsd:element name="SAPStage" ma:index="27" nillable="true" ma:displayName="SAPStage" ma:internalName="SAPStage">
      <xsd:simpleType>
        <xsd:restriction base="dms:Text">
          <xsd:maxLength value="255"/>
        </xsd:restriction>
      </xsd:simpleType>
    </xsd:element>
    <xsd:element name="Authors" ma:index="28" nillable="true" ma:displayName="Authors" ma:list="UserInfo" ma:SharePointGroup="0" ma:internalName="Autho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Authors" ma:index="29" nillable="true" ma:displayName="DocAuthors" ma:internalName="DocAuthors">
      <xsd:simpleType>
        <xsd:restriction base="dms:Note">
          <xsd:maxLength value="255"/>
        </xsd:restriction>
      </xsd:simpleType>
    </xsd:element>
    <xsd:element name="DocumentDate" ma:index="30" nillable="true" ma:displayName="DocumentDate" ma:format="DateOnly" ma:internalName="DocumentDate">
      <xsd:simpleType>
        <xsd:restriction base="dms:DateTime"/>
      </xsd:simpleType>
    </xsd:element>
    <xsd:element name="PolicyExceptions" ma:index="31" nillable="true" ma:displayName="PolicyExceptions" ma:internalName="PolicyExceptions">
      <xsd:simpleType>
        <xsd:restriction base="dms:Note">
          <xsd:maxLength value="255"/>
        </xsd:restriction>
      </xsd:simpleType>
    </xsd:element>
    <xsd:element name="WBDocType" ma:index="32" nillable="true" ma:displayName="WBDocType" ma:internalName="WBDocType">
      <xsd:simpleType>
        <xsd:restriction base="dms:Text">
          <xsd:maxLength value="255"/>
        </xsd:restriction>
      </xsd:simpleType>
    </xsd:element>
    <xsd:element name="LockStatus" ma:index="33" nillable="true" ma:displayName="LockStatus" ma:internalName="LockStatus">
      <xsd:simpleType>
        <xsd:restriction base="dms:Text">
          <xsd:maxLength value="255"/>
        </xsd:restriction>
      </xsd:simpleType>
    </xsd:element>
    <xsd:element name="DocumentAction" ma:index="34" nillable="true" ma:displayName="DocumentAction" ma:internalName="DocumentAction">
      <xsd:simpleType>
        <xsd:restriction base="dms:Text">
          <xsd:maxLength value="255"/>
        </xsd:restriction>
      </xsd:simpleType>
    </xsd:element>
    <xsd:element name="IsHidden" ma:index="35" nillable="true" ma:displayName="IsHidden" ma:default="0" ma:internalName="IsHidden">
      <xsd:simpleType>
        <xsd:restriction base="dms:Boolean"/>
      </xsd:simpleType>
    </xsd:element>
    <xsd:element name="TemplateDocVersion" ma:index="36" nillable="true" ma:displayName="TemplateDocVersion" ma:internalName="TemplateDocVersion">
      <xsd:simpleType>
        <xsd:restriction base="dms:Text">
          <xsd:maxLength value="255"/>
        </xsd:restriction>
      </xsd:simpleType>
    </xsd:element>
    <xsd:element name="SequenceNum" ma:index="37" nillable="true" ma:displayName="SequenceNum" ma:internalName="SequenceNum">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ocAuthors xmlns="b99a068c-3844-4a16-badd-77233eea0529">000377165:Rafael Chelles Barroso:rbarroso@worldbank.org;</DocAuthors>
    <Authors xmlns="b99a068c-3844-4a16-badd-77233eea0529">
      <UserInfo>
        <DisplayName>i:0#.w|wb\wb377165</DisplayName>
        <AccountId>5896</AccountId>
        <AccountType/>
      </UserInfo>
      <UserInfo>
        <DisplayName/>
        <AccountId xsi:nil="true"/>
        <AccountType/>
      </UserInfo>
    </Authors>
    <Cordis_x0020_ID xmlns="b99a068c-3844-4a16-badd-77233eea0529">ITM00270</Cordis_x0020_ID>
    <Stage xmlns="b99a068c-3844-4a16-badd-77233eea0529">IMP</Stage>
    <PolicyExceptions xmlns="b99a068c-3844-4a16-badd-77233eea0529" xsi:nil="true"/>
    <IsTemplate xmlns="b99a068c-3844-4a16-badd-77233eea0529">false</IsTemplate>
    <HasUserUploaded xmlns="b99a068c-3844-4a16-badd-77233eea0529">true</HasUserUploaded>
    <DocumentDate xmlns="b99a068c-3844-4a16-badd-77233eea0529">2019-06-17T04:00:00+00:00</DocumentDate>
    <WBDocType xmlns="b99a068c-3844-4a16-badd-77233eea0529">Report</WBDocType>
    <SecurityClassification xmlns="b99a068c-3844-4a16-badd-77233eea0529">Public</SecurityClassification>
    <DeliverableID xmlns="b99a068c-3844-4a16-badd-77233eea0529">DLV0251343</DeliverableID>
    <ProjectID xmlns="b99a068c-3844-4a16-badd-77233eea0529">P164180</ProjectID>
    <Task_x0020_ID xmlns="b99a068c-3844-4a16-badd-77233eea0529" xsi:nil="true"/>
    <Package xmlns="b99a068c-3844-4a16-badd-77233eea0529">true</Package>
    <TemplateDocVersion xmlns="b99a068c-3844-4a16-badd-77233eea0529" xsi:nil="true"/>
    <SequenceNum xmlns="b99a068c-3844-4a16-badd-77233eea0529" xsi:nil="true"/>
    <RefreshDate xmlns="b99a068c-3844-4a16-badd-77233eea0529" xsi:nil="true"/>
    <IsMandatory xmlns="b99a068c-3844-4a16-badd-77233eea0529">false</IsMandatory>
    <SortOrder xmlns="b99a068c-3844-4a16-badd-77233eea0529" xsi:nil="true"/>
    <IsHidden xmlns="b99a068c-3844-4a16-badd-77233eea0529">false</IsHidden>
    <AttachmentType xmlns="b99a068c-3844-4a16-badd-77233eea0529" xsi:nil="true"/>
    <DisclosedVersion xmlns="b99a068c-3844-4a16-badd-77233eea0529" xsi:nil="true"/>
    <DocumentType xmlns="b99a068c-3844-4a16-badd-77233eea0529" xsi:nil="true"/>
    <ApprovedVersion xmlns="b99a068c-3844-4a16-badd-77233eea0529" xsi:nil="true"/>
    <DocStatus xmlns="b99a068c-3844-4a16-badd-77233eea0529" xsi:nil="true"/>
    <DependentDoc xmlns="b99a068c-3844-4a16-badd-77233eea0529" xsi:nil="true"/>
    <SAPStage xmlns="b99a068c-3844-4a16-badd-77233eea0529" xsi:nil="true"/>
    <LockStatus xmlns="b99a068c-3844-4a16-badd-77233eea0529" xsi:nil="true"/>
    <Abstract xmlns="b99a068c-3844-4a16-badd-77233eea0529" xsi:nil="true"/>
    <DocumentAction xmlns="b99a068c-3844-4a16-badd-77233eea0529" xsi:nil="true"/>
  </documentManagement>
</p:properties>
</file>

<file path=customXml/item5.xml><?xml version="1.0" encoding="utf-8"?>
<?mso-contentType ?>
<SharedContentType xmlns="Microsoft.SharePoint.Taxonomy.ContentTypeSync" SourceId="a4117c50-33ca-4e49-9a5c-4b51d291b3ff" ContentTypeId="0x01010054E0FEF4951F9D49A6F48A35419983C7" PreviousValue="false"/>
</file>

<file path=customXml/itemProps1.xml><?xml version="1.0" encoding="utf-8"?>
<ds:datastoreItem xmlns:ds="http://schemas.openxmlformats.org/officeDocument/2006/customXml" ds:itemID="{99C618A7-8C2A-4AC2-BB86-7EB170B31AF6}">
  <ds:schemaRefs>
    <ds:schemaRef ds:uri="http://schemas.openxmlformats.org/officeDocument/2006/bibliography"/>
  </ds:schemaRefs>
</ds:datastoreItem>
</file>

<file path=customXml/itemProps2.xml><?xml version="1.0" encoding="utf-8"?>
<ds:datastoreItem xmlns:ds="http://schemas.openxmlformats.org/officeDocument/2006/customXml" ds:itemID="{DDC3E4E2-96FB-4F5A-ACD2-8D67D68A1049}"/>
</file>

<file path=customXml/itemProps3.xml><?xml version="1.0" encoding="utf-8"?>
<ds:datastoreItem xmlns:ds="http://schemas.openxmlformats.org/officeDocument/2006/customXml" ds:itemID="{0E0711A3-66B7-447C-A7E1-0C656B75E823}"/>
</file>

<file path=customXml/itemProps4.xml><?xml version="1.0" encoding="utf-8"?>
<ds:datastoreItem xmlns:ds="http://schemas.openxmlformats.org/officeDocument/2006/customXml" ds:itemID="{17D27B9E-6550-4BC7-8227-525495607C1A}"/>
</file>

<file path=customXml/itemProps5.xml><?xml version="1.0" encoding="utf-8"?>
<ds:datastoreItem xmlns:ds="http://schemas.openxmlformats.org/officeDocument/2006/customXml" ds:itemID="{B1B9ED37-C3F3-41A8-A431-E523D9A1296C}"/>
</file>

<file path=docProps/app.xml><?xml version="1.0" encoding="utf-8"?>
<Properties xmlns="http://schemas.openxmlformats.org/officeDocument/2006/extended-properties" xmlns:vt="http://schemas.openxmlformats.org/officeDocument/2006/docPropsVTypes">
  <Template>Normal.dotm</Template>
  <TotalTime>0</TotalTime>
  <Pages>14</Pages>
  <Words>5931</Words>
  <Characters>33813</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STP CEM Note 7 - Land Governance </dc:title>
  <dc:creator>imoreno@worldbank.org;camilo.pardo96@gmail.com</dc:creator>
  <cp:lastModifiedBy>Rafael Chelles Barroso</cp:lastModifiedBy>
  <cp:revision>3</cp:revision>
  <dcterms:created xsi:type="dcterms:W3CDTF">2019-06-04T17:09:00Z</dcterms:created>
  <dcterms:modified xsi:type="dcterms:W3CDTF">2019-06-04T20:56:00Z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0x01010054E0FEF4951F9D49A6F48A35419983C700B5AA65FDAE8E51458780F093348E1907</vt:lpwstr>
  </property>
  <property fmtid="{D5CDD505-2E9C-101B-9397-08002B2CF9AE}" pid="5" name="RatedBy">
    <vt:lpwstr/>
  </property>
  <property fmtid="{D5CDD505-2E9C-101B-9397-08002B2CF9AE}" pid="7" name="LikedBy">
    <vt:lpwstr/>
  </property>
</Properties>
</file>