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footer7.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6.xml" ContentType="application/vnd.openxmlformats-officedocument.drawingml.chart+xml"/>
  <Override PartName="/word/theme/themeOverride16.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B86" w:rsidRPr="00E70618" w:rsidRDefault="00716A7B" w:rsidP="00E70618">
      <w:pPr>
        <w:jc w:val="right"/>
        <w:rPr>
          <w:b/>
          <w:kern w:val="32"/>
          <w:sz w:val="30"/>
          <w:szCs w:val="30"/>
        </w:rPr>
      </w:pPr>
      <w:bookmarkStart w:id="0" w:name="_Toc103748502"/>
      <w:bookmarkStart w:id="1" w:name="_Toc103750559"/>
      <w:bookmarkStart w:id="2" w:name="_GoBack"/>
      <w:bookmarkEnd w:id="2"/>
      <w:r>
        <w:rPr>
          <w:b/>
          <w:kern w:val="32"/>
          <w:sz w:val="30"/>
          <w:szCs w:val="30"/>
        </w:rPr>
        <w:t xml:space="preserve"> </w:t>
      </w:r>
      <w:bookmarkEnd w:id="0"/>
      <w:bookmarkEnd w:id="1"/>
    </w:p>
    <w:p w:rsidR="00E87B86" w:rsidRPr="00177185" w:rsidRDefault="00E87B86" w:rsidP="00E87B86">
      <w:pPr>
        <w:rPr>
          <w:b/>
        </w:rPr>
      </w:pPr>
      <w:r w:rsidRPr="00E74522">
        <w:rPr>
          <w:b/>
        </w:rPr>
        <w:t xml:space="preserve">Report No. </w:t>
      </w:r>
      <w:r w:rsidR="00177185" w:rsidRPr="00E74522">
        <w:rPr>
          <w:rFonts w:ascii="Helv" w:hAnsi="Helv" w:cs="Helv"/>
          <w:b/>
          <w:color w:val="000000"/>
          <w:sz w:val="20"/>
          <w:szCs w:val="20"/>
        </w:rPr>
        <w:t>76</w:t>
      </w:r>
      <w:r w:rsidR="00E74522" w:rsidRPr="00E74522">
        <w:rPr>
          <w:rFonts w:ascii="Helv" w:hAnsi="Helv" w:cs="Helv"/>
          <w:b/>
          <w:color w:val="000000"/>
          <w:sz w:val="20"/>
          <w:szCs w:val="20"/>
        </w:rPr>
        <w:t>325</w:t>
      </w:r>
      <w:r w:rsidR="00177185" w:rsidRPr="00E74522">
        <w:rPr>
          <w:rFonts w:ascii="Helv" w:hAnsi="Helv" w:cs="Helv"/>
          <w:b/>
          <w:color w:val="000000"/>
          <w:sz w:val="20"/>
          <w:szCs w:val="20"/>
        </w:rPr>
        <w:t>-</w:t>
      </w:r>
      <w:r w:rsidR="00E74522" w:rsidRPr="00E74522">
        <w:rPr>
          <w:rFonts w:ascii="Helv" w:hAnsi="Helv" w:cs="Helv"/>
          <w:b/>
          <w:color w:val="000000"/>
          <w:sz w:val="20"/>
          <w:szCs w:val="20"/>
        </w:rPr>
        <w:t>BY</w:t>
      </w:r>
    </w:p>
    <w:p w:rsidR="009456C3" w:rsidRDefault="009456C3" w:rsidP="00617FF9">
      <w:pPr>
        <w:pStyle w:val="BodyText"/>
        <w:jc w:val="left"/>
        <w:rPr>
          <w:b/>
        </w:rPr>
      </w:pPr>
    </w:p>
    <w:p w:rsidR="00E87B86" w:rsidRDefault="00E87B86" w:rsidP="00E87B86">
      <w:pPr>
        <w:rPr>
          <w:b/>
          <w:sz w:val="28"/>
        </w:rPr>
      </w:pPr>
    </w:p>
    <w:p w:rsidR="00E87B86" w:rsidRPr="00632F16" w:rsidRDefault="00E87B86" w:rsidP="00E87B86">
      <w:pPr>
        <w:rPr>
          <w:b/>
          <w:sz w:val="28"/>
        </w:rPr>
      </w:pPr>
    </w:p>
    <w:p w:rsidR="00177185" w:rsidRPr="00910829" w:rsidRDefault="00632AB6" w:rsidP="00177185">
      <w:pPr>
        <w:suppressAutoHyphens/>
        <w:rPr>
          <w:bCs/>
          <w:sz w:val="22"/>
          <w:szCs w:val="22"/>
        </w:rPr>
      </w:pPr>
      <w:r>
        <w:rPr>
          <w:rFonts w:ascii="Helv" w:hAnsi="Helv" w:cs="Helv"/>
          <w:color w:val="000000"/>
          <w:sz w:val="40"/>
          <w:szCs w:val="40"/>
        </w:rPr>
        <w:t>Belarus: Country Gender Profile</w:t>
      </w:r>
      <w:r w:rsidR="008632E1" w:rsidRPr="008632E1">
        <w:rPr>
          <w:rFonts w:ascii="Helv" w:hAnsi="Helv" w:cs="Helv"/>
          <w:color w:val="000000"/>
          <w:sz w:val="40"/>
          <w:szCs w:val="40"/>
        </w:rPr>
        <w:t xml:space="preserve"> </w:t>
      </w:r>
    </w:p>
    <w:p w:rsidR="00E87B86" w:rsidRPr="00E87B86" w:rsidRDefault="00E87B86" w:rsidP="00E87B86">
      <w:pPr>
        <w:pStyle w:val="BodyText"/>
        <w:rPr>
          <w:rFonts w:ascii="Helv" w:hAnsi="Helv" w:cs="Helv"/>
          <w:color w:val="000000"/>
          <w:sz w:val="40"/>
          <w:szCs w:val="40"/>
        </w:rPr>
      </w:pPr>
    </w:p>
    <w:p w:rsidR="00E87B86" w:rsidRDefault="00E87B86" w:rsidP="00E87B86">
      <w:pPr>
        <w:pStyle w:val="BodyText"/>
        <w:rPr>
          <w:b/>
          <w:i/>
        </w:rPr>
      </w:pPr>
    </w:p>
    <w:p w:rsidR="00F54A82" w:rsidRDefault="00F54A82" w:rsidP="00E87B86">
      <w:pPr>
        <w:pStyle w:val="BodyText"/>
        <w:rPr>
          <w:b/>
          <w:i/>
        </w:rPr>
      </w:pPr>
    </w:p>
    <w:p w:rsidR="00E87B86" w:rsidRDefault="00E87B86" w:rsidP="00E87B86">
      <w:pPr>
        <w:pStyle w:val="BodyText"/>
        <w:rPr>
          <w:b/>
          <w:i/>
        </w:rPr>
      </w:pPr>
    </w:p>
    <w:p w:rsidR="00E87B86" w:rsidRDefault="00E87B86" w:rsidP="00E87B86">
      <w:pPr>
        <w:pStyle w:val="BodyText"/>
        <w:rPr>
          <w:b/>
          <w:i/>
        </w:rPr>
      </w:pPr>
    </w:p>
    <w:p w:rsidR="00E87B86" w:rsidRDefault="00E87B86" w:rsidP="00E87B86">
      <w:pPr>
        <w:pStyle w:val="BodyText"/>
        <w:rPr>
          <w:b/>
          <w:u w:val="single"/>
        </w:rPr>
      </w:pPr>
    </w:p>
    <w:p w:rsidR="00E87B86" w:rsidRDefault="00E87B86" w:rsidP="00E87B86">
      <w:pPr>
        <w:pStyle w:val="BodyText"/>
        <w:rPr>
          <w:b/>
          <w:u w:val="single"/>
        </w:rPr>
      </w:pPr>
    </w:p>
    <w:p w:rsidR="00E87B86" w:rsidRDefault="007175A5" w:rsidP="00E87B86">
      <w:pPr>
        <w:pStyle w:val="BodyText"/>
        <w:rPr>
          <w:b/>
        </w:rPr>
      </w:pPr>
      <w:r>
        <w:rPr>
          <w:b/>
        </w:rPr>
        <w:t xml:space="preserve">March </w:t>
      </w:r>
      <w:r w:rsidR="002F3184">
        <w:rPr>
          <w:b/>
        </w:rPr>
        <w:t>3</w:t>
      </w:r>
      <w:r w:rsidR="00D863C5">
        <w:rPr>
          <w:b/>
        </w:rPr>
        <w:t>, 20</w:t>
      </w:r>
      <w:r w:rsidR="00177185">
        <w:rPr>
          <w:b/>
        </w:rPr>
        <w:t>1</w:t>
      </w:r>
      <w:r w:rsidR="0098544E">
        <w:rPr>
          <w:b/>
        </w:rPr>
        <w:t>4</w:t>
      </w:r>
    </w:p>
    <w:p w:rsidR="00E87B86" w:rsidRDefault="00E87B86" w:rsidP="00E87B86">
      <w:pPr>
        <w:pStyle w:val="BodyText"/>
        <w:rPr>
          <w:b/>
        </w:rPr>
      </w:pPr>
    </w:p>
    <w:p w:rsidR="00E87B86" w:rsidRDefault="00E87B86" w:rsidP="00E87B86">
      <w:pPr>
        <w:pStyle w:val="BodyText"/>
        <w:rPr>
          <w:b/>
        </w:rPr>
      </w:pPr>
    </w:p>
    <w:p w:rsidR="00E87B86" w:rsidRDefault="00E87B86" w:rsidP="00E87B86">
      <w:pPr>
        <w:pStyle w:val="BodyText"/>
        <w:rPr>
          <w:b/>
        </w:rPr>
      </w:pPr>
    </w:p>
    <w:p w:rsidR="00E87B86" w:rsidRDefault="00E87B86" w:rsidP="00E87B86">
      <w:pPr>
        <w:rPr>
          <w:b/>
          <w:sz w:val="28"/>
        </w:rPr>
      </w:pPr>
      <w:r>
        <w:rPr>
          <w:b/>
          <w:sz w:val="28"/>
        </w:rPr>
        <w:t>Poverty Reduction and Economic Management Unit</w:t>
      </w:r>
    </w:p>
    <w:p w:rsidR="00E87B86" w:rsidRDefault="00E87B86" w:rsidP="00E87B86">
      <w:pPr>
        <w:rPr>
          <w:b/>
          <w:sz w:val="28"/>
        </w:rPr>
      </w:pPr>
      <w:r>
        <w:rPr>
          <w:b/>
          <w:sz w:val="28"/>
        </w:rPr>
        <w:t>Europe and Central Asia Region</w:t>
      </w:r>
    </w:p>
    <w:p w:rsidR="00E87B86" w:rsidRDefault="00E87B86" w:rsidP="00E87B86">
      <w:pPr>
        <w:pStyle w:val="BodyText"/>
      </w:pPr>
    </w:p>
    <w:p w:rsidR="00E87B86" w:rsidRDefault="005A6047" w:rsidP="00E87B86">
      <w:pPr>
        <w:rPr>
          <w:rFonts w:ascii="Arial" w:hAnsi="Arial"/>
          <w:b/>
          <w:sz w:val="17"/>
        </w:rPr>
      </w:pPr>
      <w:r>
        <w:rPr>
          <w:rFonts w:ascii="Arial" w:hAnsi="Arial"/>
          <w:b/>
          <w:noProof/>
          <w:sz w:val="17"/>
        </w:rPr>
        <w:drawing>
          <wp:inline distT="0" distB="0" distL="0" distR="0" wp14:anchorId="3FBBF43F" wp14:editId="2895DF24">
            <wp:extent cx="695325" cy="695325"/>
            <wp:effectExtent l="0" t="0" r="9525"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E87B86" w:rsidRDefault="00E87B86" w:rsidP="00E87B86">
      <w:pPr>
        <w:rPr>
          <w:b/>
        </w:rPr>
      </w:pPr>
    </w:p>
    <w:p w:rsidR="00E87B86" w:rsidRDefault="00E87B86" w:rsidP="00E87B86">
      <w:pPr>
        <w:jc w:val="both"/>
        <w:rPr>
          <w:sz w:val="22"/>
        </w:rPr>
      </w:pPr>
    </w:p>
    <w:p w:rsidR="00E87B86" w:rsidRDefault="00E87B86" w:rsidP="00E87B86">
      <w:pPr>
        <w:jc w:val="both"/>
        <w:rPr>
          <w:sz w:val="22"/>
        </w:rPr>
      </w:pPr>
    </w:p>
    <w:p w:rsidR="00E87B86" w:rsidRDefault="00E87B86" w:rsidP="00E87B86">
      <w:pPr>
        <w:jc w:val="both"/>
        <w:rPr>
          <w:sz w:val="22"/>
        </w:rPr>
      </w:pPr>
    </w:p>
    <w:p w:rsidR="00E87B86" w:rsidRDefault="00E87B86" w:rsidP="00E87B86">
      <w:pPr>
        <w:jc w:val="both"/>
        <w:rPr>
          <w:sz w:val="22"/>
        </w:rPr>
      </w:pPr>
    </w:p>
    <w:p w:rsidR="00E87B86" w:rsidRDefault="00E87B86" w:rsidP="00E87B86">
      <w:pPr>
        <w:jc w:val="both"/>
        <w:rPr>
          <w:sz w:val="22"/>
        </w:rPr>
      </w:pPr>
    </w:p>
    <w:p w:rsidR="00E87B86" w:rsidRDefault="00E87B86" w:rsidP="00E87B86">
      <w:pPr>
        <w:jc w:val="both"/>
        <w:rPr>
          <w:sz w:val="22"/>
        </w:rPr>
      </w:pPr>
    </w:p>
    <w:p w:rsidR="00E87B86" w:rsidRDefault="00E87B86" w:rsidP="00E87B86">
      <w:pPr>
        <w:jc w:val="both"/>
        <w:rPr>
          <w:sz w:val="22"/>
        </w:rPr>
      </w:pPr>
    </w:p>
    <w:p w:rsidR="00E87B86" w:rsidRDefault="00E87B86" w:rsidP="00E87B86">
      <w:pPr>
        <w:jc w:val="both"/>
        <w:rPr>
          <w:sz w:val="22"/>
        </w:rPr>
      </w:pPr>
    </w:p>
    <w:p w:rsidR="00E87B86" w:rsidRDefault="00E87B86" w:rsidP="00E87B86">
      <w:pPr>
        <w:jc w:val="both"/>
        <w:rPr>
          <w:sz w:val="22"/>
        </w:rPr>
      </w:pPr>
    </w:p>
    <w:p w:rsidR="009456C3" w:rsidRDefault="009456C3" w:rsidP="00E87B86">
      <w:pPr>
        <w:jc w:val="both"/>
        <w:rPr>
          <w:sz w:val="22"/>
        </w:rPr>
      </w:pPr>
    </w:p>
    <w:p w:rsidR="009456C3" w:rsidRDefault="009456C3" w:rsidP="00E87B86">
      <w:pPr>
        <w:jc w:val="both"/>
        <w:rPr>
          <w:sz w:val="22"/>
        </w:rPr>
      </w:pPr>
    </w:p>
    <w:p w:rsidR="00E87B86" w:rsidRDefault="00E87B86" w:rsidP="00E87B86">
      <w:pPr>
        <w:jc w:val="both"/>
        <w:rPr>
          <w:sz w:val="22"/>
        </w:rPr>
      </w:pPr>
    </w:p>
    <w:p w:rsidR="00E87B86" w:rsidRDefault="00E87B86" w:rsidP="00E87B86">
      <w:pPr>
        <w:jc w:val="both"/>
        <w:rPr>
          <w:sz w:val="22"/>
        </w:rPr>
      </w:pPr>
    </w:p>
    <w:p w:rsidR="00E87B86" w:rsidRDefault="00E87B86" w:rsidP="00E87B86">
      <w:pPr>
        <w:jc w:val="both"/>
        <w:rPr>
          <w:b/>
          <w:bCs/>
          <w:sz w:val="22"/>
        </w:rPr>
      </w:pPr>
      <w:r>
        <w:rPr>
          <w:b/>
          <w:bCs/>
          <w:sz w:val="22"/>
        </w:rPr>
        <w:t>Document of the World Bank</w:t>
      </w:r>
    </w:p>
    <w:p w:rsidR="00E87B86" w:rsidRDefault="004356FE" w:rsidP="00E87B86">
      <w:pPr>
        <w:rPr>
          <w:lang w:val="en-GB"/>
        </w:rPr>
      </w:pPr>
      <w:r>
        <w:rPr>
          <w:lang w:val="en-GB"/>
        </w:rPr>
        <w:br w:type="page"/>
      </w:r>
    </w:p>
    <w:p w:rsidR="0095554E" w:rsidRPr="008849B8" w:rsidRDefault="0095554E" w:rsidP="0095554E">
      <w:pPr>
        <w:jc w:val="center"/>
        <w:rPr>
          <w:b/>
          <w:bCs/>
        </w:rPr>
      </w:pPr>
      <w:r w:rsidRPr="008849B8">
        <w:rPr>
          <w:b/>
          <w:bCs/>
        </w:rPr>
        <w:lastRenderedPageBreak/>
        <w:t>CURRENCY AND EQUIVALENT UNITS</w:t>
      </w:r>
    </w:p>
    <w:p w:rsidR="0095554E" w:rsidRPr="00F668AE" w:rsidRDefault="0095554E" w:rsidP="0095554E">
      <w:pPr>
        <w:jc w:val="center"/>
        <w:rPr>
          <w:strike/>
          <w:sz w:val="22"/>
          <w:szCs w:val="22"/>
          <w:lang w:val="en-GB"/>
        </w:rPr>
      </w:pPr>
      <w:r w:rsidRPr="00F668AE">
        <w:rPr>
          <w:sz w:val="22"/>
          <w:szCs w:val="22"/>
          <w:lang w:val="en-GB"/>
        </w:rPr>
        <w:t xml:space="preserve">Exchange Rate Effective as of </w:t>
      </w:r>
      <w:r w:rsidR="00694AEC">
        <w:rPr>
          <w:sz w:val="22"/>
          <w:szCs w:val="22"/>
          <w:lang w:val="en-GB"/>
        </w:rPr>
        <w:t>December</w:t>
      </w:r>
      <w:r w:rsidRPr="00F668AE">
        <w:rPr>
          <w:sz w:val="22"/>
          <w:szCs w:val="22"/>
          <w:lang w:val="en-GB"/>
        </w:rPr>
        <w:t xml:space="preserve"> </w:t>
      </w:r>
      <w:r w:rsidR="00694AEC">
        <w:rPr>
          <w:sz w:val="22"/>
          <w:szCs w:val="22"/>
          <w:lang w:val="en-GB"/>
        </w:rPr>
        <w:t>24</w:t>
      </w:r>
      <w:r w:rsidRPr="00F668AE">
        <w:rPr>
          <w:sz w:val="22"/>
          <w:szCs w:val="22"/>
          <w:lang w:val="en-GB"/>
        </w:rPr>
        <w:t>, 20</w:t>
      </w:r>
      <w:r w:rsidR="00694AEC">
        <w:rPr>
          <w:sz w:val="22"/>
          <w:szCs w:val="22"/>
          <w:lang w:val="en-GB"/>
        </w:rPr>
        <w:t>13</w:t>
      </w:r>
    </w:p>
    <w:p w:rsidR="0095554E" w:rsidRPr="00F668AE" w:rsidRDefault="0095554E" w:rsidP="0095554E">
      <w:pPr>
        <w:jc w:val="center"/>
        <w:rPr>
          <w:sz w:val="22"/>
          <w:szCs w:val="22"/>
          <w:lang w:val="en-GB"/>
        </w:rPr>
      </w:pPr>
      <w:r w:rsidRPr="00F668AE">
        <w:rPr>
          <w:sz w:val="22"/>
          <w:szCs w:val="22"/>
          <w:lang w:val="en-GB"/>
        </w:rPr>
        <w:t xml:space="preserve">Currency Unit = </w:t>
      </w:r>
      <w:r w:rsidR="00ED791C">
        <w:rPr>
          <w:sz w:val="22"/>
          <w:szCs w:val="22"/>
          <w:lang w:val="en-GB"/>
        </w:rPr>
        <w:t xml:space="preserve">Belarusian </w:t>
      </w:r>
      <w:r w:rsidR="00694AEC">
        <w:rPr>
          <w:sz w:val="22"/>
          <w:szCs w:val="22"/>
          <w:lang w:val="en-GB"/>
        </w:rPr>
        <w:t>Ruble</w:t>
      </w:r>
    </w:p>
    <w:p w:rsidR="0095554E" w:rsidRPr="00F668AE" w:rsidRDefault="0095554E" w:rsidP="00E0049B">
      <w:pPr>
        <w:spacing w:after="120"/>
        <w:jc w:val="center"/>
        <w:rPr>
          <w:sz w:val="22"/>
          <w:szCs w:val="22"/>
          <w:lang w:val="en-GB"/>
        </w:rPr>
      </w:pPr>
      <w:r w:rsidRPr="00F668AE">
        <w:rPr>
          <w:sz w:val="22"/>
          <w:szCs w:val="22"/>
          <w:lang w:val="en-GB"/>
        </w:rPr>
        <w:t xml:space="preserve">US$1 = </w:t>
      </w:r>
      <w:r w:rsidR="00694AEC">
        <w:rPr>
          <w:sz w:val="22"/>
          <w:szCs w:val="22"/>
          <w:lang w:val="en-GB"/>
        </w:rPr>
        <w:t>9514.74 BYR</w:t>
      </w:r>
    </w:p>
    <w:p w:rsidR="0095554E" w:rsidRPr="008849B8" w:rsidRDefault="0095554E" w:rsidP="00F668AE">
      <w:pPr>
        <w:widowControl w:val="0"/>
        <w:jc w:val="center"/>
        <w:rPr>
          <w:b/>
          <w:bCs/>
        </w:rPr>
      </w:pPr>
      <w:r w:rsidRPr="008849B8">
        <w:rPr>
          <w:b/>
          <w:bCs/>
        </w:rPr>
        <w:t>FISCAL YEAR</w:t>
      </w:r>
    </w:p>
    <w:p w:rsidR="0095554E" w:rsidRPr="00F668AE" w:rsidRDefault="0095554E" w:rsidP="00F668AE">
      <w:pPr>
        <w:widowControl w:val="0"/>
        <w:jc w:val="center"/>
        <w:rPr>
          <w:sz w:val="22"/>
          <w:szCs w:val="22"/>
        </w:rPr>
      </w:pPr>
      <w:r w:rsidRPr="00F668AE">
        <w:rPr>
          <w:sz w:val="22"/>
          <w:szCs w:val="22"/>
        </w:rPr>
        <w:t>January 1 – December 31</w:t>
      </w:r>
    </w:p>
    <w:p w:rsidR="00FE4443" w:rsidRDefault="00FE4443" w:rsidP="00E0049B">
      <w:pPr>
        <w:spacing w:after="120"/>
        <w:jc w:val="center"/>
        <w:rPr>
          <w:b/>
          <w:bCs/>
        </w:rPr>
      </w:pPr>
    </w:p>
    <w:p w:rsidR="0095554E" w:rsidRPr="008849B8" w:rsidRDefault="0095554E" w:rsidP="00E0049B">
      <w:pPr>
        <w:spacing w:after="120"/>
        <w:jc w:val="center"/>
        <w:rPr>
          <w:b/>
          <w:bCs/>
        </w:rPr>
      </w:pPr>
      <w:r w:rsidRPr="008849B8">
        <w:rPr>
          <w:b/>
          <w:bCs/>
        </w:rPr>
        <w:t>ACRONYMS AND ABBREVIATION</w:t>
      </w:r>
      <w:r w:rsidR="00BE74B0">
        <w:rPr>
          <w:b/>
          <w:bCs/>
        </w:rPr>
        <w:t>S</w:t>
      </w:r>
    </w:p>
    <w:p w:rsidR="00F43F69" w:rsidRDefault="00F43F69" w:rsidP="0095554E">
      <w:pPr>
        <w:pStyle w:val="BodyText2"/>
        <w:ind w:left="720"/>
        <w:jc w:val="left"/>
        <w:rPr>
          <w:bCs/>
          <w:iCs/>
          <w:sz w:val="22"/>
          <w:szCs w:val="22"/>
        </w:rPr>
      </w:pPr>
    </w:p>
    <w:p w:rsidR="00F43F69" w:rsidRPr="0072221F" w:rsidRDefault="00F43F69" w:rsidP="00466BAA">
      <w:pPr>
        <w:pStyle w:val="BodyText2"/>
        <w:ind w:left="720"/>
        <w:rPr>
          <w:bCs/>
          <w:iCs/>
          <w:sz w:val="22"/>
          <w:szCs w:val="22"/>
        </w:rPr>
      </w:pPr>
      <w:r w:rsidRPr="0072221F">
        <w:rPr>
          <w:bCs/>
          <w:iCs/>
          <w:sz w:val="22"/>
          <w:szCs w:val="22"/>
        </w:rPr>
        <w:t>BEEPS</w:t>
      </w:r>
      <w:r w:rsidR="00694AEC">
        <w:rPr>
          <w:bCs/>
          <w:iCs/>
          <w:sz w:val="22"/>
          <w:szCs w:val="22"/>
        </w:rPr>
        <w:tab/>
      </w:r>
      <w:r w:rsidR="00694AEC">
        <w:rPr>
          <w:bCs/>
          <w:iCs/>
          <w:sz w:val="22"/>
          <w:szCs w:val="22"/>
        </w:rPr>
        <w:tab/>
      </w:r>
      <w:r w:rsidR="00466BAA" w:rsidRPr="0072221F">
        <w:rPr>
          <w:bCs/>
          <w:iCs/>
          <w:sz w:val="22"/>
          <w:szCs w:val="22"/>
        </w:rPr>
        <w:t>Business Environment and Enterprise Performance Survey</w:t>
      </w:r>
    </w:p>
    <w:p w:rsidR="0072221F" w:rsidRDefault="0072221F" w:rsidP="0095554E">
      <w:pPr>
        <w:pStyle w:val="BodyText2"/>
        <w:ind w:left="720"/>
        <w:jc w:val="left"/>
        <w:rPr>
          <w:bCs/>
          <w:iCs/>
          <w:color w:val="FF0000"/>
          <w:sz w:val="22"/>
          <w:szCs w:val="22"/>
        </w:rPr>
      </w:pPr>
      <w:r w:rsidRPr="00431F7C">
        <w:t>CEDAW</w:t>
      </w:r>
      <w:r>
        <w:tab/>
      </w:r>
      <w:r>
        <w:tab/>
      </w:r>
      <w:r w:rsidRPr="0072221F">
        <w:rPr>
          <w:sz w:val="22"/>
          <w:szCs w:val="22"/>
        </w:rPr>
        <w:t>Committee on the Elimination of Discrimination against Women</w:t>
      </w:r>
    </w:p>
    <w:p w:rsidR="00F43F69" w:rsidRPr="00632AB6" w:rsidRDefault="0072221F" w:rsidP="0095554E">
      <w:pPr>
        <w:pStyle w:val="BodyText2"/>
        <w:ind w:left="720"/>
        <w:jc w:val="left"/>
        <w:rPr>
          <w:bCs/>
          <w:iCs/>
          <w:color w:val="FF0000"/>
          <w:sz w:val="22"/>
          <w:szCs w:val="22"/>
        </w:rPr>
      </w:pPr>
      <w:r w:rsidRPr="0072221F">
        <w:rPr>
          <w:sz w:val="22"/>
          <w:szCs w:val="22"/>
        </w:rPr>
        <w:t>EBRD</w:t>
      </w:r>
      <w:r w:rsidR="00F43F69" w:rsidRPr="00632AB6">
        <w:rPr>
          <w:bCs/>
          <w:iCs/>
          <w:color w:val="FF0000"/>
          <w:sz w:val="22"/>
          <w:szCs w:val="22"/>
        </w:rPr>
        <w:t xml:space="preserve"> </w:t>
      </w:r>
      <w:r w:rsidR="00F43F69" w:rsidRPr="00632AB6">
        <w:rPr>
          <w:bCs/>
          <w:iCs/>
          <w:color w:val="FF0000"/>
          <w:sz w:val="22"/>
          <w:szCs w:val="22"/>
        </w:rPr>
        <w:tab/>
      </w:r>
      <w:r w:rsidR="00F43F69" w:rsidRPr="00632AB6">
        <w:rPr>
          <w:bCs/>
          <w:iCs/>
          <w:color w:val="FF0000"/>
          <w:sz w:val="22"/>
          <w:szCs w:val="22"/>
        </w:rPr>
        <w:tab/>
      </w:r>
      <w:r w:rsidRPr="0072221F">
        <w:rPr>
          <w:sz w:val="22"/>
          <w:szCs w:val="22"/>
        </w:rPr>
        <w:t>European Bank for Reconstruction and Development</w:t>
      </w:r>
    </w:p>
    <w:p w:rsidR="0095554E" w:rsidRPr="0072221F" w:rsidRDefault="0095554E" w:rsidP="0095554E">
      <w:pPr>
        <w:pStyle w:val="BodyText2"/>
        <w:ind w:left="720"/>
        <w:jc w:val="left"/>
        <w:rPr>
          <w:bCs/>
          <w:iCs/>
          <w:sz w:val="22"/>
          <w:szCs w:val="22"/>
        </w:rPr>
      </w:pPr>
      <w:r w:rsidRPr="0072221F">
        <w:rPr>
          <w:bCs/>
          <w:iCs/>
          <w:sz w:val="22"/>
          <w:szCs w:val="22"/>
        </w:rPr>
        <w:t>ECA</w:t>
      </w:r>
      <w:r w:rsidRPr="0072221F">
        <w:rPr>
          <w:bCs/>
          <w:iCs/>
          <w:sz w:val="22"/>
          <w:szCs w:val="22"/>
        </w:rPr>
        <w:tab/>
      </w:r>
      <w:r w:rsidRPr="0072221F">
        <w:rPr>
          <w:bCs/>
          <w:iCs/>
          <w:sz w:val="22"/>
          <w:szCs w:val="22"/>
        </w:rPr>
        <w:tab/>
      </w:r>
      <w:r w:rsidRPr="0072221F">
        <w:rPr>
          <w:bCs/>
          <w:iCs/>
          <w:sz w:val="22"/>
          <w:szCs w:val="22"/>
        </w:rPr>
        <w:tab/>
        <w:t>Europe and Central Asia</w:t>
      </w:r>
    </w:p>
    <w:p w:rsidR="0072221F" w:rsidRDefault="0072221F" w:rsidP="00F43F69">
      <w:pPr>
        <w:pStyle w:val="BodyText2"/>
        <w:ind w:left="720"/>
        <w:jc w:val="left"/>
        <w:rPr>
          <w:bCs/>
          <w:iCs/>
          <w:color w:val="FF0000"/>
          <w:sz w:val="22"/>
          <w:szCs w:val="22"/>
        </w:rPr>
      </w:pPr>
      <w:r w:rsidRPr="0072221F">
        <w:rPr>
          <w:sz w:val="22"/>
          <w:szCs w:val="22"/>
        </w:rPr>
        <w:t>EVS</w:t>
      </w:r>
      <w:r w:rsidR="0095554E" w:rsidRPr="00632AB6">
        <w:rPr>
          <w:bCs/>
          <w:iCs/>
          <w:color w:val="FF0000"/>
          <w:sz w:val="22"/>
          <w:szCs w:val="22"/>
        </w:rPr>
        <w:tab/>
      </w:r>
      <w:r w:rsidR="0095554E" w:rsidRPr="00632AB6">
        <w:rPr>
          <w:bCs/>
          <w:iCs/>
          <w:color w:val="FF0000"/>
          <w:sz w:val="22"/>
          <w:szCs w:val="22"/>
        </w:rPr>
        <w:tab/>
      </w:r>
      <w:r w:rsidR="0095554E" w:rsidRPr="00632AB6">
        <w:rPr>
          <w:bCs/>
          <w:iCs/>
          <w:color w:val="FF0000"/>
          <w:sz w:val="22"/>
          <w:szCs w:val="22"/>
        </w:rPr>
        <w:tab/>
      </w:r>
      <w:r w:rsidRPr="0072221F">
        <w:rPr>
          <w:sz w:val="22"/>
          <w:szCs w:val="22"/>
        </w:rPr>
        <w:t>European Values Survey</w:t>
      </w:r>
      <w:r w:rsidRPr="00632AB6">
        <w:rPr>
          <w:bCs/>
          <w:iCs/>
          <w:color w:val="FF0000"/>
          <w:sz w:val="22"/>
          <w:szCs w:val="22"/>
        </w:rPr>
        <w:t xml:space="preserve"> </w:t>
      </w:r>
    </w:p>
    <w:p w:rsidR="0072221F" w:rsidRDefault="0072221F" w:rsidP="00F43F69">
      <w:pPr>
        <w:pStyle w:val="BodyText2"/>
        <w:ind w:left="720"/>
        <w:jc w:val="left"/>
        <w:rPr>
          <w:bCs/>
          <w:iCs/>
          <w:color w:val="FF0000"/>
          <w:sz w:val="22"/>
          <w:szCs w:val="22"/>
        </w:rPr>
      </w:pPr>
      <w:r w:rsidRPr="0072221F">
        <w:rPr>
          <w:sz w:val="22"/>
          <w:szCs w:val="22"/>
        </w:rPr>
        <w:t>FINDEX</w:t>
      </w:r>
      <w:r w:rsidRPr="00632AB6">
        <w:rPr>
          <w:bCs/>
          <w:iCs/>
          <w:color w:val="FF0000"/>
          <w:sz w:val="22"/>
          <w:szCs w:val="22"/>
        </w:rPr>
        <w:t xml:space="preserve"> </w:t>
      </w:r>
      <w:r>
        <w:rPr>
          <w:bCs/>
          <w:iCs/>
          <w:color w:val="FF0000"/>
          <w:sz w:val="22"/>
          <w:szCs w:val="22"/>
        </w:rPr>
        <w:tab/>
      </w:r>
      <w:r>
        <w:rPr>
          <w:bCs/>
          <w:iCs/>
          <w:color w:val="FF0000"/>
          <w:sz w:val="22"/>
          <w:szCs w:val="22"/>
        </w:rPr>
        <w:tab/>
      </w:r>
      <w:r w:rsidRPr="0072221F">
        <w:rPr>
          <w:sz w:val="22"/>
          <w:szCs w:val="22"/>
        </w:rPr>
        <w:t>Financial Inclusion Database</w:t>
      </w:r>
    </w:p>
    <w:p w:rsidR="00F43F69" w:rsidRPr="00632AB6" w:rsidRDefault="0072221F" w:rsidP="00F43F69">
      <w:pPr>
        <w:pStyle w:val="BodyText2"/>
        <w:ind w:left="720"/>
        <w:jc w:val="left"/>
        <w:rPr>
          <w:bCs/>
          <w:iCs/>
          <w:color w:val="FF0000"/>
          <w:sz w:val="22"/>
          <w:szCs w:val="22"/>
        </w:rPr>
      </w:pPr>
      <w:r w:rsidRPr="0072221F">
        <w:rPr>
          <w:sz w:val="22"/>
          <w:szCs w:val="22"/>
        </w:rPr>
        <w:t>GNI</w:t>
      </w:r>
      <w:r w:rsidR="00F43F69" w:rsidRPr="00632AB6">
        <w:rPr>
          <w:bCs/>
          <w:iCs/>
          <w:color w:val="FF0000"/>
          <w:sz w:val="22"/>
          <w:szCs w:val="22"/>
        </w:rPr>
        <w:tab/>
      </w:r>
      <w:r w:rsidR="00F43F69" w:rsidRPr="00632AB6">
        <w:rPr>
          <w:bCs/>
          <w:iCs/>
          <w:color w:val="FF0000"/>
          <w:sz w:val="22"/>
          <w:szCs w:val="22"/>
        </w:rPr>
        <w:tab/>
      </w:r>
      <w:r w:rsidR="00F43F69" w:rsidRPr="00632AB6">
        <w:rPr>
          <w:bCs/>
          <w:iCs/>
          <w:color w:val="FF0000"/>
          <w:sz w:val="22"/>
          <w:szCs w:val="22"/>
        </w:rPr>
        <w:tab/>
      </w:r>
      <w:r w:rsidRPr="0072221F">
        <w:rPr>
          <w:sz w:val="22"/>
          <w:szCs w:val="22"/>
        </w:rPr>
        <w:t>Gross National Income</w:t>
      </w:r>
    </w:p>
    <w:p w:rsidR="00F43F69" w:rsidRPr="00632AB6" w:rsidRDefault="0072221F" w:rsidP="0095554E">
      <w:pPr>
        <w:pStyle w:val="BodyText2"/>
        <w:ind w:left="720"/>
        <w:jc w:val="left"/>
        <w:rPr>
          <w:bCs/>
          <w:iCs/>
          <w:color w:val="FF0000"/>
          <w:sz w:val="22"/>
          <w:szCs w:val="22"/>
        </w:rPr>
      </w:pPr>
      <w:r w:rsidRPr="0072221F">
        <w:rPr>
          <w:sz w:val="22"/>
          <w:szCs w:val="22"/>
        </w:rPr>
        <w:t>HLSS</w:t>
      </w:r>
      <w:r>
        <w:rPr>
          <w:sz w:val="22"/>
          <w:szCs w:val="22"/>
        </w:rPr>
        <w:tab/>
      </w:r>
      <w:r w:rsidR="00466BAA" w:rsidRPr="00632AB6">
        <w:rPr>
          <w:bCs/>
          <w:iCs/>
          <w:color w:val="FF0000"/>
          <w:sz w:val="22"/>
          <w:szCs w:val="22"/>
        </w:rPr>
        <w:tab/>
      </w:r>
      <w:r w:rsidR="00466BAA" w:rsidRPr="00632AB6">
        <w:rPr>
          <w:bCs/>
          <w:iCs/>
          <w:color w:val="FF0000"/>
          <w:sz w:val="22"/>
          <w:szCs w:val="22"/>
        </w:rPr>
        <w:tab/>
      </w:r>
      <w:r w:rsidRPr="0072221F">
        <w:rPr>
          <w:sz w:val="22"/>
          <w:szCs w:val="22"/>
        </w:rPr>
        <w:t>Household Living Standards Survey</w:t>
      </w:r>
    </w:p>
    <w:p w:rsidR="00F43F69" w:rsidRPr="00632AB6" w:rsidRDefault="0072221F" w:rsidP="0095554E">
      <w:pPr>
        <w:pStyle w:val="BodyText2"/>
        <w:ind w:left="720"/>
        <w:jc w:val="left"/>
        <w:rPr>
          <w:bCs/>
          <w:iCs/>
          <w:color w:val="FF0000"/>
          <w:sz w:val="22"/>
          <w:szCs w:val="22"/>
        </w:rPr>
      </w:pPr>
      <w:r w:rsidRPr="0072221F">
        <w:rPr>
          <w:sz w:val="22"/>
          <w:szCs w:val="22"/>
        </w:rPr>
        <w:t>IFC</w:t>
      </w:r>
      <w:r w:rsidR="00466BAA" w:rsidRPr="00632AB6">
        <w:rPr>
          <w:bCs/>
          <w:iCs/>
          <w:color w:val="FF0000"/>
          <w:sz w:val="22"/>
          <w:szCs w:val="22"/>
        </w:rPr>
        <w:tab/>
      </w:r>
      <w:r w:rsidR="00466BAA" w:rsidRPr="00632AB6">
        <w:rPr>
          <w:bCs/>
          <w:iCs/>
          <w:color w:val="FF0000"/>
          <w:sz w:val="22"/>
          <w:szCs w:val="22"/>
        </w:rPr>
        <w:tab/>
      </w:r>
      <w:r w:rsidR="00466BAA" w:rsidRPr="00632AB6">
        <w:rPr>
          <w:bCs/>
          <w:iCs/>
          <w:color w:val="FF0000"/>
          <w:sz w:val="22"/>
          <w:szCs w:val="22"/>
        </w:rPr>
        <w:tab/>
      </w:r>
      <w:r w:rsidRPr="0072221F">
        <w:rPr>
          <w:sz w:val="22"/>
          <w:szCs w:val="22"/>
        </w:rPr>
        <w:t>International Finance Corporation</w:t>
      </w:r>
    </w:p>
    <w:p w:rsidR="00F43F69" w:rsidRPr="00632AB6" w:rsidRDefault="0072221F" w:rsidP="0095554E">
      <w:pPr>
        <w:pStyle w:val="BodyText2"/>
        <w:ind w:left="720"/>
        <w:jc w:val="left"/>
        <w:rPr>
          <w:bCs/>
          <w:iCs/>
          <w:color w:val="FF0000"/>
          <w:sz w:val="22"/>
          <w:szCs w:val="22"/>
        </w:rPr>
      </w:pPr>
      <w:r w:rsidRPr="0072221F">
        <w:rPr>
          <w:sz w:val="22"/>
          <w:szCs w:val="22"/>
        </w:rPr>
        <w:t>IT</w:t>
      </w:r>
      <w:r w:rsidR="00466BAA" w:rsidRPr="00632AB6">
        <w:rPr>
          <w:bCs/>
          <w:iCs/>
          <w:color w:val="FF0000"/>
          <w:sz w:val="22"/>
          <w:szCs w:val="22"/>
        </w:rPr>
        <w:tab/>
      </w:r>
      <w:r w:rsidR="00466BAA" w:rsidRPr="00632AB6">
        <w:rPr>
          <w:bCs/>
          <w:iCs/>
          <w:color w:val="FF0000"/>
          <w:sz w:val="22"/>
          <w:szCs w:val="22"/>
        </w:rPr>
        <w:tab/>
      </w:r>
      <w:r w:rsidR="00466BAA" w:rsidRPr="00632AB6">
        <w:rPr>
          <w:bCs/>
          <w:iCs/>
          <w:color w:val="FF0000"/>
          <w:sz w:val="22"/>
          <w:szCs w:val="22"/>
        </w:rPr>
        <w:tab/>
      </w:r>
      <w:r w:rsidRPr="0072221F">
        <w:rPr>
          <w:sz w:val="22"/>
          <w:szCs w:val="22"/>
        </w:rPr>
        <w:t>Information technology</w:t>
      </w:r>
    </w:p>
    <w:p w:rsidR="00F43F69" w:rsidRPr="00632AB6" w:rsidRDefault="0072221F" w:rsidP="0095554E">
      <w:pPr>
        <w:pStyle w:val="BodyText2"/>
        <w:ind w:left="720"/>
        <w:jc w:val="left"/>
        <w:rPr>
          <w:bCs/>
          <w:iCs/>
          <w:color w:val="FF0000"/>
          <w:sz w:val="22"/>
          <w:szCs w:val="22"/>
        </w:rPr>
      </w:pPr>
      <w:r w:rsidRPr="0072221F">
        <w:rPr>
          <w:sz w:val="22"/>
          <w:szCs w:val="22"/>
        </w:rPr>
        <w:t>LiTS</w:t>
      </w:r>
      <w:r w:rsidR="00466BAA" w:rsidRPr="00632AB6">
        <w:rPr>
          <w:bCs/>
          <w:iCs/>
          <w:color w:val="FF0000"/>
          <w:sz w:val="22"/>
          <w:szCs w:val="22"/>
        </w:rPr>
        <w:tab/>
      </w:r>
      <w:r w:rsidR="00466BAA" w:rsidRPr="00632AB6">
        <w:rPr>
          <w:bCs/>
          <w:iCs/>
          <w:color w:val="FF0000"/>
          <w:sz w:val="22"/>
          <w:szCs w:val="22"/>
        </w:rPr>
        <w:tab/>
      </w:r>
      <w:r w:rsidR="00466BAA" w:rsidRPr="00632AB6">
        <w:rPr>
          <w:bCs/>
          <w:iCs/>
          <w:color w:val="FF0000"/>
          <w:sz w:val="22"/>
          <w:szCs w:val="22"/>
        </w:rPr>
        <w:tab/>
      </w:r>
      <w:r w:rsidRPr="0072221F">
        <w:rPr>
          <w:sz w:val="22"/>
          <w:szCs w:val="22"/>
        </w:rPr>
        <w:t>Life in Transition Survey</w:t>
      </w:r>
    </w:p>
    <w:p w:rsidR="00420196" w:rsidRPr="00632AB6" w:rsidRDefault="0072221F" w:rsidP="0095554E">
      <w:pPr>
        <w:pStyle w:val="BodyText2"/>
        <w:ind w:left="720"/>
        <w:jc w:val="left"/>
        <w:rPr>
          <w:bCs/>
          <w:iCs/>
          <w:color w:val="FF0000"/>
          <w:sz w:val="22"/>
          <w:szCs w:val="22"/>
        </w:rPr>
      </w:pPr>
      <w:r w:rsidRPr="0072221F">
        <w:rPr>
          <w:sz w:val="22"/>
          <w:szCs w:val="22"/>
        </w:rPr>
        <w:t>NSC</w:t>
      </w:r>
      <w:r w:rsidR="00420196" w:rsidRPr="00632AB6">
        <w:rPr>
          <w:bCs/>
          <w:iCs/>
          <w:color w:val="FF0000"/>
          <w:sz w:val="22"/>
          <w:szCs w:val="22"/>
        </w:rPr>
        <w:tab/>
      </w:r>
      <w:r w:rsidR="00420196" w:rsidRPr="00632AB6">
        <w:rPr>
          <w:bCs/>
          <w:iCs/>
          <w:color w:val="FF0000"/>
          <w:sz w:val="22"/>
          <w:szCs w:val="22"/>
        </w:rPr>
        <w:tab/>
      </w:r>
      <w:r>
        <w:rPr>
          <w:bCs/>
          <w:iCs/>
          <w:color w:val="FF0000"/>
          <w:sz w:val="22"/>
          <w:szCs w:val="22"/>
        </w:rPr>
        <w:tab/>
      </w:r>
      <w:r w:rsidRPr="0072221F">
        <w:rPr>
          <w:sz w:val="22"/>
          <w:szCs w:val="22"/>
        </w:rPr>
        <w:t>National Statistical Committee</w:t>
      </w:r>
    </w:p>
    <w:p w:rsidR="00F43F69" w:rsidRPr="00632AB6" w:rsidRDefault="0072221F" w:rsidP="0095554E">
      <w:pPr>
        <w:pStyle w:val="BodyText2"/>
        <w:ind w:left="720"/>
        <w:jc w:val="left"/>
        <w:rPr>
          <w:bCs/>
          <w:iCs/>
          <w:color w:val="FF0000"/>
          <w:sz w:val="22"/>
          <w:szCs w:val="22"/>
        </w:rPr>
      </w:pPr>
      <w:r w:rsidRPr="0072221F">
        <w:rPr>
          <w:sz w:val="22"/>
          <w:szCs w:val="22"/>
        </w:rPr>
        <w:t>OLS</w:t>
      </w:r>
      <w:r w:rsidR="00F43F69" w:rsidRPr="00632AB6">
        <w:rPr>
          <w:bCs/>
          <w:iCs/>
          <w:color w:val="FF0000"/>
          <w:sz w:val="22"/>
          <w:szCs w:val="22"/>
        </w:rPr>
        <w:tab/>
      </w:r>
      <w:r w:rsidR="00F43F69" w:rsidRPr="00632AB6">
        <w:rPr>
          <w:bCs/>
          <w:iCs/>
          <w:color w:val="FF0000"/>
          <w:sz w:val="22"/>
          <w:szCs w:val="22"/>
        </w:rPr>
        <w:tab/>
      </w:r>
      <w:r w:rsidR="00F43F69" w:rsidRPr="00632AB6">
        <w:rPr>
          <w:bCs/>
          <w:iCs/>
          <w:color w:val="FF0000"/>
          <w:sz w:val="22"/>
          <w:szCs w:val="22"/>
        </w:rPr>
        <w:tab/>
      </w:r>
      <w:r w:rsidRPr="0072221F">
        <w:rPr>
          <w:sz w:val="22"/>
          <w:szCs w:val="22"/>
        </w:rPr>
        <w:t>Ordinary Least Squares</w:t>
      </w:r>
    </w:p>
    <w:p w:rsidR="00F43F69" w:rsidRPr="0072221F" w:rsidRDefault="00F43F69" w:rsidP="0095554E">
      <w:pPr>
        <w:pStyle w:val="BodyText2"/>
        <w:ind w:left="720"/>
        <w:jc w:val="left"/>
        <w:rPr>
          <w:bCs/>
          <w:iCs/>
          <w:sz w:val="22"/>
          <w:szCs w:val="22"/>
        </w:rPr>
      </w:pPr>
      <w:r w:rsidRPr="0072221F">
        <w:rPr>
          <w:bCs/>
          <w:iCs/>
          <w:sz w:val="22"/>
          <w:szCs w:val="22"/>
        </w:rPr>
        <w:t>UNECE</w:t>
      </w:r>
      <w:r w:rsidR="00466BAA" w:rsidRPr="0072221F">
        <w:rPr>
          <w:bCs/>
          <w:iCs/>
          <w:sz w:val="22"/>
          <w:szCs w:val="22"/>
        </w:rPr>
        <w:tab/>
      </w:r>
      <w:r w:rsidR="00466BAA" w:rsidRPr="0072221F">
        <w:rPr>
          <w:bCs/>
          <w:iCs/>
          <w:sz w:val="22"/>
          <w:szCs w:val="22"/>
        </w:rPr>
        <w:tab/>
        <w:t>United Nations Economic Commission for Europe</w:t>
      </w:r>
    </w:p>
    <w:p w:rsidR="00F43F69" w:rsidRPr="00632AB6" w:rsidRDefault="0072221F" w:rsidP="0095554E">
      <w:pPr>
        <w:pStyle w:val="BodyText2"/>
        <w:ind w:left="720"/>
        <w:jc w:val="left"/>
        <w:rPr>
          <w:bCs/>
          <w:iCs/>
          <w:color w:val="FF0000"/>
          <w:sz w:val="22"/>
          <w:szCs w:val="22"/>
        </w:rPr>
      </w:pPr>
      <w:r w:rsidRPr="0072221F">
        <w:rPr>
          <w:sz w:val="22"/>
          <w:szCs w:val="22"/>
        </w:rPr>
        <w:t>UNFPA</w:t>
      </w:r>
      <w:r w:rsidR="00466BAA" w:rsidRPr="00632AB6">
        <w:rPr>
          <w:bCs/>
          <w:iCs/>
          <w:color w:val="FF0000"/>
          <w:sz w:val="22"/>
          <w:szCs w:val="22"/>
        </w:rPr>
        <w:tab/>
      </w:r>
      <w:r w:rsidR="00466BAA" w:rsidRPr="00632AB6">
        <w:rPr>
          <w:bCs/>
          <w:iCs/>
          <w:color w:val="FF0000"/>
          <w:sz w:val="22"/>
          <w:szCs w:val="22"/>
        </w:rPr>
        <w:tab/>
      </w:r>
      <w:r w:rsidRPr="0072221F">
        <w:rPr>
          <w:sz w:val="22"/>
          <w:szCs w:val="22"/>
        </w:rPr>
        <w:t>United Nations Population Fund</w:t>
      </w:r>
    </w:p>
    <w:p w:rsidR="0072221F" w:rsidRDefault="0072221F" w:rsidP="0095554E">
      <w:pPr>
        <w:pStyle w:val="BodyText2"/>
        <w:ind w:left="720"/>
        <w:jc w:val="left"/>
        <w:rPr>
          <w:bCs/>
          <w:iCs/>
          <w:color w:val="FF0000"/>
          <w:sz w:val="22"/>
          <w:szCs w:val="22"/>
        </w:rPr>
      </w:pPr>
      <w:r w:rsidRPr="0072221F">
        <w:rPr>
          <w:sz w:val="22"/>
          <w:szCs w:val="22"/>
        </w:rPr>
        <w:t>UNICEF</w:t>
      </w:r>
      <w:r w:rsidR="00466BAA" w:rsidRPr="00632AB6">
        <w:rPr>
          <w:bCs/>
          <w:iCs/>
          <w:color w:val="FF0000"/>
          <w:sz w:val="22"/>
          <w:szCs w:val="22"/>
        </w:rPr>
        <w:tab/>
      </w:r>
      <w:r>
        <w:rPr>
          <w:bCs/>
          <w:iCs/>
          <w:color w:val="FF0000"/>
          <w:sz w:val="22"/>
          <w:szCs w:val="22"/>
        </w:rPr>
        <w:tab/>
      </w:r>
      <w:r w:rsidRPr="0072221F">
        <w:rPr>
          <w:sz w:val="22"/>
          <w:szCs w:val="22"/>
        </w:rPr>
        <w:t>United Nations Children's Fund</w:t>
      </w:r>
      <w:r w:rsidRPr="00632AB6">
        <w:rPr>
          <w:bCs/>
          <w:iCs/>
          <w:color w:val="FF0000"/>
          <w:sz w:val="22"/>
          <w:szCs w:val="22"/>
        </w:rPr>
        <w:t xml:space="preserve"> </w:t>
      </w:r>
    </w:p>
    <w:p w:rsidR="00F43F69" w:rsidRDefault="0072221F" w:rsidP="0095554E">
      <w:pPr>
        <w:pStyle w:val="BodyText2"/>
        <w:ind w:left="720"/>
        <w:jc w:val="left"/>
        <w:rPr>
          <w:sz w:val="22"/>
          <w:szCs w:val="22"/>
        </w:rPr>
      </w:pPr>
      <w:r w:rsidRPr="0072221F">
        <w:rPr>
          <w:sz w:val="22"/>
          <w:szCs w:val="22"/>
        </w:rPr>
        <w:t>US</w:t>
      </w:r>
      <w:r w:rsidR="00466BAA" w:rsidRPr="00632AB6">
        <w:rPr>
          <w:bCs/>
          <w:iCs/>
          <w:color w:val="FF0000"/>
          <w:sz w:val="22"/>
          <w:szCs w:val="22"/>
        </w:rPr>
        <w:tab/>
      </w:r>
      <w:r w:rsidR="00466BAA" w:rsidRPr="00632AB6">
        <w:rPr>
          <w:bCs/>
          <w:iCs/>
          <w:color w:val="FF0000"/>
          <w:sz w:val="22"/>
          <w:szCs w:val="22"/>
        </w:rPr>
        <w:tab/>
      </w:r>
      <w:r>
        <w:rPr>
          <w:bCs/>
          <w:iCs/>
          <w:color w:val="FF0000"/>
          <w:sz w:val="22"/>
          <w:szCs w:val="22"/>
        </w:rPr>
        <w:tab/>
      </w:r>
      <w:r w:rsidRPr="0072221F">
        <w:rPr>
          <w:sz w:val="22"/>
          <w:szCs w:val="22"/>
        </w:rPr>
        <w:t>United States</w:t>
      </w:r>
    </w:p>
    <w:p w:rsidR="0072221F" w:rsidRPr="0072221F" w:rsidRDefault="0072221F" w:rsidP="0095554E">
      <w:pPr>
        <w:pStyle w:val="BodyText2"/>
        <w:ind w:left="720"/>
        <w:jc w:val="left"/>
        <w:rPr>
          <w:sz w:val="22"/>
          <w:szCs w:val="22"/>
        </w:rPr>
      </w:pPr>
      <w:r w:rsidRPr="0072221F">
        <w:rPr>
          <w:sz w:val="22"/>
          <w:szCs w:val="22"/>
        </w:rPr>
        <w:t>WDI</w:t>
      </w:r>
      <w:r w:rsidRPr="0072221F">
        <w:rPr>
          <w:sz w:val="22"/>
          <w:szCs w:val="22"/>
        </w:rPr>
        <w:tab/>
      </w:r>
      <w:r w:rsidRPr="0072221F">
        <w:rPr>
          <w:sz w:val="22"/>
          <w:szCs w:val="22"/>
        </w:rPr>
        <w:tab/>
      </w:r>
      <w:r w:rsidRPr="0072221F">
        <w:rPr>
          <w:sz w:val="22"/>
          <w:szCs w:val="22"/>
        </w:rPr>
        <w:tab/>
        <w:t>World Development Indicators</w:t>
      </w:r>
    </w:p>
    <w:p w:rsidR="0072221F" w:rsidRPr="00632AB6" w:rsidRDefault="0072221F" w:rsidP="0095554E">
      <w:pPr>
        <w:pStyle w:val="BodyText2"/>
        <w:ind w:left="720"/>
        <w:jc w:val="left"/>
        <w:rPr>
          <w:bCs/>
          <w:iCs/>
          <w:color w:val="FF0000"/>
          <w:sz w:val="22"/>
          <w:szCs w:val="22"/>
        </w:rPr>
      </w:pPr>
      <w:r w:rsidRPr="0072221F">
        <w:rPr>
          <w:sz w:val="22"/>
          <w:szCs w:val="22"/>
        </w:rPr>
        <w:t>WHO</w:t>
      </w:r>
      <w:r w:rsidRPr="0072221F">
        <w:rPr>
          <w:sz w:val="22"/>
          <w:szCs w:val="22"/>
        </w:rPr>
        <w:tab/>
      </w:r>
      <w:r w:rsidRPr="0072221F">
        <w:rPr>
          <w:sz w:val="22"/>
          <w:szCs w:val="22"/>
        </w:rPr>
        <w:tab/>
      </w:r>
      <w:r w:rsidRPr="0072221F">
        <w:rPr>
          <w:sz w:val="22"/>
          <w:szCs w:val="22"/>
        </w:rPr>
        <w:tab/>
        <w:t>World Health Organization</w:t>
      </w:r>
    </w:p>
    <w:p w:rsidR="00F43F69" w:rsidRPr="00F668AE" w:rsidRDefault="00F43F69" w:rsidP="0095554E">
      <w:pPr>
        <w:pStyle w:val="BodyText2"/>
        <w:ind w:left="720"/>
        <w:jc w:val="left"/>
        <w:rPr>
          <w:bCs/>
          <w:iCs/>
          <w:sz w:val="22"/>
          <w:szCs w:val="22"/>
        </w:rPr>
      </w:pPr>
      <w:r>
        <w:rPr>
          <w:bCs/>
          <w:iCs/>
          <w:sz w:val="22"/>
          <w:szCs w:val="22"/>
        </w:rPr>
        <w:br/>
      </w:r>
    </w:p>
    <w:p w:rsidR="00FE4443" w:rsidRDefault="00FE4443" w:rsidP="00E0049B">
      <w:pPr>
        <w:pStyle w:val="BodyText2"/>
        <w:widowControl w:val="0"/>
        <w:ind w:left="720"/>
        <w:jc w:val="left"/>
        <w:rPr>
          <w:bCs/>
          <w:iCs/>
          <w:sz w:val="22"/>
          <w:szCs w:val="22"/>
        </w:rPr>
      </w:pPr>
    </w:p>
    <w:p w:rsidR="00FE4443" w:rsidRDefault="00FE4443" w:rsidP="00E0049B">
      <w:pPr>
        <w:pStyle w:val="BodyText2"/>
        <w:widowControl w:val="0"/>
        <w:ind w:left="720"/>
        <w:jc w:val="left"/>
        <w:rPr>
          <w:bCs/>
          <w:iCs/>
          <w:sz w:val="22"/>
          <w:szCs w:val="22"/>
        </w:rPr>
      </w:pPr>
    </w:p>
    <w:p w:rsidR="00FE4443" w:rsidRPr="00F668AE" w:rsidRDefault="00FE4443" w:rsidP="00E0049B">
      <w:pPr>
        <w:pStyle w:val="BodyText2"/>
        <w:widowControl w:val="0"/>
        <w:ind w:left="720"/>
        <w:jc w:val="left"/>
        <w:rPr>
          <w:bCs/>
          <w:iCs/>
          <w:sz w:val="22"/>
          <w:szCs w:val="22"/>
        </w:rPr>
      </w:pPr>
    </w:p>
    <w:p w:rsidR="00E0049B" w:rsidRPr="00F668AE" w:rsidRDefault="00E0049B" w:rsidP="00E0049B">
      <w:pPr>
        <w:pStyle w:val="BodyText2"/>
        <w:widowControl w:val="0"/>
        <w:ind w:left="720"/>
        <w:jc w:val="left"/>
        <w:rPr>
          <w:bCs/>
          <w:iCs/>
          <w:sz w:val="22"/>
          <w:szCs w:val="22"/>
        </w:rPr>
      </w:pP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2866"/>
      </w:tblGrid>
      <w:tr w:rsidR="00E0049B" w:rsidRPr="004D5042" w:rsidTr="004D5042">
        <w:tc>
          <w:tcPr>
            <w:tcW w:w="2624" w:type="dxa"/>
            <w:shd w:val="clear" w:color="auto" w:fill="auto"/>
          </w:tcPr>
          <w:p w:rsidR="00E0049B" w:rsidRPr="004D5042" w:rsidRDefault="00E0049B" w:rsidP="004D5042">
            <w:pPr>
              <w:pStyle w:val="MainParanoChapter"/>
              <w:widowControl w:val="0"/>
              <w:tabs>
                <w:tab w:val="clear" w:pos="720"/>
                <w:tab w:val="right" w:pos="2160"/>
                <w:tab w:val="left" w:pos="2520"/>
              </w:tabs>
              <w:spacing w:after="0"/>
              <w:ind w:left="0" w:firstLine="0"/>
              <w:jc w:val="right"/>
              <w:outlineLvl w:val="9"/>
              <w:rPr>
                <w:sz w:val="22"/>
                <w:szCs w:val="22"/>
              </w:rPr>
            </w:pPr>
            <w:r w:rsidRPr="004D5042">
              <w:rPr>
                <w:sz w:val="22"/>
                <w:szCs w:val="22"/>
              </w:rPr>
              <w:t>Vice President:</w:t>
            </w:r>
            <w:r w:rsidRPr="004D5042">
              <w:rPr>
                <w:sz w:val="22"/>
                <w:szCs w:val="22"/>
              </w:rPr>
              <w:tab/>
            </w:r>
          </w:p>
          <w:p w:rsidR="00E0049B" w:rsidRPr="004D5042" w:rsidRDefault="00E0049B" w:rsidP="004D5042">
            <w:pPr>
              <w:pStyle w:val="MainParanoChapter"/>
              <w:widowControl w:val="0"/>
              <w:tabs>
                <w:tab w:val="clear" w:pos="720"/>
                <w:tab w:val="right" w:pos="2160"/>
                <w:tab w:val="left" w:pos="2520"/>
              </w:tabs>
              <w:spacing w:after="0"/>
              <w:ind w:left="0" w:firstLine="0"/>
              <w:jc w:val="right"/>
              <w:outlineLvl w:val="9"/>
              <w:rPr>
                <w:sz w:val="22"/>
                <w:szCs w:val="22"/>
              </w:rPr>
            </w:pPr>
            <w:r w:rsidRPr="004D5042">
              <w:rPr>
                <w:sz w:val="22"/>
                <w:szCs w:val="22"/>
              </w:rPr>
              <w:t>Country Director:</w:t>
            </w:r>
            <w:r w:rsidRPr="004D5042">
              <w:rPr>
                <w:sz w:val="22"/>
                <w:szCs w:val="22"/>
              </w:rPr>
              <w:tab/>
            </w:r>
          </w:p>
          <w:p w:rsidR="00E0049B" w:rsidRPr="004D5042" w:rsidRDefault="00E0049B" w:rsidP="004D5042">
            <w:pPr>
              <w:pStyle w:val="MainParanoChapter"/>
              <w:widowControl w:val="0"/>
              <w:tabs>
                <w:tab w:val="clear" w:pos="720"/>
                <w:tab w:val="right" w:pos="2160"/>
                <w:tab w:val="left" w:pos="2520"/>
              </w:tabs>
              <w:spacing w:after="0"/>
              <w:ind w:left="0" w:firstLine="0"/>
              <w:jc w:val="right"/>
              <w:outlineLvl w:val="9"/>
              <w:rPr>
                <w:sz w:val="22"/>
                <w:szCs w:val="22"/>
              </w:rPr>
            </w:pPr>
            <w:r w:rsidRPr="004D5042">
              <w:rPr>
                <w:sz w:val="22"/>
                <w:szCs w:val="22"/>
              </w:rPr>
              <w:t>Sector Director:</w:t>
            </w:r>
            <w:r w:rsidRPr="004D5042">
              <w:rPr>
                <w:sz w:val="22"/>
                <w:szCs w:val="22"/>
              </w:rPr>
              <w:tab/>
            </w:r>
          </w:p>
          <w:p w:rsidR="00E0049B" w:rsidRPr="004D5042" w:rsidRDefault="00E0049B" w:rsidP="004D5042">
            <w:pPr>
              <w:pStyle w:val="MainParanoChapter"/>
              <w:widowControl w:val="0"/>
              <w:tabs>
                <w:tab w:val="clear" w:pos="720"/>
                <w:tab w:val="right" w:pos="2160"/>
                <w:tab w:val="left" w:pos="2520"/>
              </w:tabs>
              <w:spacing w:after="0"/>
              <w:ind w:left="0" w:firstLine="0"/>
              <w:jc w:val="right"/>
              <w:outlineLvl w:val="9"/>
              <w:rPr>
                <w:sz w:val="22"/>
                <w:szCs w:val="22"/>
              </w:rPr>
            </w:pPr>
            <w:r w:rsidRPr="004D5042">
              <w:rPr>
                <w:sz w:val="22"/>
                <w:szCs w:val="22"/>
              </w:rPr>
              <w:t>Sector Manager:</w:t>
            </w:r>
            <w:r w:rsidRPr="004D5042">
              <w:rPr>
                <w:sz w:val="22"/>
                <w:szCs w:val="22"/>
              </w:rPr>
              <w:tab/>
            </w:r>
          </w:p>
          <w:p w:rsidR="00E0049B" w:rsidRPr="004D5042" w:rsidRDefault="00E0049B" w:rsidP="004D5042">
            <w:pPr>
              <w:pStyle w:val="MainParanoChapter"/>
              <w:widowControl w:val="0"/>
              <w:tabs>
                <w:tab w:val="clear" w:pos="720"/>
                <w:tab w:val="right" w:pos="2160"/>
                <w:tab w:val="left" w:pos="2520"/>
              </w:tabs>
              <w:spacing w:after="0"/>
              <w:ind w:left="0" w:firstLine="0"/>
              <w:jc w:val="right"/>
              <w:outlineLvl w:val="9"/>
              <w:rPr>
                <w:sz w:val="22"/>
                <w:szCs w:val="22"/>
              </w:rPr>
            </w:pPr>
            <w:r w:rsidRPr="004D5042">
              <w:rPr>
                <w:sz w:val="22"/>
                <w:szCs w:val="22"/>
              </w:rPr>
              <w:t>Task Team Leader:</w:t>
            </w:r>
            <w:r w:rsidRPr="004D5042">
              <w:rPr>
                <w:sz w:val="22"/>
                <w:szCs w:val="22"/>
              </w:rPr>
              <w:tab/>
            </w:r>
          </w:p>
        </w:tc>
        <w:tc>
          <w:tcPr>
            <w:tcW w:w="2866" w:type="dxa"/>
            <w:shd w:val="clear" w:color="auto" w:fill="auto"/>
          </w:tcPr>
          <w:p w:rsidR="00177185" w:rsidRPr="004D5042" w:rsidRDefault="00694AEC" w:rsidP="004D5042">
            <w:pPr>
              <w:pStyle w:val="MainParanoChapter"/>
              <w:widowControl w:val="0"/>
              <w:tabs>
                <w:tab w:val="clear" w:pos="720"/>
                <w:tab w:val="right" w:pos="2160"/>
                <w:tab w:val="left" w:pos="2520"/>
              </w:tabs>
              <w:spacing w:after="0"/>
              <w:ind w:left="0" w:firstLine="0"/>
              <w:outlineLvl w:val="9"/>
              <w:rPr>
                <w:sz w:val="22"/>
                <w:szCs w:val="22"/>
              </w:rPr>
            </w:pPr>
            <w:r>
              <w:rPr>
                <w:sz w:val="22"/>
                <w:szCs w:val="22"/>
              </w:rPr>
              <w:t>Laura Tuck</w:t>
            </w:r>
          </w:p>
          <w:p w:rsidR="00E0049B" w:rsidRPr="004D5042" w:rsidRDefault="00536482" w:rsidP="004D5042">
            <w:pPr>
              <w:pStyle w:val="MainParanoChapter"/>
              <w:widowControl w:val="0"/>
              <w:tabs>
                <w:tab w:val="clear" w:pos="720"/>
                <w:tab w:val="right" w:pos="2160"/>
                <w:tab w:val="left" w:pos="2520"/>
              </w:tabs>
              <w:spacing w:after="0"/>
              <w:ind w:left="0" w:firstLine="0"/>
              <w:outlineLvl w:val="9"/>
              <w:rPr>
                <w:sz w:val="22"/>
                <w:szCs w:val="22"/>
              </w:rPr>
            </w:pPr>
            <w:r>
              <w:rPr>
                <w:sz w:val="22"/>
                <w:szCs w:val="22"/>
              </w:rPr>
              <w:t>Qimiao Fan</w:t>
            </w:r>
          </w:p>
          <w:p w:rsidR="00E0049B" w:rsidRPr="004D5042" w:rsidRDefault="00694AEC" w:rsidP="004D5042">
            <w:pPr>
              <w:pStyle w:val="MainParanoChapter"/>
              <w:widowControl w:val="0"/>
              <w:tabs>
                <w:tab w:val="clear" w:pos="720"/>
                <w:tab w:val="right" w:pos="2160"/>
                <w:tab w:val="left" w:pos="2520"/>
              </w:tabs>
              <w:spacing w:after="0"/>
              <w:ind w:left="0" w:firstLine="0"/>
              <w:outlineLvl w:val="9"/>
              <w:rPr>
                <w:sz w:val="22"/>
                <w:szCs w:val="22"/>
              </w:rPr>
            </w:pPr>
            <w:r>
              <w:rPr>
                <w:sz w:val="22"/>
                <w:szCs w:val="22"/>
              </w:rPr>
              <w:t>Roumeen Islam</w:t>
            </w:r>
          </w:p>
          <w:p w:rsidR="00E0049B" w:rsidRPr="004D5042" w:rsidRDefault="00694AEC" w:rsidP="004D5042">
            <w:pPr>
              <w:pStyle w:val="BodyText2"/>
              <w:widowControl w:val="0"/>
              <w:jc w:val="left"/>
              <w:rPr>
                <w:sz w:val="22"/>
                <w:szCs w:val="22"/>
              </w:rPr>
            </w:pPr>
            <w:r>
              <w:rPr>
                <w:sz w:val="22"/>
                <w:szCs w:val="22"/>
              </w:rPr>
              <w:t>Carolina Sanchez</w:t>
            </w:r>
          </w:p>
          <w:p w:rsidR="00177185" w:rsidRPr="004D5042" w:rsidRDefault="00177185" w:rsidP="004D5042">
            <w:pPr>
              <w:pStyle w:val="BodyText2"/>
              <w:widowControl w:val="0"/>
              <w:jc w:val="left"/>
              <w:rPr>
                <w:b/>
                <w:bCs/>
                <w:i/>
                <w:iCs/>
                <w:sz w:val="22"/>
                <w:szCs w:val="22"/>
              </w:rPr>
            </w:pPr>
            <w:r w:rsidRPr="004D5042">
              <w:rPr>
                <w:sz w:val="22"/>
                <w:szCs w:val="22"/>
              </w:rPr>
              <w:t>Sarosh Sattar</w:t>
            </w:r>
          </w:p>
        </w:tc>
      </w:tr>
    </w:tbl>
    <w:p w:rsidR="0095554E" w:rsidRDefault="0095554E" w:rsidP="0095554E">
      <w:pPr>
        <w:pStyle w:val="BankNormal"/>
        <w:spacing w:after="0"/>
        <w:jc w:val="center"/>
        <w:rPr>
          <w:b/>
          <w:sz w:val="22"/>
        </w:rPr>
      </w:pPr>
    </w:p>
    <w:p w:rsidR="007602AB" w:rsidRDefault="007602AB" w:rsidP="00257E5F">
      <w:pPr>
        <w:jc w:val="center"/>
        <w:rPr>
          <w:rFonts w:ascii="Times New Roman Bold" w:hAnsi="Times New Roman Bold"/>
          <w:b/>
          <w:caps/>
          <w:sz w:val="22"/>
          <w:szCs w:val="22"/>
        </w:rPr>
      </w:pPr>
    </w:p>
    <w:p w:rsidR="00102571" w:rsidRDefault="00102571" w:rsidP="00257E5F">
      <w:pPr>
        <w:jc w:val="center"/>
        <w:rPr>
          <w:rFonts w:ascii="Times New Roman Bold" w:hAnsi="Times New Roman Bold"/>
          <w:b/>
          <w:caps/>
          <w:sz w:val="22"/>
          <w:szCs w:val="22"/>
        </w:rPr>
        <w:sectPr w:rsidR="00102571" w:rsidSect="00152AD2">
          <w:footerReference w:type="default" r:id="rId10"/>
          <w:footerReference w:type="first" r:id="rId11"/>
          <w:type w:val="oddPage"/>
          <w:pgSz w:w="12240" w:h="15840"/>
          <w:pgMar w:top="1440" w:right="1440" w:bottom="1440" w:left="1440" w:header="720" w:footer="720" w:gutter="0"/>
          <w:pgNumType w:fmt="lowerRoman" w:start="1"/>
          <w:cols w:space="720"/>
          <w:titlePg/>
          <w:docGrid w:linePitch="360"/>
        </w:sectPr>
      </w:pPr>
    </w:p>
    <w:p w:rsidR="00257E5F" w:rsidRPr="00B3631B" w:rsidRDefault="00257E5F" w:rsidP="00550ECE">
      <w:pPr>
        <w:spacing w:before="720" w:after="240"/>
        <w:jc w:val="center"/>
        <w:rPr>
          <w:rFonts w:ascii="Times New Roman Bold" w:hAnsi="Times New Roman Bold"/>
          <w:b/>
          <w:caps/>
          <w:sz w:val="22"/>
          <w:szCs w:val="22"/>
        </w:rPr>
      </w:pPr>
      <w:r w:rsidRPr="00B3631B">
        <w:rPr>
          <w:rFonts w:ascii="Times New Roman Bold" w:hAnsi="Times New Roman Bold"/>
          <w:b/>
          <w:caps/>
          <w:sz w:val="22"/>
          <w:szCs w:val="22"/>
        </w:rPr>
        <w:lastRenderedPageBreak/>
        <w:t>Table of Contents</w:t>
      </w:r>
    </w:p>
    <w:p w:rsidR="00257E5F" w:rsidRPr="00F32786" w:rsidRDefault="00257E5F" w:rsidP="00257E5F">
      <w:pPr>
        <w:jc w:val="center"/>
        <w:rPr>
          <w:b/>
          <w:sz w:val="22"/>
          <w:szCs w:val="22"/>
        </w:rPr>
      </w:pPr>
    </w:p>
    <w:p w:rsidR="004D5F0F" w:rsidRDefault="00257E5F">
      <w:pPr>
        <w:pStyle w:val="TOC1"/>
        <w:rPr>
          <w:rFonts w:asciiTheme="minorHAnsi" w:eastAsiaTheme="minorEastAsia" w:hAnsiTheme="minorHAnsi" w:cstheme="minorBidi"/>
          <w:b w:val="0"/>
          <w:sz w:val="22"/>
          <w:szCs w:val="22"/>
        </w:rPr>
      </w:pPr>
      <w:r w:rsidRPr="00F32786">
        <w:fldChar w:fldCharType="begin"/>
      </w:r>
      <w:r w:rsidRPr="00F32786">
        <w:instrText xml:space="preserve"> TOC \h \z \t "Heading 1,1,Heading 2,2,Heading 1a,1" </w:instrText>
      </w:r>
      <w:r w:rsidRPr="00F32786">
        <w:fldChar w:fldCharType="separate"/>
      </w:r>
      <w:hyperlink w:anchor="_Toc383011579" w:history="1">
        <w:r w:rsidR="004D5F0F" w:rsidRPr="000924CB">
          <w:rPr>
            <w:rStyle w:val="Hyperlink"/>
          </w:rPr>
          <w:t>Executive Summary</w:t>
        </w:r>
        <w:r w:rsidR="004D5F0F">
          <w:rPr>
            <w:webHidden/>
          </w:rPr>
          <w:tab/>
        </w:r>
        <w:r w:rsidR="004D5F0F">
          <w:rPr>
            <w:webHidden/>
          </w:rPr>
          <w:fldChar w:fldCharType="begin"/>
        </w:r>
        <w:r w:rsidR="004D5F0F">
          <w:rPr>
            <w:webHidden/>
          </w:rPr>
          <w:instrText xml:space="preserve"> PAGEREF _Toc383011579 \h </w:instrText>
        </w:r>
        <w:r w:rsidR="004D5F0F">
          <w:rPr>
            <w:webHidden/>
          </w:rPr>
        </w:r>
        <w:r w:rsidR="004D5F0F">
          <w:rPr>
            <w:webHidden/>
          </w:rPr>
          <w:fldChar w:fldCharType="separate"/>
        </w:r>
        <w:r w:rsidR="008A55B1">
          <w:rPr>
            <w:webHidden/>
          </w:rPr>
          <w:t>vi</w:t>
        </w:r>
        <w:r w:rsidR="004D5F0F">
          <w:rPr>
            <w:webHidden/>
          </w:rPr>
          <w:fldChar w:fldCharType="end"/>
        </w:r>
      </w:hyperlink>
    </w:p>
    <w:p w:rsidR="004D5F0F" w:rsidRDefault="008A55B1">
      <w:pPr>
        <w:pStyle w:val="TOC1"/>
        <w:rPr>
          <w:rFonts w:asciiTheme="minorHAnsi" w:eastAsiaTheme="minorEastAsia" w:hAnsiTheme="minorHAnsi" w:cstheme="minorBidi"/>
          <w:b w:val="0"/>
          <w:sz w:val="22"/>
          <w:szCs w:val="22"/>
        </w:rPr>
      </w:pPr>
      <w:hyperlink w:anchor="_Toc383011580" w:history="1">
        <w:r w:rsidR="004D5F0F" w:rsidRPr="000924CB">
          <w:rPr>
            <w:rStyle w:val="Hyperlink"/>
          </w:rPr>
          <w:t>CHAPTER 1 AGENCY</w:t>
        </w:r>
        <w:r w:rsidR="004D5F0F">
          <w:rPr>
            <w:webHidden/>
          </w:rPr>
          <w:tab/>
        </w:r>
        <w:r w:rsidR="004D5F0F">
          <w:rPr>
            <w:webHidden/>
          </w:rPr>
          <w:fldChar w:fldCharType="begin"/>
        </w:r>
        <w:r w:rsidR="004D5F0F">
          <w:rPr>
            <w:webHidden/>
          </w:rPr>
          <w:instrText xml:space="preserve"> PAGEREF _Toc383011580 \h </w:instrText>
        </w:r>
        <w:r w:rsidR="004D5F0F">
          <w:rPr>
            <w:webHidden/>
          </w:rPr>
        </w:r>
        <w:r w:rsidR="004D5F0F">
          <w:rPr>
            <w:webHidden/>
          </w:rPr>
          <w:fldChar w:fldCharType="separate"/>
        </w:r>
        <w:r>
          <w:rPr>
            <w:webHidden/>
          </w:rPr>
          <w:t>1</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81" w:history="1">
        <w:r w:rsidR="004D5F0F" w:rsidRPr="000924CB">
          <w:rPr>
            <w:rStyle w:val="Hyperlink"/>
            <w:rFonts w:ascii="Times New Roman Bold" w:hAnsi="Times New Roman Bold"/>
            <w:caps/>
          </w:rPr>
          <w:t>A.</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General Legal and Institutional Framework</w:t>
        </w:r>
        <w:r w:rsidR="004D5F0F">
          <w:rPr>
            <w:webHidden/>
          </w:rPr>
          <w:tab/>
        </w:r>
        <w:r w:rsidR="004D5F0F">
          <w:rPr>
            <w:webHidden/>
          </w:rPr>
          <w:fldChar w:fldCharType="begin"/>
        </w:r>
        <w:r w:rsidR="004D5F0F">
          <w:rPr>
            <w:webHidden/>
          </w:rPr>
          <w:instrText xml:space="preserve"> PAGEREF _Toc383011581 \h </w:instrText>
        </w:r>
        <w:r w:rsidR="004D5F0F">
          <w:rPr>
            <w:webHidden/>
          </w:rPr>
        </w:r>
        <w:r w:rsidR="004D5F0F">
          <w:rPr>
            <w:webHidden/>
          </w:rPr>
          <w:fldChar w:fldCharType="separate"/>
        </w:r>
        <w:r>
          <w:rPr>
            <w:webHidden/>
          </w:rPr>
          <w:t>1</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82" w:history="1">
        <w:r w:rsidR="004D5F0F" w:rsidRPr="000924CB">
          <w:rPr>
            <w:rStyle w:val="Hyperlink"/>
            <w:rFonts w:ascii="Times New Roman Bold" w:hAnsi="Times New Roman Bold"/>
            <w:caps/>
          </w:rPr>
          <w:t>B.</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Voice and representation</w:t>
        </w:r>
        <w:r w:rsidR="004D5F0F">
          <w:rPr>
            <w:webHidden/>
          </w:rPr>
          <w:tab/>
        </w:r>
        <w:r w:rsidR="004D5F0F">
          <w:rPr>
            <w:webHidden/>
          </w:rPr>
          <w:fldChar w:fldCharType="begin"/>
        </w:r>
        <w:r w:rsidR="004D5F0F">
          <w:rPr>
            <w:webHidden/>
          </w:rPr>
          <w:instrText xml:space="preserve"> PAGEREF _Toc383011582 \h </w:instrText>
        </w:r>
        <w:r w:rsidR="004D5F0F">
          <w:rPr>
            <w:webHidden/>
          </w:rPr>
        </w:r>
        <w:r w:rsidR="004D5F0F">
          <w:rPr>
            <w:webHidden/>
          </w:rPr>
          <w:fldChar w:fldCharType="separate"/>
        </w:r>
        <w:r>
          <w:rPr>
            <w:webHidden/>
          </w:rPr>
          <w:t>3</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83" w:history="1">
        <w:r w:rsidR="004D5F0F" w:rsidRPr="000924CB">
          <w:rPr>
            <w:rStyle w:val="Hyperlink"/>
            <w:rFonts w:ascii="Times New Roman Bold" w:hAnsi="Times New Roman Bold"/>
            <w:caps/>
          </w:rPr>
          <w:t>C.</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Subjective Wellbeing</w:t>
        </w:r>
        <w:r w:rsidR="004D5F0F">
          <w:rPr>
            <w:webHidden/>
          </w:rPr>
          <w:tab/>
        </w:r>
        <w:r w:rsidR="004D5F0F">
          <w:rPr>
            <w:webHidden/>
          </w:rPr>
          <w:fldChar w:fldCharType="begin"/>
        </w:r>
        <w:r w:rsidR="004D5F0F">
          <w:rPr>
            <w:webHidden/>
          </w:rPr>
          <w:instrText xml:space="preserve"> PAGEREF _Toc383011583 \h </w:instrText>
        </w:r>
        <w:r w:rsidR="004D5F0F">
          <w:rPr>
            <w:webHidden/>
          </w:rPr>
        </w:r>
        <w:r w:rsidR="004D5F0F">
          <w:rPr>
            <w:webHidden/>
          </w:rPr>
          <w:fldChar w:fldCharType="separate"/>
        </w:r>
        <w:r>
          <w:rPr>
            <w:webHidden/>
          </w:rPr>
          <w:t>4</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84" w:history="1">
        <w:r w:rsidR="004D5F0F" w:rsidRPr="000924CB">
          <w:rPr>
            <w:rStyle w:val="Hyperlink"/>
            <w:rFonts w:ascii="Times New Roman Bold" w:hAnsi="Times New Roman Bold"/>
            <w:caps/>
          </w:rPr>
          <w:t>D.</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Gender Related Views of Society</w:t>
        </w:r>
        <w:r w:rsidR="004D5F0F">
          <w:rPr>
            <w:webHidden/>
          </w:rPr>
          <w:tab/>
        </w:r>
        <w:r w:rsidR="004D5F0F">
          <w:rPr>
            <w:webHidden/>
          </w:rPr>
          <w:fldChar w:fldCharType="begin"/>
        </w:r>
        <w:r w:rsidR="004D5F0F">
          <w:rPr>
            <w:webHidden/>
          </w:rPr>
          <w:instrText xml:space="preserve"> PAGEREF _Toc383011584 \h </w:instrText>
        </w:r>
        <w:r w:rsidR="004D5F0F">
          <w:rPr>
            <w:webHidden/>
          </w:rPr>
        </w:r>
        <w:r w:rsidR="004D5F0F">
          <w:rPr>
            <w:webHidden/>
          </w:rPr>
          <w:fldChar w:fldCharType="separate"/>
        </w:r>
        <w:r>
          <w:rPr>
            <w:webHidden/>
          </w:rPr>
          <w:t>5</w:t>
        </w:r>
        <w:r w:rsidR="004D5F0F">
          <w:rPr>
            <w:webHidden/>
          </w:rPr>
          <w:fldChar w:fldCharType="end"/>
        </w:r>
      </w:hyperlink>
    </w:p>
    <w:p w:rsidR="004D5F0F" w:rsidRDefault="008A55B1">
      <w:pPr>
        <w:pStyle w:val="TOC1"/>
        <w:rPr>
          <w:rFonts w:asciiTheme="minorHAnsi" w:eastAsiaTheme="minorEastAsia" w:hAnsiTheme="minorHAnsi" w:cstheme="minorBidi"/>
          <w:b w:val="0"/>
          <w:sz w:val="22"/>
          <w:szCs w:val="22"/>
        </w:rPr>
      </w:pPr>
      <w:hyperlink w:anchor="_Toc383011585" w:history="1">
        <w:r w:rsidR="004D5F0F" w:rsidRPr="000924CB">
          <w:rPr>
            <w:rStyle w:val="Hyperlink"/>
          </w:rPr>
          <w:t>CHAPTER 2 Endowments</w:t>
        </w:r>
        <w:r w:rsidR="004D5F0F">
          <w:rPr>
            <w:webHidden/>
          </w:rPr>
          <w:tab/>
        </w:r>
        <w:r w:rsidR="004D5F0F">
          <w:rPr>
            <w:webHidden/>
          </w:rPr>
          <w:fldChar w:fldCharType="begin"/>
        </w:r>
        <w:r w:rsidR="004D5F0F">
          <w:rPr>
            <w:webHidden/>
          </w:rPr>
          <w:instrText xml:space="preserve"> PAGEREF _Toc383011585 \h </w:instrText>
        </w:r>
        <w:r w:rsidR="004D5F0F">
          <w:rPr>
            <w:webHidden/>
          </w:rPr>
        </w:r>
        <w:r w:rsidR="004D5F0F">
          <w:rPr>
            <w:webHidden/>
          </w:rPr>
          <w:fldChar w:fldCharType="separate"/>
        </w:r>
        <w:r>
          <w:rPr>
            <w:webHidden/>
          </w:rPr>
          <w:t>9</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86" w:history="1">
        <w:r w:rsidR="004D5F0F" w:rsidRPr="000924CB">
          <w:rPr>
            <w:rStyle w:val="Hyperlink"/>
            <w:rFonts w:ascii="Times New Roman Bold" w:hAnsi="Times New Roman Bold"/>
            <w:caps/>
          </w:rPr>
          <w:t>A.</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Education</w:t>
        </w:r>
        <w:r w:rsidR="004D5F0F">
          <w:rPr>
            <w:webHidden/>
          </w:rPr>
          <w:tab/>
        </w:r>
        <w:r w:rsidR="004D5F0F">
          <w:rPr>
            <w:webHidden/>
          </w:rPr>
          <w:fldChar w:fldCharType="begin"/>
        </w:r>
        <w:r w:rsidR="004D5F0F">
          <w:rPr>
            <w:webHidden/>
          </w:rPr>
          <w:instrText xml:space="preserve"> PAGEREF _Toc383011586 \h </w:instrText>
        </w:r>
        <w:r w:rsidR="004D5F0F">
          <w:rPr>
            <w:webHidden/>
          </w:rPr>
        </w:r>
        <w:r w:rsidR="004D5F0F">
          <w:rPr>
            <w:webHidden/>
          </w:rPr>
          <w:fldChar w:fldCharType="separate"/>
        </w:r>
        <w:r>
          <w:rPr>
            <w:webHidden/>
          </w:rPr>
          <w:t>9</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87" w:history="1">
        <w:r w:rsidR="004D5F0F" w:rsidRPr="000924CB">
          <w:rPr>
            <w:rStyle w:val="Hyperlink"/>
            <w:rFonts w:ascii="Times New Roman Bold" w:hAnsi="Times New Roman Bold"/>
            <w:caps/>
          </w:rPr>
          <w:t>B.</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Health</w:t>
        </w:r>
        <w:r w:rsidR="004D5F0F">
          <w:rPr>
            <w:webHidden/>
          </w:rPr>
          <w:tab/>
        </w:r>
        <w:r w:rsidR="004D5F0F">
          <w:rPr>
            <w:webHidden/>
          </w:rPr>
          <w:fldChar w:fldCharType="begin"/>
        </w:r>
        <w:r w:rsidR="004D5F0F">
          <w:rPr>
            <w:webHidden/>
          </w:rPr>
          <w:instrText xml:space="preserve"> PAGEREF _Toc383011587 \h </w:instrText>
        </w:r>
        <w:r w:rsidR="004D5F0F">
          <w:rPr>
            <w:webHidden/>
          </w:rPr>
        </w:r>
        <w:r w:rsidR="004D5F0F">
          <w:rPr>
            <w:webHidden/>
          </w:rPr>
          <w:fldChar w:fldCharType="separate"/>
        </w:r>
        <w:r>
          <w:rPr>
            <w:webHidden/>
          </w:rPr>
          <w:t>11</w:t>
        </w:r>
        <w:r w:rsidR="004D5F0F">
          <w:rPr>
            <w:webHidden/>
          </w:rPr>
          <w:fldChar w:fldCharType="end"/>
        </w:r>
      </w:hyperlink>
    </w:p>
    <w:p w:rsidR="004D5F0F" w:rsidRDefault="008A55B1">
      <w:pPr>
        <w:pStyle w:val="TOC1"/>
        <w:rPr>
          <w:rFonts w:asciiTheme="minorHAnsi" w:eastAsiaTheme="minorEastAsia" w:hAnsiTheme="minorHAnsi" w:cstheme="minorBidi"/>
          <w:b w:val="0"/>
          <w:sz w:val="22"/>
          <w:szCs w:val="22"/>
        </w:rPr>
      </w:pPr>
      <w:hyperlink w:anchor="_Toc383011588" w:history="1">
        <w:r w:rsidR="004D5F0F" w:rsidRPr="000924CB">
          <w:rPr>
            <w:rStyle w:val="Hyperlink"/>
          </w:rPr>
          <w:t>CHAPTER 3 Economic Opportunities</w:t>
        </w:r>
        <w:r w:rsidR="004D5F0F">
          <w:rPr>
            <w:webHidden/>
          </w:rPr>
          <w:tab/>
        </w:r>
        <w:r w:rsidR="004D5F0F">
          <w:rPr>
            <w:webHidden/>
          </w:rPr>
          <w:fldChar w:fldCharType="begin"/>
        </w:r>
        <w:r w:rsidR="004D5F0F">
          <w:rPr>
            <w:webHidden/>
          </w:rPr>
          <w:instrText xml:space="preserve"> PAGEREF _Toc383011588 \h </w:instrText>
        </w:r>
        <w:r w:rsidR="004D5F0F">
          <w:rPr>
            <w:webHidden/>
          </w:rPr>
        </w:r>
        <w:r w:rsidR="004D5F0F">
          <w:rPr>
            <w:webHidden/>
          </w:rPr>
          <w:fldChar w:fldCharType="separate"/>
        </w:r>
        <w:r>
          <w:rPr>
            <w:webHidden/>
          </w:rPr>
          <w:t>17</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89" w:history="1">
        <w:r w:rsidR="004D5F0F" w:rsidRPr="000924CB">
          <w:rPr>
            <w:rStyle w:val="Hyperlink"/>
            <w:rFonts w:ascii="Times New Roman Bold" w:hAnsi="Times New Roman Bold"/>
            <w:smallCaps/>
          </w:rPr>
          <w:t>A.</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Labor Market</w:t>
        </w:r>
        <w:r w:rsidR="004D5F0F">
          <w:rPr>
            <w:webHidden/>
          </w:rPr>
          <w:tab/>
        </w:r>
        <w:r w:rsidR="004D5F0F">
          <w:rPr>
            <w:webHidden/>
          </w:rPr>
          <w:fldChar w:fldCharType="begin"/>
        </w:r>
        <w:r w:rsidR="004D5F0F">
          <w:rPr>
            <w:webHidden/>
          </w:rPr>
          <w:instrText xml:space="preserve"> PAGEREF _Toc383011589 \h </w:instrText>
        </w:r>
        <w:r w:rsidR="004D5F0F">
          <w:rPr>
            <w:webHidden/>
          </w:rPr>
        </w:r>
        <w:r w:rsidR="004D5F0F">
          <w:rPr>
            <w:webHidden/>
          </w:rPr>
          <w:fldChar w:fldCharType="separate"/>
        </w:r>
        <w:r>
          <w:rPr>
            <w:webHidden/>
          </w:rPr>
          <w:t>17</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90" w:history="1">
        <w:r w:rsidR="004D5F0F" w:rsidRPr="000924CB">
          <w:rPr>
            <w:rStyle w:val="Hyperlink"/>
            <w:rFonts w:ascii="Times New Roman Bold" w:hAnsi="Times New Roman Bold"/>
            <w:smallCaps/>
          </w:rPr>
          <w:t>B.</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Entrepreneurship and access to finance</w:t>
        </w:r>
        <w:r w:rsidR="004D5F0F">
          <w:rPr>
            <w:webHidden/>
          </w:rPr>
          <w:tab/>
        </w:r>
        <w:r w:rsidR="004D5F0F">
          <w:rPr>
            <w:webHidden/>
          </w:rPr>
          <w:fldChar w:fldCharType="begin"/>
        </w:r>
        <w:r w:rsidR="004D5F0F">
          <w:rPr>
            <w:webHidden/>
          </w:rPr>
          <w:instrText xml:space="preserve"> PAGEREF _Toc383011590 \h </w:instrText>
        </w:r>
        <w:r w:rsidR="004D5F0F">
          <w:rPr>
            <w:webHidden/>
          </w:rPr>
        </w:r>
        <w:r w:rsidR="004D5F0F">
          <w:rPr>
            <w:webHidden/>
          </w:rPr>
          <w:fldChar w:fldCharType="separate"/>
        </w:r>
        <w:r>
          <w:rPr>
            <w:webHidden/>
          </w:rPr>
          <w:t>21</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91" w:history="1">
        <w:r w:rsidR="004D5F0F" w:rsidRPr="000924CB">
          <w:rPr>
            <w:rStyle w:val="Hyperlink"/>
            <w:rFonts w:ascii="Times New Roman Bold" w:hAnsi="Times New Roman Bold"/>
            <w:smallCaps/>
          </w:rPr>
          <w:t>C.</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Earnings on the labor market</w:t>
        </w:r>
        <w:r w:rsidR="004D5F0F">
          <w:rPr>
            <w:webHidden/>
          </w:rPr>
          <w:tab/>
        </w:r>
        <w:r w:rsidR="004D5F0F">
          <w:rPr>
            <w:webHidden/>
          </w:rPr>
          <w:fldChar w:fldCharType="begin"/>
        </w:r>
        <w:r w:rsidR="004D5F0F">
          <w:rPr>
            <w:webHidden/>
          </w:rPr>
          <w:instrText xml:space="preserve"> PAGEREF _Toc383011591 \h </w:instrText>
        </w:r>
        <w:r w:rsidR="004D5F0F">
          <w:rPr>
            <w:webHidden/>
          </w:rPr>
        </w:r>
        <w:r w:rsidR="004D5F0F">
          <w:rPr>
            <w:webHidden/>
          </w:rPr>
          <w:fldChar w:fldCharType="separate"/>
        </w:r>
        <w:r>
          <w:rPr>
            <w:webHidden/>
          </w:rPr>
          <w:t>25</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92" w:history="1">
        <w:r w:rsidR="004D5F0F" w:rsidRPr="000924CB">
          <w:rPr>
            <w:rStyle w:val="Hyperlink"/>
            <w:rFonts w:ascii="Times New Roman Bold" w:hAnsi="Times New Roman Bold"/>
            <w:smallCaps/>
          </w:rPr>
          <w:t>D.</w:t>
        </w:r>
        <w:r w:rsidR="004D5F0F">
          <w:rPr>
            <w:rFonts w:asciiTheme="minorHAnsi" w:eastAsiaTheme="minorEastAsia" w:hAnsiTheme="minorHAnsi" w:cstheme="minorBidi"/>
            <w:b w:val="0"/>
            <w:sz w:val="22"/>
            <w:szCs w:val="22"/>
          </w:rPr>
          <w:tab/>
        </w:r>
        <w:r w:rsidR="004D5F0F" w:rsidRPr="000924CB">
          <w:rPr>
            <w:rStyle w:val="Hyperlink"/>
            <w:rFonts w:ascii="Times New Roman Bold" w:hAnsi="Times New Roman Bold"/>
            <w:smallCaps/>
          </w:rPr>
          <w:t>Gender and poverty</w:t>
        </w:r>
        <w:r w:rsidR="004D5F0F">
          <w:rPr>
            <w:webHidden/>
          </w:rPr>
          <w:tab/>
        </w:r>
        <w:r w:rsidR="004D5F0F">
          <w:rPr>
            <w:webHidden/>
          </w:rPr>
          <w:fldChar w:fldCharType="begin"/>
        </w:r>
        <w:r w:rsidR="004D5F0F">
          <w:rPr>
            <w:webHidden/>
          </w:rPr>
          <w:instrText xml:space="preserve"> PAGEREF _Toc383011592 \h </w:instrText>
        </w:r>
        <w:r w:rsidR="004D5F0F">
          <w:rPr>
            <w:webHidden/>
          </w:rPr>
        </w:r>
        <w:r w:rsidR="004D5F0F">
          <w:rPr>
            <w:webHidden/>
          </w:rPr>
          <w:fldChar w:fldCharType="separate"/>
        </w:r>
        <w:r>
          <w:rPr>
            <w:webHidden/>
          </w:rPr>
          <w:t>27</w:t>
        </w:r>
        <w:r w:rsidR="004D5F0F">
          <w:rPr>
            <w:webHidden/>
          </w:rPr>
          <w:fldChar w:fldCharType="end"/>
        </w:r>
      </w:hyperlink>
    </w:p>
    <w:p w:rsidR="004D5F0F" w:rsidRDefault="008A55B1">
      <w:pPr>
        <w:pStyle w:val="TOC1"/>
        <w:rPr>
          <w:rFonts w:asciiTheme="minorHAnsi" w:eastAsiaTheme="minorEastAsia" w:hAnsiTheme="minorHAnsi" w:cstheme="minorBidi"/>
          <w:b w:val="0"/>
          <w:sz w:val="22"/>
          <w:szCs w:val="22"/>
        </w:rPr>
      </w:pPr>
      <w:hyperlink w:anchor="_Toc383011593" w:history="1">
        <w:r w:rsidR="004D5F0F" w:rsidRPr="000924CB">
          <w:rPr>
            <w:rStyle w:val="Hyperlink"/>
          </w:rPr>
          <w:t>CHAPTER 4 Conclusions and Policy Recommendations</w:t>
        </w:r>
        <w:r w:rsidR="004D5F0F">
          <w:rPr>
            <w:webHidden/>
          </w:rPr>
          <w:tab/>
        </w:r>
        <w:r w:rsidR="004D5F0F">
          <w:rPr>
            <w:webHidden/>
          </w:rPr>
          <w:fldChar w:fldCharType="begin"/>
        </w:r>
        <w:r w:rsidR="004D5F0F">
          <w:rPr>
            <w:webHidden/>
          </w:rPr>
          <w:instrText xml:space="preserve"> PAGEREF _Toc383011593 \h </w:instrText>
        </w:r>
        <w:r w:rsidR="004D5F0F">
          <w:rPr>
            <w:webHidden/>
          </w:rPr>
        </w:r>
        <w:r w:rsidR="004D5F0F">
          <w:rPr>
            <w:webHidden/>
          </w:rPr>
          <w:fldChar w:fldCharType="separate"/>
        </w:r>
        <w:r>
          <w:rPr>
            <w:webHidden/>
          </w:rPr>
          <w:t>30</w:t>
        </w:r>
        <w:r w:rsidR="004D5F0F">
          <w:rPr>
            <w:webHidden/>
          </w:rPr>
          <w:fldChar w:fldCharType="end"/>
        </w:r>
      </w:hyperlink>
    </w:p>
    <w:p w:rsidR="004D5F0F" w:rsidRDefault="008A55B1">
      <w:pPr>
        <w:pStyle w:val="TOC2"/>
        <w:rPr>
          <w:rFonts w:asciiTheme="minorHAnsi" w:eastAsiaTheme="minorEastAsia" w:hAnsiTheme="minorHAnsi" w:cstheme="minorBidi"/>
          <w:b w:val="0"/>
          <w:sz w:val="22"/>
          <w:szCs w:val="22"/>
        </w:rPr>
      </w:pPr>
      <w:hyperlink w:anchor="_Toc383011594" w:history="1">
        <w:r w:rsidR="004D5F0F" w:rsidRPr="000924CB">
          <w:rPr>
            <w:rStyle w:val="Hyperlink"/>
            <w:rFonts w:ascii="Times New Roman Bold" w:hAnsi="Times New Roman Bold"/>
            <w:smallCaps/>
          </w:rPr>
          <w:t>Appendix</w:t>
        </w:r>
        <w:r w:rsidR="004D5F0F">
          <w:rPr>
            <w:webHidden/>
          </w:rPr>
          <w:tab/>
        </w:r>
        <w:r w:rsidR="004D5F0F">
          <w:rPr>
            <w:webHidden/>
          </w:rPr>
          <w:fldChar w:fldCharType="begin"/>
        </w:r>
        <w:r w:rsidR="004D5F0F">
          <w:rPr>
            <w:webHidden/>
          </w:rPr>
          <w:instrText xml:space="preserve"> PAGEREF _Toc383011594 \h </w:instrText>
        </w:r>
        <w:r w:rsidR="004D5F0F">
          <w:rPr>
            <w:webHidden/>
          </w:rPr>
        </w:r>
        <w:r w:rsidR="004D5F0F">
          <w:rPr>
            <w:webHidden/>
          </w:rPr>
          <w:fldChar w:fldCharType="separate"/>
        </w:r>
        <w:r>
          <w:rPr>
            <w:webHidden/>
          </w:rPr>
          <w:t>35</w:t>
        </w:r>
        <w:r w:rsidR="004D5F0F">
          <w:rPr>
            <w:webHidden/>
          </w:rPr>
          <w:fldChar w:fldCharType="end"/>
        </w:r>
      </w:hyperlink>
    </w:p>
    <w:p w:rsidR="00077D41" w:rsidRDefault="00257E5F" w:rsidP="009575E7">
      <w:pPr>
        <w:pStyle w:val="Style2"/>
      </w:pPr>
      <w:r w:rsidRPr="00F32786">
        <w:fldChar w:fldCharType="end"/>
      </w:r>
    </w:p>
    <w:p w:rsidR="00077D41" w:rsidRPr="00907E30" w:rsidRDefault="00077D41" w:rsidP="00077D41">
      <w:pPr>
        <w:rPr>
          <w:b/>
        </w:rPr>
      </w:pPr>
      <w:r w:rsidRPr="00907E30">
        <w:rPr>
          <w:b/>
        </w:rPr>
        <w:t>List of Tables</w:t>
      </w:r>
    </w:p>
    <w:p w:rsidR="00077D41" w:rsidRDefault="00077D41" w:rsidP="00077D41"/>
    <w:p w:rsidR="004D5F0F" w:rsidRDefault="00170557">
      <w:pPr>
        <w:pStyle w:val="TableofFigures"/>
        <w:tabs>
          <w:tab w:val="right" w:leader="dot" w:pos="9350"/>
        </w:tabs>
        <w:rPr>
          <w:rFonts w:asciiTheme="minorHAnsi" w:eastAsiaTheme="minorEastAsia" w:hAnsiTheme="minorHAnsi" w:cstheme="minorBidi"/>
          <w:noProof/>
          <w:szCs w:val="22"/>
        </w:rPr>
      </w:pPr>
      <w:r w:rsidRPr="00B60442">
        <w:rPr>
          <w:szCs w:val="22"/>
        </w:rPr>
        <w:fldChar w:fldCharType="begin"/>
      </w:r>
      <w:r w:rsidRPr="00B60442">
        <w:rPr>
          <w:szCs w:val="22"/>
        </w:rPr>
        <w:instrText xml:space="preserve"> TOC \h \z \c "Table" </w:instrText>
      </w:r>
      <w:r w:rsidRPr="00B60442">
        <w:rPr>
          <w:szCs w:val="22"/>
        </w:rPr>
        <w:fldChar w:fldCharType="separate"/>
      </w:r>
      <w:hyperlink w:anchor="_Toc383011595" w:history="1">
        <w:r w:rsidR="004D5F0F" w:rsidRPr="0011696C">
          <w:rPr>
            <w:rStyle w:val="Hyperlink"/>
            <w:noProof/>
          </w:rPr>
          <w:t>Table 0.1:</w:t>
        </w:r>
        <w:r w:rsidR="004D5F0F" w:rsidRPr="0011696C">
          <w:rPr>
            <w:rStyle w:val="Hyperlink"/>
            <w:bCs/>
            <w:noProof/>
          </w:rPr>
          <w:t xml:space="preserve"> Views on Gender Related Statements Across Men and Women and Age Groups, % of Agreement, 2008</w:t>
        </w:r>
        <w:r w:rsidR="004D5F0F">
          <w:rPr>
            <w:noProof/>
            <w:webHidden/>
          </w:rPr>
          <w:tab/>
        </w:r>
        <w:r w:rsidR="004D5F0F">
          <w:rPr>
            <w:noProof/>
            <w:webHidden/>
          </w:rPr>
          <w:fldChar w:fldCharType="begin"/>
        </w:r>
        <w:r w:rsidR="004D5F0F">
          <w:rPr>
            <w:noProof/>
            <w:webHidden/>
          </w:rPr>
          <w:instrText xml:space="preserve"> PAGEREF _Toc383011595 \h </w:instrText>
        </w:r>
        <w:r w:rsidR="004D5F0F">
          <w:rPr>
            <w:noProof/>
            <w:webHidden/>
          </w:rPr>
        </w:r>
        <w:r w:rsidR="004D5F0F">
          <w:rPr>
            <w:noProof/>
            <w:webHidden/>
          </w:rPr>
          <w:fldChar w:fldCharType="separate"/>
        </w:r>
        <w:r w:rsidR="008A55B1">
          <w:rPr>
            <w:noProof/>
            <w:webHidden/>
          </w:rPr>
          <w:t>7</w:t>
        </w:r>
        <w:r w:rsidR="004D5F0F">
          <w:rPr>
            <w:noProof/>
            <w:webHidden/>
          </w:rPr>
          <w:fldChar w:fldCharType="end"/>
        </w:r>
      </w:hyperlink>
    </w:p>
    <w:p w:rsidR="004D5F0F" w:rsidRDefault="008A55B1">
      <w:pPr>
        <w:pStyle w:val="TableofFigures"/>
        <w:tabs>
          <w:tab w:val="right" w:leader="dot" w:pos="9350"/>
        </w:tabs>
        <w:rPr>
          <w:rFonts w:asciiTheme="minorHAnsi" w:eastAsiaTheme="minorEastAsia" w:hAnsiTheme="minorHAnsi" w:cstheme="minorBidi"/>
          <w:noProof/>
          <w:szCs w:val="22"/>
        </w:rPr>
      </w:pPr>
      <w:hyperlink w:anchor="_Toc383011596" w:history="1">
        <w:r w:rsidR="004D5F0F" w:rsidRPr="0011696C">
          <w:rPr>
            <w:rStyle w:val="Hyperlink"/>
            <w:noProof/>
          </w:rPr>
          <w:t>Table 2.1:  Demographic Tendencies</w:t>
        </w:r>
        <w:r w:rsidR="004D5F0F">
          <w:rPr>
            <w:noProof/>
            <w:webHidden/>
          </w:rPr>
          <w:tab/>
        </w:r>
        <w:r w:rsidR="004D5F0F">
          <w:rPr>
            <w:noProof/>
            <w:webHidden/>
          </w:rPr>
          <w:fldChar w:fldCharType="begin"/>
        </w:r>
        <w:r w:rsidR="004D5F0F">
          <w:rPr>
            <w:noProof/>
            <w:webHidden/>
          </w:rPr>
          <w:instrText xml:space="preserve"> PAGEREF _Toc383011596 \h </w:instrText>
        </w:r>
        <w:r w:rsidR="004D5F0F">
          <w:rPr>
            <w:noProof/>
            <w:webHidden/>
          </w:rPr>
        </w:r>
        <w:r w:rsidR="004D5F0F">
          <w:rPr>
            <w:noProof/>
            <w:webHidden/>
          </w:rPr>
          <w:fldChar w:fldCharType="separate"/>
        </w:r>
        <w:r>
          <w:rPr>
            <w:noProof/>
            <w:webHidden/>
          </w:rPr>
          <w:t>12</w:t>
        </w:r>
        <w:r w:rsidR="004D5F0F">
          <w:rPr>
            <w:noProof/>
            <w:webHidden/>
          </w:rPr>
          <w:fldChar w:fldCharType="end"/>
        </w:r>
      </w:hyperlink>
    </w:p>
    <w:p w:rsidR="004D5F0F" w:rsidRDefault="008A55B1">
      <w:pPr>
        <w:pStyle w:val="TableofFigures"/>
        <w:tabs>
          <w:tab w:val="right" w:leader="dot" w:pos="9350"/>
        </w:tabs>
        <w:rPr>
          <w:rFonts w:asciiTheme="minorHAnsi" w:eastAsiaTheme="minorEastAsia" w:hAnsiTheme="minorHAnsi" w:cstheme="minorBidi"/>
          <w:noProof/>
          <w:szCs w:val="22"/>
        </w:rPr>
      </w:pPr>
      <w:hyperlink w:anchor="_Toc383011597" w:history="1">
        <w:r w:rsidR="004D5F0F" w:rsidRPr="0011696C">
          <w:rPr>
            <w:rStyle w:val="Hyperlink"/>
            <w:noProof/>
          </w:rPr>
          <w:t>Table 3.1: Employment and Earnings Statistics, 2009</w:t>
        </w:r>
        <w:r w:rsidR="004D5F0F">
          <w:rPr>
            <w:noProof/>
            <w:webHidden/>
          </w:rPr>
          <w:tab/>
        </w:r>
        <w:r w:rsidR="004D5F0F">
          <w:rPr>
            <w:noProof/>
            <w:webHidden/>
          </w:rPr>
          <w:fldChar w:fldCharType="begin"/>
        </w:r>
        <w:r w:rsidR="004D5F0F">
          <w:rPr>
            <w:noProof/>
            <w:webHidden/>
          </w:rPr>
          <w:instrText xml:space="preserve"> PAGEREF _Toc383011597 \h </w:instrText>
        </w:r>
        <w:r w:rsidR="004D5F0F">
          <w:rPr>
            <w:noProof/>
            <w:webHidden/>
          </w:rPr>
        </w:r>
        <w:r w:rsidR="004D5F0F">
          <w:rPr>
            <w:noProof/>
            <w:webHidden/>
          </w:rPr>
          <w:fldChar w:fldCharType="separate"/>
        </w:r>
        <w:r>
          <w:rPr>
            <w:noProof/>
            <w:webHidden/>
          </w:rPr>
          <w:t>19</w:t>
        </w:r>
        <w:r w:rsidR="004D5F0F">
          <w:rPr>
            <w:noProof/>
            <w:webHidden/>
          </w:rPr>
          <w:fldChar w:fldCharType="end"/>
        </w:r>
      </w:hyperlink>
    </w:p>
    <w:p w:rsidR="004D5F0F" w:rsidRDefault="008A55B1">
      <w:pPr>
        <w:pStyle w:val="TableofFigures"/>
        <w:tabs>
          <w:tab w:val="right" w:leader="dot" w:pos="9350"/>
        </w:tabs>
        <w:rPr>
          <w:rFonts w:asciiTheme="minorHAnsi" w:eastAsiaTheme="minorEastAsia" w:hAnsiTheme="minorHAnsi" w:cstheme="minorBidi"/>
          <w:noProof/>
          <w:szCs w:val="22"/>
        </w:rPr>
      </w:pPr>
      <w:hyperlink w:anchor="_Toc383011598" w:history="1">
        <w:r w:rsidR="004D5F0F" w:rsidRPr="0011696C">
          <w:rPr>
            <w:rStyle w:val="Hyperlink"/>
            <w:noProof/>
          </w:rPr>
          <w:t>Table 3.2: Profile of working and nonworking women above 55</w:t>
        </w:r>
        <w:r w:rsidR="004D5F0F">
          <w:rPr>
            <w:noProof/>
            <w:webHidden/>
          </w:rPr>
          <w:tab/>
        </w:r>
        <w:r w:rsidR="004D5F0F">
          <w:rPr>
            <w:noProof/>
            <w:webHidden/>
          </w:rPr>
          <w:fldChar w:fldCharType="begin"/>
        </w:r>
        <w:r w:rsidR="004D5F0F">
          <w:rPr>
            <w:noProof/>
            <w:webHidden/>
          </w:rPr>
          <w:instrText xml:space="preserve"> PAGEREF _Toc383011598 \h </w:instrText>
        </w:r>
        <w:r w:rsidR="004D5F0F">
          <w:rPr>
            <w:noProof/>
            <w:webHidden/>
          </w:rPr>
        </w:r>
        <w:r w:rsidR="004D5F0F">
          <w:rPr>
            <w:noProof/>
            <w:webHidden/>
          </w:rPr>
          <w:fldChar w:fldCharType="separate"/>
        </w:r>
        <w:r>
          <w:rPr>
            <w:noProof/>
            <w:webHidden/>
          </w:rPr>
          <w:t>21</w:t>
        </w:r>
        <w:r w:rsidR="004D5F0F">
          <w:rPr>
            <w:noProof/>
            <w:webHidden/>
          </w:rPr>
          <w:fldChar w:fldCharType="end"/>
        </w:r>
      </w:hyperlink>
    </w:p>
    <w:p w:rsidR="004D5F0F" w:rsidRDefault="008A55B1">
      <w:pPr>
        <w:pStyle w:val="TableofFigures"/>
        <w:tabs>
          <w:tab w:val="right" w:leader="dot" w:pos="9350"/>
        </w:tabs>
        <w:rPr>
          <w:rFonts w:asciiTheme="minorHAnsi" w:eastAsiaTheme="minorEastAsia" w:hAnsiTheme="minorHAnsi" w:cstheme="minorBidi"/>
          <w:noProof/>
          <w:szCs w:val="22"/>
        </w:rPr>
      </w:pPr>
      <w:hyperlink w:anchor="_Toc383011599" w:history="1">
        <w:r w:rsidR="004D5F0F" w:rsidRPr="0011696C">
          <w:rPr>
            <w:rStyle w:val="Hyperlink"/>
            <w:noProof/>
          </w:rPr>
          <w:t>Table 3.3:  Oaxaca Decomposition of Monthly Wages, 2010</w:t>
        </w:r>
        <w:r w:rsidR="004D5F0F">
          <w:rPr>
            <w:noProof/>
            <w:webHidden/>
          </w:rPr>
          <w:tab/>
        </w:r>
        <w:r w:rsidR="004D5F0F">
          <w:rPr>
            <w:noProof/>
            <w:webHidden/>
          </w:rPr>
          <w:fldChar w:fldCharType="begin"/>
        </w:r>
        <w:r w:rsidR="004D5F0F">
          <w:rPr>
            <w:noProof/>
            <w:webHidden/>
          </w:rPr>
          <w:instrText xml:space="preserve"> PAGEREF _Toc383011599 \h </w:instrText>
        </w:r>
        <w:r w:rsidR="004D5F0F">
          <w:rPr>
            <w:noProof/>
            <w:webHidden/>
          </w:rPr>
        </w:r>
        <w:r w:rsidR="004D5F0F">
          <w:rPr>
            <w:noProof/>
            <w:webHidden/>
          </w:rPr>
          <w:fldChar w:fldCharType="separate"/>
        </w:r>
        <w:r>
          <w:rPr>
            <w:noProof/>
            <w:webHidden/>
          </w:rPr>
          <w:t>27</w:t>
        </w:r>
        <w:r w:rsidR="004D5F0F">
          <w:rPr>
            <w:noProof/>
            <w:webHidden/>
          </w:rPr>
          <w:fldChar w:fldCharType="end"/>
        </w:r>
      </w:hyperlink>
    </w:p>
    <w:p w:rsidR="00B60442" w:rsidRDefault="00170557" w:rsidP="004C2FED">
      <w:pPr>
        <w:pStyle w:val="TableofFigures"/>
        <w:tabs>
          <w:tab w:val="left" w:pos="7560"/>
        </w:tabs>
        <w:rPr>
          <w:szCs w:val="22"/>
        </w:rPr>
      </w:pPr>
      <w:r w:rsidRPr="00B60442">
        <w:rPr>
          <w:szCs w:val="22"/>
        </w:rPr>
        <w:fldChar w:fldCharType="end"/>
      </w:r>
    </w:p>
    <w:p w:rsidR="00077D41" w:rsidRPr="00134E19" w:rsidRDefault="00077D41" w:rsidP="00134E19">
      <w:pPr>
        <w:pStyle w:val="TableofFigures"/>
        <w:tabs>
          <w:tab w:val="left" w:pos="7560"/>
        </w:tabs>
        <w:rPr>
          <w:b/>
        </w:rPr>
      </w:pPr>
      <w:r w:rsidRPr="00134E19">
        <w:rPr>
          <w:b/>
        </w:rPr>
        <w:t>List of Figures</w:t>
      </w:r>
    </w:p>
    <w:p w:rsidR="00170557" w:rsidRPr="00274F1D" w:rsidRDefault="00170557" w:rsidP="00077D41">
      <w:pPr>
        <w:rPr>
          <w:b/>
          <w:sz w:val="22"/>
          <w:szCs w:val="22"/>
        </w:rPr>
      </w:pPr>
    </w:p>
    <w:p w:rsidR="00041567" w:rsidRDefault="00B33377">
      <w:pPr>
        <w:pStyle w:val="TableofFigures"/>
        <w:tabs>
          <w:tab w:val="right" w:leader="dot" w:pos="9350"/>
        </w:tabs>
        <w:rPr>
          <w:rFonts w:asciiTheme="minorHAnsi" w:eastAsiaTheme="minorEastAsia" w:hAnsiTheme="minorHAnsi" w:cstheme="minorBidi"/>
          <w:noProof/>
          <w:szCs w:val="22"/>
        </w:rPr>
      </w:pPr>
      <w:r w:rsidRPr="00B60442">
        <w:rPr>
          <w:b/>
          <w:szCs w:val="22"/>
        </w:rPr>
        <w:fldChar w:fldCharType="begin"/>
      </w:r>
      <w:r w:rsidRPr="00B60442">
        <w:rPr>
          <w:b/>
          <w:szCs w:val="22"/>
        </w:rPr>
        <w:instrText xml:space="preserve"> TOC \h \z \c "Figure" </w:instrText>
      </w:r>
      <w:r w:rsidRPr="00B60442">
        <w:rPr>
          <w:b/>
          <w:szCs w:val="22"/>
        </w:rPr>
        <w:fldChar w:fldCharType="separate"/>
      </w:r>
      <w:hyperlink w:anchor="_Toc383010204" w:history="1">
        <w:r w:rsidR="00041567" w:rsidRPr="00E02E49">
          <w:rPr>
            <w:rStyle w:val="Hyperlink"/>
            <w:noProof/>
          </w:rPr>
          <w:t>Figure 0.1: Share of Women Representation in Legislative and Public Administration Bodies, %</w:t>
        </w:r>
        <w:r w:rsidR="00041567">
          <w:rPr>
            <w:noProof/>
            <w:webHidden/>
          </w:rPr>
          <w:tab/>
        </w:r>
        <w:r w:rsidR="00041567">
          <w:rPr>
            <w:noProof/>
            <w:webHidden/>
          </w:rPr>
          <w:fldChar w:fldCharType="begin"/>
        </w:r>
        <w:r w:rsidR="00041567">
          <w:rPr>
            <w:noProof/>
            <w:webHidden/>
          </w:rPr>
          <w:instrText xml:space="preserve"> PAGEREF _Toc383010204 \h </w:instrText>
        </w:r>
        <w:r w:rsidR="00041567">
          <w:rPr>
            <w:noProof/>
            <w:webHidden/>
          </w:rPr>
        </w:r>
        <w:r w:rsidR="00041567">
          <w:rPr>
            <w:noProof/>
            <w:webHidden/>
          </w:rPr>
          <w:fldChar w:fldCharType="separate"/>
        </w:r>
        <w:r w:rsidR="008A55B1">
          <w:rPr>
            <w:noProof/>
            <w:webHidden/>
          </w:rPr>
          <w:t>4</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05" w:history="1">
        <w:r w:rsidR="00041567" w:rsidRPr="00E02E49">
          <w:rPr>
            <w:rStyle w:val="Hyperlink"/>
            <w:noProof/>
          </w:rPr>
          <w:t>Figure 0.2: Measures of Life Satisfaction</w:t>
        </w:r>
        <w:r w:rsidR="00041567">
          <w:rPr>
            <w:noProof/>
            <w:webHidden/>
          </w:rPr>
          <w:tab/>
        </w:r>
        <w:r w:rsidR="00041567">
          <w:rPr>
            <w:noProof/>
            <w:webHidden/>
          </w:rPr>
          <w:fldChar w:fldCharType="begin"/>
        </w:r>
        <w:r w:rsidR="00041567">
          <w:rPr>
            <w:noProof/>
            <w:webHidden/>
          </w:rPr>
          <w:instrText xml:space="preserve"> PAGEREF _Toc383010205 \h </w:instrText>
        </w:r>
        <w:r w:rsidR="00041567">
          <w:rPr>
            <w:noProof/>
            <w:webHidden/>
          </w:rPr>
        </w:r>
        <w:r w:rsidR="00041567">
          <w:rPr>
            <w:noProof/>
            <w:webHidden/>
          </w:rPr>
          <w:fldChar w:fldCharType="separate"/>
        </w:r>
        <w:r>
          <w:rPr>
            <w:noProof/>
            <w:webHidden/>
          </w:rPr>
          <w:t>5</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06" w:history="1">
        <w:r w:rsidR="00041567" w:rsidRPr="00E02E49">
          <w:rPr>
            <w:rStyle w:val="Hyperlink"/>
            <w:noProof/>
          </w:rPr>
          <w:t>Figure 0.3: Mean Value of Indicators Showing Agreement with the Views on Gender Related Statements Across Gender, 2008</w:t>
        </w:r>
        <w:r w:rsidR="00041567">
          <w:rPr>
            <w:noProof/>
            <w:webHidden/>
          </w:rPr>
          <w:tab/>
        </w:r>
        <w:r w:rsidR="00041567">
          <w:rPr>
            <w:noProof/>
            <w:webHidden/>
          </w:rPr>
          <w:fldChar w:fldCharType="begin"/>
        </w:r>
        <w:r w:rsidR="00041567">
          <w:rPr>
            <w:noProof/>
            <w:webHidden/>
          </w:rPr>
          <w:instrText xml:space="preserve"> PAGEREF _Toc383010206 \h </w:instrText>
        </w:r>
        <w:r w:rsidR="00041567">
          <w:rPr>
            <w:noProof/>
            <w:webHidden/>
          </w:rPr>
        </w:r>
        <w:r w:rsidR="00041567">
          <w:rPr>
            <w:noProof/>
            <w:webHidden/>
          </w:rPr>
          <w:fldChar w:fldCharType="separate"/>
        </w:r>
        <w:r>
          <w:rPr>
            <w:noProof/>
            <w:webHidden/>
          </w:rPr>
          <w:t>6</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07" w:history="1">
        <w:r w:rsidR="00041567" w:rsidRPr="00E02E49">
          <w:rPr>
            <w:rStyle w:val="Hyperlink"/>
            <w:noProof/>
          </w:rPr>
          <w:t>Figure 2.1: Enrollment in Primary, Secondary and Tertiary Education, %</w:t>
        </w:r>
        <w:r w:rsidR="00041567">
          <w:rPr>
            <w:noProof/>
            <w:webHidden/>
          </w:rPr>
          <w:tab/>
        </w:r>
        <w:r w:rsidR="00041567">
          <w:rPr>
            <w:noProof/>
            <w:webHidden/>
          </w:rPr>
          <w:fldChar w:fldCharType="begin"/>
        </w:r>
        <w:r w:rsidR="00041567">
          <w:rPr>
            <w:noProof/>
            <w:webHidden/>
          </w:rPr>
          <w:instrText xml:space="preserve"> PAGEREF _Toc383010207 \h </w:instrText>
        </w:r>
        <w:r w:rsidR="00041567">
          <w:rPr>
            <w:noProof/>
            <w:webHidden/>
          </w:rPr>
        </w:r>
        <w:r w:rsidR="00041567">
          <w:rPr>
            <w:noProof/>
            <w:webHidden/>
          </w:rPr>
          <w:fldChar w:fldCharType="separate"/>
        </w:r>
        <w:r>
          <w:rPr>
            <w:noProof/>
            <w:webHidden/>
          </w:rPr>
          <w:t>9</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08" w:history="1">
        <w:r w:rsidR="00041567" w:rsidRPr="00E02E49">
          <w:rPr>
            <w:rStyle w:val="Hyperlink"/>
            <w:noProof/>
          </w:rPr>
          <w:t>Figure 2.2: Enrollment Among Population Aged 17-24 by Consumption per capita Quartiles in 2010, %</w:t>
        </w:r>
        <w:r w:rsidR="00041567">
          <w:rPr>
            <w:noProof/>
            <w:webHidden/>
          </w:rPr>
          <w:tab/>
        </w:r>
        <w:r w:rsidR="00041567">
          <w:rPr>
            <w:noProof/>
            <w:webHidden/>
          </w:rPr>
          <w:fldChar w:fldCharType="begin"/>
        </w:r>
        <w:r w:rsidR="00041567">
          <w:rPr>
            <w:noProof/>
            <w:webHidden/>
          </w:rPr>
          <w:instrText xml:space="preserve"> PAGEREF _Toc383010208 \h </w:instrText>
        </w:r>
        <w:r w:rsidR="00041567">
          <w:rPr>
            <w:noProof/>
            <w:webHidden/>
          </w:rPr>
        </w:r>
        <w:r w:rsidR="00041567">
          <w:rPr>
            <w:noProof/>
            <w:webHidden/>
          </w:rPr>
          <w:fldChar w:fldCharType="separate"/>
        </w:r>
        <w:r>
          <w:rPr>
            <w:noProof/>
            <w:webHidden/>
          </w:rPr>
          <w:t>10</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09" w:history="1">
        <w:r w:rsidR="00041567" w:rsidRPr="00E02E49">
          <w:rPr>
            <w:rStyle w:val="Hyperlink"/>
            <w:noProof/>
          </w:rPr>
          <w:t>Figure 2.3: Enrollment in Tertiary Education by Subjects in 2009-2010, %</w:t>
        </w:r>
        <w:r w:rsidR="00041567">
          <w:rPr>
            <w:noProof/>
            <w:webHidden/>
          </w:rPr>
          <w:tab/>
        </w:r>
        <w:r w:rsidR="00041567">
          <w:rPr>
            <w:noProof/>
            <w:webHidden/>
          </w:rPr>
          <w:fldChar w:fldCharType="begin"/>
        </w:r>
        <w:r w:rsidR="00041567">
          <w:rPr>
            <w:noProof/>
            <w:webHidden/>
          </w:rPr>
          <w:instrText xml:space="preserve"> PAGEREF _Toc383010209 \h </w:instrText>
        </w:r>
        <w:r w:rsidR="00041567">
          <w:rPr>
            <w:noProof/>
            <w:webHidden/>
          </w:rPr>
        </w:r>
        <w:r w:rsidR="00041567">
          <w:rPr>
            <w:noProof/>
            <w:webHidden/>
          </w:rPr>
          <w:fldChar w:fldCharType="separate"/>
        </w:r>
        <w:r>
          <w:rPr>
            <w:noProof/>
            <w:webHidden/>
          </w:rPr>
          <w:t>11</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0" w:history="1">
        <w:r w:rsidR="00041567" w:rsidRPr="00E02E49">
          <w:rPr>
            <w:rStyle w:val="Hyperlink"/>
            <w:noProof/>
          </w:rPr>
          <w:t>Figure 2.4: Share of Population by Age Groups and Gender in 2011, %</w:t>
        </w:r>
        <w:r w:rsidR="00041567">
          <w:rPr>
            <w:noProof/>
            <w:webHidden/>
          </w:rPr>
          <w:tab/>
        </w:r>
        <w:r w:rsidR="00041567">
          <w:rPr>
            <w:noProof/>
            <w:webHidden/>
          </w:rPr>
          <w:fldChar w:fldCharType="begin"/>
        </w:r>
        <w:r w:rsidR="00041567">
          <w:rPr>
            <w:noProof/>
            <w:webHidden/>
          </w:rPr>
          <w:instrText xml:space="preserve"> PAGEREF _Toc383010210 \h </w:instrText>
        </w:r>
        <w:r w:rsidR="00041567">
          <w:rPr>
            <w:noProof/>
            <w:webHidden/>
          </w:rPr>
        </w:r>
        <w:r w:rsidR="00041567">
          <w:rPr>
            <w:noProof/>
            <w:webHidden/>
          </w:rPr>
          <w:fldChar w:fldCharType="separate"/>
        </w:r>
        <w:r>
          <w:rPr>
            <w:noProof/>
            <w:webHidden/>
          </w:rPr>
          <w:t>11</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1" w:history="1">
        <w:r w:rsidR="00041567" w:rsidRPr="00E02E49">
          <w:rPr>
            <w:rStyle w:val="Hyperlink"/>
            <w:noProof/>
          </w:rPr>
          <w:t>Figure 2.5: Life Expectancy at Birth, years</w:t>
        </w:r>
        <w:r w:rsidR="00041567">
          <w:rPr>
            <w:noProof/>
            <w:webHidden/>
          </w:rPr>
          <w:tab/>
        </w:r>
        <w:r w:rsidR="00041567">
          <w:rPr>
            <w:noProof/>
            <w:webHidden/>
          </w:rPr>
          <w:fldChar w:fldCharType="begin"/>
        </w:r>
        <w:r w:rsidR="00041567">
          <w:rPr>
            <w:noProof/>
            <w:webHidden/>
          </w:rPr>
          <w:instrText xml:space="preserve"> PAGEREF _Toc383010211 \h </w:instrText>
        </w:r>
        <w:r w:rsidR="00041567">
          <w:rPr>
            <w:noProof/>
            <w:webHidden/>
          </w:rPr>
        </w:r>
        <w:r w:rsidR="00041567">
          <w:rPr>
            <w:noProof/>
            <w:webHidden/>
          </w:rPr>
          <w:fldChar w:fldCharType="separate"/>
        </w:r>
        <w:r>
          <w:rPr>
            <w:noProof/>
            <w:webHidden/>
          </w:rPr>
          <w:t>13</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2" w:history="1">
        <w:r w:rsidR="00041567" w:rsidRPr="00E02E49">
          <w:rPr>
            <w:rStyle w:val="Hyperlink"/>
            <w:noProof/>
          </w:rPr>
          <w:t>Figure 2.6: Mortality and Death Rates</w:t>
        </w:r>
        <w:r w:rsidR="00041567">
          <w:rPr>
            <w:noProof/>
            <w:webHidden/>
          </w:rPr>
          <w:tab/>
        </w:r>
        <w:r w:rsidR="00041567">
          <w:rPr>
            <w:noProof/>
            <w:webHidden/>
          </w:rPr>
          <w:fldChar w:fldCharType="begin"/>
        </w:r>
        <w:r w:rsidR="00041567">
          <w:rPr>
            <w:noProof/>
            <w:webHidden/>
          </w:rPr>
          <w:instrText xml:space="preserve"> PAGEREF _Toc383010212 \h </w:instrText>
        </w:r>
        <w:r w:rsidR="00041567">
          <w:rPr>
            <w:noProof/>
            <w:webHidden/>
          </w:rPr>
        </w:r>
        <w:r w:rsidR="00041567">
          <w:rPr>
            <w:noProof/>
            <w:webHidden/>
          </w:rPr>
          <w:fldChar w:fldCharType="separate"/>
        </w:r>
        <w:r>
          <w:rPr>
            <w:noProof/>
            <w:webHidden/>
          </w:rPr>
          <w:t>14</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3" w:history="1">
        <w:r w:rsidR="00041567" w:rsidRPr="00E02E49">
          <w:rPr>
            <w:rStyle w:val="Hyperlink"/>
            <w:noProof/>
          </w:rPr>
          <w:t>Figure 2.7: Infant and Under-5 Child Mortality</w:t>
        </w:r>
        <w:r w:rsidR="00041567">
          <w:rPr>
            <w:noProof/>
            <w:webHidden/>
          </w:rPr>
          <w:tab/>
        </w:r>
        <w:r w:rsidR="00041567">
          <w:rPr>
            <w:noProof/>
            <w:webHidden/>
          </w:rPr>
          <w:fldChar w:fldCharType="begin"/>
        </w:r>
        <w:r w:rsidR="00041567">
          <w:rPr>
            <w:noProof/>
            <w:webHidden/>
          </w:rPr>
          <w:instrText xml:space="preserve"> PAGEREF _Toc383010213 \h </w:instrText>
        </w:r>
        <w:r w:rsidR="00041567">
          <w:rPr>
            <w:noProof/>
            <w:webHidden/>
          </w:rPr>
        </w:r>
        <w:r w:rsidR="00041567">
          <w:rPr>
            <w:noProof/>
            <w:webHidden/>
          </w:rPr>
          <w:fldChar w:fldCharType="separate"/>
        </w:r>
        <w:r>
          <w:rPr>
            <w:noProof/>
            <w:webHidden/>
          </w:rPr>
          <w:t>15</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4" w:history="1">
        <w:r w:rsidR="00041567" w:rsidRPr="00E02E49">
          <w:rPr>
            <w:rStyle w:val="Hyperlink"/>
            <w:noProof/>
          </w:rPr>
          <w:t>Figure 3.1: Male and Female Labor Force Participation, %</w:t>
        </w:r>
        <w:r w:rsidR="00041567">
          <w:rPr>
            <w:noProof/>
            <w:webHidden/>
          </w:rPr>
          <w:tab/>
        </w:r>
        <w:r w:rsidR="00041567">
          <w:rPr>
            <w:noProof/>
            <w:webHidden/>
          </w:rPr>
          <w:fldChar w:fldCharType="begin"/>
        </w:r>
        <w:r w:rsidR="00041567">
          <w:rPr>
            <w:noProof/>
            <w:webHidden/>
          </w:rPr>
          <w:instrText xml:space="preserve"> PAGEREF _Toc383010214 \h </w:instrText>
        </w:r>
        <w:r w:rsidR="00041567">
          <w:rPr>
            <w:noProof/>
            <w:webHidden/>
          </w:rPr>
        </w:r>
        <w:r w:rsidR="00041567">
          <w:rPr>
            <w:noProof/>
            <w:webHidden/>
          </w:rPr>
          <w:fldChar w:fldCharType="separate"/>
        </w:r>
        <w:r>
          <w:rPr>
            <w:noProof/>
            <w:webHidden/>
          </w:rPr>
          <w:t>18</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5" w:history="1">
        <w:r w:rsidR="00041567" w:rsidRPr="00E02E49">
          <w:rPr>
            <w:rStyle w:val="Hyperlink"/>
            <w:noProof/>
          </w:rPr>
          <w:t>Figure 3.2: Manual and Salaried Employees in by Gender 2009, %</w:t>
        </w:r>
        <w:r w:rsidR="00041567">
          <w:rPr>
            <w:noProof/>
            <w:webHidden/>
          </w:rPr>
          <w:tab/>
        </w:r>
        <w:r w:rsidR="00041567">
          <w:rPr>
            <w:noProof/>
            <w:webHidden/>
          </w:rPr>
          <w:fldChar w:fldCharType="begin"/>
        </w:r>
        <w:r w:rsidR="00041567">
          <w:rPr>
            <w:noProof/>
            <w:webHidden/>
          </w:rPr>
          <w:instrText xml:space="preserve"> PAGEREF _Toc383010215 \h </w:instrText>
        </w:r>
        <w:r w:rsidR="00041567">
          <w:rPr>
            <w:noProof/>
            <w:webHidden/>
          </w:rPr>
        </w:r>
        <w:r w:rsidR="00041567">
          <w:rPr>
            <w:noProof/>
            <w:webHidden/>
          </w:rPr>
          <w:fldChar w:fldCharType="separate"/>
        </w:r>
        <w:r>
          <w:rPr>
            <w:noProof/>
            <w:webHidden/>
          </w:rPr>
          <w:t>19</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6" w:history="1">
        <w:r w:rsidR="00041567" w:rsidRPr="00E02E49">
          <w:rPr>
            <w:rStyle w:val="Hyperlink"/>
            <w:noProof/>
          </w:rPr>
          <w:t>Figure 3.3: Employment Ratios across Gender, Age and Education in 2010, %</w:t>
        </w:r>
        <w:r w:rsidR="00041567">
          <w:rPr>
            <w:noProof/>
            <w:webHidden/>
          </w:rPr>
          <w:tab/>
        </w:r>
        <w:r w:rsidR="00041567">
          <w:rPr>
            <w:noProof/>
            <w:webHidden/>
          </w:rPr>
          <w:fldChar w:fldCharType="begin"/>
        </w:r>
        <w:r w:rsidR="00041567">
          <w:rPr>
            <w:noProof/>
            <w:webHidden/>
          </w:rPr>
          <w:instrText xml:space="preserve"> PAGEREF _Toc383010216 \h </w:instrText>
        </w:r>
        <w:r w:rsidR="00041567">
          <w:rPr>
            <w:noProof/>
            <w:webHidden/>
          </w:rPr>
        </w:r>
        <w:r w:rsidR="00041567">
          <w:rPr>
            <w:noProof/>
            <w:webHidden/>
          </w:rPr>
          <w:fldChar w:fldCharType="separate"/>
        </w:r>
        <w:r>
          <w:rPr>
            <w:noProof/>
            <w:webHidden/>
          </w:rPr>
          <w:t>20</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7" w:history="1">
        <w:r w:rsidR="00041567" w:rsidRPr="00E02E49">
          <w:rPr>
            <w:rStyle w:val="Hyperlink"/>
            <w:noProof/>
          </w:rPr>
          <w:t>Figure 3.4: Attempts and Success in Starting Business Across Gender</w:t>
        </w:r>
        <w:r w:rsidR="00041567">
          <w:rPr>
            <w:noProof/>
            <w:webHidden/>
          </w:rPr>
          <w:tab/>
        </w:r>
        <w:r w:rsidR="00041567">
          <w:rPr>
            <w:noProof/>
            <w:webHidden/>
          </w:rPr>
          <w:fldChar w:fldCharType="begin"/>
        </w:r>
        <w:r w:rsidR="00041567">
          <w:rPr>
            <w:noProof/>
            <w:webHidden/>
          </w:rPr>
          <w:instrText xml:space="preserve"> PAGEREF _Toc383010217 \h </w:instrText>
        </w:r>
        <w:r w:rsidR="00041567">
          <w:rPr>
            <w:noProof/>
            <w:webHidden/>
          </w:rPr>
        </w:r>
        <w:r w:rsidR="00041567">
          <w:rPr>
            <w:noProof/>
            <w:webHidden/>
          </w:rPr>
          <w:fldChar w:fldCharType="separate"/>
        </w:r>
        <w:r>
          <w:rPr>
            <w:noProof/>
            <w:webHidden/>
          </w:rPr>
          <w:t>22</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8" w:history="1">
        <w:r w:rsidR="00041567" w:rsidRPr="00E02E49">
          <w:rPr>
            <w:rStyle w:val="Hyperlink"/>
            <w:noProof/>
          </w:rPr>
          <w:t>Figure 3.5: Female Management and Ownership of Firms in 2008, %</w:t>
        </w:r>
        <w:r w:rsidR="00041567">
          <w:rPr>
            <w:noProof/>
            <w:webHidden/>
          </w:rPr>
          <w:tab/>
        </w:r>
        <w:r w:rsidR="00041567">
          <w:rPr>
            <w:noProof/>
            <w:webHidden/>
          </w:rPr>
          <w:fldChar w:fldCharType="begin"/>
        </w:r>
        <w:r w:rsidR="00041567">
          <w:rPr>
            <w:noProof/>
            <w:webHidden/>
          </w:rPr>
          <w:instrText xml:space="preserve"> PAGEREF _Toc383010218 \h </w:instrText>
        </w:r>
        <w:r w:rsidR="00041567">
          <w:rPr>
            <w:noProof/>
            <w:webHidden/>
          </w:rPr>
        </w:r>
        <w:r w:rsidR="00041567">
          <w:rPr>
            <w:noProof/>
            <w:webHidden/>
          </w:rPr>
          <w:fldChar w:fldCharType="separate"/>
        </w:r>
        <w:r>
          <w:rPr>
            <w:noProof/>
            <w:webHidden/>
          </w:rPr>
          <w:t>23</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19" w:history="1">
        <w:r w:rsidR="00041567" w:rsidRPr="00E02E49">
          <w:rPr>
            <w:rStyle w:val="Hyperlink"/>
            <w:noProof/>
          </w:rPr>
          <w:t>Figure 3.6: Female Ownership and Management by Economic Sectors in 2008, %</w:t>
        </w:r>
        <w:r w:rsidR="00041567">
          <w:rPr>
            <w:noProof/>
            <w:webHidden/>
          </w:rPr>
          <w:tab/>
        </w:r>
        <w:r w:rsidR="00041567">
          <w:rPr>
            <w:noProof/>
            <w:webHidden/>
          </w:rPr>
          <w:fldChar w:fldCharType="begin"/>
        </w:r>
        <w:r w:rsidR="00041567">
          <w:rPr>
            <w:noProof/>
            <w:webHidden/>
          </w:rPr>
          <w:instrText xml:space="preserve"> PAGEREF _Toc383010219 \h </w:instrText>
        </w:r>
        <w:r w:rsidR="00041567">
          <w:rPr>
            <w:noProof/>
            <w:webHidden/>
          </w:rPr>
        </w:r>
        <w:r w:rsidR="00041567">
          <w:rPr>
            <w:noProof/>
            <w:webHidden/>
          </w:rPr>
          <w:fldChar w:fldCharType="separate"/>
        </w:r>
        <w:r>
          <w:rPr>
            <w:noProof/>
            <w:webHidden/>
          </w:rPr>
          <w:t>23</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20" w:history="1">
        <w:r w:rsidR="00041567" w:rsidRPr="00E02E49">
          <w:rPr>
            <w:rStyle w:val="Hyperlink"/>
            <w:noProof/>
          </w:rPr>
          <w:t>Figure 3.7: Use of Bank Accounts in Belarus and the ECA Region, 2011</w:t>
        </w:r>
        <w:r w:rsidR="00041567">
          <w:rPr>
            <w:noProof/>
            <w:webHidden/>
          </w:rPr>
          <w:tab/>
        </w:r>
        <w:r w:rsidR="00041567">
          <w:rPr>
            <w:noProof/>
            <w:webHidden/>
          </w:rPr>
          <w:fldChar w:fldCharType="begin"/>
        </w:r>
        <w:r w:rsidR="00041567">
          <w:rPr>
            <w:noProof/>
            <w:webHidden/>
          </w:rPr>
          <w:instrText xml:space="preserve"> PAGEREF _Toc383010220 \h </w:instrText>
        </w:r>
        <w:r w:rsidR="00041567">
          <w:rPr>
            <w:noProof/>
            <w:webHidden/>
          </w:rPr>
        </w:r>
        <w:r w:rsidR="00041567">
          <w:rPr>
            <w:noProof/>
            <w:webHidden/>
          </w:rPr>
          <w:fldChar w:fldCharType="separate"/>
        </w:r>
        <w:r>
          <w:rPr>
            <w:noProof/>
            <w:webHidden/>
          </w:rPr>
          <w:t>24</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21" w:history="1">
        <w:r w:rsidR="00041567" w:rsidRPr="00E02E49">
          <w:rPr>
            <w:rStyle w:val="Hyperlink"/>
            <w:noProof/>
          </w:rPr>
          <w:t>Figure 3.8: Purposes of Accounts and Sources of Loans in Belarus, 2011</w:t>
        </w:r>
        <w:r w:rsidR="00041567">
          <w:rPr>
            <w:noProof/>
            <w:webHidden/>
          </w:rPr>
          <w:tab/>
        </w:r>
        <w:r w:rsidR="00041567">
          <w:rPr>
            <w:noProof/>
            <w:webHidden/>
          </w:rPr>
          <w:fldChar w:fldCharType="begin"/>
        </w:r>
        <w:r w:rsidR="00041567">
          <w:rPr>
            <w:noProof/>
            <w:webHidden/>
          </w:rPr>
          <w:instrText xml:space="preserve"> PAGEREF _Toc383010221 \h </w:instrText>
        </w:r>
        <w:r w:rsidR="00041567">
          <w:rPr>
            <w:noProof/>
            <w:webHidden/>
          </w:rPr>
        </w:r>
        <w:r w:rsidR="00041567">
          <w:rPr>
            <w:noProof/>
            <w:webHidden/>
          </w:rPr>
          <w:fldChar w:fldCharType="separate"/>
        </w:r>
        <w:r>
          <w:rPr>
            <w:noProof/>
            <w:webHidden/>
          </w:rPr>
          <w:t>24</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22" w:history="1">
        <w:r w:rsidR="00041567" w:rsidRPr="00E02E49">
          <w:rPr>
            <w:rStyle w:val="Hyperlink"/>
            <w:noProof/>
          </w:rPr>
          <w:t>Figure 3.9: Log Monthly Wage Across Gender, 2010</w:t>
        </w:r>
        <w:r w:rsidR="00041567">
          <w:rPr>
            <w:noProof/>
            <w:webHidden/>
          </w:rPr>
          <w:tab/>
        </w:r>
        <w:r w:rsidR="00041567">
          <w:rPr>
            <w:noProof/>
            <w:webHidden/>
          </w:rPr>
          <w:fldChar w:fldCharType="begin"/>
        </w:r>
        <w:r w:rsidR="00041567">
          <w:rPr>
            <w:noProof/>
            <w:webHidden/>
          </w:rPr>
          <w:instrText xml:space="preserve"> PAGEREF _Toc383010222 \h </w:instrText>
        </w:r>
        <w:r w:rsidR="00041567">
          <w:rPr>
            <w:noProof/>
            <w:webHidden/>
          </w:rPr>
        </w:r>
        <w:r w:rsidR="00041567">
          <w:rPr>
            <w:noProof/>
            <w:webHidden/>
          </w:rPr>
          <w:fldChar w:fldCharType="separate"/>
        </w:r>
        <w:r>
          <w:rPr>
            <w:noProof/>
            <w:webHidden/>
          </w:rPr>
          <w:t>25</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23" w:history="1">
        <w:r w:rsidR="00041567" w:rsidRPr="00E02E49">
          <w:rPr>
            <w:rStyle w:val="Hyperlink"/>
            <w:noProof/>
          </w:rPr>
          <w:t>Figure 3.10: Returns to Education and Experience Based on Heckman Model, 2010</w:t>
        </w:r>
        <w:r w:rsidR="00041567">
          <w:rPr>
            <w:noProof/>
            <w:webHidden/>
          </w:rPr>
          <w:tab/>
        </w:r>
        <w:r w:rsidR="00041567">
          <w:rPr>
            <w:noProof/>
            <w:webHidden/>
          </w:rPr>
          <w:fldChar w:fldCharType="begin"/>
        </w:r>
        <w:r w:rsidR="00041567">
          <w:rPr>
            <w:noProof/>
            <w:webHidden/>
          </w:rPr>
          <w:instrText xml:space="preserve"> PAGEREF _Toc383010223 \h </w:instrText>
        </w:r>
        <w:r w:rsidR="00041567">
          <w:rPr>
            <w:noProof/>
            <w:webHidden/>
          </w:rPr>
        </w:r>
        <w:r w:rsidR="00041567">
          <w:rPr>
            <w:noProof/>
            <w:webHidden/>
          </w:rPr>
          <w:fldChar w:fldCharType="separate"/>
        </w:r>
        <w:r>
          <w:rPr>
            <w:noProof/>
            <w:webHidden/>
          </w:rPr>
          <w:t>26</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24" w:history="1">
        <w:r w:rsidR="00041567" w:rsidRPr="00E02E49">
          <w:rPr>
            <w:rStyle w:val="Hyperlink"/>
            <w:noProof/>
          </w:rPr>
          <w:t>Figure 3.11: Share of male and female headed households in population by age groups, %</w:t>
        </w:r>
        <w:r w:rsidR="00041567">
          <w:rPr>
            <w:noProof/>
            <w:webHidden/>
          </w:rPr>
          <w:tab/>
        </w:r>
        <w:r w:rsidR="00041567">
          <w:rPr>
            <w:noProof/>
            <w:webHidden/>
          </w:rPr>
          <w:fldChar w:fldCharType="begin"/>
        </w:r>
        <w:r w:rsidR="00041567">
          <w:rPr>
            <w:noProof/>
            <w:webHidden/>
          </w:rPr>
          <w:instrText xml:space="preserve"> PAGEREF _Toc383010224 \h </w:instrText>
        </w:r>
        <w:r w:rsidR="00041567">
          <w:rPr>
            <w:noProof/>
            <w:webHidden/>
          </w:rPr>
        </w:r>
        <w:r w:rsidR="00041567">
          <w:rPr>
            <w:noProof/>
            <w:webHidden/>
          </w:rPr>
          <w:fldChar w:fldCharType="separate"/>
        </w:r>
        <w:r>
          <w:rPr>
            <w:noProof/>
            <w:webHidden/>
          </w:rPr>
          <w:t>27</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25" w:history="1">
        <w:r w:rsidR="00041567" w:rsidRPr="00E02E49">
          <w:rPr>
            <w:rStyle w:val="Hyperlink"/>
            <w:noProof/>
          </w:rPr>
          <w:t>Figure 3.12: Share of men and women headed households among single person and single parent families by age groups, %</w:t>
        </w:r>
        <w:r w:rsidR="00041567">
          <w:rPr>
            <w:noProof/>
            <w:webHidden/>
          </w:rPr>
          <w:tab/>
        </w:r>
        <w:r w:rsidR="00041567">
          <w:rPr>
            <w:noProof/>
            <w:webHidden/>
          </w:rPr>
          <w:fldChar w:fldCharType="begin"/>
        </w:r>
        <w:r w:rsidR="00041567">
          <w:rPr>
            <w:noProof/>
            <w:webHidden/>
          </w:rPr>
          <w:instrText xml:space="preserve"> PAGEREF _Toc383010225 \h </w:instrText>
        </w:r>
        <w:r w:rsidR="00041567">
          <w:rPr>
            <w:noProof/>
            <w:webHidden/>
          </w:rPr>
        </w:r>
        <w:r w:rsidR="00041567">
          <w:rPr>
            <w:noProof/>
            <w:webHidden/>
          </w:rPr>
          <w:fldChar w:fldCharType="separate"/>
        </w:r>
        <w:r>
          <w:rPr>
            <w:noProof/>
            <w:webHidden/>
          </w:rPr>
          <w:t>27</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26" w:history="1">
        <w:r w:rsidR="00041567" w:rsidRPr="00E02E49">
          <w:rPr>
            <w:rStyle w:val="Hyperlink"/>
            <w:noProof/>
          </w:rPr>
          <w:t>Figure 3.13: Monthly income per capita by gender of head of household and the type of household</w:t>
        </w:r>
        <w:r w:rsidR="00041567">
          <w:rPr>
            <w:noProof/>
            <w:webHidden/>
          </w:rPr>
          <w:tab/>
        </w:r>
        <w:r w:rsidR="00041567">
          <w:rPr>
            <w:noProof/>
            <w:webHidden/>
          </w:rPr>
          <w:fldChar w:fldCharType="begin"/>
        </w:r>
        <w:r w:rsidR="00041567">
          <w:rPr>
            <w:noProof/>
            <w:webHidden/>
          </w:rPr>
          <w:instrText xml:space="preserve"> PAGEREF _Toc383010226 \h </w:instrText>
        </w:r>
        <w:r w:rsidR="00041567">
          <w:rPr>
            <w:noProof/>
            <w:webHidden/>
          </w:rPr>
        </w:r>
        <w:r w:rsidR="00041567">
          <w:rPr>
            <w:noProof/>
            <w:webHidden/>
          </w:rPr>
          <w:fldChar w:fldCharType="separate"/>
        </w:r>
        <w:r>
          <w:rPr>
            <w:noProof/>
            <w:webHidden/>
          </w:rPr>
          <w:t>28</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27" w:history="1">
        <w:r w:rsidR="00041567" w:rsidRPr="00E02E49">
          <w:rPr>
            <w:rStyle w:val="Hyperlink"/>
            <w:noProof/>
          </w:rPr>
          <w:t>Figure 3.14: Monthly income per capita by gender of head of household and age group among single person and single parent households</w:t>
        </w:r>
        <w:r w:rsidR="00041567">
          <w:rPr>
            <w:noProof/>
            <w:webHidden/>
          </w:rPr>
          <w:tab/>
        </w:r>
        <w:r w:rsidR="00041567">
          <w:rPr>
            <w:noProof/>
            <w:webHidden/>
          </w:rPr>
          <w:fldChar w:fldCharType="begin"/>
        </w:r>
        <w:r w:rsidR="00041567">
          <w:rPr>
            <w:noProof/>
            <w:webHidden/>
          </w:rPr>
          <w:instrText xml:space="preserve"> PAGEREF _Toc383010227 \h </w:instrText>
        </w:r>
        <w:r w:rsidR="00041567">
          <w:rPr>
            <w:noProof/>
            <w:webHidden/>
          </w:rPr>
        </w:r>
        <w:r w:rsidR="00041567">
          <w:rPr>
            <w:noProof/>
            <w:webHidden/>
          </w:rPr>
          <w:fldChar w:fldCharType="separate"/>
        </w:r>
        <w:r>
          <w:rPr>
            <w:noProof/>
            <w:webHidden/>
          </w:rPr>
          <w:t>28</w:t>
        </w:r>
        <w:r w:rsidR="00041567">
          <w:rPr>
            <w:noProof/>
            <w:webHidden/>
          </w:rPr>
          <w:fldChar w:fldCharType="end"/>
        </w:r>
      </w:hyperlink>
    </w:p>
    <w:p w:rsidR="00041567" w:rsidRDefault="008A55B1">
      <w:pPr>
        <w:pStyle w:val="TableofFigures"/>
        <w:tabs>
          <w:tab w:val="right" w:leader="dot" w:pos="9350"/>
        </w:tabs>
        <w:rPr>
          <w:rFonts w:asciiTheme="minorHAnsi" w:eastAsiaTheme="minorEastAsia" w:hAnsiTheme="minorHAnsi" w:cstheme="minorBidi"/>
          <w:noProof/>
          <w:szCs w:val="22"/>
        </w:rPr>
      </w:pPr>
      <w:hyperlink w:anchor="_Toc383010228" w:history="1">
        <w:r w:rsidR="00041567" w:rsidRPr="00E02E49">
          <w:rPr>
            <w:rStyle w:val="Hyperlink"/>
            <w:noProof/>
          </w:rPr>
          <w:t>Figure 3.15: Income per capita in female headed single parent households by the number of children below  12 years, 2010</w:t>
        </w:r>
        <w:r w:rsidR="00041567">
          <w:rPr>
            <w:noProof/>
            <w:webHidden/>
          </w:rPr>
          <w:tab/>
        </w:r>
        <w:r w:rsidR="00041567">
          <w:rPr>
            <w:noProof/>
            <w:webHidden/>
          </w:rPr>
          <w:fldChar w:fldCharType="begin"/>
        </w:r>
        <w:r w:rsidR="00041567">
          <w:rPr>
            <w:noProof/>
            <w:webHidden/>
          </w:rPr>
          <w:instrText xml:space="preserve"> PAGEREF _Toc383010228 \h </w:instrText>
        </w:r>
        <w:r w:rsidR="00041567">
          <w:rPr>
            <w:noProof/>
            <w:webHidden/>
          </w:rPr>
        </w:r>
        <w:r w:rsidR="00041567">
          <w:rPr>
            <w:noProof/>
            <w:webHidden/>
          </w:rPr>
          <w:fldChar w:fldCharType="separate"/>
        </w:r>
        <w:r>
          <w:rPr>
            <w:noProof/>
            <w:webHidden/>
          </w:rPr>
          <w:t>29</w:t>
        </w:r>
        <w:r w:rsidR="00041567">
          <w:rPr>
            <w:noProof/>
            <w:webHidden/>
          </w:rPr>
          <w:fldChar w:fldCharType="end"/>
        </w:r>
      </w:hyperlink>
    </w:p>
    <w:p w:rsidR="00170557" w:rsidRPr="008D3FEE" w:rsidRDefault="00B33377" w:rsidP="00077D41">
      <w:pPr>
        <w:rPr>
          <w:b/>
        </w:rPr>
      </w:pPr>
      <w:r w:rsidRPr="00B60442">
        <w:rPr>
          <w:b/>
          <w:sz w:val="22"/>
          <w:szCs w:val="22"/>
        </w:rPr>
        <w:fldChar w:fldCharType="end"/>
      </w:r>
    </w:p>
    <w:p w:rsidR="00F20733" w:rsidRPr="00F32786" w:rsidRDefault="0051417E" w:rsidP="0051417E">
      <w:pPr>
        <w:rPr>
          <w:sz w:val="22"/>
          <w:szCs w:val="22"/>
        </w:rPr>
      </w:pPr>
      <w:r>
        <w:rPr>
          <w:sz w:val="22"/>
          <w:szCs w:val="22"/>
        </w:rPr>
        <w:br w:type="page"/>
      </w:r>
    </w:p>
    <w:p w:rsidR="00D270F0" w:rsidRPr="00F32786" w:rsidRDefault="00D270F0" w:rsidP="00756BC7">
      <w:pPr>
        <w:spacing w:line="360" w:lineRule="auto"/>
        <w:rPr>
          <w:sz w:val="22"/>
          <w:szCs w:val="22"/>
        </w:rPr>
      </w:pPr>
    </w:p>
    <w:p w:rsidR="0097178E" w:rsidRDefault="0097178E" w:rsidP="0097178E">
      <w:pPr>
        <w:jc w:val="center"/>
        <w:rPr>
          <w:b/>
          <w:bCs/>
          <w:smallCaps/>
          <w:sz w:val="22"/>
          <w:szCs w:val="22"/>
        </w:rPr>
      </w:pPr>
      <w:r w:rsidRPr="00F32786">
        <w:rPr>
          <w:b/>
          <w:bCs/>
          <w:smallCaps/>
          <w:sz w:val="22"/>
          <w:szCs w:val="22"/>
        </w:rPr>
        <w:t>Acknowledgments</w:t>
      </w:r>
      <w:r w:rsidR="000400D0">
        <w:rPr>
          <w:b/>
          <w:bCs/>
          <w:smallCaps/>
          <w:sz w:val="22"/>
          <w:szCs w:val="22"/>
        </w:rPr>
        <w:br/>
      </w:r>
      <w:r w:rsidR="000400D0">
        <w:rPr>
          <w:b/>
          <w:bCs/>
          <w:smallCaps/>
          <w:sz w:val="22"/>
          <w:szCs w:val="22"/>
        </w:rPr>
        <w:br/>
      </w:r>
    </w:p>
    <w:p w:rsidR="004356FE" w:rsidRPr="004356FE" w:rsidRDefault="004356FE" w:rsidP="00E80D66">
      <w:pPr>
        <w:jc w:val="both"/>
        <w:rPr>
          <w:sz w:val="22"/>
          <w:szCs w:val="22"/>
        </w:rPr>
      </w:pPr>
      <w:r w:rsidRPr="004356FE">
        <w:rPr>
          <w:sz w:val="22"/>
          <w:szCs w:val="22"/>
        </w:rPr>
        <w:t xml:space="preserve">This note was prepared by Aziz Atamanov under the leadership of Sarosh Sattar. The team would like to thank Qimiao Fan, Country Director, </w:t>
      </w:r>
      <w:r w:rsidR="00A57E9C">
        <w:rPr>
          <w:sz w:val="22"/>
          <w:szCs w:val="22"/>
        </w:rPr>
        <w:t xml:space="preserve">and </w:t>
      </w:r>
      <w:r w:rsidR="00A57E9C" w:rsidRPr="00A57E9C">
        <w:rPr>
          <w:sz w:val="22"/>
          <w:szCs w:val="22"/>
        </w:rPr>
        <w:t>Young Chul Kim</w:t>
      </w:r>
      <w:r w:rsidR="00A57E9C">
        <w:rPr>
          <w:sz w:val="22"/>
          <w:szCs w:val="22"/>
        </w:rPr>
        <w:t xml:space="preserve">, Country Manager, </w:t>
      </w:r>
      <w:r w:rsidRPr="004356FE">
        <w:rPr>
          <w:sz w:val="22"/>
          <w:szCs w:val="22"/>
        </w:rPr>
        <w:t xml:space="preserve">for </w:t>
      </w:r>
      <w:r w:rsidR="00A57E9C">
        <w:rPr>
          <w:sz w:val="22"/>
          <w:szCs w:val="22"/>
        </w:rPr>
        <w:t xml:space="preserve">their </w:t>
      </w:r>
      <w:r w:rsidRPr="004356FE">
        <w:rPr>
          <w:sz w:val="22"/>
          <w:szCs w:val="22"/>
        </w:rPr>
        <w:t xml:space="preserve">support for this report. </w:t>
      </w:r>
      <w:r w:rsidR="008D7D12">
        <w:rPr>
          <w:sz w:val="22"/>
          <w:szCs w:val="22"/>
        </w:rPr>
        <w:t xml:space="preserve">We are thankful to </w:t>
      </w:r>
      <w:r w:rsidR="008D7D12" w:rsidRPr="008D7D12">
        <w:rPr>
          <w:sz w:val="22"/>
          <w:szCs w:val="22"/>
        </w:rPr>
        <w:t>Elizaveta Perova</w:t>
      </w:r>
      <w:r w:rsidR="00627256">
        <w:rPr>
          <w:sz w:val="22"/>
          <w:szCs w:val="22"/>
        </w:rPr>
        <w:t>, a</w:t>
      </w:r>
      <w:r w:rsidR="008D7D12">
        <w:rPr>
          <w:sz w:val="22"/>
          <w:szCs w:val="22"/>
        </w:rPr>
        <w:t xml:space="preserve"> </w:t>
      </w:r>
      <w:r w:rsidR="00627256">
        <w:rPr>
          <w:sz w:val="22"/>
          <w:szCs w:val="22"/>
        </w:rPr>
        <w:t>peer reviewer</w:t>
      </w:r>
      <w:r w:rsidR="008D7D12">
        <w:rPr>
          <w:sz w:val="22"/>
          <w:szCs w:val="22"/>
        </w:rPr>
        <w:t xml:space="preserve"> of this report, for </w:t>
      </w:r>
      <w:r w:rsidR="00627256">
        <w:rPr>
          <w:sz w:val="22"/>
          <w:szCs w:val="22"/>
        </w:rPr>
        <w:t xml:space="preserve">her </w:t>
      </w:r>
      <w:r w:rsidR="008D7D12">
        <w:rPr>
          <w:sz w:val="22"/>
          <w:szCs w:val="22"/>
        </w:rPr>
        <w:t xml:space="preserve">constructive comments and suggestions. </w:t>
      </w:r>
      <w:r w:rsidRPr="004356FE">
        <w:rPr>
          <w:sz w:val="22"/>
          <w:szCs w:val="22"/>
        </w:rPr>
        <w:t xml:space="preserve">The report benefited from the comments provided by </w:t>
      </w:r>
      <w:r w:rsidR="000A3D22">
        <w:rPr>
          <w:sz w:val="22"/>
          <w:szCs w:val="22"/>
        </w:rPr>
        <w:t>Sammar Essmat</w:t>
      </w:r>
      <w:r w:rsidR="00DF0ECF">
        <w:rPr>
          <w:sz w:val="22"/>
          <w:szCs w:val="22"/>
        </w:rPr>
        <w:t>, Elena</w:t>
      </w:r>
      <w:r w:rsidRPr="004356FE">
        <w:rPr>
          <w:sz w:val="22"/>
          <w:szCs w:val="22"/>
        </w:rPr>
        <w:t xml:space="preserve"> Klochan,</w:t>
      </w:r>
      <w:r w:rsidR="008D7D12">
        <w:rPr>
          <w:sz w:val="22"/>
          <w:szCs w:val="22"/>
        </w:rPr>
        <w:t xml:space="preserve"> Peter Nicholas, Irina Oleinik,</w:t>
      </w:r>
      <w:r w:rsidR="000A3D22" w:rsidRPr="004356FE">
        <w:rPr>
          <w:sz w:val="22"/>
          <w:szCs w:val="22"/>
        </w:rPr>
        <w:t xml:space="preserve"> </w:t>
      </w:r>
      <w:r w:rsidRPr="004356FE">
        <w:rPr>
          <w:sz w:val="22"/>
          <w:szCs w:val="22"/>
        </w:rPr>
        <w:t>Yulia Snizhko,</w:t>
      </w:r>
      <w:r w:rsidR="000A3D22">
        <w:rPr>
          <w:sz w:val="22"/>
          <w:szCs w:val="22"/>
        </w:rPr>
        <w:t xml:space="preserve"> </w:t>
      </w:r>
      <w:r w:rsidRPr="004356FE">
        <w:rPr>
          <w:sz w:val="22"/>
          <w:szCs w:val="22"/>
        </w:rPr>
        <w:t xml:space="preserve">the staff of UNICEF and UNFPA offices in Belarus and all participants of </w:t>
      </w:r>
      <w:r w:rsidR="004C0836">
        <w:rPr>
          <w:sz w:val="22"/>
          <w:szCs w:val="22"/>
        </w:rPr>
        <w:t>the World Bank Group</w:t>
      </w:r>
      <w:r w:rsidR="004C0836" w:rsidRPr="004356FE">
        <w:rPr>
          <w:sz w:val="22"/>
          <w:szCs w:val="22"/>
        </w:rPr>
        <w:t xml:space="preserve"> </w:t>
      </w:r>
      <w:r w:rsidRPr="004356FE">
        <w:rPr>
          <w:sz w:val="22"/>
          <w:szCs w:val="22"/>
        </w:rPr>
        <w:t>Country P</w:t>
      </w:r>
      <w:r w:rsidR="004C0836">
        <w:rPr>
          <w:sz w:val="22"/>
          <w:szCs w:val="22"/>
        </w:rPr>
        <w:t>artnership</w:t>
      </w:r>
      <w:r w:rsidRPr="004356FE">
        <w:rPr>
          <w:sz w:val="22"/>
          <w:szCs w:val="22"/>
        </w:rPr>
        <w:t xml:space="preserve"> Strategy</w:t>
      </w:r>
      <w:r w:rsidR="004C0836">
        <w:rPr>
          <w:sz w:val="22"/>
          <w:szCs w:val="22"/>
        </w:rPr>
        <w:t xml:space="preserve"> for Belarus</w:t>
      </w:r>
      <w:r w:rsidRPr="004356FE">
        <w:rPr>
          <w:sz w:val="22"/>
          <w:szCs w:val="22"/>
        </w:rPr>
        <w:t xml:space="preserve"> consultations on gender inequality. Administrative support was provided by Helena Makarenko.</w:t>
      </w:r>
    </w:p>
    <w:p w:rsidR="000400D0" w:rsidRDefault="000400D0" w:rsidP="00E80D66">
      <w:pPr>
        <w:spacing w:before="120" w:after="240"/>
        <w:jc w:val="both"/>
        <w:rPr>
          <w:b/>
          <w:bCs/>
          <w:smallCaps/>
          <w:sz w:val="22"/>
          <w:szCs w:val="22"/>
        </w:rPr>
      </w:pPr>
      <w:r w:rsidRPr="000400D0">
        <w:rPr>
          <w:sz w:val="22"/>
          <w:szCs w:val="22"/>
        </w:rPr>
        <w:t>.</w:t>
      </w:r>
    </w:p>
    <w:p w:rsidR="000400D0" w:rsidRDefault="000400D0" w:rsidP="007C41AA">
      <w:pPr>
        <w:spacing w:before="720" w:after="240"/>
        <w:jc w:val="center"/>
        <w:rPr>
          <w:b/>
          <w:bCs/>
          <w:smallCaps/>
          <w:sz w:val="22"/>
          <w:szCs w:val="22"/>
        </w:rPr>
      </w:pPr>
    </w:p>
    <w:p w:rsidR="00152AD2" w:rsidRDefault="00152AD2" w:rsidP="007C41AA">
      <w:pPr>
        <w:spacing w:before="720" w:after="240"/>
        <w:jc w:val="center"/>
        <w:rPr>
          <w:b/>
          <w:bCs/>
          <w:smallCaps/>
          <w:sz w:val="22"/>
          <w:szCs w:val="22"/>
        </w:rPr>
        <w:sectPr w:rsidR="00152AD2" w:rsidSect="00550ECE">
          <w:footerReference w:type="even" r:id="rId12"/>
          <w:footerReference w:type="first" r:id="rId13"/>
          <w:pgSz w:w="12240" w:h="15840"/>
          <w:pgMar w:top="1440" w:right="1440" w:bottom="1440" w:left="1440" w:header="720" w:footer="720" w:gutter="0"/>
          <w:pgNumType w:fmt="lowerRoman" w:start="3"/>
          <w:cols w:space="720"/>
          <w:titlePg/>
          <w:docGrid w:linePitch="360"/>
        </w:sectPr>
      </w:pPr>
    </w:p>
    <w:p w:rsidR="00A57E9C" w:rsidRDefault="00A57E9C" w:rsidP="00A904F2">
      <w:pPr>
        <w:pStyle w:val="Heading1"/>
        <w:numPr>
          <w:ilvl w:val="0"/>
          <w:numId w:val="0"/>
        </w:numPr>
        <w:ind w:left="86"/>
      </w:pPr>
      <w:bookmarkStart w:id="3" w:name="_Toc381366249"/>
      <w:bookmarkStart w:id="4" w:name="_Toc383011579"/>
      <w:r w:rsidRPr="003871E8">
        <w:lastRenderedPageBreak/>
        <w:t>Executive Summary</w:t>
      </w:r>
      <w:bookmarkEnd w:id="3"/>
      <w:bookmarkEnd w:id="4"/>
    </w:p>
    <w:p w:rsidR="00A57E9C" w:rsidRPr="003871E8" w:rsidRDefault="00A57E9C" w:rsidP="00A57E9C"/>
    <w:p w:rsidR="00385D98" w:rsidRDefault="00A57E9C" w:rsidP="00A57E9C">
      <w:pPr>
        <w:pStyle w:val="ListParagraph"/>
        <w:numPr>
          <w:ilvl w:val="0"/>
          <w:numId w:val="49"/>
        </w:numPr>
        <w:tabs>
          <w:tab w:val="left" w:pos="0"/>
        </w:tabs>
        <w:spacing w:after="240"/>
        <w:ind w:left="-90" w:firstLine="90"/>
        <w:jc w:val="both"/>
        <w:rPr>
          <w:sz w:val="22"/>
          <w:szCs w:val="22"/>
        </w:rPr>
      </w:pPr>
      <w:r w:rsidRPr="00385D98">
        <w:rPr>
          <w:b/>
          <w:sz w:val="22"/>
          <w:szCs w:val="22"/>
        </w:rPr>
        <w:t>This assessment identifies and describes main gender disparities in Belarus in agency, education, health and access to economic opportunities.</w:t>
      </w:r>
      <w:r w:rsidRPr="00385D98">
        <w:rPr>
          <w:sz w:val="22"/>
          <w:szCs w:val="22"/>
        </w:rPr>
        <w:t xml:space="preserve"> The report builds on the framework of the of the World Bank’s regional gender report, Europe and Central Asia: Opportunities for Men and Women, as well as the World Development Report on Gender and Development. The assessment takes a quantitative approach using a wide range of different international data sources including World Bank’s World Development Indicators, the Global Financial Inclusion Database, the Life in Transition Survey, EBRD-World Bank Business Environment and Enterprise Performance Survey as well as local Household Living Standards Survey.  Key findings of the assessment can be summarized as follows:</w:t>
      </w:r>
    </w:p>
    <w:p w:rsidR="00385D98" w:rsidRDefault="00A57E9C" w:rsidP="00A57E9C">
      <w:pPr>
        <w:pStyle w:val="ListParagraph"/>
        <w:numPr>
          <w:ilvl w:val="0"/>
          <w:numId w:val="49"/>
        </w:numPr>
        <w:tabs>
          <w:tab w:val="left" w:pos="0"/>
        </w:tabs>
        <w:spacing w:after="240"/>
        <w:ind w:left="-90" w:firstLine="0"/>
        <w:jc w:val="both"/>
        <w:rPr>
          <w:sz w:val="22"/>
          <w:szCs w:val="22"/>
        </w:rPr>
      </w:pPr>
      <w:r w:rsidRPr="00385D98">
        <w:rPr>
          <w:b/>
          <w:sz w:val="22"/>
          <w:szCs w:val="22"/>
        </w:rPr>
        <w:t>Belarus has high level of female human development indicators and gender neutral legislation.</w:t>
      </w:r>
      <w:r w:rsidRPr="00385D98">
        <w:rPr>
          <w:sz w:val="22"/>
          <w:szCs w:val="22"/>
        </w:rPr>
        <w:t xml:space="preserve"> In particular, Belarusian women are more educated than men, have a high level of labor force participation, high share of firms with female ownership, and are represented in politics. Significant progress was achieved in reducing maternal and infant mortality to the level observed in developed countries. Belarusian legislation does not discriminate against women, and different policy measures were enacted in the field of gender equality along with establishing the coordinating and advisory agency.</w:t>
      </w:r>
    </w:p>
    <w:p w:rsidR="00385D98" w:rsidRDefault="00A57E9C" w:rsidP="00A57E9C">
      <w:pPr>
        <w:pStyle w:val="ListParagraph"/>
        <w:numPr>
          <w:ilvl w:val="0"/>
          <w:numId w:val="49"/>
        </w:numPr>
        <w:tabs>
          <w:tab w:val="left" w:pos="0"/>
        </w:tabs>
        <w:spacing w:after="240"/>
        <w:ind w:left="-90" w:firstLine="0"/>
        <w:jc w:val="both"/>
        <w:rPr>
          <w:sz w:val="22"/>
          <w:szCs w:val="22"/>
        </w:rPr>
      </w:pPr>
      <w:r w:rsidRPr="00385D98">
        <w:rPr>
          <w:b/>
          <w:sz w:val="22"/>
          <w:szCs w:val="22"/>
        </w:rPr>
        <w:t>Nevertheless, this report identifies important gender disparities in various spheres starting from education.</w:t>
      </w:r>
      <w:r w:rsidRPr="00385D98">
        <w:rPr>
          <w:sz w:val="22"/>
          <w:szCs w:val="22"/>
        </w:rPr>
        <w:t xml:space="preserve"> In particular, in spite of very high and increasing levels of tertiary enrollment, the gender gap in favor of women is much higher than in</w:t>
      </w:r>
      <w:r w:rsidR="00ED791C">
        <w:rPr>
          <w:sz w:val="22"/>
          <w:szCs w:val="22"/>
        </w:rPr>
        <w:t xml:space="preserve"> the Europe and Central Asia</w:t>
      </w:r>
      <w:r w:rsidRPr="00385D98">
        <w:rPr>
          <w:sz w:val="22"/>
          <w:szCs w:val="22"/>
        </w:rPr>
        <w:t xml:space="preserve"> </w:t>
      </w:r>
      <w:r w:rsidR="00ED791C">
        <w:rPr>
          <w:sz w:val="22"/>
          <w:szCs w:val="22"/>
        </w:rPr>
        <w:t>(</w:t>
      </w:r>
      <w:r w:rsidRPr="00385D98">
        <w:rPr>
          <w:sz w:val="22"/>
          <w:szCs w:val="22"/>
        </w:rPr>
        <w:t>ECA</w:t>
      </w:r>
      <w:r w:rsidR="00ED791C">
        <w:rPr>
          <w:sz w:val="22"/>
          <w:szCs w:val="22"/>
        </w:rPr>
        <w:t>)</w:t>
      </w:r>
      <w:r w:rsidRPr="00385D98">
        <w:rPr>
          <w:sz w:val="22"/>
          <w:szCs w:val="22"/>
        </w:rPr>
        <w:t xml:space="preserve"> region and increasing.  The high concentration of women in tertiary education may be a result of barriers women face in the labor market and therefore stronger efforts to get better education and/or low prestige of higher education among men. This may also be because women are less likely to be in blue collar jobs. In addition, university female students tend to choose such majors as social protection, catering, social sciences, and pedagogy than bring them to low paying public sector jobs.  This segregation may be driven by social stereotypes about “appropriate” jobs and flexible hours of work in the public sector which help to combine work with the family responsibilities—something women may put greater emphasis on. </w:t>
      </w:r>
    </w:p>
    <w:p w:rsidR="00385D98" w:rsidRDefault="00A57E9C" w:rsidP="00A57E9C">
      <w:pPr>
        <w:pStyle w:val="ListParagraph"/>
        <w:numPr>
          <w:ilvl w:val="0"/>
          <w:numId w:val="49"/>
        </w:numPr>
        <w:tabs>
          <w:tab w:val="left" w:pos="0"/>
        </w:tabs>
        <w:spacing w:after="240"/>
        <w:ind w:left="-90" w:firstLine="0"/>
        <w:jc w:val="both"/>
        <w:rPr>
          <w:sz w:val="22"/>
          <w:szCs w:val="22"/>
        </w:rPr>
      </w:pPr>
      <w:r w:rsidRPr="00385D98">
        <w:rPr>
          <w:b/>
          <w:sz w:val="22"/>
          <w:szCs w:val="22"/>
        </w:rPr>
        <w:t>In spite of their higher educational level, women are worse off than men in economic opportunities and earnings</w:t>
      </w:r>
      <w:r w:rsidRPr="00385D98">
        <w:rPr>
          <w:sz w:val="22"/>
          <w:szCs w:val="22"/>
        </w:rPr>
        <w:t xml:space="preserve">. In particular, women on average earn less than men, are less likely to be represented at the top levels in politics and public administration, and less likely to start their own business and manage firms. Moreover, only a very small share of large and expanding wage gap can be explained by observable differences between male and female workers.  These findings may signal the existence of stereotypes and discriminatory practices in political and economic life which are indeed documented in qualitative studies. </w:t>
      </w:r>
    </w:p>
    <w:p w:rsidR="00385D98" w:rsidRDefault="00A57E9C" w:rsidP="00A57E9C">
      <w:pPr>
        <w:pStyle w:val="ListParagraph"/>
        <w:numPr>
          <w:ilvl w:val="0"/>
          <w:numId w:val="49"/>
        </w:numPr>
        <w:tabs>
          <w:tab w:val="left" w:pos="0"/>
        </w:tabs>
        <w:spacing w:after="240"/>
        <w:ind w:left="-90" w:firstLine="0"/>
        <w:jc w:val="both"/>
        <w:rPr>
          <w:sz w:val="22"/>
          <w:szCs w:val="22"/>
        </w:rPr>
      </w:pPr>
      <w:r w:rsidRPr="00385D98">
        <w:rPr>
          <w:b/>
          <w:sz w:val="22"/>
          <w:szCs w:val="22"/>
        </w:rPr>
        <w:t>Belarus is experiencing a population decline and a growing share of elderly women.</w:t>
      </w:r>
      <w:r w:rsidRPr="00385D98">
        <w:rPr>
          <w:sz w:val="22"/>
          <w:szCs w:val="22"/>
        </w:rPr>
        <w:t xml:space="preserve"> Population has been declining in Belarus since 1990. Low fertility rates accompanied with declining marriage and high divorce rates were among the key factors behind this trend. Among the positive tendencies are the declining rates of abortions and low infant mortality, which seem to contribute positively to slowing down the negative trend during the last three years. The population decline results in the aging of the population.  Overall, an aging and shrinking population will strain the pension and health care systems and will have an adverse impact on the labor market, especially during the transition to a smaller population.</w:t>
      </w:r>
    </w:p>
    <w:p w:rsidR="00385D98" w:rsidRDefault="00A57E9C" w:rsidP="00A57E9C">
      <w:pPr>
        <w:pStyle w:val="ListParagraph"/>
        <w:numPr>
          <w:ilvl w:val="0"/>
          <w:numId w:val="49"/>
        </w:numPr>
        <w:tabs>
          <w:tab w:val="left" w:pos="0"/>
        </w:tabs>
        <w:spacing w:after="240"/>
        <w:ind w:left="-90" w:firstLine="0"/>
        <w:jc w:val="both"/>
        <w:rPr>
          <w:sz w:val="22"/>
          <w:szCs w:val="22"/>
        </w:rPr>
      </w:pPr>
      <w:r w:rsidRPr="00385D98">
        <w:rPr>
          <w:b/>
          <w:sz w:val="22"/>
          <w:szCs w:val="22"/>
        </w:rPr>
        <w:t>Particular concern is related to very high level of male mortality</w:t>
      </w:r>
      <w:r w:rsidRPr="00385D98">
        <w:rPr>
          <w:sz w:val="22"/>
          <w:szCs w:val="22"/>
        </w:rPr>
        <w:t xml:space="preserve">. In spite of a positive trend in mortality during the last decade in Belarus, male adult mortality is three times higher than that of women. Males have much higher death rates from cardiovascular diseases than women. Some of the main factors </w:t>
      </w:r>
      <w:r w:rsidRPr="00385D98">
        <w:rPr>
          <w:sz w:val="22"/>
          <w:szCs w:val="22"/>
        </w:rPr>
        <w:lastRenderedPageBreak/>
        <w:t>explaining excessive male mortality are related to non-communicable diseases and injures. Men are also more prone to injures than women including traffic accidents, alcohol poisoning, suicides, homicides and other external causes of death.</w:t>
      </w:r>
    </w:p>
    <w:p w:rsidR="00385D98" w:rsidRDefault="00A57E9C" w:rsidP="00A57E9C">
      <w:pPr>
        <w:pStyle w:val="ListParagraph"/>
        <w:numPr>
          <w:ilvl w:val="0"/>
          <w:numId w:val="49"/>
        </w:numPr>
        <w:tabs>
          <w:tab w:val="left" w:pos="0"/>
        </w:tabs>
        <w:spacing w:after="240"/>
        <w:ind w:left="-90" w:firstLine="0"/>
        <w:jc w:val="both"/>
        <w:rPr>
          <w:sz w:val="22"/>
          <w:szCs w:val="22"/>
        </w:rPr>
      </w:pPr>
      <w:r w:rsidRPr="00385D98">
        <w:rPr>
          <w:b/>
          <w:sz w:val="22"/>
          <w:szCs w:val="22"/>
        </w:rPr>
        <w:t>Low retirement age and lower labor earnings make female single headed households particularly vulnerable.</w:t>
      </w:r>
      <w:r w:rsidRPr="00385D98">
        <w:rPr>
          <w:sz w:val="22"/>
          <w:szCs w:val="22"/>
        </w:rPr>
        <w:t xml:space="preserve">  The current retirement age in Belarus is one of the lowest among countries of the ECA region. Women retire at age 55 years and</w:t>
      </w:r>
      <w:r w:rsidR="00ED791C">
        <w:rPr>
          <w:sz w:val="22"/>
          <w:szCs w:val="22"/>
        </w:rPr>
        <w:t xml:space="preserve"> men at age 60 years. The gap of</w:t>
      </w:r>
      <w:r w:rsidRPr="00385D98">
        <w:rPr>
          <w:sz w:val="22"/>
          <w:szCs w:val="22"/>
        </w:rPr>
        <w:t xml:space="preserve"> five years is inconsistent with men and women’s life expectancy.  The earlier a person retires, he or she is likely to retire at a lower wage—and hence—pension level than if they had continued to work and experienced an increase in wages. As a result of aging and higher male mortality, there are more female heads of households than male heads among </w:t>
      </w:r>
      <w:r w:rsidR="00ED791C">
        <w:rPr>
          <w:sz w:val="22"/>
          <w:szCs w:val="22"/>
        </w:rPr>
        <w:t xml:space="preserve">the </w:t>
      </w:r>
      <w:r w:rsidRPr="00385D98">
        <w:rPr>
          <w:sz w:val="22"/>
          <w:szCs w:val="22"/>
        </w:rPr>
        <w:t>elderly</w:t>
      </w:r>
      <w:r w:rsidR="00ED791C">
        <w:rPr>
          <w:sz w:val="22"/>
          <w:szCs w:val="22"/>
        </w:rPr>
        <w:t xml:space="preserve"> population</w:t>
      </w:r>
      <w:r w:rsidRPr="00385D98">
        <w:rPr>
          <w:sz w:val="22"/>
          <w:szCs w:val="22"/>
        </w:rPr>
        <w:t xml:space="preserve">. Households headed by women have lower income per capita than households headed by men. Single parent household headed by women have the lowest income per capita across all types of households. </w:t>
      </w:r>
    </w:p>
    <w:p w:rsidR="00385D98" w:rsidRDefault="00A57E9C" w:rsidP="00A57E9C">
      <w:pPr>
        <w:pStyle w:val="ListParagraph"/>
        <w:numPr>
          <w:ilvl w:val="0"/>
          <w:numId w:val="49"/>
        </w:numPr>
        <w:tabs>
          <w:tab w:val="left" w:pos="0"/>
        </w:tabs>
        <w:spacing w:after="240"/>
        <w:ind w:left="-90" w:firstLine="0"/>
        <w:jc w:val="both"/>
        <w:rPr>
          <w:sz w:val="22"/>
          <w:szCs w:val="22"/>
        </w:rPr>
      </w:pPr>
      <w:r w:rsidRPr="00385D98">
        <w:rPr>
          <w:b/>
          <w:sz w:val="22"/>
          <w:szCs w:val="22"/>
        </w:rPr>
        <w:t>In spite of the Government’s efforts, domestic violence also remains an important problem for Belarus.</w:t>
      </w:r>
      <w:r w:rsidRPr="00385D98">
        <w:rPr>
          <w:sz w:val="22"/>
          <w:szCs w:val="22"/>
        </w:rPr>
        <w:t xml:space="preserve"> Tolerance of domestic violence in the society is quite high and people are reluctant to report the violence to the police. Lack of specific legislation on domestic violence against women and problems with enforcement of existing laws are of particular concern.  The scale of domestic violence is potentially widespread such that poor and uneducated women with children are at the highest risk.</w:t>
      </w:r>
    </w:p>
    <w:p w:rsidR="001A446C" w:rsidRPr="00385D98" w:rsidRDefault="00A57E9C" w:rsidP="00A57E9C">
      <w:pPr>
        <w:pStyle w:val="ListParagraph"/>
        <w:numPr>
          <w:ilvl w:val="0"/>
          <w:numId w:val="49"/>
        </w:numPr>
        <w:tabs>
          <w:tab w:val="left" w:pos="0"/>
        </w:tabs>
        <w:spacing w:after="240"/>
        <w:ind w:left="-90" w:firstLine="0"/>
        <w:jc w:val="both"/>
        <w:rPr>
          <w:sz w:val="22"/>
          <w:szCs w:val="22"/>
        </w:rPr>
      </w:pPr>
      <w:r w:rsidRPr="00385D98">
        <w:rPr>
          <w:b/>
          <w:sz w:val="22"/>
          <w:szCs w:val="22"/>
        </w:rPr>
        <w:t>Reducing gender inequality in Belarus may benefit from the proposed set of policy measures.</w:t>
      </w:r>
      <w:r w:rsidRPr="00385D98">
        <w:rPr>
          <w:sz w:val="22"/>
          <w:szCs w:val="22"/>
        </w:rPr>
        <w:t xml:space="preserve"> Adoption of legislation on domestic violence and sex discrimination would be an important step in protecting women in Belarus. Implementation and enforcement of domestic violence legislation can benefit from the provision of trainings, public education campaigns and ensuring access to short-term and long-term housing for the victims of domestic violence. Gender discrimination can be addressed through multiple means of which legislation is only one component.  In order to change social norms introducing gender studies in secondary schools and higher education institutions, developing special courses on gender equality for future journalists, and positive representation of women in mass media are just a few options available to help change gender stereotypes.  Health campaigns against smoking and alcohol, promotion of healthy lifestyle (to address non-communicable diseases (the main cause of higher mortality among men), and greater enforcement of road safety laws may help to reduce male mortality. Finally, greater availability of gender disaggregated data is needed. Success of gender related policies depend on data availability used both for identification of gender issues and monitoring success of the implementation of gender policies. International agencies could closely work and support the National Statistical Committee (NSC) in order to ensure availability of relevant and regularly updated gender disaggregated statistics in Belarus.</w:t>
      </w:r>
    </w:p>
    <w:p w:rsidR="001A446C" w:rsidRDefault="001A446C">
      <w:pPr>
        <w:rPr>
          <w:sz w:val="22"/>
          <w:szCs w:val="22"/>
        </w:rPr>
      </w:pPr>
      <w:r>
        <w:rPr>
          <w:sz w:val="22"/>
          <w:szCs w:val="22"/>
        </w:rPr>
        <w:br w:type="page"/>
      </w:r>
    </w:p>
    <w:p w:rsidR="007C41AA" w:rsidRPr="00ED791C" w:rsidRDefault="008D23A2" w:rsidP="00041567">
      <w:pPr>
        <w:spacing w:before="720" w:after="240"/>
        <w:jc w:val="center"/>
        <w:rPr>
          <w:b/>
          <w:bCs/>
          <w:smallCaps/>
        </w:rPr>
      </w:pPr>
      <w:r w:rsidRPr="00ED791C">
        <w:rPr>
          <w:b/>
          <w:bCs/>
          <w:smallCaps/>
        </w:rPr>
        <w:lastRenderedPageBreak/>
        <w:t>INTRODUCTION</w:t>
      </w:r>
    </w:p>
    <w:p w:rsidR="007C41AA" w:rsidRDefault="007C41AA" w:rsidP="0097178E">
      <w:pPr>
        <w:jc w:val="center"/>
        <w:rPr>
          <w:b/>
          <w:bCs/>
          <w:smallCaps/>
          <w:sz w:val="22"/>
          <w:szCs w:val="22"/>
        </w:rPr>
      </w:pPr>
    </w:p>
    <w:p w:rsidR="001D31F4" w:rsidRDefault="00A57E9C" w:rsidP="003254D6">
      <w:pPr>
        <w:tabs>
          <w:tab w:val="left" w:pos="0"/>
        </w:tabs>
        <w:spacing w:after="240"/>
        <w:jc w:val="both"/>
        <w:rPr>
          <w:sz w:val="22"/>
          <w:szCs w:val="22"/>
        </w:rPr>
      </w:pPr>
      <w:r>
        <w:rPr>
          <w:sz w:val="22"/>
          <w:szCs w:val="22"/>
        </w:rPr>
        <w:t>1</w:t>
      </w:r>
      <w:r w:rsidR="00536B74" w:rsidRPr="00536B74">
        <w:rPr>
          <w:sz w:val="22"/>
          <w:szCs w:val="22"/>
        </w:rPr>
        <w:t>.</w:t>
      </w:r>
      <w:r w:rsidR="00536B74" w:rsidRPr="00536B74">
        <w:rPr>
          <w:sz w:val="22"/>
          <w:szCs w:val="22"/>
        </w:rPr>
        <w:tab/>
      </w:r>
      <w:r w:rsidR="00351D27" w:rsidRPr="00351D27">
        <w:rPr>
          <w:sz w:val="22"/>
          <w:szCs w:val="22"/>
        </w:rPr>
        <w:t>Belarus is an upper-middle income country with income per capita of US$5,380 (GNI using Atlas method) in 2011.</w:t>
      </w:r>
      <w:r w:rsidR="00351D27">
        <w:rPr>
          <w:sz w:val="22"/>
          <w:szCs w:val="22"/>
        </w:rPr>
        <w:t xml:space="preserve"> </w:t>
      </w:r>
      <w:r w:rsidR="00351D27" w:rsidRPr="00351D27">
        <w:rPr>
          <w:sz w:val="22"/>
          <w:szCs w:val="22"/>
        </w:rPr>
        <w:t xml:space="preserve">Belarus </w:t>
      </w:r>
      <w:r w:rsidR="001D31F4">
        <w:rPr>
          <w:sz w:val="22"/>
          <w:szCs w:val="22"/>
        </w:rPr>
        <w:t>demonstrated strong economic growth 2000-2008 and this translated into fast</w:t>
      </w:r>
      <w:r w:rsidR="00351D27">
        <w:rPr>
          <w:sz w:val="22"/>
          <w:szCs w:val="22"/>
        </w:rPr>
        <w:t xml:space="preserve"> poverty reduction. </w:t>
      </w:r>
      <w:r w:rsidR="002920E5">
        <w:rPr>
          <w:sz w:val="22"/>
          <w:szCs w:val="22"/>
        </w:rPr>
        <w:t>B</w:t>
      </w:r>
      <w:r w:rsidR="002920E5" w:rsidRPr="002920E5">
        <w:rPr>
          <w:sz w:val="22"/>
          <w:szCs w:val="22"/>
        </w:rPr>
        <w:t>elarus has already achieved almost all of the Millennium Development Goals (MDGs),</w:t>
      </w:r>
      <w:r w:rsidR="001D31F4">
        <w:rPr>
          <w:sz w:val="22"/>
          <w:szCs w:val="22"/>
        </w:rPr>
        <w:t xml:space="preserve"> but some efforts are needed to stimulate progress in combating </w:t>
      </w:r>
      <w:r w:rsidR="002920E5" w:rsidRPr="002920E5">
        <w:rPr>
          <w:sz w:val="22"/>
          <w:szCs w:val="22"/>
        </w:rPr>
        <w:t>/AIDS and tuberculosis,</w:t>
      </w:r>
      <w:r w:rsidR="001D31F4">
        <w:rPr>
          <w:sz w:val="22"/>
          <w:szCs w:val="22"/>
        </w:rPr>
        <w:t xml:space="preserve"> to </w:t>
      </w:r>
      <w:r w:rsidR="002920E5" w:rsidRPr="002920E5">
        <w:rPr>
          <w:sz w:val="22"/>
          <w:szCs w:val="22"/>
        </w:rPr>
        <w:t>ensure environmental sustainability,</w:t>
      </w:r>
      <w:r w:rsidR="001D31F4">
        <w:rPr>
          <w:sz w:val="22"/>
          <w:szCs w:val="22"/>
        </w:rPr>
        <w:t xml:space="preserve"> and to</w:t>
      </w:r>
      <w:r w:rsidR="002920E5" w:rsidRPr="002920E5">
        <w:rPr>
          <w:sz w:val="22"/>
          <w:szCs w:val="22"/>
        </w:rPr>
        <w:t xml:space="preserve"> develop a global partnership for development</w:t>
      </w:r>
      <w:r w:rsidR="001D31F4">
        <w:rPr>
          <w:sz w:val="22"/>
          <w:szCs w:val="22"/>
        </w:rPr>
        <w:t xml:space="preserve">. The role of the state is substantial and largely unreformed economic model is based </w:t>
      </w:r>
      <w:r w:rsidR="001D31F4" w:rsidRPr="001D31F4">
        <w:rPr>
          <w:sz w:val="22"/>
          <w:szCs w:val="22"/>
        </w:rPr>
        <w:t>on the dominance of public sector</w:t>
      </w:r>
      <w:r w:rsidR="001D31F4">
        <w:rPr>
          <w:sz w:val="22"/>
          <w:szCs w:val="22"/>
        </w:rPr>
        <w:t xml:space="preserve"> </w:t>
      </w:r>
      <w:r w:rsidR="001D31F4" w:rsidRPr="001D31F4">
        <w:rPr>
          <w:sz w:val="22"/>
          <w:szCs w:val="22"/>
        </w:rPr>
        <w:t>and a “social contract” of broad-based income redistribution and a high level of social</w:t>
      </w:r>
      <w:r w:rsidR="001D31F4">
        <w:rPr>
          <w:sz w:val="22"/>
          <w:szCs w:val="22"/>
        </w:rPr>
        <w:t xml:space="preserve"> </w:t>
      </w:r>
      <w:r w:rsidR="001D31F4" w:rsidRPr="001D31F4">
        <w:rPr>
          <w:sz w:val="22"/>
          <w:szCs w:val="22"/>
        </w:rPr>
        <w:t>equity</w:t>
      </w:r>
      <w:r w:rsidR="00326FE5">
        <w:rPr>
          <w:sz w:val="22"/>
          <w:szCs w:val="22"/>
        </w:rPr>
        <w:t>.</w:t>
      </w:r>
      <w:r w:rsidR="001D31F4">
        <w:rPr>
          <w:sz w:val="22"/>
          <w:szCs w:val="22"/>
        </w:rPr>
        <w:t xml:space="preserve"> </w:t>
      </w:r>
      <w:r w:rsidR="00326FE5">
        <w:rPr>
          <w:sz w:val="22"/>
          <w:szCs w:val="22"/>
        </w:rPr>
        <w:t>Economic g</w:t>
      </w:r>
      <w:r w:rsidR="003254D6" w:rsidRPr="003254D6">
        <w:rPr>
          <w:sz w:val="22"/>
          <w:szCs w:val="22"/>
        </w:rPr>
        <w:t>rowth slowed substantially during the economic crisis of 2008-09, and sin</w:t>
      </w:r>
      <w:r w:rsidR="00326FE5">
        <w:rPr>
          <w:sz w:val="22"/>
          <w:szCs w:val="22"/>
        </w:rPr>
        <w:t xml:space="preserve">ce </w:t>
      </w:r>
      <w:r w:rsidR="003254D6" w:rsidRPr="003254D6">
        <w:rPr>
          <w:sz w:val="22"/>
          <w:szCs w:val="22"/>
        </w:rPr>
        <w:t>then the country has gone through a period of recurring macroeconomic instability</w:t>
      </w:r>
      <w:r w:rsidR="00326FE5">
        <w:rPr>
          <w:sz w:val="22"/>
          <w:szCs w:val="22"/>
        </w:rPr>
        <w:t xml:space="preserve"> </w:t>
      </w:r>
      <w:r w:rsidR="00326FE5" w:rsidRPr="00326FE5">
        <w:rPr>
          <w:sz w:val="22"/>
          <w:szCs w:val="22"/>
        </w:rPr>
        <w:t>(World Bank</w:t>
      </w:r>
      <w:r w:rsidR="00326FE5">
        <w:rPr>
          <w:sz w:val="22"/>
          <w:szCs w:val="22"/>
        </w:rPr>
        <w:t>, 2013</w:t>
      </w:r>
      <w:r w:rsidR="00326FE5" w:rsidRPr="00326FE5">
        <w:rPr>
          <w:sz w:val="22"/>
          <w:szCs w:val="22"/>
        </w:rPr>
        <w:t>).</w:t>
      </w:r>
    </w:p>
    <w:p w:rsidR="00536B74" w:rsidRPr="00536B74" w:rsidRDefault="007C1750" w:rsidP="00536B74">
      <w:pPr>
        <w:tabs>
          <w:tab w:val="left" w:pos="0"/>
        </w:tabs>
        <w:spacing w:after="240"/>
        <w:jc w:val="both"/>
        <w:rPr>
          <w:sz w:val="22"/>
          <w:szCs w:val="22"/>
        </w:rPr>
      </w:pPr>
      <w:r>
        <w:rPr>
          <w:sz w:val="22"/>
          <w:szCs w:val="22"/>
        </w:rPr>
        <w:t>2.</w:t>
      </w:r>
      <w:r>
        <w:rPr>
          <w:sz w:val="22"/>
          <w:szCs w:val="22"/>
        </w:rPr>
        <w:tab/>
      </w:r>
      <w:r w:rsidR="00431F0E" w:rsidRPr="00431F0E">
        <w:rPr>
          <w:sz w:val="22"/>
          <w:szCs w:val="22"/>
        </w:rPr>
        <w:t xml:space="preserve">Belarus </w:t>
      </w:r>
      <w:r w:rsidR="00431F0E">
        <w:rPr>
          <w:sz w:val="22"/>
          <w:szCs w:val="22"/>
        </w:rPr>
        <w:t>invested a lot in</w:t>
      </w:r>
      <w:r w:rsidR="00431F0E" w:rsidRPr="00431F0E">
        <w:rPr>
          <w:sz w:val="22"/>
          <w:szCs w:val="22"/>
        </w:rPr>
        <w:t xml:space="preserve"> the </w:t>
      </w:r>
      <w:r w:rsidR="00431F0E">
        <w:rPr>
          <w:sz w:val="22"/>
          <w:szCs w:val="22"/>
        </w:rPr>
        <w:t xml:space="preserve">human capital of its population </w:t>
      </w:r>
      <w:r w:rsidR="00431F0E" w:rsidRPr="00431F0E">
        <w:rPr>
          <w:sz w:val="22"/>
          <w:szCs w:val="22"/>
        </w:rPr>
        <w:t>both in men and women. This</w:t>
      </w:r>
      <w:r w:rsidR="00431F0E">
        <w:rPr>
          <w:sz w:val="22"/>
          <w:szCs w:val="22"/>
        </w:rPr>
        <w:t xml:space="preserve"> </w:t>
      </w:r>
      <w:r w:rsidR="00431F0E" w:rsidRPr="00431F0E">
        <w:rPr>
          <w:sz w:val="22"/>
          <w:szCs w:val="22"/>
        </w:rPr>
        <w:t>continued and significant investment in health and education has helped to close gender gaps in key areas</w:t>
      </w:r>
      <w:r w:rsidR="00431F0E">
        <w:rPr>
          <w:sz w:val="22"/>
          <w:szCs w:val="22"/>
        </w:rPr>
        <w:t xml:space="preserve"> </w:t>
      </w:r>
      <w:r w:rsidR="00431F0E" w:rsidRPr="00431F0E">
        <w:rPr>
          <w:sz w:val="22"/>
          <w:szCs w:val="22"/>
        </w:rPr>
        <w:t>of primary and secondary schooling and women’s access to maternal and child care</w:t>
      </w:r>
      <w:r w:rsidR="00431F0E">
        <w:rPr>
          <w:sz w:val="22"/>
          <w:szCs w:val="22"/>
        </w:rPr>
        <w:t xml:space="preserve"> (</w:t>
      </w:r>
      <w:r w:rsidR="00431F0E" w:rsidRPr="00431F0E">
        <w:rPr>
          <w:sz w:val="22"/>
          <w:szCs w:val="22"/>
        </w:rPr>
        <w:t>World Bank, 2013</w:t>
      </w:r>
      <w:r w:rsidR="00431F0E">
        <w:rPr>
          <w:sz w:val="22"/>
          <w:szCs w:val="22"/>
        </w:rPr>
        <w:t>)</w:t>
      </w:r>
      <w:r w:rsidR="00431F0E" w:rsidRPr="00431F0E">
        <w:rPr>
          <w:sz w:val="22"/>
          <w:szCs w:val="22"/>
        </w:rPr>
        <w:t>.</w:t>
      </w:r>
      <w:r w:rsidR="00431F0E">
        <w:rPr>
          <w:sz w:val="22"/>
          <w:szCs w:val="22"/>
        </w:rPr>
        <w:t xml:space="preserve"> Nevertheless, s</w:t>
      </w:r>
      <w:r w:rsidR="005866AB">
        <w:rPr>
          <w:sz w:val="22"/>
          <w:szCs w:val="22"/>
        </w:rPr>
        <w:t>everal important issues with gender equality remain (</w:t>
      </w:r>
      <w:r w:rsidR="005866AB" w:rsidRPr="005866AB">
        <w:rPr>
          <w:sz w:val="22"/>
          <w:szCs w:val="22"/>
        </w:rPr>
        <w:t>CEDAW</w:t>
      </w:r>
      <w:r w:rsidR="00773693">
        <w:rPr>
          <w:sz w:val="22"/>
          <w:szCs w:val="22"/>
        </w:rPr>
        <w:t>, 2011</w:t>
      </w:r>
      <w:r w:rsidR="005866AB">
        <w:rPr>
          <w:sz w:val="22"/>
          <w:szCs w:val="22"/>
        </w:rPr>
        <w:t xml:space="preserve">). </w:t>
      </w:r>
      <w:r w:rsidR="00536B74" w:rsidRPr="00536B74">
        <w:rPr>
          <w:sz w:val="22"/>
          <w:szCs w:val="22"/>
        </w:rPr>
        <w:t xml:space="preserve">This report aims to describe the status of men and women in Belarus in selected areas of development and suggest some critical gaps the </w:t>
      </w:r>
      <w:r w:rsidR="004C0836">
        <w:rPr>
          <w:sz w:val="22"/>
          <w:szCs w:val="22"/>
        </w:rPr>
        <w:t>G</w:t>
      </w:r>
      <w:r w:rsidR="004C0836" w:rsidRPr="00536B74">
        <w:rPr>
          <w:sz w:val="22"/>
          <w:szCs w:val="22"/>
        </w:rPr>
        <w:t xml:space="preserve">overnment </w:t>
      </w:r>
      <w:r w:rsidR="00536B74" w:rsidRPr="00536B74">
        <w:rPr>
          <w:sz w:val="22"/>
          <w:szCs w:val="22"/>
        </w:rPr>
        <w:t xml:space="preserve">may wish to address. Following the framework of the World Development Report on Gender and Development (World Bank, 2012a), we  focus on gender disparities in endowments and economic opportunities along with discussing institutional framework, social norms and voice and representation as factors which shape women’s and men’s ability to make effective choices and to transform those choices into desired outcomes. The approach adopted in the report is largely quantitative and complements the more qualitative studies that already exist. </w:t>
      </w:r>
    </w:p>
    <w:p w:rsidR="00536B74" w:rsidRPr="00536B74" w:rsidRDefault="007C1750" w:rsidP="00A57E9C">
      <w:pPr>
        <w:tabs>
          <w:tab w:val="left" w:pos="0"/>
        </w:tabs>
        <w:spacing w:after="240"/>
        <w:jc w:val="both"/>
        <w:rPr>
          <w:sz w:val="22"/>
          <w:szCs w:val="22"/>
        </w:rPr>
      </w:pPr>
      <w:r>
        <w:rPr>
          <w:sz w:val="22"/>
          <w:szCs w:val="22"/>
        </w:rPr>
        <w:t>3.</w:t>
      </w:r>
      <w:r w:rsidR="00536B74" w:rsidRPr="00536B74">
        <w:rPr>
          <w:sz w:val="22"/>
          <w:szCs w:val="22"/>
        </w:rPr>
        <w:tab/>
      </w:r>
      <w:r w:rsidR="00A57E9C" w:rsidRPr="00536B74">
        <w:rPr>
          <w:sz w:val="22"/>
          <w:szCs w:val="22"/>
        </w:rPr>
        <w:t>This note is best read along with two World Bank reports:  the World Development Report on Gender and Development (World Bank, 2012a) and “Opportunities for Men and Women in Emerging Europe and Central Asia” (Sattar, 2012).</w:t>
      </w:r>
      <w:r w:rsidR="00A57E9C" w:rsidRPr="00536B74" w:rsidDel="00A57E9C">
        <w:rPr>
          <w:sz w:val="22"/>
          <w:szCs w:val="22"/>
        </w:rPr>
        <w:t xml:space="preserve"> </w:t>
      </w:r>
      <w:r w:rsidR="00A57E9C" w:rsidRPr="00536B74">
        <w:rPr>
          <w:sz w:val="22"/>
          <w:szCs w:val="22"/>
        </w:rPr>
        <w:t>A wide range of data sources are used to empirically capture the status and trends in gender disaggregated statistics across a wide range of indicators. For international comparison we mostly rely on the World Bank’s World Development Indicators. The Life in Transition Survey 2010 (LiTS II) and the European Value Study 2008 (EVS) were used to measure gender perceptions, subjective wellbeing and entrepreneurship. The Global Financial Inclusion Database 2011 (FINDEX) was used to measure gender disparities in access to finance. EBRD-World Bank Business Environment and Enterprise Performance Survey 2008 (BEEPS) was used to analyze gender disparities in entrepreneurship. Finally, the Household Living Standards Survey (HLSS) 2010 was used to analyze employment and earnings across gender along with other information collected by the National Statistical Committee of the Republic of Belarus (NSC).</w:t>
      </w:r>
    </w:p>
    <w:p w:rsidR="00536B74" w:rsidRPr="00536B74" w:rsidRDefault="00A57E9C" w:rsidP="00536B74">
      <w:pPr>
        <w:tabs>
          <w:tab w:val="left" w:pos="0"/>
        </w:tabs>
        <w:spacing w:after="240"/>
        <w:jc w:val="both"/>
        <w:rPr>
          <w:sz w:val="22"/>
          <w:szCs w:val="22"/>
        </w:rPr>
      </w:pPr>
      <w:r>
        <w:rPr>
          <w:sz w:val="22"/>
          <w:szCs w:val="22"/>
        </w:rPr>
        <w:t>4</w:t>
      </w:r>
      <w:r w:rsidR="00536B74" w:rsidRPr="00536B74">
        <w:rPr>
          <w:sz w:val="22"/>
          <w:szCs w:val="22"/>
        </w:rPr>
        <w:t>.</w:t>
      </w:r>
      <w:r w:rsidR="00536B74" w:rsidRPr="00536B74">
        <w:rPr>
          <w:sz w:val="22"/>
          <w:szCs w:val="22"/>
        </w:rPr>
        <w:tab/>
        <w:t xml:space="preserve">The remainder of the report is organized as follows.  The next section discusses “agency” and describes factors which may shape the process how men and women use their endowments and utilize economic opportunities to achieve desired outcomes.  The third section analyzes gender disparities in endowments, such as health and education. The fourth section focuses on gender gaps in the labor market, entrepreneurship and earnings, access to finance and poverty. The last section presents conclusions and policy recommendations. </w:t>
      </w:r>
    </w:p>
    <w:p w:rsidR="00536B74" w:rsidRPr="00536B74" w:rsidRDefault="00536B74" w:rsidP="00536B74">
      <w:pPr>
        <w:tabs>
          <w:tab w:val="left" w:pos="0"/>
        </w:tabs>
        <w:spacing w:after="240"/>
        <w:jc w:val="both"/>
        <w:rPr>
          <w:b/>
          <w:sz w:val="22"/>
          <w:szCs w:val="22"/>
        </w:rPr>
      </w:pPr>
      <w:r w:rsidRPr="00536B74">
        <w:rPr>
          <w:b/>
          <w:sz w:val="22"/>
          <w:szCs w:val="22"/>
        </w:rPr>
        <w:t>Key Findings</w:t>
      </w:r>
    </w:p>
    <w:p w:rsidR="00536B74" w:rsidRPr="00536B74" w:rsidRDefault="00A57E9C" w:rsidP="00536B74">
      <w:pPr>
        <w:tabs>
          <w:tab w:val="left" w:pos="0"/>
        </w:tabs>
        <w:spacing w:after="240"/>
        <w:jc w:val="both"/>
        <w:rPr>
          <w:sz w:val="22"/>
          <w:szCs w:val="22"/>
        </w:rPr>
      </w:pPr>
      <w:r>
        <w:rPr>
          <w:sz w:val="22"/>
          <w:szCs w:val="22"/>
        </w:rPr>
        <w:t>5</w:t>
      </w:r>
      <w:r w:rsidR="00536B74" w:rsidRPr="00536B74">
        <w:rPr>
          <w:sz w:val="22"/>
          <w:szCs w:val="22"/>
        </w:rPr>
        <w:tab/>
        <w:t>Belarus is an upper-middle income country with income per capita of US$</w:t>
      </w:r>
      <w:r w:rsidR="004C0836">
        <w:rPr>
          <w:sz w:val="22"/>
          <w:szCs w:val="22"/>
        </w:rPr>
        <w:t>6,530</w:t>
      </w:r>
      <w:r w:rsidR="00536B74" w:rsidRPr="00536B74">
        <w:rPr>
          <w:sz w:val="22"/>
          <w:szCs w:val="22"/>
        </w:rPr>
        <w:t xml:space="preserve"> (GNI using Atlas method) in 201</w:t>
      </w:r>
      <w:r w:rsidR="004C0836">
        <w:rPr>
          <w:sz w:val="22"/>
          <w:szCs w:val="22"/>
        </w:rPr>
        <w:t>2</w:t>
      </w:r>
      <w:r w:rsidR="00536B74" w:rsidRPr="00536B74">
        <w:rPr>
          <w:sz w:val="22"/>
          <w:szCs w:val="22"/>
        </w:rPr>
        <w:t xml:space="preserve">. The country is ranked high on the “gender index” in the 15th position out of 86 </w:t>
      </w:r>
      <w:r w:rsidR="00536B74" w:rsidRPr="00536B74">
        <w:rPr>
          <w:sz w:val="22"/>
          <w:szCs w:val="22"/>
        </w:rPr>
        <w:lastRenderedPageBreak/>
        <w:t>countries in the 2012. The OECD’s “gender index” measures discriminatory social institutions</w:t>
      </w:r>
      <w:r w:rsidR="00DF7985">
        <w:rPr>
          <w:rStyle w:val="FootnoteReference"/>
          <w:sz w:val="22"/>
          <w:szCs w:val="22"/>
        </w:rPr>
        <w:footnoteReference w:id="1"/>
      </w:r>
      <w:r w:rsidR="00536B74" w:rsidRPr="00536B74">
        <w:rPr>
          <w:sz w:val="22"/>
          <w:szCs w:val="22"/>
        </w:rPr>
        <w:t>.  Belarus also avoided a deterioration of human development indicators observed in the Former Soviet Union countries during the transition because of the gradual approach to economic reforms.  Existing reports document gender disparities in several spheres of social-economic life of the Belarusian society (Institute of Economic Research under the Ministry of Economy of Belarus, 2010; CEDAW, 2011).</w:t>
      </w:r>
    </w:p>
    <w:p w:rsidR="00536B74" w:rsidRPr="00536B74" w:rsidRDefault="00A57E9C" w:rsidP="00536B74">
      <w:pPr>
        <w:tabs>
          <w:tab w:val="left" w:pos="0"/>
        </w:tabs>
        <w:spacing w:after="240"/>
        <w:jc w:val="both"/>
        <w:rPr>
          <w:sz w:val="22"/>
          <w:szCs w:val="22"/>
        </w:rPr>
      </w:pPr>
      <w:r>
        <w:rPr>
          <w:sz w:val="22"/>
          <w:szCs w:val="22"/>
        </w:rPr>
        <w:t>6</w:t>
      </w:r>
      <w:r w:rsidR="00536B74" w:rsidRPr="00536B74">
        <w:rPr>
          <w:sz w:val="22"/>
          <w:szCs w:val="22"/>
        </w:rPr>
        <w:t>.</w:t>
      </w:r>
      <w:r w:rsidR="00536B74" w:rsidRPr="00536B74">
        <w:rPr>
          <w:sz w:val="22"/>
          <w:szCs w:val="22"/>
        </w:rPr>
        <w:tab/>
        <w:t xml:space="preserve">The analysis of a wide variety of data yields a broad overview of the status of gender equality in Belarus and the issues facing men and women in the areas of health, education, and economic opportunities as well as women’s role in society and peoples’ attitudes. Though this analysis is by no means exhaustive, it does identify some areas where Belarus’s achievements are exemplary and other areas of challenge that remain. Some of our key findings are as follows: </w:t>
      </w:r>
    </w:p>
    <w:p w:rsidR="00536B74" w:rsidRPr="00536B74" w:rsidRDefault="00536B74" w:rsidP="00536B74">
      <w:pPr>
        <w:tabs>
          <w:tab w:val="left" w:pos="0"/>
        </w:tabs>
        <w:spacing w:after="240"/>
        <w:jc w:val="both"/>
        <w:rPr>
          <w:sz w:val="22"/>
          <w:szCs w:val="22"/>
        </w:rPr>
      </w:pPr>
      <w:r w:rsidRPr="00536B74">
        <w:rPr>
          <w:sz w:val="22"/>
          <w:szCs w:val="22"/>
        </w:rPr>
        <w:t>•</w:t>
      </w:r>
      <w:r w:rsidRPr="00536B74">
        <w:rPr>
          <w:sz w:val="22"/>
          <w:szCs w:val="22"/>
        </w:rPr>
        <w:tab/>
        <w:t>Belarusian legislation is “gender blind” and treats men and women equally in many key respects. However, there are some key gaps which include the lack of domestic violence legislation and legislation that prohibits discrimination based on sex.</w:t>
      </w:r>
    </w:p>
    <w:p w:rsidR="00536B74" w:rsidRPr="00536B74" w:rsidRDefault="00536B74" w:rsidP="00536B74">
      <w:pPr>
        <w:tabs>
          <w:tab w:val="left" w:pos="0"/>
        </w:tabs>
        <w:spacing w:after="240"/>
        <w:jc w:val="both"/>
        <w:rPr>
          <w:sz w:val="22"/>
          <w:szCs w:val="22"/>
        </w:rPr>
      </w:pPr>
      <w:r w:rsidRPr="00536B74">
        <w:rPr>
          <w:sz w:val="22"/>
          <w:szCs w:val="22"/>
        </w:rPr>
        <w:t>•</w:t>
      </w:r>
      <w:r w:rsidRPr="00536B74">
        <w:rPr>
          <w:sz w:val="22"/>
          <w:szCs w:val="22"/>
        </w:rPr>
        <w:tab/>
        <w:t xml:space="preserve">The </w:t>
      </w:r>
      <w:r w:rsidR="004C0836">
        <w:rPr>
          <w:sz w:val="22"/>
          <w:szCs w:val="22"/>
        </w:rPr>
        <w:t>G</w:t>
      </w:r>
      <w:r w:rsidRPr="00536B74">
        <w:rPr>
          <w:sz w:val="22"/>
          <w:szCs w:val="22"/>
        </w:rPr>
        <w:t xml:space="preserve">overnment’s investment in health and education has paid off giving men and women equal access to schooling and health facilities. Yet, despite this, there is a large gender gap at the tertiary school level with more women than men enrolled in universities. Furthermore, men’s life style choices have led to high male mortality among prime age adults significantly lowering male life expectancy. </w:t>
      </w:r>
    </w:p>
    <w:p w:rsidR="00536B74" w:rsidRPr="00536B74" w:rsidRDefault="00536B74" w:rsidP="00536B74">
      <w:pPr>
        <w:tabs>
          <w:tab w:val="left" w:pos="0"/>
        </w:tabs>
        <w:spacing w:after="240"/>
        <w:jc w:val="both"/>
        <w:rPr>
          <w:sz w:val="22"/>
          <w:szCs w:val="22"/>
        </w:rPr>
      </w:pPr>
      <w:r w:rsidRPr="00536B74">
        <w:rPr>
          <w:sz w:val="22"/>
          <w:szCs w:val="22"/>
        </w:rPr>
        <w:t>•</w:t>
      </w:r>
      <w:r w:rsidRPr="00536B74">
        <w:rPr>
          <w:sz w:val="22"/>
          <w:szCs w:val="22"/>
        </w:rPr>
        <w:tab/>
        <w:t>Though women’s labor force participation rate in Belarus is above the average for the ECA countries, women are still at a disadvantage in the labor market. On average, women earn less than men, even when corrected for occupation and human capital. Also, despite women’s better educational qualifications, they are less likely to be represented at the top levels of private and public institutions.</w:t>
      </w:r>
    </w:p>
    <w:p w:rsidR="00536B74" w:rsidRPr="00536B74" w:rsidRDefault="00536B74" w:rsidP="00536B74">
      <w:pPr>
        <w:tabs>
          <w:tab w:val="left" w:pos="0"/>
        </w:tabs>
        <w:spacing w:after="240"/>
        <w:jc w:val="both"/>
        <w:rPr>
          <w:sz w:val="22"/>
          <w:szCs w:val="22"/>
        </w:rPr>
      </w:pPr>
      <w:r w:rsidRPr="00536B74">
        <w:rPr>
          <w:sz w:val="22"/>
          <w:szCs w:val="22"/>
        </w:rPr>
        <w:t>•</w:t>
      </w:r>
      <w:r w:rsidRPr="00536B74">
        <w:rPr>
          <w:sz w:val="22"/>
          <w:szCs w:val="22"/>
        </w:rPr>
        <w:tab/>
        <w:t xml:space="preserve">Some social benefits for women are reasonable, but others are not. Specifically, maternity leave for (employed) women is adequate in length. But the child care leave benefit for three years is excessive and hurts women’s career opportunities. Furthermore, there is a gender gap in the retirement age which adversely impacts women’s incomes, pensions, and career progression.  </w:t>
      </w:r>
    </w:p>
    <w:p w:rsidR="0097178E" w:rsidRDefault="00536B74" w:rsidP="00536B74">
      <w:pPr>
        <w:tabs>
          <w:tab w:val="left" w:pos="0"/>
        </w:tabs>
        <w:spacing w:after="240"/>
        <w:jc w:val="both"/>
        <w:rPr>
          <w:sz w:val="22"/>
          <w:szCs w:val="22"/>
        </w:rPr>
      </w:pPr>
      <w:r w:rsidRPr="00536B74">
        <w:rPr>
          <w:sz w:val="22"/>
          <w:szCs w:val="22"/>
        </w:rPr>
        <w:t>•</w:t>
      </w:r>
      <w:r w:rsidRPr="00536B74">
        <w:rPr>
          <w:sz w:val="22"/>
          <w:szCs w:val="22"/>
        </w:rPr>
        <w:tab/>
        <w:t xml:space="preserve">There is a lack of regular, detailed gender disaggregated statistics in Belarus. Existing sources of gender statistics provided sporadic information and are not regularly updated. However, in 2013 the results from the Multiple Indicator Cluster Survey </w:t>
      </w:r>
      <w:r w:rsidR="004C0836">
        <w:rPr>
          <w:sz w:val="22"/>
          <w:szCs w:val="22"/>
        </w:rPr>
        <w:t>was presented</w:t>
      </w:r>
      <w:r w:rsidRPr="00536B74">
        <w:rPr>
          <w:sz w:val="22"/>
          <w:szCs w:val="22"/>
        </w:rPr>
        <w:t xml:space="preserve"> and </w:t>
      </w:r>
      <w:r w:rsidR="001F4C64">
        <w:rPr>
          <w:sz w:val="22"/>
          <w:szCs w:val="22"/>
        </w:rPr>
        <w:t xml:space="preserve">this </w:t>
      </w:r>
      <w:r w:rsidRPr="00536B74">
        <w:rPr>
          <w:sz w:val="22"/>
          <w:szCs w:val="22"/>
        </w:rPr>
        <w:t>increase</w:t>
      </w:r>
      <w:r w:rsidR="004C0836">
        <w:rPr>
          <w:sz w:val="22"/>
          <w:szCs w:val="22"/>
        </w:rPr>
        <w:t>d</w:t>
      </w:r>
      <w:r w:rsidRPr="00536B74">
        <w:rPr>
          <w:sz w:val="22"/>
          <w:szCs w:val="22"/>
        </w:rPr>
        <w:t xml:space="preserve"> the availability of gender disaggregated indicators.</w:t>
      </w:r>
    </w:p>
    <w:p w:rsidR="00102571" w:rsidRDefault="00102571" w:rsidP="00536B74">
      <w:pPr>
        <w:tabs>
          <w:tab w:val="left" w:pos="0"/>
        </w:tabs>
        <w:spacing w:after="240"/>
        <w:jc w:val="both"/>
        <w:rPr>
          <w:sz w:val="22"/>
          <w:szCs w:val="22"/>
        </w:rPr>
        <w:sectPr w:rsidR="00102571" w:rsidSect="00102571">
          <w:footerReference w:type="even" r:id="rId14"/>
          <w:footerReference w:type="default" r:id="rId15"/>
          <w:pgSz w:w="12240" w:h="15840"/>
          <w:pgMar w:top="1440" w:right="1440" w:bottom="1440" w:left="1440" w:header="720" w:footer="720" w:gutter="0"/>
          <w:pgNumType w:fmt="lowerRoman"/>
          <w:cols w:space="720"/>
          <w:docGrid w:linePitch="360"/>
        </w:sectPr>
      </w:pPr>
    </w:p>
    <w:p w:rsidR="00102571" w:rsidRPr="0061321D" w:rsidRDefault="00102571" w:rsidP="00536B74">
      <w:pPr>
        <w:tabs>
          <w:tab w:val="left" w:pos="0"/>
        </w:tabs>
        <w:spacing w:after="240"/>
        <w:jc w:val="both"/>
        <w:rPr>
          <w:sz w:val="22"/>
          <w:szCs w:val="22"/>
        </w:rPr>
      </w:pPr>
    </w:p>
    <w:p w:rsidR="002E3A5C" w:rsidRPr="0033211E" w:rsidRDefault="006A2207" w:rsidP="00A904F2">
      <w:pPr>
        <w:pStyle w:val="Heading1"/>
      </w:pPr>
      <w:r>
        <w:t xml:space="preserve"> </w:t>
      </w:r>
      <w:r w:rsidR="00C96C0B">
        <w:br w:type="textWrapping" w:clear="all"/>
      </w:r>
      <w:bookmarkStart w:id="5" w:name="_Toc383011580"/>
      <w:r w:rsidR="00F74D4B" w:rsidRPr="0033211E">
        <w:t>A</w:t>
      </w:r>
      <w:r w:rsidR="003B4048" w:rsidRPr="0033211E">
        <w:t>GENCY</w:t>
      </w:r>
      <w:bookmarkEnd w:id="5"/>
    </w:p>
    <w:p w:rsidR="00E63056" w:rsidRPr="00B71505" w:rsidRDefault="00E63056" w:rsidP="00E63056">
      <w:pPr>
        <w:pStyle w:val="MainParawithChapter"/>
        <w:numPr>
          <w:ilvl w:val="0"/>
          <w:numId w:val="0"/>
        </w:numPr>
        <w:jc w:val="both"/>
        <w:rPr>
          <w:sz w:val="22"/>
          <w:szCs w:val="22"/>
        </w:rPr>
      </w:pPr>
    </w:p>
    <w:p w:rsidR="00E63056" w:rsidRPr="00B71505" w:rsidRDefault="00F74D4B" w:rsidP="00E63056">
      <w:pPr>
        <w:pStyle w:val="MainParawithChapter"/>
        <w:jc w:val="both"/>
        <w:rPr>
          <w:sz w:val="22"/>
          <w:szCs w:val="22"/>
        </w:rPr>
      </w:pPr>
      <w:r w:rsidRPr="00B71505">
        <w:rPr>
          <w:sz w:val="22"/>
          <w:szCs w:val="22"/>
        </w:rPr>
        <w:t>Agency or “the ability of a person to act independently and make his or her own free choices” is an essential component of leading a satisfying life. If a characteristic beyond one’s control—such as gender—determines or limits what a person can do or his or her decisions, this means that the person has limited agency and is unable to use their endowments (e.g., education or other assets) effectively. In order to ensure greater agency or control over one’s actions and life choices, there are three important factors:  legislation, societal attitudes towards roles and responsibilities, and discriminatory actions.</w:t>
      </w:r>
      <w:r w:rsidR="000A3D22">
        <w:rPr>
          <w:rStyle w:val="FootnoteReference"/>
          <w:sz w:val="22"/>
          <w:szCs w:val="22"/>
        </w:rPr>
        <w:footnoteReference w:id="2"/>
      </w:r>
      <w:r w:rsidRPr="00B71505">
        <w:rPr>
          <w:sz w:val="22"/>
          <w:szCs w:val="22"/>
        </w:rPr>
        <w:t xml:space="preserve"> This section discusses these factors </w:t>
      </w:r>
      <w:r w:rsidR="00D2528E">
        <w:rPr>
          <w:sz w:val="22"/>
          <w:szCs w:val="22"/>
        </w:rPr>
        <w:t>along with an</w:t>
      </w:r>
      <w:r w:rsidRPr="00B71505">
        <w:rPr>
          <w:sz w:val="22"/>
          <w:szCs w:val="22"/>
        </w:rPr>
        <w:t xml:space="preserve"> overview of how satisfied men and women are with their lives</w:t>
      </w:r>
      <w:r w:rsidR="00E63056" w:rsidRPr="00B71505">
        <w:rPr>
          <w:sz w:val="22"/>
          <w:szCs w:val="22"/>
        </w:rPr>
        <w:t>.</w:t>
      </w:r>
    </w:p>
    <w:p w:rsidR="00F74D4B" w:rsidRDefault="00F74D4B" w:rsidP="00F74D4B">
      <w:pPr>
        <w:pStyle w:val="MainParawithChapter"/>
        <w:numPr>
          <w:ilvl w:val="0"/>
          <w:numId w:val="0"/>
        </w:numPr>
        <w:jc w:val="both"/>
        <w:rPr>
          <w:sz w:val="22"/>
          <w:szCs w:val="22"/>
        </w:rPr>
      </w:pPr>
    </w:p>
    <w:p w:rsidR="00D2528E" w:rsidRDefault="00D2528E" w:rsidP="00D2528E">
      <w:pPr>
        <w:pStyle w:val="Heading2"/>
        <w:numPr>
          <w:ilvl w:val="0"/>
          <w:numId w:val="13"/>
        </w:numPr>
        <w:tabs>
          <w:tab w:val="clear" w:pos="432"/>
          <w:tab w:val="num" w:pos="0"/>
        </w:tabs>
        <w:ind w:left="0" w:firstLine="0"/>
        <w:jc w:val="center"/>
        <w:rPr>
          <w:rFonts w:ascii="Times New Roman Bold" w:hAnsi="Times New Roman Bold"/>
          <w:smallCaps/>
        </w:rPr>
      </w:pPr>
      <w:bookmarkStart w:id="6" w:name="_Toc383011581"/>
      <w:r>
        <w:rPr>
          <w:rFonts w:ascii="Times New Roman Bold" w:hAnsi="Times New Roman Bold"/>
          <w:smallCaps/>
        </w:rPr>
        <w:t>General Legal and Institutional Framework</w:t>
      </w:r>
      <w:bookmarkEnd w:id="6"/>
    </w:p>
    <w:p w:rsidR="00D2528E" w:rsidRDefault="00D2528E" w:rsidP="00D2528E">
      <w:pPr>
        <w:pStyle w:val="MainParawithChapter"/>
        <w:numPr>
          <w:ilvl w:val="0"/>
          <w:numId w:val="0"/>
        </w:numPr>
        <w:jc w:val="both"/>
        <w:rPr>
          <w:sz w:val="22"/>
          <w:szCs w:val="22"/>
        </w:rPr>
      </w:pPr>
    </w:p>
    <w:p w:rsidR="00D2528E" w:rsidRPr="009E2DD8" w:rsidRDefault="00D2528E" w:rsidP="00D2528E">
      <w:pPr>
        <w:pStyle w:val="MainParawithChapter"/>
        <w:jc w:val="both"/>
        <w:rPr>
          <w:sz w:val="22"/>
          <w:szCs w:val="22"/>
        </w:rPr>
      </w:pPr>
      <w:r w:rsidRPr="009E2DD8">
        <w:rPr>
          <w:sz w:val="22"/>
          <w:szCs w:val="22"/>
        </w:rPr>
        <w:t>The legal framework in Belarus follows general principles of equality and non-discrimination.  Belarus has been a member of the Convention on the Elimination of All Forms of Discrimination against Women since 1981 and also ratified Optional Protocol to the Convention on the Elimination of All Forms of Discrimination against Women in 2004. The country is ranked high occupying the 15th place out of 86 countries in OECD’s 2012 gender index which measures discriminatory social institutions.</w:t>
      </w:r>
    </w:p>
    <w:p w:rsidR="00D2528E" w:rsidRPr="009E2DD8" w:rsidRDefault="00D2528E" w:rsidP="00D2528E">
      <w:pPr>
        <w:pStyle w:val="MainParawithChapter"/>
        <w:numPr>
          <w:ilvl w:val="0"/>
          <w:numId w:val="0"/>
        </w:numPr>
        <w:jc w:val="both"/>
        <w:rPr>
          <w:sz w:val="22"/>
          <w:szCs w:val="22"/>
        </w:rPr>
      </w:pPr>
    </w:p>
    <w:p w:rsidR="00D2528E" w:rsidRPr="009E2DD8" w:rsidRDefault="00D2528E" w:rsidP="00D2528E">
      <w:pPr>
        <w:pStyle w:val="MainParawithChapter"/>
        <w:jc w:val="both"/>
        <w:rPr>
          <w:sz w:val="22"/>
          <w:szCs w:val="22"/>
        </w:rPr>
      </w:pPr>
      <w:r w:rsidRPr="009E2DD8">
        <w:rPr>
          <w:sz w:val="22"/>
          <w:szCs w:val="22"/>
        </w:rPr>
        <w:t xml:space="preserve">Nevertheless, the legislation lacks specific prohibition of discrimination against women in all areas of life. According to the latest observations of the Committee on the Elimination of Discrimination against Women (CEDAW) in 2011, Belarus’s legislation could be strengthened by including a specific prohibition of discrimination against women and comprehensive anti-discrimination legislation covering sex and gender-based discrimination in the national legislation. CEDAW also considers that Convention forms are not given “sufficient visibility as the legal basis for measures for the elimination of all forms of discrimination” (CEDAW, 2011:3). Nevertheless, CEDAW welcomed several amendments to the current legislation aimed at achieving de jure and de facto equality of women and men. For instance, the amendment related to equality of spouses in family relations was made to the Marriage and Family code in 2006. Women are entitled to 126 days’ paid maternity leave (70 days before and 56 after delivery) and the employer is obliged to keep their job open for them up to three years. Besides this, several important measures were adopted by the State to prevent and combat trafficking in human beings, in particular women and girls. </w:t>
      </w:r>
    </w:p>
    <w:p w:rsidR="006A2207" w:rsidRPr="009E2DD8" w:rsidRDefault="006A2207" w:rsidP="00D2528E">
      <w:pPr>
        <w:pStyle w:val="MainParawithChapter"/>
        <w:numPr>
          <w:ilvl w:val="0"/>
          <w:numId w:val="0"/>
        </w:numPr>
        <w:rPr>
          <w:sz w:val="22"/>
          <w:szCs w:val="22"/>
        </w:rPr>
      </w:pPr>
    </w:p>
    <w:p w:rsidR="00D2528E" w:rsidRPr="009E2DD8" w:rsidRDefault="00D2528E" w:rsidP="00D2528E">
      <w:pPr>
        <w:pStyle w:val="MainParawithChapter"/>
        <w:jc w:val="both"/>
        <w:rPr>
          <w:sz w:val="22"/>
          <w:szCs w:val="22"/>
        </w:rPr>
      </w:pPr>
      <w:r w:rsidRPr="009E2DD8">
        <w:rPr>
          <w:sz w:val="22"/>
          <w:szCs w:val="22"/>
        </w:rPr>
        <w:t xml:space="preserve">The law guarantees women equal access to property, courts and credit.  According to the Civil Code of Belarus, men and women have equal rights over moveable and immovable property. There are no laws prohibiting women regardless their marital status to sign a contract, open a banking account, and register a business. Women carry the same evidentiary weights in court as men. Unmarried women do not need permission from a guardian to initiate legal proceedings in court, while married women do not need permission from their husbands (World Bank and IFC). </w:t>
      </w:r>
    </w:p>
    <w:p w:rsidR="00D2528E" w:rsidRPr="009E2DD8" w:rsidRDefault="00D2528E" w:rsidP="00D2528E">
      <w:pPr>
        <w:pStyle w:val="MainParawithChapter"/>
        <w:numPr>
          <w:ilvl w:val="0"/>
          <w:numId w:val="0"/>
        </w:numPr>
        <w:jc w:val="both"/>
        <w:rPr>
          <w:sz w:val="22"/>
          <w:szCs w:val="22"/>
        </w:rPr>
      </w:pPr>
    </w:p>
    <w:p w:rsidR="00D2528E" w:rsidRPr="009E2DD8" w:rsidRDefault="00D2528E" w:rsidP="00D2528E">
      <w:pPr>
        <w:pStyle w:val="MainParawithChapter"/>
        <w:jc w:val="both"/>
        <w:rPr>
          <w:sz w:val="22"/>
          <w:szCs w:val="22"/>
        </w:rPr>
      </w:pPr>
      <w:r w:rsidRPr="009E2DD8">
        <w:rPr>
          <w:sz w:val="22"/>
          <w:szCs w:val="22"/>
        </w:rPr>
        <w:t xml:space="preserve">Lack of specific legislation on domestic violence against women and problems with enforcement of existing laws are of particular concern. There is an absence of separate criminal law provisions on domestic violence and marital rape in Belarus’s current legislation. The current versions of the Criminal </w:t>
      </w:r>
      <w:r w:rsidRPr="009E2DD8">
        <w:rPr>
          <w:sz w:val="22"/>
          <w:szCs w:val="22"/>
        </w:rPr>
        <w:lastRenderedPageBreak/>
        <w:t>Code and the Criminal Procedure Code do not specifically criminalize domestic violence and marital rape. The situation may improve with the adoption of the draft Law on Prevention of Domestic Violence, including specific rights for victims to assistance, protection and compensation pending with the Parliament (CEDAW, 2011:5). Currently, the Ministry of Interior developed amendments to the Law on crime prevention which define domestic violence, preventing and protective measures.</w:t>
      </w:r>
    </w:p>
    <w:p w:rsidR="00D2528E" w:rsidRPr="009E2DD8" w:rsidRDefault="00D2528E" w:rsidP="00D2528E">
      <w:pPr>
        <w:pStyle w:val="MainParawithChapter"/>
        <w:numPr>
          <w:ilvl w:val="0"/>
          <w:numId w:val="0"/>
        </w:numPr>
        <w:jc w:val="both"/>
        <w:rPr>
          <w:sz w:val="22"/>
          <w:szCs w:val="22"/>
        </w:rPr>
      </w:pPr>
    </w:p>
    <w:p w:rsidR="00D2528E" w:rsidRPr="009E2DD8" w:rsidRDefault="00D2528E" w:rsidP="00D2528E">
      <w:pPr>
        <w:pStyle w:val="MainParawithChapter"/>
        <w:jc w:val="both"/>
        <w:rPr>
          <w:sz w:val="22"/>
          <w:szCs w:val="22"/>
        </w:rPr>
      </w:pPr>
      <w:r w:rsidRPr="009E2DD8">
        <w:rPr>
          <w:sz w:val="22"/>
          <w:szCs w:val="22"/>
        </w:rPr>
        <w:t>The scale of domestic violence is potentially widespread such that poor and uneducated women with children are at the highest risk. There are no publicly available detailed government statistics on domestic violence in Belarus, but there is an indication that the problem is potentially widespread</w:t>
      </w:r>
      <w:r>
        <w:rPr>
          <w:rStyle w:val="FootnoteReference"/>
          <w:sz w:val="22"/>
          <w:szCs w:val="22"/>
        </w:rPr>
        <w:footnoteReference w:id="3"/>
      </w:r>
      <w:r w:rsidRPr="009E2DD8">
        <w:rPr>
          <w:sz w:val="22"/>
          <w:szCs w:val="22"/>
        </w:rPr>
        <w:t>.  According to Center of Sociological and Political Research of the Belarusian State University (2008), four out of five women in Belarus experienced psychological violence in family, 11 percent experienced physical violence from an intimate partner, 22 percent economic violence, 13 percent sexual violence</w:t>
      </w:r>
      <w:r>
        <w:rPr>
          <w:rStyle w:val="FootnoteReference"/>
          <w:sz w:val="22"/>
          <w:szCs w:val="22"/>
        </w:rPr>
        <w:footnoteReference w:id="4"/>
      </w:r>
      <w:r w:rsidRPr="009E2DD8">
        <w:rPr>
          <w:sz w:val="22"/>
          <w:szCs w:val="22"/>
        </w:rPr>
        <w:t xml:space="preserve">.  The incidence of violence is higher in poor households. Thus, 32 percent of women from low-income families experienced physical violence in comparison to 5 percent in more affluent households. The most recent survey conducted in Brest oblast by the Center of Sociological and Political Research of the Belarusian State University in 2012 (cited in UNFPA, 2013) determined the portrait of a typical victim of domestic violence: a woman aged 40-49 years with children, without higher education and living in families with low income. </w:t>
      </w:r>
    </w:p>
    <w:p w:rsidR="00D2528E" w:rsidRPr="009E2DD8" w:rsidRDefault="00D2528E" w:rsidP="00D2528E">
      <w:pPr>
        <w:pStyle w:val="MainParawithChapter"/>
        <w:numPr>
          <w:ilvl w:val="0"/>
          <w:numId w:val="0"/>
        </w:numPr>
        <w:jc w:val="both"/>
        <w:rPr>
          <w:sz w:val="22"/>
          <w:szCs w:val="22"/>
        </w:rPr>
      </w:pPr>
    </w:p>
    <w:p w:rsidR="00D2528E" w:rsidRPr="009E2DD8" w:rsidRDefault="00D2528E" w:rsidP="00D2528E">
      <w:pPr>
        <w:pStyle w:val="MainParawithChapter"/>
        <w:jc w:val="both"/>
        <w:rPr>
          <w:sz w:val="22"/>
          <w:szCs w:val="22"/>
        </w:rPr>
      </w:pPr>
      <w:r w:rsidRPr="009E2DD8">
        <w:rPr>
          <w:sz w:val="22"/>
          <w:szCs w:val="22"/>
        </w:rPr>
        <w:t>Domestic violence continues to be viewed as a private matter rather than criminal behavior. According to</w:t>
      </w:r>
      <w:r>
        <w:rPr>
          <w:sz w:val="22"/>
          <w:szCs w:val="22"/>
        </w:rPr>
        <w:t xml:space="preserve"> Petina et al. (2010) and</w:t>
      </w:r>
      <w:r w:rsidRPr="009E2DD8">
        <w:rPr>
          <w:sz w:val="22"/>
          <w:szCs w:val="22"/>
        </w:rPr>
        <w:t xml:space="preserve"> Solomatina (2011), violence is socially acceptable in the society and many people are reluctant to talk about this issue. The </w:t>
      </w:r>
      <w:r w:rsidR="004C0836">
        <w:rPr>
          <w:sz w:val="22"/>
          <w:szCs w:val="22"/>
        </w:rPr>
        <w:t>G</w:t>
      </w:r>
      <w:r w:rsidR="004C0836" w:rsidRPr="009E2DD8">
        <w:rPr>
          <w:sz w:val="22"/>
          <w:szCs w:val="22"/>
        </w:rPr>
        <w:t xml:space="preserve">overnment </w:t>
      </w:r>
      <w:r w:rsidRPr="009E2DD8">
        <w:rPr>
          <w:sz w:val="22"/>
          <w:szCs w:val="22"/>
        </w:rPr>
        <w:t>is aware that domestic violence is a societal problem and supported the establishment of crisis centers for women and opening a free hot line.</w:t>
      </w:r>
      <w:r w:rsidR="00083E00">
        <w:rPr>
          <w:rStyle w:val="FootnoteReference"/>
          <w:sz w:val="22"/>
          <w:szCs w:val="22"/>
        </w:rPr>
        <w:footnoteReference w:id="5"/>
      </w:r>
      <w:r w:rsidRPr="009E2DD8">
        <w:rPr>
          <w:sz w:val="22"/>
          <w:szCs w:val="22"/>
        </w:rPr>
        <w:t xml:space="preserve">  In 2012 international donors started financing the program on enhancing capacity of the Government to eliminate domestic violence which aims at establishing of effective system for preventing and counteracting it.   </w:t>
      </w:r>
    </w:p>
    <w:p w:rsidR="00D2528E" w:rsidRPr="009E2DD8" w:rsidRDefault="00D2528E" w:rsidP="00D2528E">
      <w:pPr>
        <w:pStyle w:val="MainParawithChapter"/>
        <w:numPr>
          <w:ilvl w:val="0"/>
          <w:numId w:val="0"/>
        </w:numPr>
        <w:jc w:val="both"/>
        <w:rPr>
          <w:sz w:val="22"/>
          <w:szCs w:val="22"/>
        </w:rPr>
      </w:pPr>
    </w:p>
    <w:p w:rsidR="00D2528E" w:rsidRDefault="00D2528E" w:rsidP="00D2528E">
      <w:pPr>
        <w:pStyle w:val="MainParawithChapter"/>
        <w:jc w:val="both"/>
        <w:rPr>
          <w:sz w:val="22"/>
          <w:szCs w:val="22"/>
        </w:rPr>
      </w:pPr>
      <w:r w:rsidRPr="009E2DD8">
        <w:rPr>
          <w:sz w:val="22"/>
          <w:szCs w:val="22"/>
        </w:rPr>
        <w:t>Human trafficking is a criminal offence in Belarus, but still remains a significant problem. According to United States Department of State (2012), Belarus is a source, destination, and transit country for women, men, and children subjected to sex trafficking and forced labor</w:t>
      </w:r>
      <w:r>
        <w:rPr>
          <w:rStyle w:val="FootnoteReference"/>
          <w:sz w:val="22"/>
          <w:szCs w:val="22"/>
        </w:rPr>
        <w:footnoteReference w:id="6"/>
      </w:r>
      <w:r w:rsidRPr="009E2DD8">
        <w:rPr>
          <w:sz w:val="22"/>
          <w:szCs w:val="22"/>
        </w:rPr>
        <w:t xml:space="preserve">.  The report states that the Government of Belarus does not fully comply with the minimum standards for the elimination of trafficking; however, it is making significant efforts to do so. The population group at greatest risk of being trafficked is Belarusian single, unemployed females between the ages of 16 and 30 years and without higher education. Belarusian children aged 16 and 17 are found in sex trafficking within Belarus and in Russia. Belarusian men seeking work abroad are increasingly subjected to forced labor. Traffickers often used informal social networks to approach potential victims. </w:t>
      </w:r>
    </w:p>
    <w:p w:rsidR="00D2528E" w:rsidRPr="009E2DD8" w:rsidRDefault="00D2528E" w:rsidP="00D2528E">
      <w:pPr>
        <w:pStyle w:val="MainParawithChapter"/>
        <w:numPr>
          <w:ilvl w:val="0"/>
          <w:numId w:val="0"/>
        </w:numPr>
        <w:jc w:val="both"/>
        <w:rPr>
          <w:sz w:val="22"/>
          <w:szCs w:val="22"/>
        </w:rPr>
      </w:pPr>
    </w:p>
    <w:p w:rsidR="00D2528E" w:rsidRPr="009E2DD8" w:rsidRDefault="00D2528E" w:rsidP="00D2528E">
      <w:pPr>
        <w:pStyle w:val="MainParawithChapter"/>
        <w:jc w:val="both"/>
        <w:rPr>
          <w:sz w:val="22"/>
          <w:szCs w:val="22"/>
        </w:rPr>
      </w:pPr>
      <w:r w:rsidRPr="009E2DD8">
        <w:rPr>
          <w:sz w:val="22"/>
          <w:szCs w:val="22"/>
        </w:rPr>
        <w:lastRenderedPageBreak/>
        <w:t xml:space="preserve">Belarus has established a national process for gender equality. Four national gender action plans were enacted in the </w:t>
      </w:r>
      <w:r>
        <w:rPr>
          <w:sz w:val="22"/>
          <w:szCs w:val="22"/>
        </w:rPr>
        <w:t>country</w:t>
      </w:r>
      <w:r w:rsidRPr="009E2DD8">
        <w:rPr>
          <w:sz w:val="22"/>
          <w:szCs w:val="22"/>
        </w:rPr>
        <w:t xml:space="preserve"> since 1996. These plans were the main documents covering the state policy aimed at achieving gender equality. Two national plans were adopted for the period between 1996-2000 years and between 2001-2005 years. The last fourth national gender action place was adopted in 2011. The plan has the following goals: (i) achieve gender equality at all levels of the decision-making; (ii) introduce gender concept in education system; (iii) shift social norms towards gender equality in social life; (iv) improve reproductive health of men and women; (v) strengthen the family institute; (vi) achieve gender equality in economic opportunities.  </w:t>
      </w:r>
    </w:p>
    <w:p w:rsidR="00D2528E" w:rsidRPr="009E2DD8" w:rsidRDefault="00D2528E" w:rsidP="00D2528E">
      <w:pPr>
        <w:pStyle w:val="MainParawithChapter"/>
        <w:numPr>
          <w:ilvl w:val="0"/>
          <w:numId w:val="0"/>
        </w:numPr>
        <w:jc w:val="both"/>
        <w:rPr>
          <w:sz w:val="22"/>
          <w:szCs w:val="22"/>
        </w:rPr>
      </w:pPr>
    </w:p>
    <w:p w:rsidR="00D2528E" w:rsidRPr="009E2DD8" w:rsidRDefault="00D2528E" w:rsidP="00D2528E">
      <w:pPr>
        <w:pStyle w:val="MainParawithChapter"/>
        <w:jc w:val="both"/>
        <w:rPr>
          <w:sz w:val="22"/>
          <w:szCs w:val="22"/>
        </w:rPr>
      </w:pPr>
      <w:r w:rsidRPr="009E2DD8">
        <w:rPr>
          <w:sz w:val="22"/>
          <w:szCs w:val="22"/>
        </w:rPr>
        <w:t>The main institutional bodies developing, implementing and coordinating gender policies are the National Council on Gender Policy and the Department of Population, Gender and Family Policy of the Ministry of Labor and Social Protection. The National Council on Gender Policy, an interagency advisory and coordinating body, was established in 2000. It is composed of the heads of central government agencies, local executive and administrative authorities, National Assembly deputies and representatives of the Supreme Court and public and international organizations.</w:t>
      </w:r>
    </w:p>
    <w:p w:rsidR="00D2528E" w:rsidRPr="009E2DD8" w:rsidRDefault="00D2528E" w:rsidP="00D2528E">
      <w:pPr>
        <w:pStyle w:val="MainParawithChapter"/>
        <w:numPr>
          <w:ilvl w:val="0"/>
          <w:numId w:val="0"/>
        </w:numPr>
        <w:jc w:val="both"/>
        <w:rPr>
          <w:sz w:val="22"/>
          <w:szCs w:val="22"/>
        </w:rPr>
      </w:pPr>
    </w:p>
    <w:p w:rsidR="00D2528E" w:rsidRDefault="00D2528E" w:rsidP="00D2528E">
      <w:pPr>
        <w:pStyle w:val="MainParawithChapter"/>
        <w:jc w:val="both"/>
        <w:rPr>
          <w:sz w:val="22"/>
          <w:szCs w:val="22"/>
        </w:rPr>
      </w:pPr>
      <w:r w:rsidRPr="009E2DD8">
        <w:rPr>
          <w:sz w:val="22"/>
          <w:szCs w:val="22"/>
        </w:rPr>
        <w:t xml:space="preserve">Research and educational work could benefit from regularly updated and publicly available gender disaggregated statistics. In order to inform policy makers about gender related issue, there is a need to have regular, extended gender disaggregated statistics in all social-economic spheres. Even though gender statistics have been collected in Belarus, these can be improved and expanded. Existing data on labor market indicators could also be expanded including more gender disaggregated statistics on entrepreneurship, informal employment and so forth. The situation with gender statistics may improve taking into account that results from the Multiple Indicator Cluster Survey supported by UNICEF </w:t>
      </w:r>
      <w:r w:rsidR="004C0836">
        <w:rPr>
          <w:sz w:val="22"/>
          <w:szCs w:val="22"/>
        </w:rPr>
        <w:t>was</w:t>
      </w:r>
      <w:r w:rsidRPr="009E2DD8">
        <w:rPr>
          <w:sz w:val="22"/>
          <w:szCs w:val="22"/>
        </w:rPr>
        <w:t xml:space="preserve"> published in 2013</w:t>
      </w:r>
      <w:r>
        <w:rPr>
          <w:rStyle w:val="FootnoteReference"/>
          <w:sz w:val="22"/>
          <w:szCs w:val="22"/>
        </w:rPr>
        <w:footnoteReference w:id="7"/>
      </w:r>
      <w:r w:rsidRPr="009E2DD8">
        <w:rPr>
          <w:sz w:val="22"/>
          <w:szCs w:val="22"/>
        </w:rPr>
        <w:t xml:space="preserve">.   Nevertheless, collection and provision of adequate gender disaggregated statistics would greatly help to ensure evidence based policy making and monitor progress with the National Gender Action Plans.  </w:t>
      </w:r>
    </w:p>
    <w:p w:rsidR="00D2528E" w:rsidRDefault="00D2528E" w:rsidP="00D2528E">
      <w:pPr>
        <w:pStyle w:val="ListParagraph"/>
        <w:rPr>
          <w:sz w:val="22"/>
          <w:szCs w:val="22"/>
        </w:rPr>
      </w:pPr>
    </w:p>
    <w:p w:rsidR="00D2528E" w:rsidRDefault="00D2528E" w:rsidP="00D2528E">
      <w:pPr>
        <w:pStyle w:val="MainParawithChapter"/>
        <w:numPr>
          <w:ilvl w:val="0"/>
          <w:numId w:val="0"/>
        </w:numPr>
        <w:jc w:val="both"/>
        <w:rPr>
          <w:sz w:val="22"/>
          <w:szCs w:val="22"/>
        </w:rPr>
      </w:pPr>
    </w:p>
    <w:p w:rsidR="00D2528E" w:rsidRPr="009E2DD8" w:rsidRDefault="00D2528E" w:rsidP="00F2442D">
      <w:pPr>
        <w:pStyle w:val="Heading2"/>
        <w:numPr>
          <w:ilvl w:val="0"/>
          <w:numId w:val="13"/>
        </w:numPr>
        <w:tabs>
          <w:tab w:val="clear" w:pos="432"/>
          <w:tab w:val="num" w:pos="0"/>
        </w:tabs>
        <w:ind w:left="0" w:firstLine="0"/>
        <w:jc w:val="center"/>
        <w:rPr>
          <w:rFonts w:ascii="Times New Roman Bold" w:hAnsi="Times New Roman Bold"/>
          <w:smallCaps/>
        </w:rPr>
      </w:pPr>
      <w:bookmarkStart w:id="7" w:name="_Toc383011582"/>
      <w:r w:rsidRPr="009E2DD8">
        <w:rPr>
          <w:rFonts w:ascii="Times New Roman Bold" w:hAnsi="Times New Roman Bold"/>
          <w:smallCaps/>
        </w:rPr>
        <w:t>Voice and representation</w:t>
      </w:r>
      <w:bookmarkEnd w:id="7"/>
    </w:p>
    <w:p w:rsidR="00D2528E" w:rsidRPr="009E2DD8" w:rsidRDefault="00D2528E" w:rsidP="00D2528E">
      <w:pPr>
        <w:pStyle w:val="MainParawithChapter"/>
        <w:numPr>
          <w:ilvl w:val="0"/>
          <w:numId w:val="0"/>
        </w:numPr>
        <w:jc w:val="both"/>
        <w:rPr>
          <w:sz w:val="22"/>
          <w:szCs w:val="22"/>
        </w:rPr>
      </w:pPr>
    </w:p>
    <w:p w:rsidR="00D2528E" w:rsidRDefault="00D2528E" w:rsidP="00D2528E">
      <w:pPr>
        <w:pStyle w:val="MainParawithChapter"/>
        <w:jc w:val="both"/>
        <w:rPr>
          <w:sz w:val="22"/>
          <w:szCs w:val="22"/>
        </w:rPr>
      </w:pPr>
      <w:r w:rsidRPr="009E2DD8">
        <w:rPr>
          <w:sz w:val="22"/>
          <w:szCs w:val="22"/>
        </w:rPr>
        <w:t xml:space="preserve">Women’s political representation at the </w:t>
      </w:r>
      <w:r>
        <w:rPr>
          <w:sz w:val="22"/>
          <w:szCs w:val="22"/>
        </w:rPr>
        <w:t xml:space="preserve">national </w:t>
      </w:r>
      <w:r w:rsidRPr="009E2DD8">
        <w:rPr>
          <w:sz w:val="22"/>
          <w:szCs w:val="22"/>
        </w:rPr>
        <w:t>and local levels is high in Belarus. Significant progress has been achieved in Belarus with regards to the proportion of seats in the national legislature during the last decade. Thus, the proportion of women in the Parliament increased from 10 perce</w:t>
      </w:r>
      <w:r>
        <w:rPr>
          <w:sz w:val="22"/>
          <w:szCs w:val="22"/>
        </w:rPr>
        <w:t>nt in 2002 to 30 percent in 2012</w:t>
      </w:r>
      <w:r w:rsidRPr="009E2DD8">
        <w:rPr>
          <w:sz w:val="22"/>
          <w:szCs w:val="22"/>
        </w:rPr>
        <w:t>. This compares favorably to t</w:t>
      </w:r>
      <w:r>
        <w:rPr>
          <w:sz w:val="22"/>
          <w:szCs w:val="22"/>
        </w:rPr>
        <w:t>he global average of 17 percent.</w:t>
      </w:r>
    </w:p>
    <w:p w:rsidR="00D2528E" w:rsidRDefault="00D2528E" w:rsidP="00D2528E">
      <w:pPr>
        <w:pStyle w:val="MainParawithChapter"/>
        <w:numPr>
          <w:ilvl w:val="0"/>
          <w:numId w:val="0"/>
        </w:numPr>
        <w:jc w:val="both"/>
        <w:rPr>
          <w:sz w:val="22"/>
          <w:szCs w:val="22"/>
        </w:rPr>
      </w:pPr>
    </w:p>
    <w:p w:rsidR="00D2528E" w:rsidRDefault="00D2528E" w:rsidP="00D2528E">
      <w:pPr>
        <w:pStyle w:val="MainParawithChapter"/>
        <w:jc w:val="both"/>
        <w:rPr>
          <w:sz w:val="22"/>
          <w:szCs w:val="22"/>
        </w:rPr>
      </w:pPr>
      <w:r w:rsidRPr="009E2DD8">
        <w:rPr>
          <w:sz w:val="22"/>
          <w:szCs w:val="22"/>
        </w:rPr>
        <w:t>There are more women in state administration bodies, but they are mostly concentrated in the middle level of the job hierarchy. Women constitute 67 percent of total employment in state administration and judiciary sector, but such a high level of representation is achieved by concentration of women in low and middle level positions</w:t>
      </w:r>
      <w:r>
        <w:rPr>
          <w:sz w:val="22"/>
          <w:szCs w:val="22"/>
        </w:rPr>
        <w:t xml:space="preserve"> (Figure 1.1b)</w:t>
      </w:r>
      <w:r w:rsidRPr="009E2DD8">
        <w:rPr>
          <w:sz w:val="22"/>
          <w:szCs w:val="22"/>
        </w:rPr>
        <w:t>. For example, only 20 percent among heads and deputy heads of republican bodies of state administration were women, while equal promotion seems to start only at the level of structural divisions, departments and further down to chief and leading specialists. The situation slightly improves as we move by regional hierarchy. For example, 25 percent of heads and deputy heads were women in regional state administration bodies and 50 percent at district and town bodies.</w:t>
      </w:r>
    </w:p>
    <w:p w:rsidR="006A2207" w:rsidRDefault="006A2207" w:rsidP="006A2207">
      <w:pPr>
        <w:pStyle w:val="ListParagraph"/>
        <w:rPr>
          <w:sz w:val="22"/>
          <w:szCs w:val="22"/>
        </w:rPr>
      </w:pPr>
    </w:p>
    <w:p w:rsidR="00A904F2" w:rsidRDefault="00A904F2" w:rsidP="006A2207">
      <w:pPr>
        <w:pStyle w:val="ListParagraph"/>
        <w:rPr>
          <w:sz w:val="22"/>
          <w:szCs w:val="22"/>
        </w:rPr>
      </w:pPr>
    </w:p>
    <w:p w:rsidR="00A904F2" w:rsidRDefault="00A904F2" w:rsidP="006A2207">
      <w:pPr>
        <w:pStyle w:val="ListParagraph"/>
        <w:rPr>
          <w:sz w:val="22"/>
          <w:szCs w:val="22"/>
        </w:rPr>
      </w:pPr>
    </w:p>
    <w:tbl>
      <w:tblPr>
        <w:tblW w:w="5000" w:type="pct"/>
        <w:tblBorders>
          <w:top w:val="single" w:sz="8" w:space="0" w:color="4F81BD"/>
        </w:tblBorders>
        <w:tblLook w:val="00A0" w:firstRow="1" w:lastRow="0" w:firstColumn="1" w:lastColumn="0" w:noHBand="0" w:noVBand="0"/>
      </w:tblPr>
      <w:tblGrid>
        <w:gridCol w:w="4694"/>
        <w:gridCol w:w="4882"/>
      </w:tblGrid>
      <w:tr w:rsidR="00D2528E" w:rsidRPr="00997957" w:rsidTr="00321568">
        <w:tc>
          <w:tcPr>
            <w:tcW w:w="5000" w:type="pct"/>
            <w:gridSpan w:val="2"/>
            <w:tcBorders>
              <w:top w:val="nil"/>
              <w:bottom w:val="nil"/>
            </w:tcBorders>
          </w:tcPr>
          <w:p w:rsidR="00D2528E" w:rsidRPr="00997957" w:rsidRDefault="006A2207" w:rsidP="00ED791C">
            <w:pPr>
              <w:pStyle w:val="Caption"/>
              <w:spacing w:after="120"/>
              <w:rPr>
                <w:b w:val="0"/>
                <w:color w:val="1F497D"/>
              </w:rPr>
            </w:pPr>
            <w:r>
              <w:lastRenderedPageBreak/>
              <w:t xml:space="preserve">Figure </w:t>
            </w:r>
            <w:r w:rsidR="008A55B1">
              <w:fldChar w:fldCharType="begin"/>
            </w:r>
            <w:r w:rsidR="008A55B1">
              <w:instrText xml:space="preserve"> STYLEREF 1 \s </w:instrText>
            </w:r>
            <w:r w:rsidR="008A55B1">
              <w:fldChar w:fldCharType="separate"/>
            </w:r>
            <w:r w:rsidR="008A55B1">
              <w:rPr>
                <w:noProof/>
              </w:rPr>
              <w:t>1</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1</w:t>
            </w:r>
            <w:r w:rsidR="008A55B1">
              <w:rPr>
                <w:noProof/>
              </w:rPr>
              <w:fldChar w:fldCharType="end"/>
            </w:r>
            <w:bookmarkStart w:id="8" w:name="_Toc383010204"/>
            <w:r w:rsidR="00D2528E">
              <w:t>:</w:t>
            </w:r>
            <w:r w:rsidR="00D2528E" w:rsidRPr="00997957">
              <w:t xml:space="preserve"> Share of </w:t>
            </w:r>
            <w:r w:rsidR="00D2528E">
              <w:t>W</w:t>
            </w:r>
            <w:r w:rsidR="00D2528E" w:rsidRPr="00997957">
              <w:t xml:space="preserve">omen </w:t>
            </w:r>
            <w:r w:rsidR="00D2528E">
              <w:t>Representation in Legislative and Public Administration B</w:t>
            </w:r>
            <w:r w:rsidR="00D2528E" w:rsidRPr="00997957">
              <w:t>odies, %</w:t>
            </w:r>
            <w:bookmarkEnd w:id="8"/>
          </w:p>
        </w:tc>
      </w:tr>
      <w:tr w:rsidR="00D2528E" w:rsidRPr="00161606" w:rsidTr="00321568">
        <w:tc>
          <w:tcPr>
            <w:tcW w:w="2451" w:type="pct"/>
            <w:tcBorders>
              <w:top w:val="nil"/>
              <w:bottom w:val="single" w:sz="4" w:space="0" w:color="4F81BD"/>
            </w:tcBorders>
          </w:tcPr>
          <w:p w:rsidR="00D2528E" w:rsidRPr="00161606" w:rsidRDefault="00D2528E" w:rsidP="00D2528E">
            <w:pPr>
              <w:rPr>
                <w:noProof/>
                <w:sz w:val="20"/>
              </w:rPr>
            </w:pPr>
            <w:r w:rsidRPr="00161606">
              <w:rPr>
                <w:noProof/>
                <w:sz w:val="20"/>
              </w:rPr>
              <w:t xml:space="preserve">a) </w:t>
            </w:r>
            <w:r>
              <w:rPr>
                <w:noProof/>
                <w:sz w:val="20"/>
              </w:rPr>
              <w:t>National</w:t>
            </w:r>
            <w:r w:rsidRPr="00161606">
              <w:rPr>
                <w:noProof/>
                <w:sz w:val="20"/>
              </w:rPr>
              <w:t xml:space="preserve"> level</w:t>
            </w:r>
          </w:p>
        </w:tc>
        <w:tc>
          <w:tcPr>
            <w:tcW w:w="2549" w:type="pct"/>
            <w:tcBorders>
              <w:top w:val="nil"/>
              <w:bottom w:val="single" w:sz="4" w:space="0" w:color="4F81BD"/>
            </w:tcBorders>
          </w:tcPr>
          <w:p w:rsidR="00D2528E" w:rsidRPr="00161606" w:rsidRDefault="00D2528E" w:rsidP="00D2528E">
            <w:pPr>
              <w:rPr>
                <w:noProof/>
                <w:sz w:val="20"/>
              </w:rPr>
            </w:pPr>
            <w:r w:rsidRPr="00161606">
              <w:rPr>
                <w:noProof/>
                <w:sz w:val="20"/>
              </w:rPr>
              <w:t xml:space="preserve">b) </w:t>
            </w:r>
            <w:r>
              <w:rPr>
                <w:noProof/>
                <w:sz w:val="20"/>
              </w:rPr>
              <w:t>Across levels, 2009</w:t>
            </w:r>
          </w:p>
        </w:tc>
      </w:tr>
      <w:tr w:rsidR="00D2528E" w:rsidRPr="004F327A" w:rsidTr="00321568">
        <w:tc>
          <w:tcPr>
            <w:tcW w:w="2451" w:type="pct"/>
            <w:tcBorders>
              <w:top w:val="nil"/>
              <w:bottom w:val="single" w:sz="4" w:space="0" w:color="auto"/>
            </w:tcBorders>
          </w:tcPr>
          <w:p w:rsidR="00D2528E" w:rsidRPr="004F327A" w:rsidRDefault="00D2528E" w:rsidP="00D2528E">
            <w:pPr>
              <w:rPr>
                <w:noProof/>
                <w:lang w:val="ru-RU" w:eastAsia="ru-RU"/>
              </w:rPr>
            </w:pPr>
            <w:r>
              <w:rPr>
                <w:noProof/>
              </w:rPr>
              <w:drawing>
                <wp:inline distT="0" distB="0" distL="0" distR="0" wp14:anchorId="71DF892C" wp14:editId="279E5971">
                  <wp:extent cx="2962275" cy="2428875"/>
                  <wp:effectExtent l="0" t="0" r="0" b="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549" w:type="pct"/>
            <w:tcBorders>
              <w:top w:val="nil"/>
              <w:bottom w:val="single" w:sz="4" w:space="0" w:color="auto"/>
            </w:tcBorders>
          </w:tcPr>
          <w:p w:rsidR="00D2528E" w:rsidRPr="004F327A" w:rsidRDefault="00D2528E" w:rsidP="00D2528E">
            <w:pPr>
              <w:rPr>
                <w:i/>
                <w:noProof/>
                <w:sz w:val="18"/>
                <w:lang w:val="ru-RU" w:eastAsia="ru-RU"/>
              </w:rPr>
            </w:pPr>
            <w:r>
              <w:rPr>
                <w:i/>
                <w:noProof/>
                <w:sz w:val="18"/>
              </w:rPr>
              <w:drawing>
                <wp:inline distT="0" distB="0" distL="0" distR="0" wp14:anchorId="00DA12A8" wp14:editId="490A58E6">
                  <wp:extent cx="3086100" cy="2550160"/>
                  <wp:effectExtent l="0" t="0" r="0" b="2540"/>
                  <wp:docPr id="42"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2528E" w:rsidRPr="001520FF" w:rsidTr="00321568">
        <w:tc>
          <w:tcPr>
            <w:tcW w:w="2451" w:type="pct"/>
            <w:tcBorders>
              <w:top w:val="single" w:sz="4" w:space="0" w:color="auto"/>
              <w:bottom w:val="nil"/>
            </w:tcBorders>
          </w:tcPr>
          <w:p w:rsidR="00D2528E" w:rsidRDefault="00D2528E" w:rsidP="00D2528E">
            <w:pPr>
              <w:rPr>
                <w:sz w:val="18"/>
              </w:rPr>
            </w:pPr>
            <w:r>
              <w:rPr>
                <w:i/>
                <w:sz w:val="18"/>
              </w:rPr>
              <w:t>Source</w:t>
            </w:r>
            <w:r w:rsidRPr="001520FF">
              <w:rPr>
                <w:sz w:val="18"/>
              </w:rPr>
              <w:t xml:space="preserve">: </w:t>
            </w:r>
            <w:r>
              <w:rPr>
                <w:sz w:val="18"/>
              </w:rPr>
              <w:t>UNECE.</w:t>
            </w:r>
          </w:p>
          <w:p w:rsidR="00D2528E" w:rsidRPr="001520FF" w:rsidRDefault="00D2528E" w:rsidP="00D2528E">
            <w:pPr>
              <w:rPr>
                <w:noProof/>
              </w:rPr>
            </w:pPr>
          </w:p>
        </w:tc>
        <w:tc>
          <w:tcPr>
            <w:tcW w:w="2549" w:type="pct"/>
            <w:tcBorders>
              <w:top w:val="single" w:sz="4" w:space="0" w:color="auto"/>
              <w:bottom w:val="nil"/>
            </w:tcBorders>
          </w:tcPr>
          <w:p w:rsidR="00D2528E" w:rsidRPr="008455EE" w:rsidRDefault="00D2528E" w:rsidP="00D2528E">
            <w:pPr>
              <w:rPr>
                <w:sz w:val="18"/>
              </w:rPr>
            </w:pPr>
            <w:r>
              <w:rPr>
                <w:i/>
                <w:sz w:val="18"/>
              </w:rPr>
              <w:t>Source</w:t>
            </w:r>
            <w:r w:rsidRPr="001520FF">
              <w:rPr>
                <w:sz w:val="18"/>
              </w:rPr>
              <w:t xml:space="preserve">: </w:t>
            </w:r>
            <w:r>
              <w:rPr>
                <w:sz w:val="18"/>
              </w:rPr>
              <w:t>NSC (2010).</w:t>
            </w:r>
          </w:p>
          <w:p w:rsidR="00D2528E" w:rsidRPr="001520FF" w:rsidRDefault="00D2528E" w:rsidP="006A2207">
            <w:pPr>
              <w:keepNext/>
              <w:rPr>
                <w:i/>
                <w:noProof/>
                <w:sz w:val="18"/>
              </w:rPr>
            </w:pPr>
            <w:r w:rsidRPr="001520FF">
              <w:rPr>
                <w:i/>
                <w:sz w:val="18"/>
              </w:rPr>
              <w:t>Note</w:t>
            </w:r>
            <w:r w:rsidRPr="001520FF">
              <w:rPr>
                <w:sz w:val="18"/>
              </w:rPr>
              <w:t xml:space="preserve">: </w:t>
            </w:r>
            <w:r>
              <w:rPr>
                <w:sz w:val="18"/>
              </w:rPr>
              <w:t xml:space="preserve">There are no heads of divisions and departments in rural and village executive committees. </w:t>
            </w:r>
          </w:p>
        </w:tc>
      </w:tr>
    </w:tbl>
    <w:p w:rsidR="00F74D4B" w:rsidRDefault="00F74D4B" w:rsidP="00A904F2">
      <w:pPr>
        <w:pStyle w:val="Heading2"/>
        <w:numPr>
          <w:ilvl w:val="0"/>
          <w:numId w:val="13"/>
        </w:numPr>
        <w:tabs>
          <w:tab w:val="clear" w:pos="432"/>
          <w:tab w:val="num" w:pos="0"/>
        </w:tabs>
        <w:spacing w:before="240"/>
        <w:ind w:left="0" w:firstLine="0"/>
        <w:jc w:val="center"/>
        <w:rPr>
          <w:rFonts w:ascii="Times New Roman Bold" w:hAnsi="Times New Roman Bold"/>
          <w:smallCaps/>
        </w:rPr>
      </w:pPr>
      <w:bookmarkStart w:id="9" w:name="_Toc383011583"/>
      <w:r>
        <w:rPr>
          <w:rFonts w:ascii="Times New Roman Bold" w:hAnsi="Times New Roman Bold"/>
          <w:smallCaps/>
        </w:rPr>
        <w:t>Subjective Wellbeing</w:t>
      </w:r>
      <w:bookmarkEnd w:id="9"/>
    </w:p>
    <w:p w:rsidR="00F74D4B" w:rsidRPr="00B71505" w:rsidRDefault="00F74D4B" w:rsidP="00F74D4B">
      <w:pPr>
        <w:pStyle w:val="MainParawithChapter"/>
        <w:numPr>
          <w:ilvl w:val="0"/>
          <w:numId w:val="0"/>
        </w:numPr>
        <w:jc w:val="both"/>
        <w:rPr>
          <w:sz w:val="22"/>
          <w:szCs w:val="22"/>
        </w:rPr>
      </w:pPr>
    </w:p>
    <w:p w:rsidR="00F74D4B" w:rsidRPr="00B71505" w:rsidRDefault="00F74D4B" w:rsidP="00F74D4B">
      <w:pPr>
        <w:pStyle w:val="MainParawithChapter"/>
        <w:jc w:val="both"/>
        <w:rPr>
          <w:sz w:val="22"/>
          <w:szCs w:val="22"/>
        </w:rPr>
      </w:pPr>
      <w:r w:rsidRPr="00B71505">
        <w:rPr>
          <w:sz w:val="22"/>
          <w:szCs w:val="22"/>
        </w:rPr>
        <w:t>Life satisfaction declined in Belarus between 2006 and 2010 years with a gender gap in favor of men. We use two rounds of the Life in Transition Survey data (LiTS) to check who was more satisfied with life: men or women. Firstly, the data from LiTS shows that the level of satisfaction drops substantially between 2006 and 2010</w:t>
      </w:r>
      <w:r w:rsidR="00C86D68">
        <w:rPr>
          <w:sz w:val="22"/>
          <w:szCs w:val="22"/>
        </w:rPr>
        <w:t xml:space="preserve"> (Figure 1.</w:t>
      </w:r>
      <w:r w:rsidR="00D2528E">
        <w:rPr>
          <w:sz w:val="22"/>
          <w:szCs w:val="22"/>
        </w:rPr>
        <w:t>2</w:t>
      </w:r>
      <w:r w:rsidR="00C86D68">
        <w:rPr>
          <w:sz w:val="22"/>
          <w:szCs w:val="22"/>
        </w:rPr>
        <w:t>a)</w:t>
      </w:r>
      <w:r w:rsidRPr="00B71505">
        <w:rPr>
          <w:sz w:val="22"/>
          <w:szCs w:val="22"/>
        </w:rPr>
        <w:t>. Secondly, in both years men are more satisfied with life than women. The gender gap in life satisfaction does not seem to be related to differences in satisfaction with public services, but is associated with subjective wellbeing of households. Individuals from households with higher living standards are more satisfied with life than individuals from poor households.</w:t>
      </w:r>
    </w:p>
    <w:p w:rsidR="00F74D4B" w:rsidRPr="00B71505" w:rsidRDefault="00F74D4B" w:rsidP="00F74D4B">
      <w:pPr>
        <w:pStyle w:val="MainParawithChapter"/>
        <w:numPr>
          <w:ilvl w:val="0"/>
          <w:numId w:val="0"/>
        </w:numPr>
        <w:jc w:val="both"/>
        <w:rPr>
          <w:sz w:val="22"/>
          <w:szCs w:val="22"/>
        </w:rPr>
      </w:pPr>
    </w:p>
    <w:p w:rsidR="00F74D4B" w:rsidRPr="00B71505" w:rsidRDefault="00F74D4B" w:rsidP="00F74D4B">
      <w:pPr>
        <w:pStyle w:val="MainParawithChapter"/>
        <w:jc w:val="both"/>
        <w:rPr>
          <w:sz w:val="22"/>
          <w:szCs w:val="22"/>
        </w:rPr>
      </w:pPr>
      <w:r w:rsidRPr="00B71505">
        <w:rPr>
          <w:sz w:val="22"/>
          <w:szCs w:val="22"/>
        </w:rPr>
        <w:t>Data from the European Values Survey also show that men are slightly more satisfied with life. We use the EVS data to check the levels of satisfaction with life</w:t>
      </w:r>
      <w:r w:rsidR="00C86D68">
        <w:rPr>
          <w:sz w:val="22"/>
          <w:szCs w:val="22"/>
        </w:rPr>
        <w:t xml:space="preserve"> (Figure 1.</w:t>
      </w:r>
      <w:r w:rsidR="00D2528E">
        <w:rPr>
          <w:sz w:val="22"/>
          <w:szCs w:val="22"/>
        </w:rPr>
        <w:t>2</w:t>
      </w:r>
      <w:r w:rsidR="00C86D68">
        <w:rPr>
          <w:sz w:val="22"/>
          <w:szCs w:val="22"/>
        </w:rPr>
        <w:t>b)</w:t>
      </w:r>
      <w:r w:rsidRPr="00B71505">
        <w:rPr>
          <w:sz w:val="22"/>
          <w:szCs w:val="22"/>
        </w:rPr>
        <w:t xml:space="preserve">. There are more satisfied men (64 percent) than women (60 percent). Men also believe they have greater control over their lives than women: 62 versus 55 percent accordingly which can be potentially linked to lower life satisfaction among women. </w:t>
      </w:r>
    </w:p>
    <w:p w:rsidR="00F74D4B" w:rsidRPr="00B71505" w:rsidRDefault="00F74D4B" w:rsidP="00F74D4B">
      <w:pPr>
        <w:pStyle w:val="MainParawithChapter"/>
        <w:numPr>
          <w:ilvl w:val="0"/>
          <w:numId w:val="0"/>
        </w:numPr>
        <w:jc w:val="both"/>
        <w:rPr>
          <w:sz w:val="22"/>
          <w:szCs w:val="22"/>
        </w:rPr>
      </w:pPr>
    </w:p>
    <w:p w:rsidR="00F74D4B" w:rsidRPr="00B71505" w:rsidRDefault="00F74D4B" w:rsidP="00F74D4B">
      <w:pPr>
        <w:pStyle w:val="MainParawithChapter"/>
        <w:jc w:val="both"/>
        <w:rPr>
          <w:sz w:val="22"/>
          <w:szCs w:val="22"/>
        </w:rPr>
      </w:pPr>
      <w:r w:rsidRPr="00B71505">
        <w:rPr>
          <w:sz w:val="22"/>
          <w:szCs w:val="22"/>
        </w:rPr>
        <w:t xml:space="preserve">The impact of gender on life satisfaction is no longer statistically significant if we control for other factors. However, there is a </w:t>
      </w:r>
      <w:r w:rsidR="008716BB" w:rsidRPr="00B71505">
        <w:rPr>
          <w:sz w:val="22"/>
          <w:szCs w:val="22"/>
        </w:rPr>
        <w:t>differen</w:t>
      </w:r>
      <w:r w:rsidR="008716BB">
        <w:rPr>
          <w:sz w:val="22"/>
          <w:szCs w:val="22"/>
        </w:rPr>
        <w:t>ce</w:t>
      </w:r>
      <w:r w:rsidR="008716BB" w:rsidRPr="00B71505">
        <w:rPr>
          <w:sz w:val="22"/>
          <w:szCs w:val="22"/>
        </w:rPr>
        <w:t xml:space="preserve"> </w:t>
      </w:r>
      <w:r w:rsidRPr="00B71505">
        <w:rPr>
          <w:sz w:val="22"/>
          <w:szCs w:val="22"/>
        </w:rPr>
        <w:t xml:space="preserve">in what brings satisfaction to men and women—employment yields more satisfaction to men, while marriage brings greater satisfaction to women. The gender gap in life satisfaction can be related to differences in personal characteristics between men and women. One approach to correct for this is to use econometric analysis which allows controlling for basic characteristics such as age, number of children, marital status, </w:t>
      </w:r>
      <w:r w:rsidR="000A3D22" w:rsidRPr="00B71505">
        <w:rPr>
          <w:sz w:val="22"/>
          <w:szCs w:val="22"/>
        </w:rPr>
        <w:t>and employment</w:t>
      </w:r>
      <w:r w:rsidRPr="00B71505">
        <w:rPr>
          <w:sz w:val="22"/>
          <w:szCs w:val="22"/>
        </w:rPr>
        <w:t xml:space="preserve"> and education level. Regression analysis shows no difference in the impact of gender on life satisfaction, but shows that married and employed people tend to be more satisfied with life than either single or unemployed/inactive (Appendix Table </w:t>
      </w:r>
      <w:r w:rsidR="00C86D68">
        <w:rPr>
          <w:sz w:val="22"/>
          <w:szCs w:val="22"/>
        </w:rPr>
        <w:t>A</w:t>
      </w:r>
      <w:r w:rsidRPr="00B71505">
        <w:rPr>
          <w:sz w:val="22"/>
          <w:szCs w:val="22"/>
        </w:rPr>
        <w:t>1). These effects tend to differ between men and women. Thus, married women are happier than married men, while employed men are happier than employed women.</w:t>
      </w:r>
    </w:p>
    <w:p w:rsidR="001C3037" w:rsidRDefault="001C3037" w:rsidP="00E43926">
      <w:pPr>
        <w:pStyle w:val="ListParagraph"/>
      </w:pPr>
    </w:p>
    <w:p w:rsidR="004D5F0F" w:rsidRDefault="004D5F0F" w:rsidP="00E43926">
      <w:pPr>
        <w:pStyle w:val="ListParagraph"/>
      </w:pPr>
    </w:p>
    <w:tbl>
      <w:tblPr>
        <w:tblW w:w="5000" w:type="pct"/>
        <w:tblBorders>
          <w:bottom w:val="single" w:sz="8" w:space="0" w:color="4F81BD"/>
        </w:tblBorders>
        <w:tblLook w:val="00A0" w:firstRow="1" w:lastRow="0" w:firstColumn="1" w:lastColumn="0" w:noHBand="0" w:noVBand="0"/>
      </w:tblPr>
      <w:tblGrid>
        <w:gridCol w:w="4714"/>
        <w:gridCol w:w="4862"/>
      </w:tblGrid>
      <w:tr w:rsidR="00E43926" w:rsidRPr="00997957" w:rsidTr="00321568">
        <w:tc>
          <w:tcPr>
            <w:tcW w:w="5000" w:type="pct"/>
            <w:gridSpan w:val="2"/>
            <w:tcBorders>
              <w:top w:val="nil"/>
              <w:bottom w:val="single" w:sz="4" w:space="0" w:color="auto"/>
            </w:tcBorders>
          </w:tcPr>
          <w:p w:rsidR="00E43926" w:rsidRPr="00997957" w:rsidRDefault="00A904F2" w:rsidP="00ED791C">
            <w:pPr>
              <w:pStyle w:val="Caption"/>
              <w:spacing w:after="120"/>
            </w:pPr>
            <w:bookmarkStart w:id="10" w:name="_Toc351104627"/>
            <w:bookmarkStart w:id="11" w:name="_Toc383010205"/>
            <w:r>
              <w:lastRenderedPageBreak/>
              <w:t xml:space="preserve">Figure </w:t>
            </w:r>
            <w:r w:rsidR="008A55B1">
              <w:fldChar w:fldCharType="begin"/>
            </w:r>
            <w:r w:rsidR="008A55B1">
              <w:instrText xml:space="preserve"> STYLEREF 1 \s </w:instrText>
            </w:r>
            <w:r w:rsidR="008A55B1">
              <w:fldChar w:fldCharType="separate"/>
            </w:r>
            <w:r w:rsidR="008A55B1">
              <w:rPr>
                <w:noProof/>
              </w:rPr>
              <w:t>1</w:t>
            </w:r>
            <w:r w:rsidR="008A55B1">
              <w:rPr>
                <w:noProof/>
              </w:rPr>
              <w:fldChar w:fldCharType="end"/>
            </w:r>
            <w:r>
              <w:t>.</w:t>
            </w:r>
            <w:r w:rsidR="008A55B1">
              <w:fldChar w:fldCharType="begin"/>
            </w:r>
            <w:r w:rsidR="008A55B1">
              <w:instrText xml:space="preserve"> SEQ Figure \* ARABIC \s 1 </w:instrText>
            </w:r>
            <w:r w:rsidR="008A55B1">
              <w:fldChar w:fldCharType="separate"/>
            </w:r>
            <w:r w:rsidR="008A55B1">
              <w:rPr>
                <w:noProof/>
              </w:rPr>
              <w:t>2</w:t>
            </w:r>
            <w:r w:rsidR="008A55B1">
              <w:rPr>
                <w:noProof/>
              </w:rPr>
              <w:fldChar w:fldCharType="end"/>
            </w:r>
            <w:r w:rsidR="003B4048">
              <w:t>:</w:t>
            </w:r>
            <w:r w:rsidR="00E43926" w:rsidRPr="00997957">
              <w:t xml:space="preserve"> Measures of </w:t>
            </w:r>
            <w:r w:rsidR="00672AA9">
              <w:t>Life S</w:t>
            </w:r>
            <w:r w:rsidR="00E43926">
              <w:t>atisfaction</w:t>
            </w:r>
            <w:bookmarkEnd w:id="10"/>
            <w:bookmarkEnd w:id="11"/>
            <w:r w:rsidR="00E43926" w:rsidRPr="00997957">
              <w:t xml:space="preserve"> </w:t>
            </w:r>
          </w:p>
        </w:tc>
      </w:tr>
      <w:tr w:rsidR="00E43926" w:rsidRPr="001520FF" w:rsidTr="00321568">
        <w:tc>
          <w:tcPr>
            <w:tcW w:w="2500" w:type="pct"/>
            <w:tcBorders>
              <w:top w:val="single" w:sz="4" w:space="0" w:color="auto"/>
              <w:left w:val="nil"/>
              <w:bottom w:val="single" w:sz="8" w:space="0" w:color="4F81BD"/>
              <w:right w:val="nil"/>
            </w:tcBorders>
          </w:tcPr>
          <w:p w:rsidR="00E43926" w:rsidRPr="001520FF" w:rsidRDefault="00E43926" w:rsidP="000E1088">
            <w:pPr>
              <w:rPr>
                <w:noProof/>
                <w:sz w:val="20"/>
              </w:rPr>
            </w:pPr>
            <w:r>
              <w:rPr>
                <w:sz w:val="20"/>
              </w:rPr>
              <w:t>a) Life satisfaction by LiTS, 2006 and 2010</w:t>
            </w:r>
          </w:p>
        </w:tc>
        <w:tc>
          <w:tcPr>
            <w:tcW w:w="2500" w:type="pct"/>
            <w:tcBorders>
              <w:top w:val="single" w:sz="4" w:space="0" w:color="auto"/>
              <w:left w:val="nil"/>
              <w:bottom w:val="single" w:sz="8" w:space="0" w:color="4F81BD"/>
              <w:right w:val="nil"/>
            </w:tcBorders>
          </w:tcPr>
          <w:p w:rsidR="00E43926" w:rsidRPr="001520FF" w:rsidRDefault="00E43926" w:rsidP="000E1088">
            <w:pPr>
              <w:rPr>
                <w:noProof/>
              </w:rPr>
            </w:pPr>
            <w:r>
              <w:rPr>
                <w:noProof/>
              </w:rPr>
              <w:t xml:space="preserve">b) </w:t>
            </w:r>
            <w:r>
              <w:rPr>
                <w:sz w:val="20"/>
              </w:rPr>
              <w:t xml:space="preserve">Life satisfaction by EVS, 2008 </w:t>
            </w:r>
          </w:p>
        </w:tc>
      </w:tr>
      <w:tr w:rsidR="00E43926" w:rsidRPr="00983DE7" w:rsidTr="00321568">
        <w:tc>
          <w:tcPr>
            <w:tcW w:w="2500" w:type="pct"/>
            <w:tcBorders>
              <w:top w:val="single" w:sz="8" w:space="0" w:color="4F81BD"/>
              <w:left w:val="nil"/>
              <w:bottom w:val="single" w:sz="4" w:space="0" w:color="auto"/>
              <w:right w:val="nil"/>
            </w:tcBorders>
          </w:tcPr>
          <w:p w:rsidR="00E43926" w:rsidRPr="004A2D5E" w:rsidRDefault="00E43926" w:rsidP="000E1088"/>
          <w:p w:rsidR="00E43926" w:rsidRPr="00983DE7" w:rsidRDefault="005A6047" w:rsidP="000E1088">
            <w:r>
              <w:rPr>
                <w:noProof/>
              </w:rPr>
              <w:drawing>
                <wp:inline distT="0" distB="0" distL="0" distR="0" wp14:anchorId="2D014D4B" wp14:editId="25FEFE1B">
                  <wp:extent cx="2905125" cy="2037715"/>
                  <wp:effectExtent l="0" t="0" r="0" b="635"/>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500" w:type="pct"/>
            <w:tcBorders>
              <w:top w:val="single" w:sz="8" w:space="0" w:color="4F81BD"/>
              <w:left w:val="nil"/>
              <w:bottom w:val="single" w:sz="4" w:space="0" w:color="auto"/>
              <w:right w:val="nil"/>
            </w:tcBorders>
          </w:tcPr>
          <w:p w:rsidR="00E43926" w:rsidRPr="00983DE7" w:rsidRDefault="005A6047" w:rsidP="000E1088">
            <w:r>
              <w:rPr>
                <w:noProof/>
              </w:rPr>
              <w:drawing>
                <wp:inline distT="0" distB="0" distL="0" distR="0" wp14:anchorId="42670CB4" wp14:editId="065F2664">
                  <wp:extent cx="3000375" cy="214058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E43926" w:rsidRPr="001520FF" w:rsidTr="00321568">
        <w:tc>
          <w:tcPr>
            <w:tcW w:w="2500" w:type="pct"/>
            <w:tcBorders>
              <w:top w:val="single" w:sz="4" w:space="0" w:color="auto"/>
              <w:left w:val="nil"/>
              <w:bottom w:val="nil"/>
              <w:right w:val="nil"/>
            </w:tcBorders>
          </w:tcPr>
          <w:p w:rsidR="00E43926" w:rsidRPr="001520FF" w:rsidRDefault="00E43926" w:rsidP="000E1088">
            <w:pPr>
              <w:rPr>
                <w:sz w:val="18"/>
              </w:rPr>
            </w:pPr>
            <w:r w:rsidRPr="001520FF">
              <w:rPr>
                <w:i/>
                <w:sz w:val="18"/>
              </w:rPr>
              <w:t>Source</w:t>
            </w:r>
            <w:r w:rsidRPr="001520FF">
              <w:rPr>
                <w:sz w:val="18"/>
              </w:rPr>
              <w:t>: LiTS</w:t>
            </w:r>
            <w:r>
              <w:rPr>
                <w:sz w:val="18"/>
              </w:rPr>
              <w:t xml:space="preserve"> I and II (EBRD and World Bank, 2008 and 2011). </w:t>
            </w:r>
          </w:p>
          <w:p w:rsidR="00E43926" w:rsidRPr="00E501A8" w:rsidRDefault="00E43926" w:rsidP="000E1088">
            <w:pPr>
              <w:rPr>
                <w:color w:val="FF0000"/>
                <w:sz w:val="18"/>
              </w:rPr>
            </w:pPr>
            <w:r w:rsidRPr="001520FF">
              <w:rPr>
                <w:i/>
                <w:sz w:val="18"/>
              </w:rPr>
              <w:t>Notes</w:t>
            </w:r>
            <w:r w:rsidRPr="001520FF">
              <w:rPr>
                <w:sz w:val="18"/>
              </w:rPr>
              <w:t xml:space="preserve">: </w:t>
            </w:r>
            <w:r w:rsidRPr="00EE0829">
              <w:rPr>
                <w:sz w:val="18"/>
              </w:rPr>
              <w:t>Percentage of satisfied people includes respondents who strongly agree or agree with the statement “All things considered, I am satisfied with my life now.”</w:t>
            </w:r>
            <w:r>
              <w:rPr>
                <w:sz w:val="18"/>
              </w:rPr>
              <w:t xml:space="preserve"> Data was weighted. Answers ‘do not know’ were excluded from calculation of shares. </w:t>
            </w:r>
          </w:p>
        </w:tc>
        <w:tc>
          <w:tcPr>
            <w:tcW w:w="2500" w:type="pct"/>
            <w:tcBorders>
              <w:top w:val="single" w:sz="4" w:space="0" w:color="auto"/>
              <w:left w:val="nil"/>
              <w:bottom w:val="nil"/>
              <w:right w:val="nil"/>
            </w:tcBorders>
          </w:tcPr>
          <w:p w:rsidR="00E43926" w:rsidRPr="001520FF" w:rsidRDefault="00E43926" w:rsidP="000E1088">
            <w:pPr>
              <w:rPr>
                <w:sz w:val="18"/>
              </w:rPr>
            </w:pPr>
            <w:r w:rsidRPr="001520FF">
              <w:rPr>
                <w:i/>
                <w:sz w:val="18"/>
              </w:rPr>
              <w:t>Source</w:t>
            </w:r>
            <w:r w:rsidRPr="001520FF">
              <w:rPr>
                <w:sz w:val="18"/>
              </w:rPr>
              <w:t>:</w:t>
            </w:r>
            <w:r>
              <w:rPr>
                <w:sz w:val="18"/>
              </w:rPr>
              <w:t xml:space="preserve"> EVS (2010). </w:t>
            </w:r>
          </w:p>
          <w:p w:rsidR="00E43926" w:rsidRPr="001520FF" w:rsidRDefault="00E43926" w:rsidP="00A904F2">
            <w:pPr>
              <w:keepNext/>
              <w:rPr>
                <w:noProof/>
              </w:rPr>
            </w:pPr>
            <w:r w:rsidRPr="001520FF">
              <w:rPr>
                <w:i/>
                <w:sz w:val="18"/>
              </w:rPr>
              <w:t>Notes</w:t>
            </w:r>
            <w:r w:rsidRPr="001520FF">
              <w:rPr>
                <w:sz w:val="18"/>
              </w:rPr>
              <w:t>: The question states: “How satisfied are you with your life in scale from 1 to 10, 1 being dissatisfied and 10 being satisfied</w:t>
            </w:r>
            <w:r>
              <w:rPr>
                <w:sz w:val="18"/>
              </w:rPr>
              <w:t xml:space="preserve">”. Data was weighted. We aggregated first four steps into “dissatisfied”, the fifth step into “neutral” and the last four into “satisfied” groups. </w:t>
            </w:r>
          </w:p>
        </w:tc>
      </w:tr>
    </w:tbl>
    <w:p w:rsidR="00321568" w:rsidRDefault="00321568" w:rsidP="00E43926">
      <w:pPr>
        <w:pStyle w:val="MainParawithChapter"/>
        <w:numPr>
          <w:ilvl w:val="0"/>
          <w:numId w:val="0"/>
        </w:numPr>
        <w:jc w:val="both"/>
      </w:pPr>
    </w:p>
    <w:p w:rsidR="00E43926" w:rsidRDefault="00E43926" w:rsidP="00D2528E">
      <w:pPr>
        <w:pStyle w:val="Heading2"/>
        <w:numPr>
          <w:ilvl w:val="0"/>
          <w:numId w:val="13"/>
        </w:numPr>
        <w:tabs>
          <w:tab w:val="clear" w:pos="432"/>
          <w:tab w:val="num" w:pos="0"/>
        </w:tabs>
        <w:ind w:left="0" w:firstLine="0"/>
        <w:jc w:val="center"/>
        <w:rPr>
          <w:rFonts w:ascii="Times New Roman Bold" w:hAnsi="Times New Roman Bold"/>
          <w:smallCaps/>
        </w:rPr>
      </w:pPr>
      <w:bookmarkStart w:id="12" w:name="_Toc383011584"/>
      <w:r>
        <w:rPr>
          <w:rFonts w:ascii="Times New Roman Bold" w:hAnsi="Times New Roman Bold"/>
          <w:smallCaps/>
        </w:rPr>
        <w:t>Gender Related Views of Society</w:t>
      </w:r>
      <w:bookmarkEnd w:id="12"/>
    </w:p>
    <w:p w:rsidR="00E43926" w:rsidRDefault="00E43926" w:rsidP="00E43926">
      <w:pPr>
        <w:pStyle w:val="ListParagraph"/>
      </w:pPr>
    </w:p>
    <w:p w:rsidR="00946264" w:rsidRPr="00946264" w:rsidRDefault="00946264" w:rsidP="00946264">
      <w:pPr>
        <w:pStyle w:val="MainParawithChapter"/>
        <w:jc w:val="both"/>
        <w:rPr>
          <w:sz w:val="22"/>
          <w:szCs w:val="22"/>
        </w:rPr>
      </w:pPr>
      <w:r w:rsidRPr="00946264">
        <w:rPr>
          <w:sz w:val="22"/>
          <w:szCs w:val="22"/>
        </w:rPr>
        <w:t xml:space="preserve">In spite of relatively egalitarian views on gender roles in Belarus, traditional views are still common in the society with less agreement among men on gender equality statements. EVS presents views on statements discussing gender roles in society. An absolute majority of men and women in Belarus agree on equal sharing of responsibilities for home and children and contribution to household income. Nevertheless, some gender stereotypes remain. For instance, more than half of the population thinks that being at home with children is what women want most. Almost for all gender equality statements, men tend to demonstrate slightly less agreement than women. For example, 85 percent among men believe that men should take the same responsibility for home and children versus 94 percent among women. In line with this, 85 percent of men believe that fathers are as well suited to look after children as mothers versus 90 percent among women.  Figure </w:t>
      </w:r>
      <w:r w:rsidR="00C86D68">
        <w:rPr>
          <w:sz w:val="22"/>
          <w:szCs w:val="22"/>
        </w:rPr>
        <w:t>1.</w:t>
      </w:r>
      <w:r w:rsidR="00D2528E">
        <w:rPr>
          <w:sz w:val="22"/>
          <w:szCs w:val="22"/>
        </w:rPr>
        <w:t>3</w:t>
      </w:r>
      <w:r w:rsidRPr="00946264">
        <w:rPr>
          <w:sz w:val="22"/>
          <w:szCs w:val="22"/>
        </w:rPr>
        <w:t xml:space="preserve"> presents mean values of the indicators which range from 1 (strong agreement) to 4 (strong disagreement). Values below 2 mean relative agreement, while values above 2 indicate relative disagreement with the statement. Statements labeled with asterisks indicate statistically significant difference in views between men and women. </w:t>
      </w:r>
    </w:p>
    <w:p w:rsidR="00946264" w:rsidRPr="00946264" w:rsidRDefault="00946264" w:rsidP="00946264">
      <w:pPr>
        <w:pStyle w:val="ListParagraph"/>
        <w:rPr>
          <w:sz w:val="22"/>
          <w:szCs w:val="22"/>
        </w:rPr>
      </w:pPr>
    </w:p>
    <w:p w:rsidR="00E43926" w:rsidRPr="000121DE" w:rsidRDefault="00946264" w:rsidP="00946264">
      <w:pPr>
        <w:pStyle w:val="MainParawithChapter"/>
        <w:jc w:val="both"/>
      </w:pPr>
      <w:r w:rsidRPr="00946264">
        <w:rPr>
          <w:sz w:val="22"/>
          <w:szCs w:val="22"/>
        </w:rPr>
        <w:t>There are small, but statistically significant gender differences between men’s and women’s views on the role of women in the labor market. Men tend to underestimate the role of women in the labor market. Fewer men than women believe that having job is the best way to secure independence of women (79 versus 88 percent respectively). In line with this, 58 percent of men consider being housewife as fulfilling as paid job versus 54 percent of women.  About 34 percent of men also believe that men should have more rights to get a job than women during the crisis in comparison to 20 percent of women.</w:t>
      </w:r>
    </w:p>
    <w:p w:rsidR="000121DE" w:rsidRDefault="000121DE" w:rsidP="000121DE">
      <w:pPr>
        <w:pStyle w:val="ListParagraph"/>
      </w:pPr>
    </w:p>
    <w:p w:rsidR="00321568" w:rsidRPr="009E2DD8" w:rsidRDefault="00321568" w:rsidP="00321568">
      <w:pPr>
        <w:pStyle w:val="MainParawithChapter"/>
        <w:jc w:val="both"/>
        <w:rPr>
          <w:sz w:val="22"/>
          <w:szCs w:val="22"/>
        </w:rPr>
      </w:pPr>
      <w:r w:rsidRPr="009E2DD8">
        <w:rPr>
          <w:sz w:val="22"/>
          <w:szCs w:val="22"/>
        </w:rPr>
        <w:t>Gender views of women change across age groups, but without any clear direction. Table 1</w:t>
      </w:r>
      <w:r>
        <w:rPr>
          <w:sz w:val="22"/>
          <w:szCs w:val="22"/>
        </w:rPr>
        <w:t>.1</w:t>
      </w:r>
      <w:r w:rsidRPr="009E2DD8">
        <w:rPr>
          <w:sz w:val="22"/>
          <w:szCs w:val="22"/>
        </w:rPr>
        <w:t xml:space="preserve"> shows percentage of men and women agreeing with gender related statements. There are no clear patterns of how gender views of women change over time. For example, more middle-aged women disagree with the statement ‘Being a housewife is as fulfilling as having a paid job’ or ‘Pre-school child suffers with </w:t>
      </w:r>
      <w:r w:rsidRPr="009E2DD8">
        <w:rPr>
          <w:sz w:val="22"/>
          <w:szCs w:val="22"/>
        </w:rPr>
        <w:lastRenderedPageBreak/>
        <w:t>working mother’, but higher agreement is observed for the oldest cohort above 65. Interestingly, women agree least with the statement ‘If jobs are scarce, men should have priority’ is observed when women enter the labor market (25-34 years old) and when they leave it during retirement age.</w:t>
      </w:r>
    </w:p>
    <w:p w:rsidR="009E2DD8" w:rsidRDefault="009E2DD8" w:rsidP="009E2DD8">
      <w:pPr>
        <w:pStyle w:val="ListParagraph"/>
      </w:pPr>
    </w:p>
    <w:tbl>
      <w:tblPr>
        <w:tblW w:w="5000" w:type="pct"/>
        <w:tblBorders>
          <w:top w:val="single" w:sz="8" w:space="0" w:color="4F81BD"/>
        </w:tblBorders>
        <w:tblLook w:val="00A0" w:firstRow="1" w:lastRow="0" w:firstColumn="1" w:lastColumn="0" w:noHBand="0" w:noVBand="0"/>
      </w:tblPr>
      <w:tblGrid>
        <w:gridCol w:w="9576"/>
      </w:tblGrid>
      <w:tr w:rsidR="009E2DD8" w:rsidRPr="00997957" w:rsidTr="00321568">
        <w:tc>
          <w:tcPr>
            <w:tcW w:w="5000" w:type="pct"/>
            <w:tcBorders>
              <w:top w:val="nil"/>
              <w:bottom w:val="single" w:sz="4" w:space="0" w:color="auto"/>
            </w:tcBorders>
          </w:tcPr>
          <w:p w:rsidR="009E2DD8" w:rsidRPr="00997957" w:rsidRDefault="000121DE" w:rsidP="00ED791C">
            <w:pPr>
              <w:pStyle w:val="Caption"/>
              <w:spacing w:after="120"/>
              <w:jc w:val="both"/>
              <w:rPr>
                <w:b w:val="0"/>
                <w:color w:val="1F497D"/>
              </w:rPr>
            </w:pPr>
            <w:bookmarkStart w:id="13" w:name="_Toc351104628"/>
            <w:bookmarkStart w:id="14" w:name="_Toc383010206"/>
            <w:r>
              <w:t xml:space="preserve">Figure </w:t>
            </w:r>
            <w:r w:rsidR="008A55B1">
              <w:fldChar w:fldCharType="begin"/>
            </w:r>
            <w:r w:rsidR="008A55B1">
              <w:instrText xml:space="preserve"> STYLEREF 1 \s </w:instrText>
            </w:r>
            <w:r w:rsidR="008A55B1">
              <w:fldChar w:fldCharType="separate"/>
            </w:r>
            <w:r w:rsidR="008A55B1">
              <w:rPr>
                <w:noProof/>
              </w:rPr>
              <w:t>1</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3</w:t>
            </w:r>
            <w:r w:rsidR="008A55B1">
              <w:rPr>
                <w:noProof/>
              </w:rPr>
              <w:fldChar w:fldCharType="end"/>
            </w:r>
            <w:r>
              <w:t>:</w:t>
            </w:r>
            <w:r w:rsidR="009E2DD8" w:rsidRPr="00997957">
              <w:t xml:space="preserve"> </w:t>
            </w:r>
            <w:r w:rsidR="009E2DD8">
              <w:t xml:space="preserve">Mean </w:t>
            </w:r>
            <w:r w:rsidR="00672AA9">
              <w:t>V</w:t>
            </w:r>
            <w:r w:rsidR="009E2DD8">
              <w:t xml:space="preserve">alue of </w:t>
            </w:r>
            <w:r w:rsidR="00672AA9">
              <w:t>I</w:t>
            </w:r>
            <w:r w:rsidR="009E2DD8">
              <w:t xml:space="preserve">ndicators </w:t>
            </w:r>
            <w:r w:rsidR="00672AA9">
              <w:t>S</w:t>
            </w:r>
            <w:r w:rsidR="009E2DD8">
              <w:t xml:space="preserve">howing </w:t>
            </w:r>
            <w:r w:rsidR="00672AA9">
              <w:t>A</w:t>
            </w:r>
            <w:r w:rsidR="009E2DD8">
              <w:t xml:space="preserve">greement with the </w:t>
            </w:r>
            <w:r w:rsidR="00672AA9">
              <w:t>V</w:t>
            </w:r>
            <w:r w:rsidR="009E2DD8" w:rsidRPr="00997957">
              <w:t xml:space="preserve">iews on </w:t>
            </w:r>
            <w:r w:rsidR="00672AA9">
              <w:t>G</w:t>
            </w:r>
            <w:r w:rsidR="009E2DD8" w:rsidRPr="00997957">
              <w:t xml:space="preserve">ender </w:t>
            </w:r>
            <w:r w:rsidR="00672AA9">
              <w:t>R</w:t>
            </w:r>
            <w:r w:rsidR="009E2DD8" w:rsidRPr="00997957">
              <w:t xml:space="preserve">elated </w:t>
            </w:r>
            <w:r w:rsidR="00672AA9">
              <w:t>S</w:t>
            </w:r>
            <w:r w:rsidR="009E2DD8" w:rsidRPr="00997957">
              <w:t xml:space="preserve">tatements </w:t>
            </w:r>
            <w:r w:rsidR="00672AA9">
              <w:t>Across G</w:t>
            </w:r>
            <w:r w:rsidR="009E2DD8" w:rsidRPr="00997957">
              <w:t>ender, 2008</w:t>
            </w:r>
            <w:bookmarkEnd w:id="13"/>
            <w:bookmarkEnd w:id="14"/>
          </w:p>
        </w:tc>
      </w:tr>
      <w:tr w:rsidR="009E2DD8" w:rsidRPr="0006038F" w:rsidTr="00321568">
        <w:tc>
          <w:tcPr>
            <w:tcW w:w="5000" w:type="pct"/>
            <w:tcBorders>
              <w:top w:val="single" w:sz="4" w:space="0" w:color="auto"/>
              <w:bottom w:val="single" w:sz="4" w:space="0" w:color="auto"/>
            </w:tcBorders>
          </w:tcPr>
          <w:p w:rsidR="009E2DD8" w:rsidRDefault="005A6047" w:rsidP="000E1088">
            <w:pPr>
              <w:tabs>
                <w:tab w:val="left" w:pos="1425"/>
              </w:tabs>
              <w:jc w:val="center"/>
            </w:pPr>
            <w:r>
              <w:rPr>
                <w:noProof/>
              </w:rPr>
              <w:drawing>
                <wp:inline distT="0" distB="0" distL="0" distR="0" wp14:anchorId="0B508B5F" wp14:editId="2BFF621A">
                  <wp:extent cx="5943600" cy="3144520"/>
                  <wp:effectExtent l="0" t="0" r="0" b="1778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21568" w:rsidRPr="0006038F" w:rsidRDefault="00321568" w:rsidP="000E1088">
            <w:pPr>
              <w:tabs>
                <w:tab w:val="left" w:pos="1425"/>
              </w:tabs>
              <w:jc w:val="center"/>
            </w:pPr>
          </w:p>
        </w:tc>
      </w:tr>
      <w:tr w:rsidR="009E2DD8" w:rsidRPr="001520FF" w:rsidTr="00321568">
        <w:tc>
          <w:tcPr>
            <w:tcW w:w="5000" w:type="pct"/>
            <w:tcBorders>
              <w:top w:val="single" w:sz="4" w:space="0" w:color="auto"/>
              <w:bottom w:val="nil"/>
            </w:tcBorders>
          </w:tcPr>
          <w:p w:rsidR="00EF414D" w:rsidRDefault="00EF414D" w:rsidP="000E1088">
            <w:pPr>
              <w:rPr>
                <w:i/>
                <w:sz w:val="18"/>
              </w:rPr>
            </w:pPr>
          </w:p>
          <w:p w:rsidR="009E2DD8" w:rsidRDefault="009E2DD8" w:rsidP="000E1088">
            <w:pPr>
              <w:rPr>
                <w:sz w:val="18"/>
              </w:rPr>
            </w:pPr>
            <w:r w:rsidRPr="001520FF">
              <w:rPr>
                <w:i/>
                <w:sz w:val="18"/>
              </w:rPr>
              <w:t>Source</w:t>
            </w:r>
            <w:r w:rsidRPr="001520FF">
              <w:rPr>
                <w:sz w:val="18"/>
              </w:rPr>
              <w:t xml:space="preserve">: EVS </w:t>
            </w:r>
            <w:r>
              <w:rPr>
                <w:sz w:val="18"/>
              </w:rPr>
              <w:t>(2010)</w:t>
            </w:r>
            <w:r w:rsidRPr="001520FF">
              <w:rPr>
                <w:sz w:val="18"/>
              </w:rPr>
              <w:t xml:space="preserve">. </w:t>
            </w:r>
            <w:r>
              <w:rPr>
                <w:sz w:val="18"/>
              </w:rPr>
              <w:t xml:space="preserve">World Bank staff calculations. </w:t>
            </w:r>
          </w:p>
          <w:p w:rsidR="009E2DD8" w:rsidRPr="001520FF" w:rsidRDefault="009E2DD8" w:rsidP="000E1088">
            <w:pPr>
              <w:rPr>
                <w:sz w:val="18"/>
              </w:rPr>
            </w:pPr>
            <w:r w:rsidRPr="001520FF">
              <w:rPr>
                <w:i/>
                <w:sz w:val="18"/>
              </w:rPr>
              <w:t>Notes</w:t>
            </w:r>
            <w:r w:rsidRPr="001520FF">
              <w:rPr>
                <w:sz w:val="18"/>
              </w:rPr>
              <w:t xml:space="preserve">: </w:t>
            </w:r>
            <w:r>
              <w:rPr>
                <w:sz w:val="18"/>
              </w:rPr>
              <w:t xml:space="preserve">*** gender difference significant at 1%, </w:t>
            </w:r>
            <w:r w:rsidRPr="001520FF">
              <w:rPr>
                <w:sz w:val="18"/>
              </w:rPr>
              <w:t>** gender difference significant at 5%, * gender difference significan</w:t>
            </w:r>
            <w:r>
              <w:rPr>
                <w:sz w:val="18"/>
              </w:rPr>
              <w:t>t at 10%. Respondents have to (1) strongly agree, (2) agree, (3) disagree, or (4</w:t>
            </w:r>
            <w:r w:rsidRPr="001520FF">
              <w:rPr>
                <w:sz w:val="18"/>
              </w:rPr>
              <w:t>) strongly disagree with each of the statements above</w:t>
            </w:r>
            <w:r>
              <w:rPr>
                <w:sz w:val="18"/>
              </w:rPr>
              <w:t xml:space="preserve">. T-test is conducted for the mean value of indicators. </w:t>
            </w:r>
            <w:r w:rsidRPr="001520FF">
              <w:rPr>
                <w:sz w:val="18"/>
              </w:rPr>
              <w:t xml:space="preserve"> </w:t>
            </w:r>
          </w:p>
        </w:tc>
      </w:tr>
    </w:tbl>
    <w:p w:rsidR="00321568" w:rsidRDefault="00321568" w:rsidP="009E2DD8">
      <w:pPr>
        <w:pStyle w:val="MainParawithChapter"/>
        <w:numPr>
          <w:ilvl w:val="0"/>
          <w:numId w:val="0"/>
        </w:numPr>
        <w:jc w:val="both"/>
      </w:pPr>
    </w:p>
    <w:p w:rsidR="00EF414D" w:rsidRPr="009E2DD8" w:rsidRDefault="00EF414D" w:rsidP="009E2DD8">
      <w:pPr>
        <w:pStyle w:val="MainParawithChapter"/>
        <w:numPr>
          <w:ilvl w:val="0"/>
          <w:numId w:val="0"/>
        </w:numPr>
        <w:jc w:val="both"/>
      </w:pPr>
    </w:p>
    <w:p w:rsidR="009E2DD8" w:rsidRDefault="009E2DD8" w:rsidP="009E2DD8">
      <w:pPr>
        <w:pStyle w:val="MainParawithChapter"/>
        <w:jc w:val="both"/>
        <w:rPr>
          <w:sz w:val="22"/>
          <w:szCs w:val="22"/>
        </w:rPr>
      </w:pPr>
      <w:r w:rsidRPr="009E2DD8">
        <w:rPr>
          <w:sz w:val="22"/>
          <w:szCs w:val="22"/>
        </w:rPr>
        <w:t>Gender views of men related to women’s role in the labor market seem to progress over time. In contrast to women, more young men disagree with the statements ‘being a housewife is as fulfilling as having a paid job’, ‘if jobs are scarce, men should have a priority’, ‘what women really want is home and children’.</w:t>
      </w:r>
    </w:p>
    <w:p w:rsidR="000121DE" w:rsidRDefault="000121DE" w:rsidP="000121DE">
      <w:pPr>
        <w:pStyle w:val="ListParagraph"/>
        <w:rPr>
          <w:sz w:val="22"/>
          <w:szCs w:val="22"/>
        </w:rPr>
      </w:pPr>
    </w:p>
    <w:p w:rsidR="000121DE" w:rsidRDefault="000121DE" w:rsidP="000121DE">
      <w:pPr>
        <w:pStyle w:val="MainParawithChapter"/>
        <w:jc w:val="both"/>
        <w:rPr>
          <w:sz w:val="22"/>
          <w:szCs w:val="22"/>
        </w:rPr>
      </w:pPr>
      <w:r w:rsidRPr="009E2DD8">
        <w:rPr>
          <w:sz w:val="22"/>
          <w:szCs w:val="22"/>
        </w:rPr>
        <w:t>Women believe religion is more important in life compared to men.  We employ the data from EVS which asks how important work, family, friends, leisure, politics and religion are in life of men and women. Regression analysis demonstrates that women tend to indicate religion as more important in their lives than men after we control for the number of children, marital and employment status as well as education</w:t>
      </w:r>
      <w:r w:rsidR="00545C0F">
        <w:rPr>
          <w:rStyle w:val="FootnoteReference"/>
          <w:sz w:val="22"/>
          <w:szCs w:val="22"/>
        </w:rPr>
        <w:footnoteReference w:id="8"/>
      </w:r>
      <w:r w:rsidRPr="009E2DD8">
        <w:rPr>
          <w:sz w:val="22"/>
          <w:szCs w:val="22"/>
        </w:rPr>
        <w:t xml:space="preserve">.  </w:t>
      </w:r>
    </w:p>
    <w:p w:rsidR="000121DE" w:rsidRDefault="000121DE" w:rsidP="000121DE">
      <w:pPr>
        <w:pStyle w:val="MainParawithChapter"/>
        <w:numPr>
          <w:ilvl w:val="0"/>
          <w:numId w:val="0"/>
        </w:numPr>
        <w:jc w:val="both"/>
        <w:rPr>
          <w:sz w:val="22"/>
          <w:szCs w:val="22"/>
        </w:rPr>
      </w:pPr>
    </w:p>
    <w:p w:rsidR="00EF414D" w:rsidRDefault="00EF414D" w:rsidP="000121DE">
      <w:pPr>
        <w:pStyle w:val="MainParawithChapter"/>
        <w:numPr>
          <w:ilvl w:val="0"/>
          <w:numId w:val="0"/>
        </w:numPr>
        <w:jc w:val="both"/>
        <w:rPr>
          <w:sz w:val="22"/>
          <w:szCs w:val="22"/>
        </w:rPr>
      </w:pPr>
    </w:p>
    <w:p w:rsidR="001C3037" w:rsidRDefault="001C3037" w:rsidP="000121DE">
      <w:pPr>
        <w:pStyle w:val="MainParawithChapter"/>
        <w:numPr>
          <w:ilvl w:val="0"/>
          <w:numId w:val="0"/>
        </w:numPr>
        <w:jc w:val="both"/>
        <w:rPr>
          <w:sz w:val="22"/>
          <w:szCs w:val="22"/>
        </w:rPr>
      </w:pPr>
    </w:p>
    <w:p w:rsidR="00321568" w:rsidRDefault="00321568" w:rsidP="000121DE">
      <w:pPr>
        <w:pStyle w:val="MainParawithChapter"/>
        <w:numPr>
          <w:ilvl w:val="0"/>
          <w:numId w:val="0"/>
        </w:numPr>
        <w:jc w:val="both"/>
        <w:rPr>
          <w:sz w:val="22"/>
          <w:szCs w:val="22"/>
        </w:rPr>
      </w:pPr>
    </w:p>
    <w:p w:rsidR="000121DE" w:rsidRDefault="000121DE" w:rsidP="000121DE">
      <w:pPr>
        <w:pStyle w:val="MainParawithChapter"/>
        <w:numPr>
          <w:ilvl w:val="0"/>
          <w:numId w:val="0"/>
        </w:numPr>
        <w:jc w:val="both"/>
        <w:rPr>
          <w:sz w:val="22"/>
          <w:szCs w:val="22"/>
        </w:rPr>
      </w:pPr>
    </w:p>
    <w:tbl>
      <w:tblPr>
        <w:tblW w:w="5000" w:type="pct"/>
        <w:tblBorders>
          <w:top w:val="single" w:sz="4" w:space="0" w:color="4F81BD"/>
          <w:bottom w:val="single" w:sz="4" w:space="0" w:color="4F81BD"/>
        </w:tblBorders>
        <w:tblLook w:val="04A0" w:firstRow="1" w:lastRow="0" w:firstColumn="1" w:lastColumn="0" w:noHBand="0" w:noVBand="1"/>
      </w:tblPr>
      <w:tblGrid>
        <w:gridCol w:w="3732"/>
        <w:gridCol w:w="541"/>
        <w:gridCol w:w="541"/>
        <w:gridCol w:w="541"/>
        <w:gridCol w:w="541"/>
        <w:gridCol w:w="541"/>
        <w:gridCol w:w="541"/>
        <w:gridCol w:w="541"/>
        <w:gridCol w:w="541"/>
        <w:gridCol w:w="541"/>
        <w:gridCol w:w="541"/>
        <w:gridCol w:w="434"/>
      </w:tblGrid>
      <w:tr w:rsidR="009E2DD8" w:rsidRPr="00143B2E" w:rsidTr="00321568">
        <w:trPr>
          <w:trHeight w:val="300"/>
        </w:trPr>
        <w:tc>
          <w:tcPr>
            <w:tcW w:w="5000" w:type="pct"/>
            <w:gridSpan w:val="12"/>
            <w:tcBorders>
              <w:top w:val="nil"/>
              <w:bottom w:val="single" w:sz="4" w:space="0" w:color="auto"/>
            </w:tcBorders>
            <w:shd w:val="clear" w:color="auto" w:fill="auto"/>
            <w:noWrap/>
            <w:vAlign w:val="bottom"/>
            <w:hideMark/>
          </w:tcPr>
          <w:p w:rsidR="009E2DD8" w:rsidRPr="00143B2E" w:rsidRDefault="00A904F2" w:rsidP="00ED791C">
            <w:pPr>
              <w:pStyle w:val="Caption"/>
              <w:keepNext/>
              <w:spacing w:after="120"/>
              <w:jc w:val="center"/>
              <w:rPr>
                <w:b w:val="0"/>
                <w:bCs/>
                <w:color w:val="4F81BD"/>
              </w:rPr>
            </w:pPr>
            <w:r>
              <w:lastRenderedPageBreak/>
              <w:t xml:space="preserve">Table </w:t>
            </w:r>
            <w:r w:rsidR="008A55B1">
              <w:fldChar w:fldCharType="begin"/>
            </w:r>
            <w:r w:rsidR="008A55B1">
              <w:instrText xml:space="preserve"> SEQ Table \* ARABIC </w:instrText>
            </w:r>
            <w:r w:rsidR="008A55B1">
              <w:fldChar w:fldCharType="separate"/>
            </w:r>
            <w:r w:rsidR="008A55B1">
              <w:rPr>
                <w:noProof/>
              </w:rPr>
              <w:t>1</w:t>
            </w:r>
            <w:r w:rsidR="008A55B1">
              <w:rPr>
                <w:noProof/>
              </w:rPr>
              <w:fldChar w:fldCharType="end"/>
            </w:r>
            <w:r>
              <w:t>.1:</w:t>
            </w:r>
            <w:bookmarkStart w:id="15" w:name="_Toc383011595"/>
            <w:r w:rsidR="009E2DD8" w:rsidRPr="00143B2E">
              <w:rPr>
                <w:b w:val="0"/>
                <w:bCs/>
                <w:color w:val="4F81BD"/>
              </w:rPr>
              <w:t xml:space="preserve"> </w:t>
            </w:r>
            <w:r w:rsidR="009E2DD8" w:rsidRPr="000121DE">
              <w:rPr>
                <w:rStyle w:val="Style10Char"/>
                <w:color w:val="auto"/>
              </w:rPr>
              <w:t xml:space="preserve">Views on </w:t>
            </w:r>
            <w:r w:rsidR="000121DE">
              <w:rPr>
                <w:rStyle w:val="Style10Char"/>
                <w:color w:val="auto"/>
              </w:rPr>
              <w:t>G</w:t>
            </w:r>
            <w:r w:rsidR="009E2DD8" w:rsidRPr="000121DE">
              <w:rPr>
                <w:rStyle w:val="Style10Char"/>
                <w:color w:val="auto"/>
              </w:rPr>
              <w:t xml:space="preserve">ender </w:t>
            </w:r>
            <w:r w:rsidR="000121DE">
              <w:rPr>
                <w:rStyle w:val="Style10Char"/>
                <w:color w:val="auto"/>
              </w:rPr>
              <w:t>R</w:t>
            </w:r>
            <w:r w:rsidR="009E2DD8" w:rsidRPr="000121DE">
              <w:rPr>
                <w:rStyle w:val="Style10Char"/>
                <w:color w:val="auto"/>
              </w:rPr>
              <w:t xml:space="preserve">elated </w:t>
            </w:r>
            <w:r w:rsidR="000121DE">
              <w:rPr>
                <w:rStyle w:val="Style10Char"/>
                <w:color w:val="auto"/>
              </w:rPr>
              <w:t>S</w:t>
            </w:r>
            <w:r w:rsidR="009E2DD8" w:rsidRPr="000121DE">
              <w:rPr>
                <w:rStyle w:val="Style10Char"/>
                <w:color w:val="auto"/>
              </w:rPr>
              <w:t xml:space="preserve">tatements </w:t>
            </w:r>
            <w:r w:rsidR="000121DE">
              <w:rPr>
                <w:rStyle w:val="Style10Char"/>
                <w:color w:val="auto"/>
              </w:rPr>
              <w:t>A</w:t>
            </w:r>
            <w:r w:rsidR="009E2DD8" w:rsidRPr="000121DE">
              <w:rPr>
                <w:rStyle w:val="Style10Char"/>
                <w:color w:val="auto"/>
              </w:rPr>
              <w:t xml:space="preserve">cross </w:t>
            </w:r>
            <w:r w:rsidR="000121DE">
              <w:rPr>
                <w:rStyle w:val="Style10Char"/>
                <w:color w:val="auto"/>
              </w:rPr>
              <w:t>M</w:t>
            </w:r>
            <w:r w:rsidR="009E2DD8" w:rsidRPr="000121DE">
              <w:rPr>
                <w:rStyle w:val="Style10Char"/>
                <w:color w:val="auto"/>
              </w:rPr>
              <w:t xml:space="preserve">en and </w:t>
            </w:r>
            <w:r w:rsidR="000121DE">
              <w:rPr>
                <w:rStyle w:val="Style10Char"/>
                <w:color w:val="auto"/>
              </w:rPr>
              <w:t>W</w:t>
            </w:r>
            <w:r w:rsidR="009E2DD8" w:rsidRPr="000121DE">
              <w:rPr>
                <w:rStyle w:val="Style10Char"/>
                <w:color w:val="auto"/>
              </w:rPr>
              <w:t xml:space="preserve">omen and </w:t>
            </w:r>
            <w:r w:rsidR="000121DE">
              <w:rPr>
                <w:rStyle w:val="Style10Char"/>
                <w:color w:val="auto"/>
              </w:rPr>
              <w:t>A</w:t>
            </w:r>
            <w:r w:rsidR="009E2DD8" w:rsidRPr="000121DE">
              <w:rPr>
                <w:rStyle w:val="Style10Char"/>
                <w:color w:val="auto"/>
              </w:rPr>
              <w:t xml:space="preserve">ge </w:t>
            </w:r>
            <w:r w:rsidR="000121DE">
              <w:rPr>
                <w:rStyle w:val="Style10Char"/>
                <w:color w:val="auto"/>
              </w:rPr>
              <w:t>G</w:t>
            </w:r>
            <w:r w:rsidR="009E2DD8" w:rsidRPr="000121DE">
              <w:rPr>
                <w:rStyle w:val="Style10Char"/>
                <w:color w:val="auto"/>
              </w:rPr>
              <w:t xml:space="preserve">roups, % of </w:t>
            </w:r>
            <w:r w:rsidR="00672AA9">
              <w:rPr>
                <w:rStyle w:val="Style10Char"/>
                <w:color w:val="auto"/>
              </w:rPr>
              <w:t>A</w:t>
            </w:r>
            <w:r w:rsidR="009E2DD8" w:rsidRPr="000121DE">
              <w:rPr>
                <w:rStyle w:val="Style10Char"/>
                <w:color w:val="auto"/>
              </w:rPr>
              <w:t>greement, 2008</w:t>
            </w:r>
            <w:bookmarkEnd w:id="15"/>
          </w:p>
        </w:tc>
      </w:tr>
      <w:tr w:rsidR="009E2DD8" w:rsidRPr="00143B2E" w:rsidTr="00321568">
        <w:trPr>
          <w:trHeight w:val="300"/>
        </w:trPr>
        <w:tc>
          <w:tcPr>
            <w:tcW w:w="5000" w:type="pct"/>
            <w:gridSpan w:val="12"/>
            <w:tcBorders>
              <w:top w:val="single" w:sz="4" w:space="0" w:color="auto"/>
              <w:bottom w:val="nil"/>
            </w:tcBorders>
            <w:shd w:val="clear" w:color="auto" w:fill="auto"/>
            <w:noWrap/>
            <w:hideMark/>
          </w:tcPr>
          <w:p w:rsidR="009E2DD8" w:rsidRPr="00EF414D" w:rsidRDefault="009E2DD8" w:rsidP="000E1088">
            <w:pPr>
              <w:jc w:val="center"/>
              <w:rPr>
                <w:b/>
                <w:bCs/>
                <w:sz w:val="20"/>
                <w:szCs w:val="20"/>
              </w:rPr>
            </w:pPr>
            <w:r w:rsidRPr="00EF414D">
              <w:rPr>
                <w:rFonts w:cs="Arial CYR"/>
                <w:b/>
                <w:bCs/>
                <w:sz w:val="20"/>
                <w:szCs w:val="20"/>
                <w:lang w:eastAsia="ru-RU"/>
              </w:rPr>
              <w:t>Age groups (years)</w:t>
            </w:r>
          </w:p>
        </w:tc>
      </w:tr>
      <w:tr w:rsidR="009E2DD8" w:rsidRPr="00143B2E" w:rsidTr="00A904F2">
        <w:trPr>
          <w:trHeight w:val="300"/>
        </w:trPr>
        <w:tc>
          <w:tcPr>
            <w:tcW w:w="1949" w:type="pct"/>
            <w:tcBorders>
              <w:top w:val="nil"/>
              <w:bottom w:val="single" w:sz="4" w:space="0" w:color="4F81BD"/>
            </w:tcBorders>
            <w:shd w:val="clear" w:color="auto" w:fill="auto"/>
            <w:noWrap/>
            <w:hideMark/>
          </w:tcPr>
          <w:p w:rsidR="009E2DD8" w:rsidRPr="00EF414D" w:rsidRDefault="009E2DD8" w:rsidP="000E1088">
            <w:pPr>
              <w:rPr>
                <w:sz w:val="20"/>
                <w:szCs w:val="20"/>
              </w:rPr>
            </w:pP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15-19</w:t>
            </w: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20-24</w:t>
            </w: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25-29</w:t>
            </w: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30-34</w:t>
            </w: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rPr>
              <w:t>35-39</w:t>
            </w: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40-44</w:t>
            </w: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45-49</w:t>
            </w: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50-54</w:t>
            </w: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55-59</w:t>
            </w:r>
          </w:p>
        </w:tc>
        <w:tc>
          <w:tcPr>
            <w:tcW w:w="282"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60-64</w:t>
            </w:r>
          </w:p>
        </w:tc>
        <w:tc>
          <w:tcPr>
            <w:tcW w:w="227" w:type="pct"/>
            <w:tcBorders>
              <w:top w:val="nil"/>
              <w:bottom w:val="single" w:sz="4" w:space="0" w:color="4F81BD"/>
            </w:tcBorders>
            <w:shd w:val="clear" w:color="auto" w:fill="auto"/>
            <w:noWrap/>
            <w:hideMark/>
          </w:tcPr>
          <w:p w:rsidR="009E2DD8" w:rsidRPr="00EF414D" w:rsidRDefault="009E2DD8" w:rsidP="000E1088">
            <w:pPr>
              <w:jc w:val="center"/>
              <w:rPr>
                <w:sz w:val="20"/>
                <w:szCs w:val="20"/>
              </w:rPr>
            </w:pPr>
            <w:r w:rsidRPr="00EF414D">
              <w:rPr>
                <w:sz w:val="20"/>
                <w:szCs w:val="20"/>
                <w:lang w:val="ru-RU"/>
              </w:rPr>
              <w:t>65+</w:t>
            </w:r>
          </w:p>
        </w:tc>
      </w:tr>
      <w:tr w:rsidR="009E2DD8" w:rsidRPr="00143B2E" w:rsidTr="00917388">
        <w:trPr>
          <w:trHeight w:val="79"/>
        </w:trPr>
        <w:tc>
          <w:tcPr>
            <w:tcW w:w="5000" w:type="pct"/>
            <w:gridSpan w:val="12"/>
            <w:tcBorders>
              <w:top w:val="single" w:sz="4" w:space="0" w:color="4F81BD"/>
            </w:tcBorders>
            <w:shd w:val="clear" w:color="auto" w:fill="auto"/>
            <w:noWrap/>
            <w:hideMark/>
          </w:tcPr>
          <w:p w:rsidR="009E2DD8" w:rsidRPr="00EF414D" w:rsidRDefault="009E2DD8" w:rsidP="000E1088">
            <w:pPr>
              <w:jc w:val="center"/>
              <w:rPr>
                <w:b/>
                <w:bCs/>
                <w:sz w:val="20"/>
                <w:szCs w:val="20"/>
              </w:rPr>
            </w:pPr>
            <w:r w:rsidRPr="00EF414D">
              <w:rPr>
                <w:rFonts w:cs="Arial CYR"/>
                <w:b/>
                <w:bCs/>
                <w:sz w:val="20"/>
                <w:szCs w:val="20"/>
                <w:lang w:eastAsia="ru-RU"/>
              </w:rPr>
              <w:t>Women who agree with the statement:</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Working mother makes warm relationship with children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85</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85</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89</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Pre-school child suffers with working mother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73</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71</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Women really want home and children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38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58</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58</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Being housewife as fulfilling as paid job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39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63</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66</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Job is the best way for women’s independence</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94</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86</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Husband and wife should contribute to household income</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95</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96</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Fathers as well suited to look after children as mothers</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94</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92</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Men should take the same responsibility for home and children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94</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95</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Jobs are scarce: giving men priority</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18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20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18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14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17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19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21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15</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18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21</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17</w:t>
            </w:r>
          </w:p>
        </w:tc>
      </w:tr>
      <w:tr w:rsidR="009E2DD8" w:rsidRPr="00143B2E" w:rsidTr="00321568">
        <w:trPr>
          <w:trHeight w:val="300"/>
        </w:trPr>
        <w:tc>
          <w:tcPr>
            <w:tcW w:w="5000" w:type="pct"/>
            <w:gridSpan w:val="12"/>
            <w:shd w:val="clear" w:color="auto" w:fill="auto"/>
            <w:noWrap/>
            <w:hideMark/>
          </w:tcPr>
          <w:p w:rsidR="009E2DD8" w:rsidRPr="00EF414D" w:rsidRDefault="009E2DD8" w:rsidP="000E1088">
            <w:pPr>
              <w:jc w:val="center"/>
              <w:rPr>
                <w:b/>
                <w:bCs/>
                <w:sz w:val="20"/>
                <w:szCs w:val="20"/>
              </w:rPr>
            </w:pPr>
            <w:r w:rsidRPr="00EF414D">
              <w:rPr>
                <w:rFonts w:cs="Arial CYR"/>
                <w:b/>
                <w:bCs/>
                <w:sz w:val="20"/>
                <w:szCs w:val="20"/>
                <w:lang w:eastAsia="ru-RU"/>
              </w:rPr>
              <w:t>Men who agree with the statement:</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Working mother makes warm relationship with children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95</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85</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83</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78</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Pre-school child suffers with working mother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65</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49</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70</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Women really want home and children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62</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69</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Being housewife as fulfilling as paid job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49</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66</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Job is the best way for women’s independence</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74</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85</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73</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85</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Husband and wife should contribute to household income</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95</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86</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Fathers as well suited to look after children as mothers</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89</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80</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85</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70</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79</w:t>
            </w:r>
          </w:p>
        </w:tc>
      </w:tr>
      <w:tr w:rsidR="009E2DD8" w:rsidRPr="00143B2E" w:rsidTr="00A904F2">
        <w:trPr>
          <w:trHeight w:val="300"/>
        </w:trPr>
        <w:tc>
          <w:tcPr>
            <w:tcW w:w="1949" w:type="pct"/>
            <w:shd w:val="clear" w:color="auto" w:fill="auto"/>
            <w:noWrap/>
            <w:hideMark/>
          </w:tcPr>
          <w:p w:rsidR="009E2DD8" w:rsidRPr="00EF414D" w:rsidRDefault="009E2DD8" w:rsidP="000E1088">
            <w:pPr>
              <w:rPr>
                <w:sz w:val="20"/>
                <w:szCs w:val="20"/>
              </w:rPr>
            </w:pPr>
            <w:r w:rsidRPr="00EF414D">
              <w:rPr>
                <w:rFonts w:cs="Arial CYR"/>
                <w:sz w:val="20"/>
                <w:szCs w:val="20"/>
                <w:lang w:eastAsia="ru-RU"/>
              </w:rPr>
              <w:t xml:space="preserve">Men should take the same responsibility for home and children </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72</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91</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76</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87</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83</w:t>
            </w:r>
          </w:p>
        </w:tc>
        <w:tc>
          <w:tcPr>
            <w:tcW w:w="282"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74</w:t>
            </w:r>
          </w:p>
        </w:tc>
        <w:tc>
          <w:tcPr>
            <w:tcW w:w="227" w:type="pct"/>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88</w:t>
            </w:r>
          </w:p>
        </w:tc>
      </w:tr>
      <w:tr w:rsidR="009E2DD8" w:rsidRPr="00143B2E" w:rsidTr="00A904F2">
        <w:trPr>
          <w:trHeight w:val="300"/>
        </w:trPr>
        <w:tc>
          <w:tcPr>
            <w:tcW w:w="1949" w:type="pct"/>
            <w:tcBorders>
              <w:bottom w:val="single" w:sz="4" w:space="0" w:color="auto"/>
            </w:tcBorders>
            <w:shd w:val="clear" w:color="auto" w:fill="auto"/>
            <w:noWrap/>
            <w:hideMark/>
          </w:tcPr>
          <w:p w:rsidR="009E2DD8" w:rsidRPr="00EF414D" w:rsidRDefault="009E2DD8" w:rsidP="000E1088">
            <w:pPr>
              <w:rPr>
                <w:sz w:val="20"/>
                <w:szCs w:val="20"/>
              </w:rPr>
            </w:pPr>
            <w:r w:rsidRPr="00EF414D">
              <w:rPr>
                <w:rFonts w:cs="Arial CYR"/>
                <w:sz w:val="20"/>
                <w:szCs w:val="20"/>
                <w:lang w:eastAsia="ru-RU"/>
              </w:rPr>
              <w:t>Jobs are scarce: giving men priority</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27</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30</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31</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29</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47</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50</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27</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32</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39</w:t>
            </w:r>
          </w:p>
        </w:tc>
        <w:tc>
          <w:tcPr>
            <w:tcW w:w="282"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49</w:t>
            </w:r>
          </w:p>
        </w:tc>
        <w:tc>
          <w:tcPr>
            <w:tcW w:w="227" w:type="pct"/>
            <w:tcBorders>
              <w:bottom w:val="single" w:sz="4" w:space="0" w:color="auto"/>
            </w:tcBorders>
            <w:shd w:val="clear" w:color="auto" w:fill="auto"/>
            <w:noWrap/>
            <w:hideMark/>
          </w:tcPr>
          <w:p w:rsidR="009E2DD8" w:rsidRPr="00EF414D" w:rsidRDefault="009E2DD8" w:rsidP="000E1088">
            <w:pPr>
              <w:jc w:val="center"/>
              <w:rPr>
                <w:color w:val="000000"/>
                <w:sz w:val="20"/>
                <w:szCs w:val="20"/>
              </w:rPr>
            </w:pPr>
            <w:r w:rsidRPr="00EF414D">
              <w:rPr>
                <w:color w:val="000000"/>
                <w:sz w:val="20"/>
                <w:szCs w:val="20"/>
              </w:rPr>
              <w:t>38</w:t>
            </w:r>
          </w:p>
        </w:tc>
      </w:tr>
      <w:tr w:rsidR="009E2DD8" w:rsidRPr="00143B2E" w:rsidTr="00321568">
        <w:trPr>
          <w:trHeight w:val="98"/>
        </w:trPr>
        <w:tc>
          <w:tcPr>
            <w:tcW w:w="5000" w:type="pct"/>
            <w:gridSpan w:val="12"/>
            <w:tcBorders>
              <w:top w:val="single" w:sz="4" w:space="0" w:color="auto"/>
              <w:bottom w:val="nil"/>
            </w:tcBorders>
            <w:shd w:val="clear" w:color="auto" w:fill="auto"/>
            <w:noWrap/>
            <w:vAlign w:val="bottom"/>
            <w:hideMark/>
          </w:tcPr>
          <w:p w:rsidR="009E2DD8" w:rsidRPr="00143B2E" w:rsidRDefault="009E2DD8" w:rsidP="000E1088">
            <w:pPr>
              <w:rPr>
                <w:i/>
                <w:iCs/>
                <w:sz w:val="18"/>
                <w:szCs w:val="18"/>
              </w:rPr>
            </w:pPr>
            <w:r w:rsidRPr="00143B2E">
              <w:rPr>
                <w:i/>
                <w:iCs/>
                <w:sz w:val="18"/>
              </w:rPr>
              <w:t>Source</w:t>
            </w:r>
            <w:r w:rsidRPr="00143B2E">
              <w:rPr>
                <w:sz w:val="18"/>
                <w:szCs w:val="18"/>
              </w:rPr>
              <w:t>: EVS (2010).</w:t>
            </w:r>
          </w:p>
        </w:tc>
      </w:tr>
    </w:tbl>
    <w:p w:rsidR="009E2DD8" w:rsidRDefault="009E2DD8" w:rsidP="009E2DD8">
      <w:pPr>
        <w:pStyle w:val="MainParawithChapter"/>
        <w:numPr>
          <w:ilvl w:val="0"/>
          <w:numId w:val="0"/>
        </w:numPr>
        <w:jc w:val="both"/>
        <w:rPr>
          <w:sz w:val="22"/>
          <w:szCs w:val="22"/>
        </w:rPr>
      </w:pPr>
    </w:p>
    <w:p w:rsidR="00F74D4B" w:rsidRDefault="00F74D4B" w:rsidP="00F74D4B"/>
    <w:p w:rsidR="00F74D4B" w:rsidRDefault="00F74D4B" w:rsidP="00F74D4B"/>
    <w:p w:rsidR="00BC158E" w:rsidRDefault="00BC158E" w:rsidP="00407CBA">
      <w:pPr>
        <w:pStyle w:val="MainParawithChapter"/>
        <w:numPr>
          <w:ilvl w:val="0"/>
          <w:numId w:val="0"/>
        </w:numPr>
        <w:jc w:val="both"/>
        <w:rPr>
          <w:sz w:val="22"/>
          <w:szCs w:val="22"/>
        </w:rPr>
      </w:pPr>
    </w:p>
    <w:p w:rsidR="00BC158E" w:rsidRPr="00E63056" w:rsidRDefault="00BC158E" w:rsidP="00407CBA">
      <w:pPr>
        <w:pStyle w:val="MainParawithChapter"/>
        <w:numPr>
          <w:ilvl w:val="0"/>
          <w:numId w:val="0"/>
        </w:numPr>
        <w:jc w:val="both"/>
        <w:rPr>
          <w:sz w:val="22"/>
          <w:szCs w:val="22"/>
        </w:rPr>
      </w:pPr>
    </w:p>
    <w:p w:rsidR="00E63056" w:rsidRPr="00E63056" w:rsidRDefault="00E63056" w:rsidP="00407CBA">
      <w:pPr>
        <w:pStyle w:val="MainParawithChapter"/>
        <w:numPr>
          <w:ilvl w:val="0"/>
          <w:numId w:val="0"/>
        </w:numPr>
        <w:jc w:val="both"/>
        <w:rPr>
          <w:sz w:val="22"/>
          <w:szCs w:val="22"/>
        </w:rPr>
      </w:pPr>
    </w:p>
    <w:p w:rsidR="00E63056" w:rsidRDefault="00E63056" w:rsidP="00EE3470">
      <w:pPr>
        <w:rPr>
          <w:sz w:val="22"/>
          <w:szCs w:val="22"/>
        </w:rPr>
      </w:pPr>
    </w:p>
    <w:p w:rsidR="00A10D87" w:rsidRPr="00F32786" w:rsidRDefault="00A10D87" w:rsidP="00EE3470">
      <w:pPr>
        <w:rPr>
          <w:sz w:val="22"/>
          <w:szCs w:val="22"/>
        </w:rPr>
        <w:sectPr w:rsidR="00A10D87" w:rsidRPr="00F32786" w:rsidSect="00102571">
          <w:footerReference w:type="even" r:id="rId21"/>
          <w:pgSz w:w="12240" w:h="15840"/>
          <w:pgMar w:top="1440" w:right="1440" w:bottom="1440" w:left="1440" w:header="720" w:footer="720" w:gutter="0"/>
          <w:pgNumType w:start="1"/>
          <w:cols w:space="720"/>
          <w:docGrid w:linePitch="360"/>
        </w:sectPr>
      </w:pPr>
    </w:p>
    <w:p w:rsidR="004376CA" w:rsidRPr="00F36409" w:rsidRDefault="00A646E2" w:rsidP="00A904F2">
      <w:pPr>
        <w:pStyle w:val="Heading1"/>
      </w:pPr>
      <w:r>
        <w:lastRenderedPageBreak/>
        <w:br/>
      </w:r>
      <w:r w:rsidR="00D67317">
        <w:br/>
      </w:r>
      <w:bookmarkStart w:id="16" w:name="_Toc383011585"/>
      <w:r w:rsidR="004E4C78" w:rsidRPr="00F36409">
        <w:t>ENDOWMENTS</w:t>
      </w:r>
      <w:bookmarkEnd w:id="16"/>
      <w:r w:rsidR="004C18F3">
        <w:br/>
      </w:r>
    </w:p>
    <w:p w:rsidR="007053E3" w:rsidRPr="004E0F57" w:rsidRDefault="00F36409" w:rsidP="00D2528E">
      <w:pPr>
        <w:pStyle w:val="Heading2"/>
        <w:numPr>
          <w:ilvl w:val="0"/>
          <w:numId w:val="48"/>
        </w:numPr>
        <w:jc w:val="center"/>
        <w:rPr>
          <w:rFonts w:ascii="Times New Roman Bold" w:hAnsi="Times New Roman Bold"/>
          <w:smallCaps/>
        </w:rPr>
      </w:pPr>
      <w:bookmarkStart w:id="17" w:name="_Toc383011586"/>
      <w:r>
        <w:rPr>
          <w:rFonts w:ascii="Times New Roman Bold" w:hAnsi="Times New Roman Bold"/>
          <w:smallCaps/>
        </w:rPr>
        <w:t>Education</w:t>
      </w:r>
      <w:bookmarkEnd w:id="17"/>
    </w:p>
    <w:p w:rsidR="00E67189" w:rsidRPr="00E67189" w:rsidRDefault="00E67189" w:rsidP="007053E3">
      <w:pPr>
        <w:pStyle w:val="MainParawithChapter"/>
        <w:numPr>
          <w:ilvl w:val="0"/>
          <w:numId w:val="0"/>
        </w:numPr>
        <w:jc w:val="both"/>
        <w:rPr>
          <w:sz w:val="22"/>
          <w:szCs w:val="22"/>
        </w:rPr>
      </w:pPr>
    </w:p>
    <w:p w:rsidR="00F36409" w:rsidRDefault="00F36409" w:rsidP="00F36409">
      <w:pPr>
        <w:pStyle w:val="MainParawithChapter"/>
        <w:jc w:val="both"/>
        <w:rPr>
          <w:sz w:val="22"/>
          <w:szCs w:val="22"/>
        </w:rPr>
      </w:pPr>
      <w:r w:rsidRPr="00F36409">
        <w:rPr>
          <w:sz w:val="22"/>
          <w:szCs w:val="22"/>
        </w:rPr>
        <w:t>There are no gender disparities in primary and secondary education in Belarus. International comparison of school enrollment is only possible for gross indicators, but it still shows firstly, very high and increasing levels of enrollment in comparison to ECA region and secondly, no gender disparities in primary and secondary education</w:t>
      </w:r>
      <w:r w:rsidR="00C86D68">
        <w:rPr>
          <w:sz w:val="22"/>
          <w:szCs w:val="22"/>
        </w:rPr>
        <w:t xml:space="preserve"> (Figure 2.1)</w:t>
      </w:r>
      <w:r w:rsidRPr="00F36409">
        <w:rPr>
          <w:sz w:val="22"/>
          <w:szCs w:val="22"/>
        </w:rPr>
        <w:t>.</w:t>
      </w:r>
    </w:p>
    <w:p w:rsidR="00AA5459" w:rsidRDefault="00AA5459" w:rsidP="00AA5459">
      <w:pPr>
        <w:pStyle w:val="MainParawithChapter"/>
        <w:numPr>
          <w:ilvl w:val="0"/>
          <w:numId w:val="0"/>
        </w:numPr>
        <w:jc w:val="both"/>
        <w:rPr>
          <w:sz w:val="22"/>
          <w:szCs w:val="22"/>
        </w:rPr>
      </w:pPr>
    </w:p>
    <w:p w:rsidR="00F36409" w:rsidRDefault="00AA5459" w:rsidP="00AA5459">
      <w:pPr>
        <w:pStyle w:val="MainParawithChapter"/>
        <w:jc w:val="both"/>
        <w:rPr>
          <w:sz w:val="22"/>
          <w:szCs w:val="22"/>
        </w:rPr>
      </w:pPr>
      <w:r w:rsidRPr="00AA5459">
        <w:rPr>
          <w:sz w:val="22"/>
          <w:szCs w:val="22"/>
        </w:rPr>
        <w:t xml:space="preserve">Women are more likely to enroll in tertiary education and less likely in vocational education than men. According to the WDI data, tertiary enrollment is higher in Belarus than in ECA region. The gender gap in favor of women is substantial and increasing (twice higher of the average for ECA region in 2011). The gender disparities are observed in vocational education as well. Thus, men account for 67 percent in vocational enrollment in 2009/2010 according to the National Statistical Committee (NSC, 2010). The high concentration of women in tertiary education may be a result of barriers women face in the labor market and therefore stronger efforts to get better education </w:t>
      </w:r>
      <w:r w:rsidR="008716BB">
        <w:rPr>
          <w:sz w:val="22"/>
          <w:szCs w:val="22"/>
        </w:rPr>
        <w:t>and/or</w:t>
      </w:r>
      <w:r w:rsidRPr="00AA5459">
        <w:rPr>
          <w:sz w:val="22"/>
          <w:szCs w:val="22"/>
        </w:rPr>
        <w:t xml:space="preserve"> low prestige of higher education among men. This may also be because women are less likely to be in blue collar jobs.</w:t>
      </w:r>
      <w:r w:rsidR="00F36409" w:rsidRPr="00F36409">
        <w:rPr>
          <w:sz w:val="22"/>
          <w:szCs w:val="22"/>
        </w:rPr>
        <w:t xml:space="preserve">  </w:t>
      </w:r>
    </w:p>
    <w:p w:rsidR="00AA5459" w:rsidRDefault="00AA5459" w:rsidP="00AA5459">
      <w:pPr>
        <w:pStyle w:val="ListParagraph"/>
        <w:rPr>
          <w:sz w:val="22"/>
          <w:szCs w:val="22"/>
        </w:rPr>
      </w:pPr>
    </w:p>
    <w:tbl>
      <w:tblPr>
        <w:tblW w:w="0" w:type="auto"/>
        <w:tblBorders>
          <w:bottom w:val="single" w:sz="8" w:space="0" w:color="4F81BD"/>
        </w:tblBorders>
        <w:tblLook w:val="00A0" w:firstRow="1" w:lastRow="0" w:firstColumn="1" w:lastColumn="0" w:noHBand="0" w:noVBand="0"/>
      </w:tblPr>
      <w:tblGrid>
        <w:gridCol w:w="8856"/>
      </w:tblGrid>
      <w:tr w:rsidR="00AA5459" w:rsidRPr="00997957" w:rsidTr="00321568">
        <w:tc>
          <w:tcPr>
            <w:tcW w:w="9576" w:type="dxa"/>
            <w:tcBorders>
              <w:top w:val="nil"/>
              <w:bottom w:val="single" w:sz="4" w:space="0" w:color="auto"/>
            </w:tcBorders>
          </w:tcPr>
          <w:p w:rsidR="00AA5459" w:rsidRPr="00997957" w:rsidRDefault="006A10C1" w:rsidP="006A10C1">
            <w:pPr>
              <w:pStyle w:val="Caption"/>
              <w:jc w:val="both"/>
              <w:rPr>
                <w:b w:val="0"/>
                <w:color w:val="1F497D"/>
              </w:rPr>
            </w:pPr>
            <w:bookmarkStart w:id="18" w:name="_Toc351104630"/>
            <w:bookmarkStart w:id="19" w:name="_Toc383010207"/>
            <w:r>
              <w:t xml:space="preserve">Figure </w:t>
            </w:r>
            <w:r w:rsidR="008A55B1">
              <w:fldChar w:fldCharType="begin"/>
            </w:r>
            <w:r w:rsidR="008A55B1">
              <w:instrText xml:space="preserve"> STYLEREF 1 \s </w:instrText>
            </w:r>
            <w:r w:rsidR="008A55B1">
              <w:fldChar w:fldCharType="separate"/>
            </w:r>
            <w:r w:rsidR="008A55B1">
              <w:rPr>
                <w:noProof/>
              </w:rPr>
              <w:t>2</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1</w:t>
            </w:r>
            <w:r w:rsidR="008A55B1">
              <w:rPr>
                <w:noProof/>
              </w:rPr>
              <w:fldChar w:fldCharType="end"/>
            </w:r>
            <w:r>
              <w:t>:</w:t>
            </w:r>
            <w:r w:rsidR="00AA5459" w:rsidRPr="00997957">
              <w:t xml:space="preserve"> Enrollment in </w:t>
            </w:r>
            <w:r>
              <w:t>P</w:t>
            </w:r>
            <w:r w:rsidR="00AA5459" w:rsidRPr="00997957">
              <w:t xml:space="preserve">rimary, </w:t>
            </w:r>
            <w:r>
              <w:t>S</w:t>
            </w:r>
            <w:r w:rsidR="00AA5459" w:rsidRPr="00997957">
              <w:t xml:space="preserve">econdary and </w:t>
            </w:r>
            <w:r>
              <w:t>T</w:t>
            </w:r>
            <w:r w:rsidR="00AA5459" w:rsidRPr="00997957">
              <w:t xml:space="preserve">ertiary </w:t>
            </w:r>
            <w:r>
              <w:t>E</w:t>
            </w:r>
            <w:r w:rsidR="00AA5459" w:rsidRPr="00997957">
              <w:t>ducation, %</w:t>
            </w:r>
            <w:bookmarkEnd w:id="18"/>
            <w:bookmarkEnd w:id="19"/>
          </w:p>
        </w:tc>
      </w:tr>
      <w:tr w:rsidR="00AA5459" w:rsidRPr="000D4DB8" w:rsidTr="006039CB">
        <w:tc>
          <w:tcPr>
            <w:tcW w:w="9576" w:type="dxa"/>
            <w:tcBorders>
              <w:top w:val="single" w:sz="4" w:space="0" w:color="auto"/>
              <w:left w:val="nil"/>
              <w:bottom w:val="single" w:sz="4" w:space="0" w:color="auto"/>
              <w:right w:val="nil"/>
            </w:tcBorders>
          </w:tcPr>
          <w:p w:rsidR="00AA5459" w:rsidRPr="000D4DB8" w:rsidRDefault="005A6047" w:rsidP="000E1088">
            <w:r>
              <w:rPr>
                <w:noProof/>
              </w:rPr>
              <w:drawing>
                <wp:inline distT="0" distB="0" distL="0" distR="0" wp14:anchorId="7D4EE086" wp14:editId="56087614">
                  <wp:extent cx="5543550" cy="3276600"/>
                  <wp:effectExtent l="0" t="0" r="0" b="0"/>
                  <wp:docPr id="7" name="Picture 1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AA5459" w:rsidRPr="001520FF" w:rsidTr="006039CB">
        <w:tc>
          <w:tcPr>
            <w:tcW w:w="9576" w:type="dxa"/>
            <w:tcBorders>
              <w:top w:val="single" w:sz="4" w:space="0" w:color="auto"/>
              <w:left w:val="nil"/>
              <w:bottom w:val="nil"/>
              <w:right w:val="nil"/>
            </w:tcBorders>
          </w:tcPr>
          <w:p w:rsidR="006039CB" w:rsidRDefault="006039CB" w:rsidP="000E1088">
            <w:pPr>
              <w:rPr>
                <w:i/>
                <w:sz w:val="18"/>
              </w:rPr>
            </w:pPr>
          </w:p>
          <w:p w:rsidR="00AA5459" w:rsidRDefault="00AA5459" w:rsidP="000E1088">
            <w:pPr>
              <w:rPr>
                <w:sz w:val="18"/>
              </w:rPr>
            </w:pPr>
            <w:r w:rsidRPr="001520FF">
              <w:rPr>
                <w:i/>
                <w:sz w:val="18"/>
              </w:rPr>
              <w:t>Source</w:t>
            </w:r>
            <w:r w:rsidRPr="001520FF">
              <w:rPr>
                <w:sz w:val="18"/>
              </w:rPr>
              <w:t xml:space="preserve">: </w:t>
            </w:r>
            <w:r>
              <w:rPr>
                <w:sz w:val="18"/>
              </w:rPr>
              <w:t>WDI</w:t>
            </w:r>
            <w:r w:rsidRPr="001520FF">
              <w:rPr>
                <w:sz w:val="18"/>
              </w:rPr>
              <w:t>.</w:t>
            </w:r>
          </w:p>
          <w:p w:rsidR="00AA5459" w:rsidRPr="001520FF" w:rsidRDefault="00AA5459" w:rsidP="000E1088">
            <w:pPr>
              <w:rPr>
                <w:sz w:val="18"/>
              </w:rPr>
            </w:pPr>
            <w:r>
              <w:rPr>
                <w:sz w:val="18"/>
              </w:rPr>
              <w:t>Note:  The data on tertiary enrollment rates for women in the WDI are not consistent with the HLSS—which indicate less than universal tertiary enrolment among women. Thus, these data should be verified with the Ministry of Education and the National Statistical Committee of the Republic of Belarus.</w:t>
            </w:r>
          </w:p>
        </w:tc>
      </w:tr>
    </w:tbl>
    <w:p w:rsidR="00AA5459" w:rsidRPr="00AA5459" w:rsidRDefault="00AA5459" w:rsidP="00AA5459">
      <w:pPr>
        <w:pStyle w:val="MainParawithChapter"/>
        <w:jc w:val="both"/>
        <w:rPr>
          <w:sz w:val="22"/>
          <w:szCs w:val="22"/>
        </w:rPr>
      </w:pPr>
      <w:r w:rsidRPr="00AA5459">
        <w:rPr>
          <w:sz w:val="22"/>
          <w:szCs w:val="22"/>
        </w:rPr>
        <w:lastRenderedPageBreak/>
        <w:t>Children from poor households are less likely to continue education after graduating from secondary school. Though there are no official data on school enrollment across households with different wealth status, we use data on students from the HLSS and analyze enrollment ratios among the population aged 17-24 years old across consumption per capita quartiles</w:t>
      </w:r>
      <w:r w:rsidR="00C86D68">
        <w:rPr>
          <w:sz w:val="22"/>
          <w:szCs w:val="22"/>
        </w:rPr>
        <w:t xml:space="preserve"> (Figure 2.2)</w:t>
      </w:r>
      <w:r w:rsidRPr="00AA5459">
        <w:rPr>
          <w:sz w:val="22"/>
          <w:szCs w:val="22"/>
        </w:rPr>
        <w:t xml:space="preserve">. Firstly, as already discussed, women are more likely to continue studying after graduating from general secondary school. Secondly, enrollment rates are highest for both men and women from the top richest quartile. This may reflect both entry barriers the poor face in enrollment in tertiary education and the need to earn money because parents are poor. </w:t>
      </w:r>
    </w:p>
    <w:p w:rsidR="00AA5459" w:rsidRPr="00AA5459" w:rsidRDefault="00AA5459" w:rsidP="00AA5459">
      <w:pPr>
        <w:pStyle w:val="MainParawithChapter"/>
        <w:numPr>
          <w:ilvl w:val="0"/>
          <w:numId w:val="0"/>
        </w:numPr>
        <w:jc w:val="both"/>
        <w:rPr>
          <w:sz w:val="22"/>
          <w:szCs w:val="22"/>
        </w:rPr>
      </w:pPr>
    </w:p>
    <w:p w:rsidR="00AA5459" w:rsidRPr="00AA5459" w:rsidRDefault="00AA5459" w:rsidP="00AA5459">
      <w:pPr>
        <w:pStyle w:val="MainParawithChapter"/>
        <w:jc w:val="both"/>
        <w:rPr>
          <w:sz w:val="22"/>
          <w:szCs w:val="22"/>
        </w:rPr>
      </w:pPr>
      <w:r w:rsidRPr="00AA5459">
        <w:rPr>
          <w:sz w:val="22"/>
          <w:szCs w:val="22"/>
        </w:rPr>
        <w:t>As in other countries, women and men in Belarus choose different fields of study in higher education. According to the data from NSC (2010), university female students tend to choose such majors as social protection, catering, social sciences, pedagogy and health where share of women reached 81 percent in 2009/2010. These majors bring women to low paying public sector jobs, while young men account for 73 percent in construction, security, engineering and technology</w:t>
      </w:r>
      <w:r w:rsidR="008E3DC1">
        <w:rPr>
          <w:sz w:val="22"/>
          <w:szCs w:val="22"/>
        </w:rPr>
        <w:t xml:space="preserve"> (F</w:t>
      </w:r>
      <w:r w:rsidR="00C86D68">
        <w:rPr>
          <w:sz w:val="22"/>
          <w:szCs w:val="22"/>
        </w:rPr>
        <w:t>igure 2.3)</w:t>
      </w:r>
      <w:r w:rsidRPr="00AA5459">
        <w:rPr>
          <w:sz w:val="22"/>
          <w:szCs w:val="22"/>
        </w:rPr>
        <w:t xml:space="preserve">. </w:t>
      </w:r>
    </w:p>
    <w:p w:rsidR="00AA5459" w:rsidRPr="00AA5459" w:rsidRDefault="00AA5459" w:rsidP="00AA5459">
      <w:pPr>
        <w:pStyle w:val="MainParawithChapter"/>
        <w:numPr>
          <w:ilvl w:val="0"/>
          <w:numId w:val="0"/>
        </w:numPr>
        <w:jc w:val="both"/>
        <w:rPr>
          <w:sz w:val="22"/>
          <w:szCs w:val="22"/>
        </w:rPr>
      </w:pPr>
    </w:p>
    <w:p w:rsidR="00F36409" w:rsidRDefault="00AA5459" w:rsidP="00AA5459">
      <w:pPr>
        <w:pStyle w:val="MainParawithChapter"/>
        <w:jc w:val="both"/>
        <w:rPr>
          <w:sz w:val="22"/>
          <w:szCs w:val="22"/>
        </w:rPr>
      </w:pPr>
      <w:r w:rsidRPr="00AA5459">
        <w:rPr>
          <w:sz w:val="22"/>
          <w:szCs w:val="22"/>
        </w:rPr>
        <w:t>This segregation may be driven by social stereotypes about “appropriate” jobs and flexible hours of work in the public sector which help to combine work with the family responsibilities—something women may put greater emphasis on. Stereotypes about “appropriate” jobs seem to develop in childhood.  Thus, according to the qualitative study of girls aged 7-10, the most popular future jobs for them were teacher and doctor (Yanchuk, 2011). According to Bodrug-Lungu, Plahotnik, Kuznecova and Shurko (2009), about 60 percent of school and 77 percent of university male students in Belarus believe that first of all women should be prepared to be mother and housewife. More than half of male school and university students believe that men are better leaders in all spheres. Regarding the sector of employment, both male and female students agree that construction and industry sectors are more appropriate for men, while trade and catering are more appropriate for women.</w:t>
      </w:r>
    </w:p>
    <w:p w:rsidR="000E1088" w:rsidRDefault="000E1088" w:rsidP="000E1088">
      <w:pPr>
        <w:pStyle w:val="ListParagraph"/>
        <w:rPr>
          <w:sz w:val="22"/>
          <w:szCs w:val="22"/>
        </w:rPr>
      </w:pPr>
    </w:p>
    <w:tbl>
      <w:tblPr>
        <w:tblW w:w="5000" w:type="pct"/>
        <w:tblBorders>
          <w:bottom w:val="single" w:sz="8" w:space="0" w:color="4F81BD"/>
        </w:tblBorders>
        <w:tblLook w:val="00A0" w:firstRow="1" w:lastRow="0" w:firstColumn="1" w:lastColumn="0" w:noHBand="0" w:noVBand="0"/>
      </w:tblPr>
      <w:tblGrid>
        <w:gridCol w:w="8856"/>
      </w:tblGrid>
      <w:tr w:rsidR="000E1088" w:rsidRPr="001520FF" w:rsidTr="006039CB">
        <w:tc>
          <w:tcPr>
            <w:tcW w:w="5000" w:type="pct"/>
            <w:tcBorders>
              <w:top w:val="nil"/>
              <w:bottom w:val="single" w:sz="4" w:space="0" w:color="auto"/>
            </w:tcBorders>
          </w:tcPr>
          <w:p w:rsidR="000E1088" w:rsidRPr="00997957" w:rsidRDefault="006A10C1" w:rsidP="009F5B52">
            <w:pPr>
              <w:pStyle w:val="Caption"/>
              <w:jc w:val="both"/>
            </w:pPr>
            <w:bookmarkStart w:id="20" w:name="_Toc351104631"/>
            <w:bookmarkStart w:id="21" w:name="_Toc383010208"/>
            <w:r>
              <w:t xml:space="preserve">Figure </w:t>
            </w:r>
            <w:r w:rsidR="008A55B1">
              <w:fldChar w:fldCharType="begin"/>
            </w:r>
            <w:r w:rsidR="008A55B1">
              <w:instrText xml:space="preserve"> STYLEREF 1 \s </w:instrText>
            </w:r>
            <w:r w:rsidR="008A55B1">
              <w:fldChar w:fldCharType="separate"/>
            </w:r>
            <w:r w:rsidR="008A55B1">
              <w:rPr>
                <w:noProof/>
              </w:rPr>
              <w:t>2</w:t>
            </w:r>
            <w:r w:rsidR="008A55B1">
              <w:rPr>
                <w:noProof/>
              </w:rPr>
              <w:fldChar w:fldCharType="end"/>
            </w:r>
            <w:r w:rsidR="00A904F2">
              <w:t>.</w:t>
            </w:r>
            <w:r w:rsidR="008A55B1">
              <w:fldChar w:fldCharType="begin"/>
            </w:r>
            <w:r w:rsidR="008A55B1">
              <w:instrText xml:space="preserve"> SEQ Figure \* ARABIC \s</w:instrText>
            </w:r>
            <w:r w:rsidR="008A55B1">
              <w:instrText xml:space="preserve"> 1 </w:instrText>
            </w:r>
            <w:r w:rsidR="008A55B1">
              <w:fldChar w:fldCharType="separate"/>
            </w:r>
            <w:r w:rsidR="008A55B1">
              <w:rPr>
                <w:noProof/>
              </w:rPr>
              <w:t>2</w:t>
            </w:r>
            <w:r w:rsidR="008A55B1">
              <w:rPr>
                <w:noProof/>
              </w:rPr>
              <w:fldChar w:fldCharType="end"/>
            </w:r>
            <w:r>
              <w:t>:</w:t>
            </w:r>
            <w:r w:rsidR="000E1088" w:rsidRPr="00997957">
              <w:t xml:space="preserve"> Enrollment </w:t>
            </w:r>
            <w:r>
              <w:t>A</w:t>
            </w:r>
            <w:r w:rsidR="000E1088" w:rsidRPr="00997957">
              <w:t xml:space="preserve">mong </w:t>
            </w:r>
            <w:r>
              <w:t>P</w:t>
            </w:r>
            <w:r w:rsidR="000E1088" w:rsidRPr="00997957">
              <w:t xml:space="preserve">opulation </w:t>
            </w:r>
            <w:r w:rsidR="009F5B52">
              <w:t>A</w:t>
            </w:r>
            <w:r w:rsidR="000E1088" w:rsidRPr="00997957">
              <w:t xml:space="preserve">ged 17-24 by </w:t>
            </w:r>
            <w:r w:rsidR="009F5B52">
              <w:t>C</w:t>
            </w:r>
            <w:r w:rsidR="000E1088" w:rsidRPr="00997957">
              <w:t xml:space="preserve">onsumption per capita </w:t>
            </w:r>
            <w:r w:rsidR="009F5B52">
              <w:t>Q</w:t>
            </w:r>
            <w:r w:rsidR="000E1088" w:rsidRPr="00997957">
              <w:t>uartiles in 2010, %</w:t>
            </w:r>
            <w:bookmarkEnd w:id="20"/>
            <w:bookmarkEnd w:id="21"/>
          </w:p>
        </w:tc>
      </w:tr>
      <w:tr w:rsidR="000E1088" w:rsidRPr="001520FF" w:rsidTr="006039CB">
        <w:tc>
          <w:tcPr>
            <w:tcW w:w="5000" w:type="pct"/>
            <w:tcBorders>
              <w:top w:val="single" w:sz="4" w:space="0" w:color="auto"/>
              <w:left w:val="nil"/>
              <w:bottom w:val="single" w:sz="4" w:space="0" w:color="auto"/>
              <w:right w:val="nil"/>
            </w:tcBorders>
          </w:tcPr>
          <w:p w:rsidR="000E1088" w:rsidRPr="00544C6C" w:rsidRDefault="005A6047" w:rsidP="000E1088">
            <w:pPr>
              <w:jc w:val="center"/>
            </w:pPr>
            <w:r>
              <w:rPr>
                <w:noProof/>
              </w:rPr>
              <w:drawing>
                <wp:inline distT="0" distB="0" distL="0" distR="0" wp14:anchorId="1DA6D1C8" wp14:editId="23CAAA71">
                  <wp:extent cx="4845685" cy="2703195"/>
                  <wp:effectExtent l="0" t="0" r="0" b="190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E1088" w:rsidRPr="001520FF" w:rsidTr="006039CB">
        <w:tc>
          <w:tcPr>
            <w:tcW w:w="5000" w:type="pct"/>
            <w:tcBorders>
              <w:top w:val="single" w:sz="4" w:space="0" w:color="auto"/>
              <w:left w:val="nil"/>
              <w:bottom w:val="nil"/>
              <w:right w:val="nil"/>
            </w:tcBorders>
          </w:tcPr>
          <w:p w:rsidR="000E1088" w:rsidRDefault="000E1088" w:rsidP="000E1088">
            <w:pPr>
              <w:rPr>
                <w:sz w:val="18"/>
              </w:rPr>
            </w:pPr>
            <w:r w:rsidRPr="001520FF">
              <w:rPr>
                <w:i/>
                <w:sz w:val="18"/>
              </w:rPr>
              <w:t>Source</w:t>
            </w:r>
            <w:r w:rsidRPr="001520FF">
              <w:rPr>
                <w:sz w:val="18"/>
              </w:rPr>
              <w:t xml:space="preserve">: </w:t>
            </w:r>
            <w:r>
              <w:rPr>
                <w:sz w:val="18"/>
              </w:rPr>
              <w:t>HLSS</w:t>
            </w:r>
            <w:r w:rsidRPr="00C836E1">
              <w:rPr>
                <w:sz w:val="18"/>
              </w:rPr>
              <w:t xml:space="preserve">, </w:t>
            </w:r>
            <w:r>
              <w:rPr>
                <w:sz w:val="18"/>
              </w:rPr>
              <w:t>World Bank staff calculations.</w:t>
            </w:r>
          </w:p>
          <w:p w:rsidR="000E1088" w:rsidRDefault="000E1088" w:rsidP="000E1088">
            <w:pPr>
              <w:rPr>
                <w:sz w:val="18"/>
              </w:rPr>
            </w:pPr>
            <w:r w:rsidRPr="00986FF4">
              <w:rPr>
                <w:i/>
                <w:sz w:val="18"/>
              </w:rPr>
              <w:t>Note</w:t>
            </w:r>
            <w:r>
              <w:rPr>
                <w:sz w:val="18"/>
              </w:rPr>
              <w:t>: A quartile is o</w:t>
            </w:r>
            <w:r w:rsidRPr="009C0B67">
              <w:rPr>
                <w:sz w:val="18"/>
              </w:rPr>
              <w:t>ne of the three points that divide a range of data or population into four equal parts.</w:t>
            </w:r>
            <w:r>
              <w:rPr>
                <w:sz w:val="18"/>
              </w:rPr>
              <w:t xml:space="preserve"> The first (bottom) quartile contains the poorest individuals, while the last (top) the richest. </w:t>
            </w:r>
          </w:p>
          <w:p w:rsidR="00EF414D" w:rsidRDefault="00EF414D" w:rsidP="000E1088">
            <w:pPr>
              <w:rPr>
                <w:sz w:val="18"/>
              </w:rPr>
            </w:pPr>
          </w:p>
        </w:tc>
      </w:tr>
      <w:tr w:rsidR="000E1088" w:rsidRPr="001520FF" w:rsidTr="006039CB">
        <w:tc>
          <w:tcPr>
            <w:tcW w:w="5000" w:type="pct"/>
            <w:tcBorders>
              <w:top w:val="nil"/>
              <w:bottom w:val="single" w:sz="4" w:space="0" w:color="auto"/>
            </w:tcBorders>
          </w:tcPr>
          <w:p w:rsidR="000E1088" w:rsidRPr="00997957" w:rsidRDefault="009F5B52" w:rsidP="009F5B52">
            <w:pPr>
              <w:pStyle w:val="Caption"/>
              <w:jc w:val="both"/>
              <w:rPr>
                <w:b w:val="0"/>
                <w:color w:val="1F497D"/>
              </w:rPr>
            </w:pPr>
            <w:bookmarkStart w:id="22" w:name="_Toc351104632"/>
            <w:bookmarkStart w:id="23" w:name="_Toc383010209"/>
            <w:r>
              <w:lastRenderedPageBreak/>
              <w:t xml:space="preserve">Figure </w:t>
            </w:r>
            <w:r w:rsidR="008A55B1">
              <w:fldChar w:fldCharType="begin"/>
            </w:r>
            <w:r w:rsidR="008A55B1">
              <w:instrText xml:space="preserve"> STYLEREF 1 \s </w:instrText>
            </w:r>
            <w:r w:rsidR="008A55B1">
              <w:fldChar w:fldCharType="separate"/>
            </w:r>
            <w:r w:rsidR="008A55B1">
              <w:rPr>
                <w:noProof/>
              </w:rPr>
              <w:t>2</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3</w:t>
            </w:r>
            <w:r w:rsidR="008A55B1">
              <w:rPr>
                <w:noProof/>
              </w:rPr>
              <w:fldChar w:fldCharType="end"/>
            </w:r>
            <w:r>
              <w:t>:</w:t>
            </w:r>
            <w:r w:rsidR="000E1088" w:rsidRPr="00997957">
              <w:t xml:space="preserve"> Enrollment in </w:t>
            </w:r>
            <w:r>
              <w:t>T</w:t>
            </w:r>
            <w:r w:rsidR="000E1088" w:rsidRPr="00997957">
              <w:t xml:space="preserve">ertiary </w:t>
            </w:r>
            <w:r>
              <w:t>E</w:t>
            </w:r>
            <w:r w:rsidR="000E1088" w:rsidRPr="00997957">
              <w:t xml:space="preserve">ducation by </w:t>
            </w:r>
            <w:r>
              <w:t>S</w:t>
            </w:r>
            <w:r w:rsidR="000E1088" w:rsidRPr="00997957">
              <w:t>ubjects in 2009-2010, %</w:t>
            </w:r>
            <w:bookmarkEnd w:id="22"/>
            <w:bookmarkEnd w:id="23"/>
          </w:p>
        </w:tc>
      </w:tr>
      <w:tr w:rsidR="000E1088" w:rsidRPr="001520FF" w:rsidTr="006039CB">
        <w:tc>
          <w:tcPr>
            <w:tcW w:w="5000" w:type="pct"/>
            <w:tcBorders>
              <w:top w:val="single" w:sz="4" w:space="0" w:color="auto"/>
              <w:left w:val="nil"/>
              <w:bottom w:val="single" w:sz="4" w:space="0" w:color="auto"/>
              <w:right w:val="nil"/>
            </w:tcBorders>
          </w:tcPr>
          <w:p w:rsidR="000E1088" w:rsidRPr="000E0370" w:rsidRDefault="005A6047" w:rsidP="00672AA9">
            <w:pPr>
              <w:jc w:val="center"/>
            </w:pPr>
            <w:r>
              <w:rPr>
                <w:noProof/>
              </w:rPr>
              <w:drawing>
                <wp:inline distT="0" distB="0" distL="0" distR="0" wp14:anchorId="30F98126" wp14:editId="6EDC6F4F">
                  <wp:extent cx="4923790" cy="2390775"/>
                  <wp:effectExtent l="0" t="0" r="0" b="0"/>
                  <wp:docPr id="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0E1088" w:rsidRPr="001520FF" w:rsidTr="006039CB">
        <w:trPr>
          <w:trHeight w:val="60"/>
        </w:trPr>
        <w:tc>
          <w:tcPr>
            <w:tcW w:w="5000" w:type="pct"/>
            <w:tcBorders>
              <w:top w:val="single" w:sz="4" w:space="0" w:color="auto"/>
              <w:left w:val="nil"/>
              <w:bottom w:val="nil"/>
              <w:right w:val="nil"/>
            </w:tcBorders>
          </w:tcPr>
          <w:p w:rsidR="000E1088" w:rsidRPr="001520FF" w:rsidRDefault="000E1088" w:rsidP="000E1088">
            <w:pPr>
              <w:rPr>
                <w:sz w:val="18"/>
              </w:rPr>
            </w:pPr>
            <w:r w:rsidRPr="001520FF">
              <w:rPr>
                <w:i/>
                <w:sz w:val="18"/>
              </w:rPr>
              <w:t>Source</w:t>
            </w:r>
            <w:r w:rsidRPr="001520FF">
              <w:rPr>
                <w:sz w:val="18"/>
              </w:rPr>
              <w:t xml:space="preserve">: </w:t>
            </w:r>
            <w:r>
              <w:rPr>
                <w:sz w:val="18"/>
              </w:rPr>
              <w:t>NSC (2010)</w:t>
            </w:r>
            <w:r w:rsidRPr="00161606">
              <w:rPr>
                <w:sz w:val="18"/>
              </w:rPr>
              <w:t>.</w:t>
            </w:r>
          </w:p>
        </w:tc>
      </w:tr>
    </w:tbl>
    <w:p w:rsidR="00AA5459" w:rsidRDefault="00AA5459" w:rsidP="00AA5459">
      <w:pPr>
        <w:pStyle w:val="ListParagraph"/>
        <w:rPr>
          <w:sz w:val="22"/>
          <w:szCs w:val="22"/>
        </w:rPr>
      </w:pPr>
    </w:p>
    <w:p w:rsidR="00AA5459" w:rsidRDefault="00AA5459" w:rsidP="00F37828">
      <w:pPr>
        <w:pStyle w:val="Heading2"/>
        <w:numPr>
          <w:ilvl w:val="0"/>
          <w:numId w:val="48"/>
        </w:numPr>
        <w:ind w:left="0" w:firstLine="0"/>
        <w:jc w:val="center"/>
        <w:rPr>
          <w:rFonts w:ascii="Times New Roman Bold" w:hAnsi="Times New Roman Bold"/>
          <w:smallCaps/>
        </w:rPr>
      </w:pPr>
      <w:bookmarkStart w:id="24" w:name="_Toc383011587"/>
      <w:r>
        <w:rPr>
          <w:rFonts w:ascii="Times New Roman Bold" w:hAnsi="Times New Roman Bold"/>
          <w:smallCaps/>
        </w:rPr>
        <w:t>Health</w:t>
      </w:r>
      <w:bookmarkEnd w:id="24"/>
    </w:p>
    <w:p w:rsidR="00AA5459" w:rsidRPr="00AA5459" w:rsidRDefault="00AA5459" w:rsidP="00AA5459"/>
    <w:p w:rsidR="00AA5459" w:rsidRDefault="00AA5459" w:rsidP="009A5EEB">
      <w:pPr>
        <w:pStyle w:val="MainParawithChapter"/>
        <w:jc w:val="both"/>
        <w:rPr>
          <w:sz w:val="22"/>
          <w:szCs w:val="22"/>
        </w:rPr>
      </w:pPr>
      <w:r w:rsidRPr="00AA5459">
        <w:rPr>
          <w:sz w:val="22"/>
          <w:szCs w:val="22"/>
        </w:rPr>
        <w:t>Belarus is experiencing a population decline and a growing share of elderly women. Population has been declining in Belarus since 1990. Low fertility rates accompanied with declining marriage and high divorce rates were among the key factors behind this trend</w:t>
      </w:r>
      <w:r w:rsidR="00C86D68">
        <w:rPr>
          <w:sz w:val="22"/>
          <w:szCs w:val="22"/>
        </w:rPr>
        <w:t xml:space="preserve"> (Table 2.1)</w:t>
      </w:r>
      <w:r w:rsidRPr="00AA5459">
        <w:rPr>
          <w:sz w:val="22"/>
          <w:szCs w:val="22"/>
        </w:rPr>
        <w:t xml:space="preserve">. Among the positive tendencies are the declining rates of abortions and low infant mortality, which seem to contribute positively to slowing down the negative trend during the last three years. The population decline results in the aging of the population. As shown in </w:t>
      </w:r>
      <w:r w:rsidR="00C86D68">
        <w:rPr>
          <w:sz w:val="22"/>
          <w:szCs w:val="22"/>
        </w:rPr>
        <w:t>F</w:t>
      </w:r>
      <w:r w:rsidRPr="00AA5459">
        <w:rPr>
          <w:sz w:val="22"/>
          <w:szCs w:val="22"/>
        </w:rPr>
        <w:t xml:space="preserve">igure </w:t>
      </w:r>
      <w:r w:rsidR="00C86D68">
        <w:rPr>
          <w:sz w:val="22"/>
          <w:szCs w:val="22"/>
        </w:rPr>
        <w:t>2.4</w:t>
      </w:r>
      <w:r w:rsidRPr="00AA5459">
        <w:rPr>
          <w:sz w:val="22"/>
          <w:szCs w:val="22"/>
        </w:rPr>
        <w:t>, the proportion of older adults (55+ years) was about 26 percent in 2011 with a pronounced difference across gender. Thus, there are more 55+ years adult women than men (30 versus 20 percent respectively) because of women’s higher life expectancy. Overall, an aging and shrinking population will strain the pension and health care systems and will have an adverse impact on the labor market, especially during the transition to a smaller population.</w:t>
      </w:r>
    </w:p>
    <w:p w:rsidR="00AA5459" w:rsidRDefault="00AA5459" w:rsidP="009A5EEB">
      <w:pPr>
        <w:pStyle w:val="MainParawithChapter"/>
        <w:numPr>
          <w:ilvl w:val="0"/>
          <w:numId w:val="0"/>
        </w:numPr>
        <w:jc w:val="both"/>
        <w:rPr>
          <w:sz w:val="22"/>
          <w:szCs w:val="22"/>
        </w:rPr>
      </w:pPr>
    </w:p>
    <w:tbl>
      <w:tblPr>
        <w:tblW w:w="0" w:type="auto"/>
        <w:tblBorders>
          <w:top w:val="single" w:sz="8" w:space="0" w:color="4F81BD"/>
        </w:tblBorders>
        <w:tblLook w:val="00A0" w:firstRow="1" w:lastRow="0" w:firstColumn="1" w:lastColumn="0" w:noHBand="0" w:noVBand="0"/>
      </w:tblPr>
      <w:tblGrid>
        <w:gridCol w:w="8856"/>
      </w:tblGrid>
      <w:tr w:rsidR="000E1088" w:rsidRPr="00997957" w:rsidTr="006039CB">
        <w:tc>
          <w:tcPr>
            <w:tcW w:w="9576" w:type="dxa"/>
            <w:tcBorders>
              <w:top w:val="nil"/>
              <w:bottom w:val="single" w:sz="4" w:space="0" w:color="auto"/>
            </w:tcBorders>
          </w:tcPr>
          <w:p w:rsidR="000E1088" w:rsidRPr="00997957" w:rsidRDefault="009F5B52" w:rsidP="009F5B52">
            <w:pPr>
              <w:pStyle w:val="Caption"/>
              <w:jc w:val="both"/>
              <w:rPr>
                <w:b w:val="0"/>
                <w:color w:val="1F497D"/>
              </w:rPr>
            </w:pPr>
            <w:bookmarkStart w:id="25" w:name="_Toc351104633"/>
            <w:bookmarkStart w:id="26" w:name="_Toc383010210"/>
            <w:r>
              <w:t xml:space="preserve">Figure </w:t>
            </w:r>
            <w:r w:rsidR="008A55B1">
              <w:fldChar w:fldCharType="begin"/>
            </w:r>
            <w:r w:rsidR="008A55B1">
              <w:instrText xml:space="preserve"> STYLEREF 1 </w:instrText>
            </w:r>
            <w:r w:rsidR="008A55B1">
              <w:instrText xml:space="preserve">\s </w:instrText>
            </w:r>
            <w:r w:rsidR="008A55B1">
              <w:fldChar w:fldCharType="separate"/>
            </w:r>
            <w:r w:rsidR="008A55B1">
              <w:rPr>
                <w:noProof/>
              </w:rPr>
              <w:t>2</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4</w:t>
            </w:r>
            <w:r w:rsidR="008A55B1">
              <w:rPr>
                <w:noProof/>
              </w:rPr>
              <w:fldChar w:fldCharType="end"/>
            </w:r>
            <w:r>
              <w:t>: Share of Population by Age G</w:t>
            </w:r>
            <w:r w:rsidR="000E1088" w:rsidRPr="00997957">
              <w:t xml:space="preserve">roups and </w:t>
            </w:r>
            <w:r>
              <w:t>G</w:t>
            </w:r>
            <w:r w:rsidR="000E1088" w:rsidRPr="00997957">
              <w:t>ender in 2011, %</w:t>
            </w:r>
            <w:bookmarkEnd w:id="25"/>
            <w:bookmarkEnd w:id="26"/>
          </w:p>
        </w:tc>
      </w:tr>
      <w:tr w:rsidR="000E1088" w:rsidRPr="00F2281C" w:rsidTr="006039CB">
        <w:tc>
          <w:tcPr>
            <w:tcW w:w="9576" w:type="dxa"/>
            <w:tcBorders>
              <w:top w:val="single" w:sz="4" w:space="0" w:color="auto"/>
              <w:bottom w:val="single" w:sz="4" w:space="0" w:color="auto"/>
            </w:tcBorders>
          </w:tcPr>
          <w:p w:rsidR="000E1088" w:rsidRPr="00F2281C" w:rsidRDefault="005A6047" w:rsidP="00672AA9">
            <w:pPr>
              <w:jc w:val="center"/>
            </w:pPr>
            <w:r>
              <w:rPr>
                <w:noProof/>
              </w:rPr>
              <w:drawing>
                <wp:inline distT="0" distB="0" distL="0" distR="0" wp14:anchorId="19A7281B" wp14:editId="3CBA57C5">
                  <wp:extent cx="4599940" cy="2551430"/>
                  <wp:effectExtent l="0" t="0" r="0" b="1270"/>
                  <wp:docPr id="1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E1088" w:rsidRPr="001520FF" w:rsidTr="006039CB">
        <w:tc>
          <w:tcPr>
            <w:tcW w:w="9576" w:type="dxa"/>
            <w:tcBorders>
              <w:top w:val="single" w:sz="4" w:space="0" w:color="auto"/>
              <w:bottom w:val="nil"/>
            </w:tcBorders>
          </w:tcPr>
          <w:p w:rsidR="000E1088" w:rsidRPr="001520FF" w:rsidRDefault="000E1088" w:rsidP="000E1088">
            <w:r w:rsidRPr="001520FF">
              <w:rPr>
                <w:i/>
                <w:sz w:val="18"/>
              </w:rPr>
              <w:t>Source</w:t>
            </w:r>
            <w:r w:rsidRPr="001520FF">
              <w:rPr>
                <w:sz w:val="18"/>
              </w:rPr>
              <w:t>:</w:t>
            </w:r>
            <w:r w:rsidRPr="001520FF">
              <w:rPr>
                <w:i/>
                <w:sz w:val="18"/>
              </w:rPr>
              <w:t xml:space="preserve"> </w:t>
            </w:r>
            <w:r>
              <w:rPr>
                <w:sz w:val="20"/>
                <w:szCs w:val="20"/>
              </w:rPr>
              <w:t>NSC (2011a)</w:t>
            </w:r>
            <w:r w:rsidRPr="00161606">
              <w:rPr>
                <w:sz w:val="20"/>
                <w:szCs w:val="20"/>
              </w:rPr>
              <w:t>.</w:t>
            </w:r>
            <w:r>
              <w:t xml:space="preserve"> </w:t>
            </w:r>
          </w:p>
        </w:tc>
      </w:tr>
    </w:tbl>
    <w:p w:rsidR="00AA5459" w:rsidRDefault="00AA5459" w:rsidP="009A5EEB">
      <w:pPr>
        <w:pStyle w:val="MainParawithChapter"/>
        <w:jc w:val="both"/>
        <w:rPr>
          <w:sz w:val="22"/>
          <w:szCs w:val="22"/>
        </w:rPr>
      </w:pPr>
      <w:r w:rsidRPr="00AA5459">
        <w:rPr>
          <w:sz w:val="22"/>
          <w:szCs w:val="22"/>
        </w:rPr>
        <w:lastRenderedPageBreak/>
        <w:t>Declining population and aging are considered key risks to national demographic security and the Belarusian Government is making efforts to improve the situation. The National Program for Demographic Security for 2011-2015 has been recently enacted to stabilize the population by 2015 at the level of 9.5 million people and to stimulate a graduate transfer to population growth.  The main goals of the program are to increase fertility, to increase social-economic support of young families, and to improve reproductive health, maternity and childhood.</w:t>
      </w:r>
    </w:p>
    <w:p w:rsidR="000E1088" w:rsidRDefault="000E1088" w:rsidP="000E1088">
      <w:pPr>
        <w:pStyle w:val="MainParawithChapter"/>
        <w:numPr>
          <w:ilvl w:val="0"/>
          <w:numId w:val="0"/>
        </w:numPr>
        <w:jc w:val="both"/>
        <w:rPr>
          <w:sz w:val="22"/>
          <w:szCs w:val="22"/>
        </w:rPr>
      </w:pPr>
    </w:p>
    <w:tbl>
      <w:tblPr>
        <w:tblW w:w="5000" w:type="pct"/>
        <w:tblBorders>
          <w:top w:val="single" w:sz="4" w:space="0" w:color="4F81BD"/>
          <w:bottom w:val="single" w:sz="4" w:space="0" w:color="4F81BD"/>
        </w:tblBorders>
        <w:tblLook w:val="0000" w:firstRow="0" w:lastRow="0" w:firstColumn="0" w:lastColumn="0" w:noHBand="0" w:noVBand="0"/>
      </w:tblPr>
      <w:tblGrid>
        <w:gridCol w:w="1263"/>
        <w:gridCol w:w="1552"/>
        <w:gridCol w:w="1459"/>
        <w:gridCol w:w="1298"/>
        <w:gridCol w:w="1428"/>
        <w:gridCol w:w="1856"/>
      </w:tblGrid>
      <w:tr w:rsidR="000E1088" w:rsidRPr="00EA5152" w:rsidTr="006039CB">
        <w:trPr>
          <w:trHeight w:val="70"/>
        </w:trPr>
        <w:tc>
          <w:tcPr>
            <w:tcW w:w="5000" w:type="pct"/>
            <w:gridSpan w:val="6"/>
            <w:tcBorders>
              <w:top w:val="nil"/>
              <w:bottom w:val="single" w:sz="4" w:space="0" w:color="auto"/>
            </w:tcBorders>
            <w:noWrap/>
            <w:vAlign w:val="bottom"/>
          </w:tcPr>
          <w:p w:rsidR="000E1088" w:rsidRPr="00997957" w:rsidRDefault="009F5B52" w:rsidP="009F5B52">
            <w:pPr>
              <w:pStyle w:val="Caption"/>
              <w:keepNext/>
              <w:rPr>
                <w:sz w:val="20"/>
                <w:szCs w:val="20"/>
                <w:lang w:eastAsia="ru-RU"/>
              </w:rPr>
            </w:pPr>
            <w:bookmarkStart w:id="27" w:name="_Toc351104620"/>
            <w:bookmarkStart w:id="28" w:name="_Toc383011596"/>
            <w:r>
              <w:t xml:space="preserve">Table </w:t>
            </w:r>
            <w:r w:rsidR="008A55B1">
              <w:fldChar w:fldCharType="begin"/>
            </w:r>
            <w:r w:rsidR="008A55B1">
              <w:instrText xml:space="preserve"> STYLEREF 1 \s </w:instrText>
            </w:r>
            <w:r w:rsidR="008A55B1">
              <w:fldChar w:fldCharType="separate"/>
            </w:r>
            <w:r w:rsidR="008A55B1">
              <w:rPr>
                <w:noProof/>
              </w:rPr>
              <w:t>2</w:t>
            </w:r>
            <w:r w:rsidR="008A55B1">
              <w:rPr>
                <w:noProof/>
              </w:rPr>
              <w:fldChar w:fldCharType="end"/>
            </w:r>
            <w:r>
              <w:t>.</w:t>
            </w:r>
            <w:r w:rsidR="008A55B1">
              <w:fldChar w:fldCharType="begin"/>
            </w:r>
            <w:r w:rsidR="008A55B1">
              <w:instrText xml:space="preserve"> SEQ Table \* ARABIC \s 1 </w:instrText>
            </w:r>
            <w:r w:rsidR="008A55B1">
              <w:fldChar w:fldCharType="separate"/>
            </w:r>
            <w:r w:rsidR="008A55B1">
              <w:rPr>
                <w:noProof/>
              </w:rPr>
              <w:t>1</w:t>
            </w:r>
            <w:r w:rsidR="008A55B1">
              <w:rPr>
                <w:noProof/>
              </w:rPr>
              <w:fldChar w:fldCharType="end"/>
            </w:r>
            <w:r>
              <w:t xml:space="preserve">: </w:t>
            </w:r>
            <w:r w:rsidR="000E1088" w:rsidRPr="00997957">
              <w:rPr>
                <w:szCs w:val="22"/>
              </w:rPr>
              <w:t xml:space="preserve"> </w:t>
            </w:r>
            <w:r>
              <w:rPr>
                <w:szCs w:val="22"/>
              </w:rPr>
              <w:t>Demographic T</w:t>
            </w:r>
            <w:r w:rsidR="000E1088" w:rsidRPr="00997957">
              <w:rPr>
                <w:szCs w:val="22"/>
              </w:rPr>
              <w:t>endencies</w:t>
            </w:r>
            <w:bookmarkEnd w:id="27"/>
            <w:bookmarkEnd w:id="28"/>
          </w:p>
        </w:tc>
      </w:tr>
      <w:tr w:rsidR="000E1088" w:rsidRPr="00EA5152" w:rsidTr="006039CB">
        <w:trPr>
          <w:trHeight w:val="255"/>
        </w:trPr>
        <w:tc>
          <w:tcPr>
            <w:tcW w:w="713" w:type="pct"/>
            <w:tcBorders>
              <w:top w:val="single" w:sz="4" w:space="0" w:color="auto"/>
              <w:bottom w:val="nil"/>
            </w:tcBorders>
            <w:noWrap/>
            <w:vAlign w:val="bottom"/>
          </w:tcPr>
          <w:p w:rsidR="000E1088" w:rsidRPr="00EF414D" w:rsidRDefault="000E1088" w:rsidP="000E1088">
            <w:pPr>
              <w:jc w:val="center"/>
              <w:rPr>
                <w:sz w:val="20"/>
                <w:szCs w:val="20"/>
              </w:rPr>
            </w:pPr>
          </w:p>
        </w:tc>
        <w:tc>
          <w:tcPr>
            <w:tcW w:w="876" w:type="pct"/>
            <w:tcBorders>
              <w:top w:val="single" w:sz="4" w:space="0" w:color="auto"/>
              <w:bottom w:val="nil"/>
            </w:tcBorders>
            <w:noWrap/>
            <w:vAlign w:val="bottom"/>
          </w:tcPr>
          <w:p w:rsidR="000E1088" w:rsidRPr="00EF414D" w:rsidRDefault="000E1088" w:rsidP="000E1088">
            <w:pPr>
              <w:jc w:val="center"/>
              <w:rPr>
                <w:sz w:val="20"/>
                <w:szCs w:val="20"/>
              </w:rPr>
            </w:pPr>
          </w:p>
        </w:tc>
        <w:tc>
          <w:tcPr>
            <w:tcW w:w="2363" w:type="pct"/>
            <w:gridSpan w:val="3"/>
            <w:tcBorders>
              <w:top w:val="single" w:sz="4" w:space="0" w:color="auto"/>
              <w:bottom w:val="nil"/>
            </w:tcBorders>
            <w:noWrap/>
            <w:vAlign w:val="bottom"/>
          </w:tcPr>
          <w:p w:rsidR="000E1088" w:rsidRPr="00EF414D" w:rsidRDefault="000E1088" w:rsidP="000E1088">
            <w:pPr>
              <w:jc w:val="center"/>
              <w:rPr>
                <w:sz w:val="20"/>
                <w:szCs w:val="20"/>
              </w:rPr>
            </w:pPr>
            <w:r w:rsidRPr="00EF414D">
              <w:rPr>
                <w:sz w:val="20"/>
                <w:szCs w:val="20"/>
              </w:rPr>
              <w:t>per 1000 population</w:t>
            </w:r>
          </w:p>
        </w:tc>
        <w:tc>
          <w:tcPr>
            <w:tcW w:w="1047" w:type="pct"/>
            <w:tcBorders>
              <w:top w:val="single" w:sz="4" w:space="0" w:color="auto"/>
              <w:bottom w:val="nil"/>
            </w:tcBorders>
            <w:noWrap/>
            <w:vAlign w:val="bottom"/>
          </w:tcPr>
          <w:p w:rsidR="000E1088" w:rsidRPr="00EF414D" w:rsidRDefault="000E1088" w:rsidP="000E1088">
            <w:pPr>
              <w:jc w:val="center"/>
              <w:rPr>
                <w:sz w:val="20"/>
                <w:szCs w:val="20"/>
              </w:rPr>
            </w:pPr>
          </w:p>
        </w:tc>
      </w:tr>
      <w:tr w:rsidR="000E1088" w:rsidRPr="00EA5152" w:rsidTr="00672AA9">
        <w:trPr>
          <w:trHeight w:val="80"/>
        </w:trPr>
        <w:tc>
          <w:tcPr>
            <w:tcW w:w="713" w:type="pct"/>
            <w:tcBorders>
              <w:top w:val="nil"/>
              <w:bottom w:val="single" w:sz="4" w:space="0" w:color="4F81BD"/>
            </w:tcBorders>
            <w:noWrap/>
            <w:vAlign w:val="bottom"/>
          </w:tcPr>
          <w:p w:rsidR="000E1088" w:rsidRPr="00EF414D" w:rsidRDefault="000E1088" w:rsidP="000E1088">
            <w:pPr>
              <w:jc w:val="center"/>
              <w:rPr>
                <w:sz w:val="20"/>
                <w:szCs w:val="20"/>
              </w:rPr>
            </w:pPr>
          </w:p>
        </w:tc>
        <w:tc>
          <w:tcPr>
            <w:tcW w:w="876" w:type="pct"/>
            <w:tcBorders>
              <w:top w:val="nil"/>
              <w:bottom w:val="single" w:sz="4" w:space="0" w:color="4F81BD"/>
            </w:tcBorders>
            <w:noWrap/>
            <w:vAlign w:val="bottom"/>
          </w:tcPr>
          <w:p w:rsidR="000E1088" w:rsidRPr="00EF414D" w:rsidRDefault="000E1088" w:rsidP="000E1088">
            <w:pPr>
              <w:jc w:val="center"/>
              <w:rPr>
                <w:sz w:val="20"/>
                <w:szCs w:val="20"/>
              </w:rPr>
            </w:pPr>
            <w:r w:rsidRPr="00EF414D">
              <w:rPr>
                <w:sz w:val="20"/>
                <w:szCs w:val="20"/>
              </w:rPr>
              <w:t>Population</w:t>
            </w:r>
          </w:p>
        </w:tc>
        <w:tc>
          <w:tcPr>
            <w:tcW w:w="824" w:type="pct"/>
            <w:tcBorders>
              <w:top w:val="nil"/>
              <w:bottom w:val="single" w:sz="4" w:space="0" w:color="4F81BD"/>
            </w:tcBorders>
            <w:noWrap/>
            <w:vAlign w:val="bottom"/>
          </w:tcPr>
          <w:p w:rsidR="000E1088" w:rsidRPr="00EF414D" w:rsidRDefault="000E1088" w:rsidP="000E1088">
            <w:pPr>
              <w:jc w:val="center"/>
              <w:rPr>
                <w:sz w:val="20"/>
                <w:szCs w:val="20"/>
              </w:rPr>
            </w:pPr>
            <w:r w:rsidRPr="00EF414D">
              <w:rPr>
                <w:sz w:val="20"/>
                <w:szCs w:val="20"/>
              </w:rPr>
              <w:t>Marriages</w:t>
            </w:r>
          </w:p>
        </w:tc>
        <w:tc>
          <w:tcPr>
            <w:tcW w:w="733" w:type="pct"/>
            <w:tcBorders>
              <w:top w:val="nil"/>
              <w:bottom w:val="single" w:sz="4" w:space="0" w:color="4F81BD"/>
            </w:tcBorders>
            <w:noWrap/>
            <w:vAlign w:val="bottom"/>
          </w:tcPr>
          <w:p w:rsidR="000E1088" w:rsidRPr="00EF414D" w:rsidRDefault="000E1088" w:rsidP="000E1088">
            <w:pPr>
              <w:jc w:val="center"/>
              <w:rPr>
                <w:sz w:val="20"/>
                <w:szCs w:val="20"/>
              </w:rPr>
            </w:pPr>
            <w:r w:rsidRPr="00EF414D">
              <w:rPr>
                <w:sz w:val="20"/>
                <w:szCs w:val="20"/>
              </w:rPr>
              <w:t>Divorces</w:t>
            </w:r>
          </w:p>
        </w:tc>
        <w:tc>
          <w:tcPr>
            <w:tcW w:w="806" w:type="pct"/>
            <w:tcBorders>
              <w:top w:val="nil"/>
              <w:bottom w:val="single" w:sz="4" w:space="0" w:color="4F81BD"/>
            </w:tcBorders>
            <w:noWrap/>
            <w:vAlign w:val="bottom"/>
          </w:tcPr>
          <w:p w:rsidR="000E1088" w:rsidRPr="00EF414D" w:rsidRDefault="000E1088" w:rsidP="000E1088">
            <w:pPr>
              <w:jc w:val="center"/>
              <w:rPr>
                <w:sz w:val="20"/>
                <w:szCs w:val="20"/>
              </w:rPr>
            </w:pPr>
            <w:r w:rsidRPr="00EF414D">
              <w:rPr>
                <w:sz w:val="20"/>
                <w:szCs w:val="20"/>
              </w:rPr>
              <w:t>Abortions</w:t>
            </w:r>
          </w:p>
        </w:tc>
        <w:tc>
          <w:tcPr>
            <w:tcW w:w="1047" w:type="pct"/>
            <w:tcBorders>
              <w:top w:val="nil"/>
              <w:bottom w:val="single" w:sz="4" w:space="0" w:color="4F81BD"/>
            </w:tcBorders>
            <w:noWrap/>
            <w:vAlign w:val="bottom"/>
          </w:tcPr>
          <w:p w:rsidR="000E1088" w:rsidRPr="00EF414D" w:rsidRDefault="000E1088" w:rsidP="000E1088">
            <w:pPr>
              <w:jc w:val="center"/>
              <w:rPr>
                <w:sz w:val="20"/>
                <w:szCs w:val="20"/>
              </w:rPr>
            </w:pPr>
            <w:r w:rsidRPr="00EF414D">
              <w:rPr>
                <w:sz w:val="20"/>
                <w:szCs w:val="20"/>
              </w:rPr>
              <w:t>Fertility rate</w:t>
            </w:r>
          </w:p>
        </w:tc>
      </w:tr>
      <w:tr w:rsidR="000E1088" w:rsidRPr="00EA5152" w:rsidTr="00672AA9">
        <w:trPr>
          <w:trHeight w:val="80"/>
        </w:trPr>
        <w:tc>
          <w:tcPr>
            <w:tcW w:w="713" w:type="pct"/>
            <w:tcBorders>
              <w:top w:val="single" w:sz="4" w:space="0" w:color="4F81BD"/>
            </w:tcBorders>
            <w:noWrap/>
            <w:vAlign w:val="bottom"/>
          </w:tcPr>
          <w:p w:rsidR="000E1088" w:rsidRPr="00EF414D" w:rsidRDefault="000E1088" w:rsidP="000E1088">
            <w:pPr>
              <w:rPr>
                <w:sz w:val="20"/>
                <w:szCs w:val="20"/>
                <w:lang w:eastAsia="ru-RU"/>
              </w:rPr>
            </w:pPr>
            <w:r w:rsidRPr="00EF414D">
              <w:rPr>
                <w:sz w:val="20"/>
                <w:szCs w:val="20"/>
                <w:lang w:eastAsia="ru-RU"/>
              </w:rPr>
              <w:t>1990</w:t>
            </w:r>
          </w:p>
        </w:tc>
        <w:tc>
          <w:tcPr>
            <w:tcW w:w="876" w:type="pct"/>
            <w:tcBorders>
              <w:top w:val="single" w:sz="4" w:space="0" w:color="4F81BD"/>
            </w:tcBorders>
            <w:noWrap/>
            <w:vAlign w:val="bottom"/>
          </w:tcPr>
          <w:p w:rsidR="000E1088" w:rsidRPr="00EF414D" w:rsidRDefault="000E1088" w:rsidP="000E1088">
            <w:pPr>
              <w:jc w:val="center"/>
              <w:rPr>
                <w:sz w:val="20"/>
                <w:szCs w:val="20"/>
                <w:lang w:eastAsia="ru-RU"/>
              </w:rPr>
            </w:pPr>
            <w:r w:rsidRPr="00EF414D">
              <w:rPr>
                <w:sz w:val="20"/>
                <w:szCs w:val="20"/>
                <w:lang w:eastAsia="ru-RU"/>
              </w:rPr>
              <w:t>10189</w:t>
            </w:r>
          </w:p>
        </w:tc>
        <w:tc>
          <w:tcPr>
            <w:tcW w:w="824" w:type="pct"/>
            <w:tcBorders>
              <w:top w:val="single" w:sz="4" w:space="0" w:color="4F81BD"/>
            </w:tcBorders>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9.7</w:t>
            </w:r>
          </w:p>
        </w:tc>
        <w:tc>
          <w:tcPr>
            <w:tcW w:w="733" w:type="pct"/>
            <w:tcBorders>
              <w:top w:val="single" w:sz="4" w:space="0" w:color="4F81BD"/>
            </w:tcBorders>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3.4</w:t>
            </w:r>
          </w:p>
        </w:tc>
        <w:tc>
          <w:tcPr>
            <w:tcW w:w="806" w:type="pct"/>
            <w:tcBorders>
              <w:top w:val="single" w:sz="4" w:space="0" w:color="4F81BD"/>
            </w:tcBorders>
            <w:noWrap/>
            <w:vAlign w:val="bottom"/>
          </w:tcPr>
          <w:p w:rsidR="000E1088" w:rsidRPr="00EF414D" w:rsidRDefault="000E1088" w:rsidP="000E1088">
            <w:pPr>
              <w:jc w:val="center"/>
              <w:rPr>
                <w:sz w:val="20"/>
                <w:szCs w:val="20"/>
                <w:lang w:val="ru-RU" w:eastAsia="ru-RU"/>
              </w:rPr>
            </w:pPr>
            <w:r w:rsidRPr="00EF414D">
              <w:rPr>
                <w:sz w:val="20"/>
                <w:szCs w:val="20"/>
                <w:lang w:val="ru-RU" w:eastAsia="ru-RU"/>
              </w:rPr>
              <w:t>na</w:t>
            </w:r>
          </w:p>
        </w:tc>
        <w:tc>
          <w:tcPr>
            <w:tcW w:w="1047" w:type="pct"/>
            <w:tcBorders>
              <w:top w:val="single" w:sz="4" w:space="0" w:color="4F81BD"/>
            </w:tcBorders>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1.91</w:t>
            </w:r>
          </w:p>
        </w:tc>
      </w:tr>
      <w:tr w:rsidR="000E1088" w:rsidRPr="00EA5152" w:rsidTr="00672AA9">
        <w:trPr>
          <w:trHeight w:val="255"/>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1995</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10210</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7.6</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4.1</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74.9</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1.41</w:t>
            </w:r>
          </w:p>
        </w:tc>
      </w:tr>
      <w:tr w:rsidR="000E1088" w:rsidRPr="00EA5152" w:rsidTr="00672AA9">
        <w:trPr>
          <w:trHeight w:val="80"/>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2000</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10003</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6.3</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4.4</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46.1</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1.32</w:t>
            </w:r>
          </w:p>
        </w:tc>
      </w:tr>
      <w:tr w:rsidR="000E1088" w:rsidRPr="00EA5152" w:rsidTr="00672AA9">
        <w:trPr>
          <w:trHeight w:val="80"/>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2001</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9957</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6.9</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4.1</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38.2</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1.29</w:t>
            </w:r>
          </w:p>
        </w:tc>
      </w:tr>
      <w:tr w:rsidR="000E1088" w:rsidRPr="00EA5152" w:rsidTr="00672AA9">
        <w:trPr>
          <w:trHeight w:val="255"/>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2002</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9900</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6.8</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3.8</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33.7</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1.24</w:t>
            </w:r>
          </w:p>
        </w:tc>
      </w:tr>
      <w:tr w:rsidR="000E1088" w:rsidRPr="00EA5152" w:rsidTr="00672AA9">
        <w:trPr>
          <w:trHeight w:val="80"/>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2003</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9831</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7.1</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3.2</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30</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1.23</w:t>
            </w:r>
          </w:p>
        </w:tc>
      </w:tr>
      <w:tr w:rsidR="000E1088" w:rsidRPr="00EA5152" w:rsidTr="00672AA9">
        <w:trPr>
          <w:trHeight w:val="255"/>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2004</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9763</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6.2</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26.8</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1.23</w:t>
            </w:r>
          </w:p>
        </w:tc>
      </w:tr>
      <w:tr w:rsidR="000E1088" w:rsidRPr="00EA5152" w:rsidTr="00672AA9">
        <w:trPr>
          <w:trHeight w:val="255"/>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2005</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9698</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7.6</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3.2</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24.3</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1.25</w:t>
            </w:r>
          </w:p>
        </w:tc>
      </w:tr>
      <w:tr w:rsidR="000E1088" w:rsidRPr="00EA5152" w:rsidTr="00672AA9">
        <w:trPr>
          <w:trHeight w:val="255"/>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2006</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9630</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8.2</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3.3</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22.1</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1.34</w:t>
            </w:r>
          </w:p>
        </w:tc>
      </w:tr>
      <w:tr w:rsidR="000E1088" w:rsidRPr="00EA5152" w:rsidTr="00672AA9">
        <w:trPr>
          <w:trHeight w:val="255"/>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2007</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9580</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9.5</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3.8</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17.7</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1.43</w:t>
            </w:r>
          </w:p>
        </w:tc>
      </w:tr>
      <w:tr w:rsidR="000E1088" w:rsidRPr="00EA5152" w:rsidTr="00672AA9">
        <w:trPr>
          <w:trHeight w:val="80"/>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2008</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9542</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8.1</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3.8</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16.3</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1.49</w:t>
            </w:r>
          </w:p>
        </w:tc>
      </w:tr>
      <w:tr w:rsidR="000E1088" w:rsidRPr="00EA5152" w:rsidTr="00672AA9">
        <w:trPr>
          <w:trHeight w:val="255"/>
        </w:trPr>
        <w:tc>
          <w:tcPr>
            <w:tcW w:w="713" w:type="pct"/>
            <w:noWrap/>
            <w:vAlign w:val="bottom"/>
          </w:tcPr>
          <w:p w:rsidR="000E1088" w:rsidRPr="00EF414D" w:rsidRDefault="000E1088" w:rsidP="000E1088">
            <w:pPr>
              <w:rPr>
                <w:sz w:val="20"/>
                <w:szCs w:val="20"/>
                <w:lang w:val="ru-RU" w:eastAsia="ru-RU"/>
              </w:rPr>
            </w:pPr>
            <w:r w:rsidRPr="00EF414D">
              <w:rPr>
                <w:sz w:val="20"/>
                <w:szCs w:val="20"/>
                <w:lang w:val="ru-RU" w:eastAsia="ru-RU"/>
              </w:rPr>
              <w:t>2009</w:t>
            </w:r>
          </w:p>
        </w:tc>
        <w:tc>
          <w:tcPr>
            <w:tcW w:w="87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9514</w:t>
            </w:r>
          </w:p>
        </w:tc>
        <w:tc>
          <w:tcPr>
            <w:tcW w:w="824"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8.3</w:t>
            </w:r>
          </w:p>
        </w:tc>
        <w:tc>
          <w:tcPr>
            <w:tcW w:w="733"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3.7</w:t>
            </w:r>
          </w:p>
        </w:tc>
        <w:tc>
          <w:tcPr>
            <w:tcW w:w="806"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14.1</w:t>
            </w:r>
          </w:p>
        </w:tc>
        <w:tc>
          <w:tcPr>
            <w:tcW w:w="1047" w:type="pct"/>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1.51</w:t>
            </w:r>
          </w:p>
        </w:tc>
      </w:tr>
      <w:tr w:rsidR="000E1088" w:rsidRPr="00EA5152" w:rsidTr="006039CB">
        <w:trPr>
          <w:trHeight w:val="255"/>
        </w:trPr>
        <w:tc>
          <w:tcPr>
            <w:tcW w:w="713" w:type="pct"/>
            <w:tcBorders>
              <w:bottom w:val="single" w:sz="4" w:space="0" w:color="auto"/>
            </w:tcBorders>
            <w:noWrap/>
            <w:vAlign w:val="bottom"/>
          </w:tcPr>
          <w:p w:rsidR="000E1088" w:rsidRPr="00EF414D" w:rsidRDefault="000E1088" w:rsidP="000E1088">
            <w:pPr>
              <w:rPr>
                <w:sz w:val="20"/>
                <w:szCs w:val="20"/>
                <w:lang w:val="ru-RU" w:eastAsia="ru-RU"/>
              </w:rPr>
            </w:pPr>
            <w:r w:rsidRPr="00EF414D">
              <w:rPr>
                <w:sz w:val="20"/>
                <w:szCs w:val="20"/>
                <w:lang w:val="ru-RU" w:eastAsia="ru-RU"/>
              </w:rPr>
              <w:t>2010</w:t>
            </w:r>
          </w:p>
        </w:tc>
        <w:tc>
          <w:tcPr>
            <w:tcW w:w="876" w:type="pct"/>
            <w:tcBorders>
              <w:bottom w:val="single" w:sz="4" w:space="0" w:color="auto"/>
            </w:tcBorders>
            <w:noWrap/>
            <w:vAlign w:val="bottom"/>
          </w:tcPr>
          <w:p w:rsidR="000E1088" w:rsidRPr="00EF414D" w:rsidRDefault="000E1088" w:rsidP="000E1088">
            <w:pPr>
              <w:jc w:val="center"/>
              <w:rPr>
                <w:sz w:val="20"/>
                <w:szCs w:val="20"/>
                <w:lang w:val="ru-RU" w:eastAsia="ru-RU"/>
              </w:rPr>
            </w:pPr>
            <w:r w:rsidRPr="00EF414D">
              <w:rPr>
                <w:sz w:val="20"/>
                <w:szCs w:val="20"/>
                <w:lang w:val="ru-RU" w:eastAsia="ru-RU"/>
              </w:rPr>
              <w:t>9500</w:t>
            </w:r>
          </w:p>
        </w:tc>
        <w:tc>
          <w:tcPr>
            <w:tcW w:w="824" w:type="pct"/>
            <w:tcBorders>
              <w:bottom w:val="single" w:sz="4" w:space="0" w:color="auto"/>
            </w:tcBorders>
            <w:noWrap/>
            <w:vAlign w:val="bottom"/>
          </w:tcPr>
          <w:p w:rsidR="000E1088" w:rsidRPr="00EF414D" w:rsidRDefault="000E1088" w:rsidP="000E1088">
            <w:pPr>
              <w:jc w:val="center"/>
              <w:rPr>
                <w:sz w:val="20"/>
                <w:szCs w:val="20"/>
                <w:lang w:val="ru-RU" w:eastAsia="ru-RU"/>
              </w:rPr>
            </w:pPr>
            <w:r w:rsidRPr="00EF414D">
              <w:rPr>
                <w:sz w:val="20"/>
                <w:szCs w:val="20"/>
                <w:lang w:val="ru-RU" w:eastAsia="ru-RU"/>
              </w:rPr>
              <w:t>8.1</w:t>
            </w:r>
          </w:p>
        </w:tc>
        <w:tc>
          <w:tcPr>
            <w:tcW w:w="733" w:type="pct"/>
            <w:tcBorders>
              <w:bottom w:val="single" w:sz="4" w:space="0" w:color="auto"/>
            </w:tcBorders>
            <w:noWrap/>
            <w:vAlign w:val="bottom"/>
          </w:tcPr>
          <w:p w:rsidR="000E1088" w:rsidRPr="00EF414D" w:rsidRDefault="000E1088" w:rsidP="000E1088">
            <w:pPr>
              <w:jc w:val="center"/>
              <w:rPr>
                <w:sz w:val="20"/>
                <w:szCs w:val="20"/>
                <w:lang w:val="ru-RU" w:eastAsia="ru-RU"/>
              </w:rPr>
            </w:pPr>
            <w:r w:rsidRPr="00EF414D">
              <w:rPr>
                <w:sz w:val="20"/>
                <w:szCs w:val="20"/>
                <w:lang w:val="ru-RU" w:eastAsia="ru-RU"/>
              </w:rPr>
              <w:t>3.9</w:t>
            </w:r>
          </w:p>
        </w:tc>
        <w:tc>
          <w:tcPr>
            <w:tcW w:w="806" w:type="pct"/>
            <w:tcBorders>
              <w:bottom w:val="single" w:sz="4" w:space="0" w:color="auto"/>
            </w:tcBorders>
            <w:noWrap/>
            <w:vAlign w:val="bottom"/>
          </w:tcPr>
          <w:p w:rsidR="000E1088" w:rsidRPr="00EF414D" w:rsidRDefault="000E1088" w:rsidP="000E1088">
            <w:pPr>
              <w:jc w:val="center"/>
              <w:rPr>
                <w:sz w:val="20"/>
                <w:szCs w:val="20"/>
                <w:lang w:val="ru-RU" w:eastAsia="ru-RU"/>
              </w:rPr>
            </w:pPr>
            <w:r w:rsidRPr="00EF414D">
              <w:rPr>
                <w:sz w:val="20"/>
                <w:szCs w:val="20"/>
                <w:lang w:val="ru-RU" w:eastAsia="ru-RU"/>
              </w:rPr>
              <w:t>na</w:t>
            </w:r>
          </w:p>
        </w:tc>
        <w:tc>
          <w:tcPr>
            <w:tcW w:w="1047" w:type="pct"/>
            <w:tcBorders>
              <w:bottom w:val="single" w:sz="4" w:space="0" w:color="auto"/>
            </w:tcBorders>
            <w:noWrap/>
            <w:vAlign w:val="bottom"/>
          </w:tcPr>
          <w:p w:rsidR="000E1088" w:rsidRPr="00EF414D" w:rsidRDefault="000E1088" w:rsidP="000E1088">
            <w:pPr>
              <w:jc w:val="center"/>
              <w:rPr>
                <w:sz w:val="20"/>
                <w:szCs w:val="20"/>
                <w:lang w:val="ru-RU" w:eastAsia="ru-RU"/>
              </w:rPr>
            </w:pPr>
            <w:r w:rsidRPr="00EF414D">
              <w:rPr>
                <w:sz w:val="20"/>
                <w:szCs w:val="20"/>
                <w:lang w:val="ru-RU" w:eastAsia="ru-RU"/>
              </w:rPr>
              <w:t>1.49</w:t>
            </w:r>
          </w:p>
        </w:tc>
      </w:tr>
      <w:tr w:rsidR="000E1088" w:rsidRPr="00C45BC0" w:rsidTr="006039CB">
        <w:trPr>
          <w:trHeight w:val="80"/>
        </w:trPr>
        <w:tc>
          <w:tcPr>
            <w:tcW w:w="5000" w:type="pct"/>
            <w:gridSpan w:val="6"/>
            <w:tcBorders>
              <w:top w:val="single" w:sz="4" w:space="0" w:color="auto"/>
              <w:bottom w:val="nil"/>
            </w:tcBorders>
            <w:noWrap/>
            <w:vAlign w:val="bottom"/>
          </w:tcPr>
          <w:p w:rsidR="000E1088" w:rsidRPr="00C45BC0" w:rsidRDefault="000E1088" w:rsidP="000E1088">
            <w:pPr>
              <w:rPr>
                <w:sz w:val="18"/>
                <w:szCs w:val="18"/>
                <w:lang w:eastAsia="ru-RU"/>
              </w:rPr>
            </w:pPr>
            <w:r w:rsidRPr="00C45BC0">
              <w:rPr>
                <w:i/>
                <w:sz w:val="18"/>
                <w:szCs w:val="18"/>
              </w:rPr>
              <w:t>Source</w:t>
            </w:r>
            <w:r w:rsidRPr="00C45BC0">
              <w:rPr>
                <w:sz w:val="18"/>
                <w:szCs w:val="18"/>
              </w:rPr>
              <w:t xml:space="preserve">: NSC (2011a). </w:t>
            </w:r>
          </w:p>
        </w:tc>
      </w:tr>
    </w:tbl>
    <w:p w:rsidR="000E1088" w:rsidRPr="00C45BC0" w:rsidRDefault="000E1088" w:rsidP="000E1088">
      <w:pPr>
        <w:pStyle w:val="MainParawithChapter"/>
        <w:numPr>
          <w:ilvl w:val="0"/>
          <w:numId w:val="0"/>
        </w:numPr>
        <w:jc w:val="both"/>
        <w:rPr>
          <w:sz w:val="18"/>
          <w:szCs w:val="18"/>
        </w:rPr>
      </w:pPr>
    </w:p>
    <w:p w:rsidR="00AA5459" w:rsidRPr="00C45BC0" w:rsidRDefault="00AA5459" w:rsidP="009A5EEB">
      <w:pPr>
        <w:pStyle w:val="MainParawithChapter"/>
        <w:numPr>
          <w:ilvl w:val="0"/>
          <w:numId w:val="0"/>
        </w:numPr>
        <w:jc w:val="both"/>
        <w:rPr>
          <w:sz w:val="18"/>
          <w:szCs w:val="18"/>
        </w:rPr>
      </w:pPr>
    </w:p>
    <w:p w:rsidR="00AA5459" w:rsidRPr="00AA5459" w:rsidRDefault="00AA5459" w:rsidP="009A5EEB">
      <w:pPr>
        <w:pStyle w:val="MainParawithChapter"/>
        <w:jc w:val="both"/>
        <w:rPr>
          <w:sz w:val="22"/>
          <w:szCs w:val="22"/>
        </w:rPr>
      </w:pPr>
      <w:r w:rsidRPr="00AA5459">
        <w:rPr>
          <w:sz w:val="22"/>
          <w:szCs w:val="22"/>
        </w:rPr>
        <w:t xml:space="preserve">Selected empirical analysis in Belarus indicates that fertility decisions appear to be sensitive to economic determinants such as income and wage, economic uncertainty, maternity and childcare benefits. Amialchuk et al. (2011) analyzed economic determinants of fertility using micro data from Belarusian Household Living Standards Survey. The study finds that fertility is negatively correlated with job and income stability in families with younger women. Since the authors’ findings indicate women’s fertility decisions are responsive to incentives, they suggest ways of strengthening their impact while scaling back leakage of benefits. For example, they suggest that economic incentives would be better targeted if they were given for the second or third child since almost all women have their first child by the age 25 years. Their analysis also suggests that higher maternity benefits increased the likelihood of second births among older women. </w:t>
      </w:r>
    </w:p>
    <w:p w:rsidR="00AA5459" w:rsidRPr="00AA5459" w:rsidRDefault="00AA5459" w:rsidP="009A5EEB">
      <w:pPr>
        <w:pStyle w:val="MainParawithChapter"/>
        <w:numPr>
          <w:ilvl w:val="0"/>
          <w:numId w:val="0"/>
        </w:numPr>
        <w:jc w:val="both"/>
        <w:rPr>
          <w:sz w:val="22"/>
          <w:szCs w:val="22"/>
        </w:rPr>
      </w:pPr>
    </w:p>
    <w:p w:rsidR="00AA5459" w:rsidRPr="00AA5459" w:rsidRDefault="00AA5459" w:rsidP="009A5EEB">
      <w:pPr>
        <w:pStyle w:val="MainParawithChapter"/>
        <w:jc w:val="both"/>
        <w:rPr>
          <w:sz w:val="22"/>
          <w:szCs w:val="22"/>
        </w:rPr>
      </w:pPr>
      <w:r w:rsidRPr="00AA5459">
        <w:rPr>
          <w:sz w:val="22"/>
          <w:szCs w:val="22"/>
        </w:rPr>
        <w:t>In spite of an overall increase in life expectancy during the last decade there is still very large and expanding gender gap in favor of women and regional disparities. Life expectancy increased in Belarus bo</w:t>
      </w:r>
      <w:r w:rsidR="00794CC7">
        <w:rPr>
          <w:sz w:val="22"/>
          <w:szCs w:val="22"/>
        </w:rPr>
        <w:t>th for men and women since 2000. H</w:t>
      </w:r>
      <w:r w:rsidRPr="00AA5459">
        <w:rPr>
          <w:sz w:val="22"/>
          <w:szCs w:val="22"/>
        </w:rPr>
        <w:t>owever, male life expectancy</w:t>
      </w:r>
      <w:r w:rsidR="00794CC7">
        <w:rPr>
          <w:sz w:val="22"/>
          <w:szCs w:val="22"/>
        </w:rPr>
        <w:t xml:space="preserve"> did not grow as fast as female one and as a result male life expectancy</w:t>
      </w:r>
      <w:r w:rsidRPr="00AA5459">
        <w:rPr>
          <w:sz w:val="22"/>
          <w:szCs w:val="22"/>
        </w:rPr>
        <w:t xml:space="preserve"> is considerably lower and the gap is increasing. Thus, the gap was 11 years in 2000 and increased to 12 years in 2010. This gap is far above the average of ECA region of 9 years</w:t>
      </w:r>
      <w:r w:rsidR="00C86D68">
        <w:rPr>
          <w:sz w:val="22"/>
          <w:szCs w:val="22"/>
        </w:rPr>
        <w:t xml:space="preserve"> (Figure 2.5a)</w:t>
      </w:r>
      <w:r w:rsidRPr="00AA5459">
        <w:rPr>
          <w:sz w:val="22"/>
          <w:szCs w:val="22"/>
        </w:rPr>
        <w:t>. This happens because male expectancy in Belarus is lower than the regional average, while female expectancy is higher. Regarding regional differences, life expectancy is higher in rich urbanized regions</w:t>
      </w:r>
      <w:r w:rsidR="00C86D68">
        <w:rPr>
          <w:sz w:val="22"/>
          <w:szCs w:val="22"/>
        </w:rPr>
        <w:t xml:space="preserve"> (Figure 2.5b)</w:t>
      </w:r>
      <w:r w:rsidRPr="00AA5459">
        <w:rPr>
          <w:sz w:val="22"/>
          <w:szCs w:val="22"/>
        </w:rPr>
        <w:t xml:space="preserve">. </w:t>
      </w:r>
    </w:p>
    <w:p w:rsidR="00AA5459" w:rsidRPr="00AA5459" w:rsidRDefault="00AA5459" w:rsidP="009A5EEB">
      <w:pPr>
        <w:pStyle w:val="MainParawithChapter"/>
        <w:numPr>
          <w:ilvl w:val="0"/>
          <w:numId w:val="0"/>
        </w:numPr>
        <w:jc w:val="both"/>
        <w:rPr>
          <w:sz w:val="22"/>
          <w:szCs w:val="22"/>
        </w:rPr>
      </w:pPr>
    </w:p>
    <w:p w:rsidR="00AA5459" w:rsidRDefault="00AA5459" w:rsidP="009A5EEB">
      <w:pPr>
        <w:pStyle w:val="MainParawithChapter"/>
        <w:jc w:val="both"/>
        <w:rPr>
          <w:sz w:val="22"/>
          <w:szCs w:val="22"/>
        </w:rPr>
      </w:pPr>
      <w:r w:rsidRPr="00AA5459">
        <w:rPr>
          <w:sz w:val="22"/>
          <w:szCs w:val="22"/>
        </w:rPr>
        <w:t>The gap in life expectancy in Belarus is driven by the high gap in adult mortality rates. In spite of a positive trend in mortality during the last decade in Belarus, male adult mortality is three times higher than that of women (330 per one thousand adult men versus 113 per one thousand women in 2010). Male mortality in Belarus is 20 percent higher than the ECA regional average in 2010 even though this gap was negligible back in 2000 year</w:t>
      </w:r>
      <w:r w:rsidR="00C86D68">
        <w:rPr>
          <w:sz w:val="22"/>
          <w:szCs w:val="22"/>
        </w:rPr>
        <w:t xml:space="preserve"> (Figure 2.6a)</w:t>
      </w:r>
      <w:r w:rsidRPr="00AA5459">
        <w:rPr>
          <w:sz w:val="22"/>
          <w:szCs w:val="22"/>
        </w:rPr>
        <w:t xml:space="preserve">. The gap in </w:t>
      </w:r>
      <w:r w:rsidRPr="00AA5459">
        <w:rPr>
          <w:sz w:val="22"/>
          <w:szCs w:val="22"/>
        </w:rPr>
        <w:lastRenderedPageBreak/>
        <w:t>mortality is driven by twice higher male age-standardized death rates than female (1335 versus 605 per 100,000 people)</w:t>
      </w:r>
      <w:r w:rsidR="00545C0F">
        <w:rPr>
          <w:rStyle w:val="FootnoteReference"/>
          <w:sz w:val="22"/>
          <w:szCs w:val="22"/>
        </w:rPr>
        <w:footnoteReference w:id="9"/>
      </w:r>
      <w:r w:rsidRPr="00AA5459">
        <w:rPr>
          <w:sz w:val="22"/>
          <w:szCs w:val="22"/>
        </w:rPr>
        <w:t>.  An alarming fact is that male mortality is 4.8 and 4 times higher than female mortality in the reproductive age of 20-24 and 25-29 years (Kalinina, 2012).</w:t>
      </w:r>
    </w:p>
    <w:p w:rsidR="00B2122E" w:rsidRDefault="00B2122E" w:rsidP="00B2122E">
      <w:pPr>
        <w:pStyle w:val="ListParagraph"/>
        <w:rPr>
          <w:sz w:val="22"/>
          <w:szCs w:val="22"/>
        </w:rPr>
      </w:pPr>
    </w:p>
    <w:tbl>
      <w:tblPr>
        <w:tblW w:w="0" w:type="auto"/>
        <w:tblBorders>
          <w:bottom w:val="single" w:sz="8" w:space="0" w:color="4F81BD"/>
        </w:tblBorders>
        <w:tblLook w:val="00A0" w:firstRow="1" w:lastRow="0" w:firstColumn="1" w:lastColumn="0" w:noHBand="0" w:noVBand="0"/>
      </w:tblPr>
      <w:tblGrid>
        <w:gridCol w:w="4463"/>
        <w:gridCol w:w="4393"/>
      </w:tblGrid>
      <w:tr w:rsidR="00B2122E" w:rsidRPr="00997957" w:rsidTr="006039CB">
        <w:tc>
          <w:tcPr>
            <w:tcW w:w="9576" w:type="dxa"/>
            <w:gridSpan w:val="2"/>
            <w:tcBorders>
              <w:top w:val="nil"/>
              <w:bottom w:val="single" w:sz="4" w:space="0" w:color="auto"/>
            </w:tcBorders>
          </w:tcPr>
          <w:p w:rsidR="00B2122E" w:rsidRPr="00997957" w:rsidRDefault="009F5B52" w:rsidP="009F5B52">
            <w:pPr>
              <w:pStyle w:val="Caption"/>
              <w:jc w:val="both"/>
              <w:rPr>
                <w:b w:val="0"/>
                <w:color w:val="1F497D"/>
              </w:rPr>
            </w:pPr>
            <w:bookmarkStart w:id="29" w:name="_Toc351104634"/>
            <w:bookmarkStart w:id="30" w:name="_Toc383010211"/>
            <w:r>
              <w:t xml:space="preserve">Figure </w:t>
            </w:r>
            <w:r w:rsidR="008A55B1">
              <w:fldChar w:fldCharType="begin"/>
            </w:r>
            <w:r w:rsidR="008A55B1">
              <w:instrText xml:space="preserve"> STYLEREF 1 \s </w:instrText>
            </w:r>
            <w:r w:rsidR="008A55B1">
              <w:fldChar w:fldCharType="separate"/>
            </w:r>
            <w:r w:rsidR="008A55B1">
              <w:rPr>
                <w:noProof/>
              </w:rPr>
              <w:t>2</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5</w:t>
            </w:r>
            <w:r w:rsidR="008A55B1">
              <w:rPr>
                <w:noProof/>
              </w:rPr>
              <w:fldChar w:fldCharType="end"/>
            </w:r>
            <w:r>
              <w:t>: Life E</w:t>
            </w:r>
            <w:r w:rsidR="00B2122E" w:rsidRPr="00997957">
              <w:t xml:space="preserve">xpectancy at </w:t>
            </w:r>
            <w:r>
              <w:t>B</w:t>
            </w:r>
            <w:r w:rsidR="00B2122E" w:rsidRPr="00997957">
              <w:t>irth, years</w:t>
            </w:r>
            <w:bookmarkEnd w:id="29"/>
            <w:bookmarkEnd w:id="30"/>
          </w:p>
        </w:tc>
      </w:tr>
      <w:tr w:rsidR="00B2122E" w:rsidRPr="00D25B07" w:rsidTr="006039CB">
        <w:tc>
          <w:tcPr>
            <w:tcW w:w="4918" w:type="dxa"/>
            <w:tcBorders>
              <w:top w:val="single" w:sz="4" w:space="0" w:color="auto"/>
              <w:left w:val="nil"/>
              <w:bottom w:val="single" w:sz="4" w:space="0" w:color="4F81BD"/>
              <w:right w:val="nil"/>
            </w:tcBorders>
          </w:tcPr>
          <w:p w:rsidR="00B2122E" w:rsidRPr="00FD5B21" w:rsidRDefault="00B2122E" w:rsidP="008F24ED">
            <w:pPr>
              <w:rPr>
                <w:noProof/>
                <w:sz w:val="20"/>
                <w:szCs w:val="20"/>
              </w:rPr>
            </w:pPr>
            <w:r w:rsidRPr="00FD5B21">
              <w:rPr>
                <w:noProof/>
                <w:sz w:val="20"/>
                <w:szCs w:val="20"/>
              </w:rPr>
              <w:t>a) by gender in 2000 and 2010</w:t>
            </w:r>
          </w:p>
        </w:tc>
        <w:tc>
          <w:tcPr>
            <w:tcW w:w="4658" w:type="dxa"/>
            <w:tcBorders>
              <w:top w:val="single" w:sz="4" w:space="0" w:color="auto"/>
              <w:left w:val="nil"/>
              <w:bottom w:val="single" w:sz="4" w:space="0" w:color="4F81BD"/>
              <w:right w:val="nil"/>
            </w:tcBorders>
          </w:tcPr>
          <w:p w:rsidR="00B2122E" w:rsidRPr="00FD5B21" w:rsidRDefault="00B2122E" w:rsidP="008F24ED">
            <w:pPr>
              <w:rPr>
                <w:noProof/>
                <w:sz w:val="20"/>
                <w:szCs w:val="20"/>
              </w:rPr>
            </w:pPr>
            <w:r w:rsidRPr="00FD5B21">
              <w:rPr>
                <w:noProof/>
                <w:sz w:val="20"/>
                <w:szCs w:val="20"/>
              </w:rPr>
              <w:t>b) by regions and gender, 2010</w:t>
            </w:r>
          </w:p>
        </w:tc>
      </w:tr>
      <w:tr w:rsidR="00B2122E" w:rsidRPr="00B13439" w:rsidTr="006039CB">
        <w:tc>
          <w:tcPr>
            <w:tcW w:w="4918" w:type="dxa"/>
            <w:tcBorders>
              <w:top w:val="single" w:sz="8" w:space="0" w:color="4F81BD"/>
              <w:left w:val="nil"/>
              <w:bottom w:val="single" w:sz="4" w:space="0" w:color="auto"/>
              <w:right w:val="nil"/>
            </w:tcBorders>
          </w:tcPr>
          <w:p w:rsidR="00B2122E" w:rsidRPr="00B13439" w:rsidRDefault="005A6047" w:rsidP="008F24ED">
            <w:pPr>
              <w:rPr>
                <w:b/>
              </w:rPr>
            </w:pPr>
            <w:r>
              <w:rPr>
                <w:b/>
                <w:noProof/>
              </w:rPr>
              <w:drawing>
                <wp:inline distT="0" distB="0" distL="0" distR="0" wp14:anchorId="53C5F0BD" wp14:editId="6BB16A22">
                  <wp:extent cx="2876550" cy="2247900"/>
                  <wp:effectExtent l="0" t="0" r="0" b="0"/>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58" w:type="dxa"/>
            <w:tcBorders>
              <w:top w:val="single" w:sz="8" w:space="0" w:color="4F81BD"/>
              <w:left w:val="nil"/>
              <w:bottom w:val="single" w:sz="4" w:space="0" w:color="auto"/>
              <w:right w:val="nil"/>
            </w:tcBorders>
          </w:tcPr>
          <w:p w:rsidR="00B2122E" w:rsidRPr="00B13439" w:rsidRDefault="005A6047" w:rsidP="008F24ED">
            <w:pPr>
              <w:rPr>
                <w:b/>
                <w:noProof/>
                <w:lang w:val="ru-RU" w:eastAsia="ru-RU"/>
              </w:rPr>
            </w:pPr>
            <w:r>
              <w:rPr>
                <w:b/>
                <w:noProof/>
              </w:rPr>
              <w:drawing>
                <wp:inline distT="0" distB="0" distL="0" distR="0" wp14:anchorId="104194A3" wp14:editId="3EEFF57A">
                  <wp:extent cx="2828925" cy="214312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B2122E" w:rsidRPr="001520FF" w:rsidTr="006039CB">
        <w:tc>
          <w:tcPr>
            <w:tcW w:w="4918" w:type="dxa"/>
            <w:tcBorders>
              <w:top w:val="single" w:sz="4" w:space="0" w:color="auto"/>
              <w:left w:val="nil"/>
              <w:bottom w:val="nil"/>
              <w:right w:val="nil"/>
            </w:tcBorders>
          </w:tcPr>
          <w:p w:rsidR="00B2122E" w:rsidRPr="001520FF" w:rsidRDefault="00B2122E" w:rsidP="008F24ED">
            <w:pPr>
              <w:rPr>
                <w:sz w:val="18"/>
              </w:rPr>
            </w:pPr>
            <w:r w:rsidRPr="001520FF">
              <w:rPr>
                <w:i/>
                <w:sz w:val="18"/>
              </w:rPr>
              <w:t>Source</w:t>
            </w:r>
            <w:r w:rsidRPr="001520FF">
              <w:rPr>
                <w:sz w:val="18"/>
              </w:rPr>
              <w:t xml:space="preserve">: </w:t>
            </w:r>
            <w:r>
              <w:rPr>
                <w:sz w:val="18"/>
              </w:rPr>
              <w:t>WDI.</w:t>
            </w:r>
          </w:p>
        </w:tc>
        <w:tc>
          <w:tcPr>
            <w:tcW w:w="4658" w:type="dxa"/>
            <w:tcBorders>
              <w:top w:val="single" w:sz="4" w:space="0" w:color="auto"/>
              <w:left w:val="nil"/>
              <w:bottom w:val="nil"/>
              <w:right w:val="nil"/>
            </w:tcBorders>
          </w:tcPr>
          <w:p w:rsidR="00B2122E" w:rsidRPr="001520FF" w:rsidRDefault="00B2122E" w:rsidP="008F24ED">
            <w:pPr>
              <w:rPr>
                <w:sz w:val="18"/>
              </w:rPr>
            </w:pPr>
            <w:r w:rsidRPr="001520FF">
              <w:rPr>
                <w:i/>
                <w:sz w:val="18"/>
              </w:rPr>
              <w:t>Source</w:t>
            </w:r>
            <w:r w:rsidRPr="001520FF">
              <w:rPr>
                <w:sz w:val="18"/>
              </w:rPr>
              <w:t xml:space="preserve">: </w:t>
            </w:r>
            <w:r>
              <w:rPr>
                <w:sz w:val="18"/>
              </w:rPr>
              <w:t>NSC (2010).</w:t>
            </w:r>
          </w:p>
        </w:tc>
      </w:tr>
    </w:tbl>
    <w:p w:rsidR="00B2122E" w:rsidRDefault="00B2122E" w:rsidP="00B2122E">
      <w:pPr>
        <w:pStyle w:val="MainParawithChapter"/>
        <w:numPr>
          <w:ilvl w:val="0"/>
          <w:numId w:val="0"/>
        </w:numPr>
        <w:jc w:val="both"/>
        <w:rPr>
          <w:sz w:val="22"/>
          <w:szCs w:val="22"/>
        </w:rPr>
      </w:pPr>
    </w:p>
    <w:p w:rsidR="00AA5459" w:rsidRDefault="00AA5459" w:rsidP="009A5EEB">
      <w:pPr>
        <w:pStyle w:val="MainParawithChapter"/>
        <w:numPr>
          <w:ilvl w:val="0"/>
          <w:numId w:val="0"/>
        </w:numPr>
        <w:jc w:val="both"/>
        <w:rPr>
          <w:sz w:val="22"/>
          <w:szCs w:val="22"/>
        </w:rPr>
      </w:pPr>
    </w:p>
    <w:p w:rsidR="00AA5459" w:rsidRPr="00AA5459" w:rsidRDefault="00AA5459" w:rsidP="009A5EEB">
      <w:pPr>
        <w:pStyle w:val="MainParawithChapter"/>
        <w:jc w:val="both"/>
        <w:rPr>
          <w:sz w:val="22"/>
          <w:szCs w:val="22"/>
        </w:rPr>
      </w:pPr>
      <w:r w:rsidRPr="00AA5459">
        <w:rPr>
          <w:sz w:val="22"/>
          <w:szCs w:val="22"/>
        </w:rPr>
        <w:t>Males have much higher death rates from cardiovascular diseases than women. Some of the main factors explaining excessive male mortality are related to non-communicable diseases and injures. Non-communicable diseases (mostly cardio-vascular diseases and cancer) account for 83 percent of all causes of death in total and male death rates are twice higher than female</w:t>
      </w:r>
      <w:r w:rsidR="00107B85">
        <w:rPr>
          <w:sz w:val="22"/>
          <w:szCs w:val="22"/>
        </w:rPr>
        <w:t xml:space="preserve"> (Figure 2.6b)</w:t>
      </w:r>
      <w:r w:rsidRPr="00AA5459">
        <w:rPr>
          <w:sz w:val="22"/>
          <w:szCs w:val="22"/>
        </w:rPr>
        <w:t xml:space="preserve">. High stress due to difficult economic conditions, unhealthy diets, and alcohol abuse and tobacco consumption can be some of the factors explaining high male death rates from cardiovascular diseases. For instance, according to WHO (2012), 28 percent of all death rates for men in 2004 could be attributed to tobacco, while for women this rate is almost zero.  </w:t>
      </w:r>
    </w:p>
    <w:p w:rsidR="00AA5459" w:rsidRPr="00AA5459" w:rsidRDefault="00AA5459" w:rsidP="009A5EEB">
      <w:pPr>
        <w:pStyle w:val="MainParawithChapter"/>
        <w:numPr>
          <w:ilvl w:val="0"/>
          <w:numId w:val="0"/>
        </w:numPr>
        <w:jc w:val="both"/>
        <w:rPr>
          <w:sz w:val="22"/>
          <w:szCs w:val="22"/>
        </w:rPr>
      </w:pPr>
    </w:p>
    <w:p w:rsidR="00AA5459" w:rsidRPr="00AA5459" w:rsidRDefault="00AA5459" w:rsidP="009A5EEB">
      <w:pPr>
        <w:pStyle w:val="MainParawithChapter"/>
        <w:jc w:val="both"/>
        <w:rPr>
          <w:sz w:val="22"/>
          <w:szCs w:val="22"/>
        </w:rPr>
      </w:pPr>
      <w:r w:rsidRPr="00AA5459">
        <w:rPr>
          <w:sz w:val="22"/>
          <w:szCs w:val="22"/>
        </w:rPr>
        <w:t xml:space="preserve">Men are also more prone to </w:t>
      </w:r>
      <w:r w:rsidR="008716BB">
        <w:rPr>
          <w:sz w:val="22"/>
          <w:szCs w:val="22"/>
        </w:rPr>
        <w:t>injuries</w:t>
      </w:r>
      <w:r w:rsidRPr="00AA5459">
        <w:rPr>
          <w:sz w:val="22"/>
          <w:szCs w:val="22"/>
        </w:rPr>
        <w:t xml:space="preserve"> than women. Traffic accidents, alcohol poisoning, suicides, homicides and other external causes of death account for 14 percent of all death rates and male death rates are five times higher than</w:t>
      </w:r>
      <w:r w:rsidR="008716BB">
        <w:rPr>
          <w:sz w:val="22"/>
          <w:szCs w:val="22"/>
        </w:rPr>
        <w:t xml:space="preserve"> for</w:t>
      </w:r>
      <w:r w:rsidRPr="00AA5459">
        <w:rPr>
          <w:sz w:val="22"/>
          <w:szCs w:val="22"/>
        </w:rPr>
        <w:t xml:space="preserve"> female. Much higher death rates from </w:t>
      </w:r>
      <w:r w:rsidR="008716BB">
        <w:rPr>
          <w:sz w:val="22"/>
          <w:szCs w:val="22"/>
        </w:rPr>
        <w:t>injuries</w:t>
      </w:r>
      <w:r w:rsidRPr="00AA5459">
        <w:rPr>
          <w:sz w:val="22"/>
          <w:szCs w:val="22"/>
        </w:rPr>
        <w:t xml:space="preserve"> can be explained by concentration of men in industries with higher risk of </w:t>
      </w:r>
      <w:r w:rsidR="008716BB">
        <w:rPr>
          <w:sz w:val="22"/>
          <w:szCs w:val="22"/>
        </w:rPr>
        <w:t>injuries</w:t>
      </w:r>
      <w:r w:rsidRPr="00AA5459">
        <w:rPr>
          <w:sz w:val="22"/>
          <w:szCs w:val="22"/>
        </w:rPr>
        <w:t xml:space="preserve"> and more risky behavior. For example, only 6 percent of women worked in transport and construction sectors in 2008 compared to 23 percent of men. As a result, men accounted for 74 percent of all employment </w:t>
      </w:r>
      <w:r w:rsidR="008716BB">
        <w:rPr>
          <w:sz w:val="22"/>
          <w:szCs w:val="22"/>
        </w:rPr>
        <w:t>injuries</w:t>
      </w:r>
      <w:r w:rsidRPr="00AA5459">
        <w:rPr>
          <w:sz w:val="22"/>
          <w:szCs w:val="22"/>
        </w:rPr>
        <w:t xml:space="preserve"> in 2009 (NSC, 2010).</w:t>
      </w:r>
    </w:p>
    <w:p w:rsidR="00AA5459" w:rsidRPr="00AA5459" w:rsidRDefault="00AA5459" w:rsidP="009A5EEB">
      <w:pPr>
        <w:pStyle w:val="MainParawithChapter"/>
        <w:numPr>
          <w:ilvl w:val="0"/>
          <w:numId w:val="0"/>
        </w:numPr>
        <w:jc w:val="both"/>
        <w:rPr>
          <w:sz w:val="22"/>
          <w:szCs w:val="22"/>
        </w:rPr>
      </w:pPr>
    </w:p>
    <w:p w:rsidR="00AA5459" w:rsidRDefault="00AA5459" w:rsidP="009A5EEB">
      <w:pPr>
        <w:pStyle w:val="MainParawithChapter"/>
        <w:jc w:val="both"/>
        <w:rPr>
          <w:sz w:val="22"/>
          <w:szCs w:val="22"/>
        </w:rPr>
      </w:pPr>
      <w:r w:rsidRPr="00AA5459">
        <w:rPr>
          <w:sz w:val="22"/>
          <w:szCs w:val="22"/>
        </w:rPr>
        <w:t xml:space="preserve">There was a substantial progress with the reduction of maternal mortality in Belarus during the last decade.  According to Save the Children (2012), Belarus occupies the 25th place among 43 developed countries in Mother’s Index which indicates high level of mothers’ well-being in Belarus. Belarus managed to curb modeled maternal mortality from 31 in 2000 to a low 4 per 100,000 live births in 2010 which is eight times lower than the average for ECA region (WDI). Maternal mortality (nationally defined) declined sharply as well (from 21 to 1 per 100,000 live births). The positive tendencies were observed both in urban and rural areas, but rural areas are lagging behind which may be related to the less access to the qualified medical </w:t>
      </w:r>
      <w:r w:rsidRPr="00AA5459">
        <w:rPr>
          <w:sz w:val="22"/>
          <w:szCs w:val="22"/>
        </w:rPr>
        <w:lastRenderedPageBreak/>
        <w:t>assistance. Overall, safe pregnancy and delivery interventions, as well as reduction in the number of abortions are considered to stimulate decline in maternal mortality during the last decade (Institute of Economic Research under the Ministry of Economy of Belarus, 2010).</w:t>
      </w:r>
      <w:r w:rsidR="00927E90">
        <w:rPr>
          <w:rStyle w:val="FootnoteReference"/>
          <w:sz w:val="22"/>
          <w:szCs w:val="22"/>
        </w:rPr>
        <w:footnoteReference w:id="10"/>
      </w:r>
    </w:p>
    <w:p w:rsidR="00B2122E" w:rsidRDefault="00B2122E" w:rsidP="00B2122E">
      <w:pPr>
        <w:pStyle w:val="ListParagraph"/>
        <w:rPr>
          <w:sz w:val="22"/>
          <w:szCs w:val="22"/>
        </w:rPr>
      </w:pPr>
    </w:p>
    <w:tbl>
      <w:tblPr>
        <w:tblW w:w="0" w:type="auto"/>
        <w:tblBorders>
          <w:bottom w:val="single" w:sz="8" w:space="0" w:color="4F81BD"/>
        </w:tblBorders>
        <w:tblLook w:val="00A0" w:firstRow="1" w:lastRow="0" w:firstColumn="1" w:lastColumn="0" w:noHBand="0" w:noVBand="0"/>
      </w:tblPr>
      <w:tblGrid>
        <w:gridCol w:w="4591"/>
        <w:gridCol w:w="4265"/>
      </w:tblGrid>
      <w:tr w:rsidR="00B2122E" w:rsidRPr="00997957" w:rsidTr="006039CB">
        <w:tc>
          <w:tcPr>
            <w:tcW w:w="9576" w:type="dxa"/>
            <w:gridSpan w:val="2"/>
            <w:tcBorders>
              <w:top w:val="nil"/>
              <w:bottom w:val="single" w:sz="4" w:space="0" w:color="auto"/>
            </w:tcBorders>
          </w:tcPr>
          <w:p w:rsidR="00B2122E" w:rsidRPr="00997957" w:rsidRDefault="009F5B52" w:rsidP="00EF414D">
            <w:pPr>
              <w:pStyle w:val="Caption"/>
              <w:jc w:val="both"/>
              <w:rPr>
                <w:b w:val="0"/>
                <w:color w:val="1F497D"/>
              </w:rPr>
            </w:pPr>
            <w:bookmarkStart w:id="31" w:name="_Toc351104635"/>
            <w:bookmarkStart w:id="32" w:name="_Toc383010212"/>
            <w:r>
              <w:t xml:space="preserve">Figure </w:t>
            </w:r>
            <w:r w:rsidR="008A55B1">
              <w:fldChar w:fldCharType="begin"/>
            </w:r>
            <w:r w:rsidR="008A55B1">
              <w:instrText xml:space="preserve"> STYLEREF 1 \s </w:instrText>
            </w:r>
            <w:r w:rsidR="008A55B1">
              <w:fldChar w:fldCharType="separate"/>
            </w:r>
            <w:r w:rsidR="008A55B1">
              <w:rPr>
                <w:noProof/>
              </w:rPr>
              <w:t>2</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6</w:t>
            </w:r>
            <w:r w:rsidR="008A55B1">
              <w:rPr>
                <w:noProof/>
              </w:rPr>
              <w:fldChar w:fldCharType="end"/>
            </w:r>
            <w:r>
              <w:t>:</w:t>
            </w:r>
            <w:r w:rsidR="00B2122E" w:rsidRPr="00997957">
              <w:t xml:space="preserve"> Mortality and </w:t>
            </w:r>
            <w:r>
              <w:t>Death R</w:t>
            </w:r>
            <w:r w:rsidR="00B2122E" w:rsidRPr="00997957">
              <w:t>ates</w:t>
            </w:r>
            <w:bookmarkEnd w:id="31"/>
            <w:bookmarkEnd w:id="32"/>
            <w:r w:rsidR="00B2122E" w:rsidRPr="00997957">
              <w:rPr>
                <w:b w:val="0"/>
                <w:color w:val="1F497D"/>
              </w:rPr>
              <w:t xml:space="preserve"> </w:t>
            </w:r>
          </w:p>
        </w:tc>
      </w:tr>
      <w:tr w:rsidR="00B2122E" w:rsidRPr="001520FF" w:rsidTr="006039CB">
        <w:tc>
          <w:tcPr>
            <w:tcW w:w="4839" w:type="dxa"/>
            <w:tcBorders>
              <w:top w:val="single" w:sz="4" w:space="0" w:color="auto"/>
              <w:left w:val="nil"/>
              <w:bottom w:val="single" w:sz="8" w:space="0" w:color="4F81BD"/>
              <w:right w:val="nil"/>
            </w:tcBorders>
          </w:tcPr>
          <w:p w:rsidR="00B2122E" w:rsidRPr="00FD5B21" w:rsidRDefault="00B2122E" w:rsidP="008F24ED">
            <w:pPr>
              <w:rPr>
                <w:sz w:val="20"/>
                <w:szCs w:val="20"/>
              </w:rPr>
            </w:pPr>
            <w:r w:rsidRPr="00FD5B21">
              <w:rPr>
                <w:sz w:val="20"/>
                <w:szCs w:val="20"/>
              </w:rPr>
              <w:t>a) Mortality rate per 1000 adults by gender, 2000 and 2010</w:t>
            </w:r>
          </w:p>
        </w:tc>
        <w:tc>
          <w:tcPr>
            <w:tcW w:w="4737" w:type="dxa"/>
            <w:tcBorders>
              <w:top w:val="single" w:sz="4" w:space="0" w:color="auto"/>
              <w:left w:val="nil"/>
              <w:bottom w:val="single" w:sz="8" w:space="0" w:color="4F81BD"/>
              <w:right w:val="nil"/>
            </w:tcBorders>
          </w:tcPr>
          <w:p w:rsidR="00B2122E" w:rsidRPr="00FD5B21" w:rsidRDefault="00B2122E" w:rsidP="008F24ED">
            <w:pPr>
              <w:rPr>
                <w:sz w:val="20"/>
                <w:szCs w:val="20"/>
              </w:rPr>
            </w:pPr>
            <w:r w:rsidRPr="00FD5B21">
              <w:rPr>
                <w:sz w:val="20"/>
                <w:szCs w:val="20"/>
              </w:rPr>
              <w:t>b) Age-standardized death rates per 100,000 by cause and sex in 2008</w:t>
            </w:r>
          </w:p>
        </w:tc>
      </w:tr>
      <w:tr w:rsidR="00B2122E" w:rsidRPr="00BC6659" w:rsidTr="006039CB">
        <w:tc>
          <w:tcPr>
            <w:tcW w:w="4839" w:type="dxa"/>
            <w:tcBorders>
              <w:top w:val="single" w:sz="8" w:space="0" w:color="4F81BD"/>
              <w:left w:val="nil"/>
              <w:bottom w:val="single" w:sz="4" w:space="0" w:color="auto"/>
              <w:right w:val="nil"/>
            </w:tcBorders>
          </w:tcPr>
          <w:p w:rsidR="00B2122E" w:rsidRPr="00F3070F" w:rsidRDefault="005A6047" w:rsidP="008F24ED">
            <w:pPr>
              <w:rPr>
                <w:noProof/>
                <w:lang w:eastAsia="ru-RU"/>
              </w:rPr>
            </w:pPr>
            <w:r>
              <w:rPr>
                <w:noProof/>
              </w:rPr>
              <w:drawing>
                <wp:inline distT="0" distB="0" distL="0" distR="0" wp14:anchorId="16A90F02" wp14:editId="6EB1705A">
                  <wp:extent cx="2901950" cy="2286000"/>
                  <wp:effectExtent l="0" t="0" r="0" b="0"/>
                  <wp:docPr id="1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37" w:type="dxa"/>
            <w:tcBorders>
              <w:top w:val="single" w:sz="8" w:space="0" w:color="4F81BD"/>
              <w:left w:val="nil"/>
              <w:bottom w:val="single" w:sz="4" w:space="0" w:color="auto"/>
              <w:right w:val="nil"/>
            </w:tcBorders>
          </w:tcPr>
          <w:p w:rsidR="00B2122E" w:rsidRPr="00BC6659" w:rsidRDefault="005A6047" w:rsidP="008F24ED">
            <w:pPr>
              <w:rPr>
                <w:noProof/>
                <w:lang w:eastAsia="ru-RU"/>
              </w:rPr>
            </w:pPr>
            <w:r>
              <w:rPr>
                <w:noProof/>
              </w:rPr>
              <w:drawing>
                <wp:inline distT="0" distB="0" distL="0" distR="0" wp14:anchorId="2830287B" wp14:editId="5A8DACDB">
                  <wp:extent cx="2682875" cy="2095500"/>
                  <wp:effectExtent l="0" t="0" r="3175" b="0"/>
                  <wp:docPr id="14" name="Pictur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B2122E" w:rsidRPr="001520FF" w:rsidTr="006039CB">
        <w:tc>
          <w:tcPr>
            <w:tcW w:w="9576" w:type="dxa"/>
            <w:gridSpan w:val="2"/>
            <w:tcBorders>
              <w:top w:val="single" w:sz="4" w:space="0" w:color="auto"/>
              <w:left w:val="nil"/>
              <w:bottom w:val="nil"/>
              <w:right w:val="nil"/>
            </w:tcBorders>
          </w:tcPr>
          <w:p w:rsidR="00B2122E" w:rsidRPr="001520FF" w:rsidRDefault="00B2122E" w:rsidP="008F24ED">
            <w:r w:rsidRPr="001520FF">
              <w:rPr>
                <w:i/>
                <w:sz w:val="18"/>
              </w:rPr>
              <w:t>Source</w:t>
            </w:r>
            <w:r w:rsidRPr="001520FF">
              <w:rPr>
                <w:sz w:val="18"/>
              </w:rPr>
              <w:t>:</w:t>
            </w:r>
            <w:r>
              <w:rPr>
                <w:sz w:val="18"/>
              </w:rPr>
              <w:t xml:space="preserve"> WDI and WHO.</w:t>
            </w:r>
          </w:p>
        </w:tc>
      </w:tr>
    </w:tbl>
    <w:p w:rsidR="00B2122E" w:rsidRDefault="00B2122E" w:rsidP="00B2122E">
      <w:pPr>
        <w:pStyle w:val="MainParawithChapter"/>
        <w:numPr>
          <w:ilvl w:val="0"/>
          <w:numId w:val="0"/>
        </w:numPr>
        <w:jc w:val="both"/>
        <w:rPr>
          <w:sz w:val="22"/>
          <w:szCs w:val="22"/>
        </w:rPr>
      </w:pPr>
    </w:p>
    <w:p w:rsidR="00AA5459" w:rsidRDefault="00AA5459" w:rsidP="009A5EEB">
      <w:pPr>
        <w:pStyle w:val="MainParawithChapter"/>
        <w:numPr>
          <w:ilvl w:val="0"/>
          <w:numId w:val="0"/>
        </w:numPr>
        <w:jc w:val="both"/>
        <w:rPr>
          <w:sz w:val="22"/>
          <w:szCs w:val="22"/>
        </w:rPr>
      </w:pPr>
    </w:p>
    <w:p w:rsidR="00AA5459" w:rsidRPr="00AA5459" w:rsidRDefault="00AA5459" w:rsidP="009A5EEB">
      <w:pPr>
        <w:pStyle w:val="MainParawithChapter"/>
        <w:jc w:val="both"/>
        <w:rPr>
          <w:sz w:val="22"/>
          <w:szCs w:val="22"/>
        </w:rPr>
      </w:pPr>
      <w:r w:rsidRPr="00AA5459">
        <w:rPr>
          <w:sz w:val="22"/>
          <w:szCs w:val="22"/>
        </w:rPr>
        <w:t xml:space="preserve">Contraceptive prevalence is quite high in Belarus and increased steadily over the last two decades with the level similar to western countries. According to UNICEF, contraceptive prevalence in Belarus was about 73 percent between 2006-2010 years. This is comparable or even slightly higher than in some Western countries. For instance, contraceptive prevalence in the Netherlands was 69 percent and in Portugal 67 percent. According to Denisov, Sakevich and Jasilioniene (2012), among the most popular contraceptive methods are intrauterine devices and condoms. Between 1990 and 2010, the proportion of Belarusian women (aged 15–49 years) using hormonal contraceptives increased from 5 to 20 per cent, which is consistent with falling abortion rates. </w:t>
      </w:r>
    </w:p>
    <w:p w:rsidR="00AA5459" w:rsidRPr="00AA5459" w:rsidRDefault="00AA5459" w:rsidP="009A5EEB">
      <w:pPr>
        <w:pStyle w:val="MainParawithChapter"/>
        <w:numPr>
          <w:ilvl w:val="0"/>
          <w:numId w:val="0"/>
        </w:numPr>
        <w:jc w:val="both"/>
        <w:rPr>
          <w:sz w:val="22"/>
          <w:szCs w:val="22"/>
        </w:rPr>
      </w:pPr>
    </w:p>
    <w:p w:rsidR="00AA5459" w:rsidRPr="00AA5459" w:rsidRDefault="00AA5459" w:rsidP="009A5EEB">
      <w:pPr>
        <w:pStyle w:val="MainParawithChapter"/>
        <w:jc w:val="both"/>
        <w:rPr>
          <w:sz w:val="22"/>
          <w:szCs w:val="22"/>
        </w:rPr>
      </w:pPr>
      <w:r w:rsidRPr="00AA5459">
        <w:rPr>
          <w:sz w:val="22"/>
          <w:szCs w:val="22"/>
        </w:rPr>
        <w:t xml:space="preserve">Under-five and infant mortality rates in Belarus declined sharply during the last decade and now are at the levels of developed countries, but with pronounced regional differences. </w:t>
      </w:r>
      <w:r w:rsidR="008E3DC1">
        <w:rPr>
          <w:sz w:val="22"/>
          <w:szCs w:val="22"/>
        </w:rPr>
        <w:t xml:space="preserve">As shown in Figure 2.7a, </w:t>
      </w:r>
      <w:r w:rsidRPr="00AA5459">
        <w:rPr>
          <w:sz w:val="22"/>
          <w:szCs w:val="22"/>
        </w:rPr>
        <w:t>Belarus progressed extremely well in reducing both infant and under-5 child mortality to the levels of developed industrialized countries (3.9 per 1000 live births and 5.6 per 1000 children respectively). Nevertheless, there are still disparities between places of residence, with higher mortality rates observed in rural areas</w:t>
      </w:r>
      <w:r w:rsidR="00107B85">
        <w:rPr>
          <w:sz w:val="22"/>
          <w:szCs w:val="22"/>
        </w:rPr>
        <w:t xml:space="preserve"> (Figure 2.7b)</w:t>
      </w:r>
      <w:r w:rsidRPr="00AA5459">
        <w:rPr>
          <w:sz w:val="22"/>
          <w:szCs w:val="22"/>
        </w:rPr>
        <w:t xml:space="preserve">. </w:t>
      </w:r>
    </w:p>
    <w:p w:rsidR="00AA5459" w:rsidRPr="00AA5459" w:rsidRDefault="00AA5459" w:rsidP="009A5EEB">
      <w:pPr>
        <w:pStyle w:val="MainParawithChapter"/>
        <w:numPr>
          <w:ilvl w:val="0"/>
          <w:numId w:val="0"/>
        </w:numPr>
        <w:jc w:val="both"/>
        <w:rPr>
          <w:sz w:val="22"/>
          <w:szCs w:val="22"/>
        </w:rPr>
      </w:pPr>
    </w:p>
    <w:p w:rsidR="00AA5459" w:rsidRDefault="00AA5459" w:rsidP="009A5EEB">
      <w:pPr>
        <w:pStyle w:val="MainParawithChapter"/>
        <w:jc w:val="both"/>
        <w:rPr>
          <w:sz w:val="22"/>
          <w:szCs w:val="22"/>
        </w:rPr>
      </w:pPr>
      <w:r w:rsidRPr="00AA5459">
        <w:rPr>
          <w:sz w:val="22"/>
          <w:szCs w:val="22"/>
        </w:rPr>
        <w:t xml:space="preserve">More concerns are related to high rates of morbidity among children along with poor health of pregnant women. In spite of low infant and child mortality, there is no progress in the rates of morbidity among children. According to NSC (2011b), percentage of newborns with developed illnesses fluctuated around 19-20 percent in 2000-2010 years. According to the Institute for Economic Research under the Ministry of Economy of Belarus (2010), each year about 2.5 thousand cases of infant congenital diseases are recorded and often lead to child </w:t>
      </w:r>
      <w:r w:rsidRPr="00AA5459">
        <w:rPr>
          <w:sz w:val="22"/>
          <w:szCs w:val="22"/>
        </w:rPr>
        <w:lastRenderedPageBreak/>
        <w:t>disability. Taking into account that about 70 percent of women are ill during pregnancy (NSC, 2011b) the quality of existing health services and their accessibility still should be on the Government agenda.</w:t>
      </w:r>
    </w:p>
    <w:p w:rsidR="00B2122E" w:rsidRDefault="00B2122E" w:rsidP="00B2122E">
      <w:pPr>
        <w:pStyle w:val="ListParagraph"/>
        <w:rPr>
          <w:sz w:val="22"/>
          <w:szCs w:val="22"/>
        </w:rPr>
      </w:pPr>
    </w:p>
    <w:tbl>
      <w:tblPr>
        <w:tblW w:w="0" w:type="auto"/>
        <w:tblBorders>
          <w:bottom w:val="single" w:sz="8" w:space="0" w:color="4F81BD"/>
        </w:tblBorders>
        <w:tblLook w:val="00A0" w:firstRow="1" w:lastRow="0" w:firstColumn="1" w:lastColumn="0" w:noHBand="0" w:noVBand="0"/>
      </w:tblPr>
      <w:tblGrid>
        <w:gridCol w:w="4449"/>
        <w:gridCol w:w="4407"/>
      </w:tblGrid>
      <w:tr w:rsidR="00B2122E" w:rsidRPr="001520FF" w:rsidTr="006039CB">
        <w:tc>
          <w:tcPr>
            <w:tcW w:w="9576" w:type="dxa"/>
            <w:gridSpan w:val="2"/>
            <w:tcBorders>
              <w:top w:val="nil"/>
              <w:bottom w:val="single" w:sz="4" w:space="0" w:color="auto"/>
            </w:tcBorders>
          </w:tcPr>
          <w:p w:rsidR="00B2122E" w:rsidRPr="00997957" w:rsidRDefault="009F5B52" w:rsidP="009F5B52">
            <w:pPr>
              <w:pStyle w:val="Caption"/>
              <w:jc w:val="both"/>
              <w:rPr>
                <w:b w:val="0"/>
                <w:color w:val="1F497D"/>
              </w:rPr>
            </w:pPr>
            <w:bookmarkStart w:id="33" w:name="AdultMaleMR"/>
            <w:bookmarkStart w:id="34" w:name="_Toc351104636"/>
            <w:bookmarkStart w:id="35" w:name="_Toc383010213"/>
            <w:r>
              <w:t xml:space="preserve">Figure </w:t>
            </w:r>
            <w:r w:rsidR="008A55B1">
              <w:fldChar w:fldCharType="begin"/>
            </w:r>
            <w:r w:rsidR="008A55B1">
              <w:instrText xml:space="preserve"> STYLEREF 1 \s </w:instrText>
            </w:r>
            <w:r w:rsidR="008A55B1">
              <w:fldChar w:fldCharType="separate"/>
            </w:r>
            <w:r w:rsidR="008A55B1">
              <w:rPr>
                <w:noProof/>
              </w:rPr>
              <w:t>2</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7</w:t>
            </w:r>
            <w:r w:rsidR="008A55B1">
              <w:rPr>
                <w:noProof/>
              </w:rPr>
              <w:fldChar w:fldCharType="end"/>
            </w:r>
            <w:r>
              <w:t>:</w:t>
            </w:r>
            <w:r w:rsidR="00B2122E" w:rsidRPr="00997957">
              <w:t xml:space="preserve"> </w:t>
            </w:r>
            <w:bookmarkEnd w:id="33"/>
            <w:r w:rsidR="00B2122E" w:rsidRPr="00997957">
              <w:t xml:space="preserve">Infant and </w:t>
            </w:r>
            <w:r>
              <w:t>U</w:t>
            </w:r>
            <w:r w:rsidR="00B2122E" w:rsidRPr="00997957">
              <w:t xml:space="preserve">nder-5 </w:t>
            </w:r>
            <w:r>
              <w:t>C</w:t>
            </w:r>
            <w:r w:rsidR="00B2122E" w:rsidRPr="00997957">
              <w:t xml:space="preserve">hild </w:t>
            </w:r>
            <w:r>
              <w:t>M</w:t>
            </w:r>
            <w:r w:rsidR="00B2122E" w:rsidRPr="00997957">
              <w:t>ortality</w:t>
            </w:r>
            <w:bookmarkEnd w:id="34"/>
            <w:bookmarkEnd w:id="35"/>
          </w:p>
        </w:tc>
      </w:tr>
      <w:tr w:rsidR="00B2122E" w:rsidRPr="001520FF" w:rsidTr="006039CB">
        <w:tc>
          <w:tcPr>
            <w:tcW w:w="4683" w:type="dxa"/>
            <w:tcBorders>
              <w:top w:val="single" w:sz="4" w:space="0" w:color="auto"/>
              <w:left w:val="nil"/>
              <w:bottom w:val="single" w:sz="8" w:space="0" w:color="4F81BD"/>
              <w:right w:val="nil"/>
            </w:tcBorders>
          </w:tcPr>
          <w:p w:rsidR="00B2122E" w:rsidRPr="00FD5B21" w:rsidRDefault="00B2122E" w:rsidP="008F24ED">
            <w:pPr>
              <w:rPr>
                <w:sz w:val="20"/>
                <w:szCs w:val="20"/>
              </w:rPr>
            </w:pPr>
            <w:r w:rsidRPr="00FD5B21">
              <w:rPr>
                <w:sz w:val="20"/>
                <w:szCs w:val="20"/>
              </w:rPr>
              <w:t>a) Infant and under-5 child mortality in Belarus and ECA region in 2000 and 2011</w:t>
            </w:r>
          </w:p>
        </w:tc>
        <w:tc>
          <w:tcPr>
            <w:tcW w:w="4893" w:type="dxa"/>
            <w:tcBorders>
              <w:top w:val="single" w:sz="4" w:space="0" w:color="auto"/>
              <w:left w:val="nil"/>
              <w:bottom w:val="single" w:sz="8" w:space="0" w:color="4F81BD"/>
              <w:right w:val="nil"/>
            </w:tcBorders>
          </w:tcPr>
          <w:p w:rsidR="00B2122E" w:rsidRPr="00FD5B21" w:rsidRDefault="00B2122E" w:rsidP="008F24ED">
            <w:pPr>
              <w:rPr>
                <w:sz w:val="20"/>
                <w:szCs w:val="20"/>
              </w:rPr>
            </w:pPr>
            <w:r w:rsidRPr="00FD5B21">
              <w:rPr>
                <w:sz w:val="20"/>
                <w:szCs w:val="20"/>
              </w:rPr>
              <w:t>b) Infant and under-5 child mortality in Belarus across residence in 2000 and 2009</w:t>
            </w:r>
          </w:p>
        </w:tc>
      </w:tr>
      <w:tr w:rsidR="00B2122E" w:rsidRPr="001520FF" w:rsidTr="006039CB">
        <w:tc>
          <w:tcPr>
            <w:tcW w:w="4683" w:type="dxa"/>
            <w:tcBorders>
              <w:top w:val="single" w:sz="8" w:space="0" w:color="4F81BD"/>
              <w:left w:val="nil"/>
              <w:bottom w:val="single" w:sz="4" w:space="0" w:color="auto"/>
              <w:right w:val="nil"/>
            </w:tcBorders>
          </w:tcPr>
          <w:p w:rsidR="00B2122E" w:rsidRPr="00F90BB8" w:rsidRDefault="005A6047" w:rsidP="008F24ED">
            <w:pPr>
              <w:rPr>
                <w:noProof/>
                <w:lang w:eastAsia="ru-RU"/>
              </w:rPr>
            </w:pPr>
            <w:r>
              <w:rPr>
                <w:noProof/>
              </w:rPr>
              <w:drawing>
                <wp:inline distT="0" distB="0" distL="0" distR="0" wp14:anchorId="082D33EA" wp14:editId="492D5021">
                  <wp:extent cx="2789555" cy="2207260"/>
                  <wp:effectExtent l="0" t="0" r="0" b="2540"/>
                  <wp:docPr id="15" name="Picture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93" w:type="dxa"/>
            <w:tcBorders>
              <w:top w:val="single" w:sz="8" w:space="0" w:color="4F81BD"/>
              <w:left w:val="nil"/>
              <w:bottom w:val="single" w:sz="4" w:space="0" w:color="auto"/>
              <w:right w:val="nil"/>
            </w:tcBorders>
          </w:tcPr>
          <w:p w:rsidR="00B2122E" w:rsidRPr="00F90BB8" w:rsidRDefault="005A6047" w:rsidP="008F24ED">
            <w:pPr>
              <w:rPr>
                <w:noProof/>
                <w:lang w:eastAsia="ru-RU"/>
              </w:rPr>
            </w:pPr>
            <w:r>
              <w:rPr>
                <w:noProof/>
              </w:rPr>
              <w:drawing>
                <wp:inline distT="0" distB="0" distL="0" distR="0" wp14:anchorId="6A67DDB3" wp14:editId="2DB10275">
                  <wp:extent cx="2759710" cy="2246630"/>
                  <wp:effectExtent l="0" t="0" r="2540" b="1270"/>
                  <wp:docPr id="1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B2122E" w:rsidRPr="001520FF" w:rsidTr="006039CB">
        <w:tc>
          <w:tcPr>
            <w:tcW w:w="9576" w:type="dxa"/>
            <w:gridSpan w:val="2"/>
            <w:tcBorders>
              <w:top w:val="single" w:sz="4" w:space="0" w:color="auto"/>
              <w:left w:val="nil"/>
              <w:bottom w:val="nil"/>
              <w:right w:val="nil"/>
            </w:tcBorders>
          </w:tcPr>
          <w:p w:rsidR="00B2122E" w:rsidRPr="001520FF" w:rsidRDefault="00B2122E" w:rsidP="008F24ED">
            <w:r w:rsidRPr="001520FF">
              <w:rPr>
                <w:i/>
                <w:sz w:val="18"/>
              </w:rPr>
              <w:t>Source</w:t>
            </w:r>
            <w:r w:rsidRPr="001520FF">
              <w:rPr>
                <w:sz w:val="18"/>
              </w:rPr>
              <w:t xml:space="preserve">: </w:t>
            </w:r>
            <w:r>
              <w:rPr>
                <w:sz w:val="18"/>
              </w:rPr>
              <w:t xml:space="preserve">WDI and NSC (2010). </w:t>
            </w:r>
          </w:p>
        </w:tc>
      </w:tr>
    </w:tbl>
    <w:p w:rsidR="00B2122E" w:rsidRDefault="00B2122E" w:rsidP="00B2122E"/>
    <w:p w:rsidR="00B2122E" w:rsidRDefault="00B2122E" w:rsidP="00B2122E">
      <w:pPr>
        <w:pStyle w:val="MainParawithChapter"/>
        <w:numPr>
          <w:ilvl w:val="0"/>
          <w:numId w:val="0"/>
        </w:numPr>
        <w:jc w:val="both"/>
        <w:rPr>
          <w:sz w:val="22"/>
          <w:szCs w:val="22"/>
        </w:rPr>
      </w:pPr>
    </w:p>
    <w:p w:rsidR="00AA5459" w:rsidRDefault="00AA5459" w:rsidP="00AA5459">
      <w:pPr>
        <w:pStyle w:val="ListParagraph"/>
        <w:rPr>
          <w:sz w:val="22"/>
          <w:szCs w:val="22"/>
        </w:rPr>
      </w:pPr>
    </w:p>
    <w:p w:rsidR="005C1B4D" w:rsidRDefault="005C1B4D" w:rsidP="00AA5459">
      <w:pPr>
        <w:pStyle w:val="ListParagraph"/>
        <w:rPr>
          <w:sz w:val="22"/>
          <w:szCs w:val="22"/>
        </w:rPr>
        <w:sectPr w:rsidR="005C1B4D" w:rsidSect="0045539F">
          <w:headerReference w:type="even" r:id="rId32"/>
          <w:headerReference w:type="default" r:id="rId33"/>
          <w:footerReference w:type="even" r:id="rId34"/>
          <w:footerReference w:type="first" r:id="rId35"/>
          <w:type w:val="oddPage"/>
          <w:pgSz w:w="12240" w:h="15840" w:code="1"/>
          <w:pgMar w:top="1440" w:right="1800" w:bottom="1440" w:left="1800" w:header="720" w:footer="720" w:gutter="0"/>
          <w:cols w:space="720"/>
          <w:docGrid w:linePitch="360"/>
        </w:sectPr>
      </w:pPr>
    </w:p>
    <w:p w:rsidR="009A5EEB" w:rsidRDefault="009A5EEB" w:rsidP="00AA5459">
      <w:pPr>
        <w:pStyle w:val="ListParagraph"/>
        <w:rPr>
          <w:sz w:val="22"/>
          <w:szCs w:val="22"/>
        </w:rPr>
      </w:pPr>
    </w:p>
    <w:p w:rsidR="00B20EAB" w:rsidRPr="004C18F3" w:rsidRDefault="00D4399F" w:rsidP="00A904F2">
      <w:pPr>
        <w:pStyle w:val="Heading1"/>
      </w:pPr>
      <w:r>
        <w:br/>
      </w:r>
      <w:r>
        <w:br/>
      </w:r>
      <w:bookmarkStart w:id="36" w:name="_Toc383011588"/>
      <w:r w:rsidR="004E4C78" w:rsidRPr="004C18F3">
        <w:t>ECONOMIC OPPORTUNITIES</w:t>
      </w:r>
      <w:bookmarkEnd w:id="36"/>
      <w:r w:rsidR="004C18F3">
        <w:br/>
      </w:r>
    </w:p>
    <w:p w:rsidR="00E95E30" w:rsidRPr="00FD5B21" w:rsidRDefault="00E95E30" w:rsidP="00C45BC0">
      <w:pPr>
        <w:pStyle w:val="Heading2"/>
        <w:numPr>
          <w:ilvl w:val="0"/>
          <w:numId w:val="46"/>
        </w:numPr>
        <w:tabs>
          <w:tab w:val="left" w:pos="0"/>
        </w:tabs>
        <w:ind w:left="0" w:firstLine="0"/>
        <w:jc w:val="center"/>
        <w:rPr>
          <w:rFonts w:ascii="Times New Roman Bold" w:hAnsi="Times New Roman Bold"/>
          <w:smallCaps/>
        </w:rPr>
      </w:pPr>
      <w:bookmarkStart w:id="37" w:name="_Toc383011589"/>
      <w:r w:rsidRPr="00E95E30">
        <w:rPr>
          <w:rFonts w:ascii="Times New Roman Bold" w:hAnsi="Times New Roman Bold"/>
          <w:smallCaps/>
        </w:rPr>
        <w:t>Labor Market</w:t>
      </w:r>
      <w:bookmarkEnd w:id="37"/>
    </w:p>
    <w:p w:rsidR="00E95E30" w:rsidRPr="00E95E30" w:rsidRDefault="00E95E30" w:rsidP="00E95E30"/>
    <w:p w:rsidR="009A5EEB" w:rsidRDefault="009362D1" w:rsidP="00E95E30">
      <w:pPr>
        <w:pStyle w:val="MainParawithChapter"/>
        <w:jc w:val="both"/>
        <w:rPr>
          <w:sz w:val="22"/>
          <w:szCs w:val="22"/>
        </w:rPr>
      </w:pPr>
      <w:r>
        <w:rPr>
          <w:sz w:val="22"/>
          <w:szCs w:val="22"/>
        </w:rPr>
        <w:t>Overall, there is minimum</w:t>
      </w:r>
      <w:r w:rsidR="009A5EEB" w:rsidRPr="009A5EEB">
        <w:rPr>
          <w:sz w:val="22"/>
          <w:szCs w:val="22"/>
        </w:rPr>
        <w:t xml:space="preserve"> discrimination in the legislation related to getting a job.  The Constitution guarantees equal rights to get jobs, to choose occupations and to get equal remuneration. Relationships in the labor market are regulated by the Labor Code which forbids any discrimination based on race, gender, language, and religion.  </w:t>
      </w:r>
      <w:r>
        <w:rPr>
          <w:sz w:val="22"/>
          <w:szCs w:val="22"/>
        </w:rPr>
        <w:t>Nevertheless, a</w:t>
      </w:r>
      <w:r w:rsidR="009A5EEB" w:rsidRPr="009A5EEB">
        <w:rPr>
          <w:sz w:val="22"/>
          <w:szCs w:val="22"/>
        </w:rPr>
        <w:t xml:space="preserve">ccording to Women, Business and the Law (World Bank and IFC), women cannot work in some hazardous and dangerous sectors. The list of these sectors is prepared and approved by the </w:t>
      </w:r>
      <w:r w:rsidR="004C0836">
        <w:rPr>
          <w:sz w:val="22"/>
          <w:szCs w:val="22"/>
        </w:rPr>
        <w:t>G</w:t>
      </w:r>
      <w:r w:rsidR="004C0836" w:rsidRPr="009A5EEB">
        <w:rPr>
          <w:sz w:val="22"/>
          <w:szCs w:val="22"/>
        </w:rPr>
        <w:t xml:space="preserve">overnment </w:t>
      </w:r>
      <w:r w:rsidR="009A5EEB" w:rsidRPr="009A5EEB">
        <w:rPr>
          <w:sz w:val="22"/>
          <w:szCs w:val="22"/>
        </w:rPr>
        <w:t xml:space="preserve">(252 professions).  </w:t>
      </w:r>
    </w:p>
    <w:p w:rsidR="009A5EEB" w:rsidRDefault="009A5EEB" w:rsidP="00E95E30">
      <w:pPr>
        <w:pStyle w:val="MainParawithChapter"/>
        <w:numPr>
          <w:ilvl w:val="0"/>
          <w:numId w:val="0"/>
        </w:numPr>
        <w:jc w:val="both"/>
        <w:rPr>
          <w:sz w:val="22"/>
          <w:szCs w:val="22"/>
        </w:rPr>
      </w:pPr>
    </w:p>
    <w:p w:rsidR="009A5EEB" w:rsidRPr="009A5EEB" w:rsidRDefault="009A5EEB" w:rsidP="00E95E30">
      <w:pPr>
        <w:pStyle w:val="MainParawithChapter"/>
        <w:jc w:val="both"/>
        <w:rPr>
          <w:sz w:val="22"/>
          <w:szCs w:val="22"/>
        </w:rPr>
      </w:pPr>
      <w:r w:rsidRPr="009A5EEB">
        <w:rPr>
          <w:sz w:val="22"/>
          <w:szCs w:val="22"/>
        </w:rPr>
        <w:t>Women have specific benefits related to motherhood and parenting. Mandatory minimum length of paid maternity leave is 126 days in Belarus. The length of mandatory paid parental leave is 969 days. Full wage is paid by the government during the maternity leave. Paternity leave is not mandated in the law. The Labor Code obliges the employer to give the employee the same job when she returns from maternity leave. Employees with minor children have additional legal rights to a flexible or a part-time work schedule, while dismissal of pregnant women is penalized by the law (World Bank and IFC). Though on the one hand, benefits directly assist women with their responsibilities as mothers in taking care of children, on the other hand, these very same benefits can hurt women’s employment opportunities, wages, and career progression in the medium term. Employers, especially, private sector employers, may think twice about hiring young women as a result. Whether this is true in the case of Belarus, more analysis on better data would be required.</w:t>
      </w:r>
    </w:p>
    <w:p w:rsidR="009A5EEB" w:rsidRPr="009A5EEB" w:rsidRDefault="009A5EEB" w:rsidP="00E95E30">
      <w:pPr>
        <w:pStyle w:val="MainParawithChapter"/>
        <w:numPr>
          <w:ilvl w:val="0"/>
          <w:numId w:val="0"/>
        </w:numPr>
        <w:jc w:val="both"/>
        <w:rPr>
          <w:sz w:val="22"/>
          <w:szCs w:val="22"/>
        </w:rPr>
      </w:pPr>
    </w:p>
    <w:p w:rsidR="009A5EEB" w:rsidRDefault="009A5EEB" w:rsidP="00E95E30">
      <w:pPr>
        <w:pStyle w:val="MainParawithChapter"/>
        <w:jc w:val="both"/>
        <w:rPr>
          <w:sz w:val="22"/>
          <w:szCs w:val="22"/>
        </w:rPr>
      </w:pPr>
      <w:r w:rsidRPr="009A5EEB">
        <w:rPr>
          <w:sz w:val="22"/>
          <w:szCs w:val="22"/>
        </w:rPr>
        <w:t>Nevertheless, there is a gender gap in labor force participation in Belarus, but it is not high due to low male participation. Female labor force participation rate almost has not changed in Belarus since 2000 being around 52-50 percent of female population above 15 years old</w:t>
      </w:r>
      <w:r w:rsidR="00107B85">
        <w:rPr>
          <w:sz w:val="22"/>
          <w:szCs w:val="22"/>
        </w:rPr>
        <w:t xml:space="preserve"> (Figure 3.1)</w:t>
      </w:r>
      <w:r w:rsidR="00545C0F">
        <w:rPr>
          <w:rStyle w:val="FootnoteReference"/>
          <w:sz w:val="22"/>
          <w:szCs w:val="22"/>
        </w:rPr>
        <w:footnoteReference w:id="11"/>
      </w:r>
      <w:r w:rsidRPr="009A5EEB">
        <w:rPr>
          <w:sz w:val="22"/>
          <w:szCs w:val="22"/>
        </w:rPr>
        <w:t xml:space="preserve">.  This is similar to the average for ECA countries. Male labor force participation has decreased slightly from 65 percent in 2000 to 62 percent in 2010. This is much lower than the average for ECA region (70 percent in 2010). As a result of low male labor force participation, the gender gap in Belarus was smaller than the average for the ECA region in 2010 (12 versus 20 percent respectively).  </w:t>
      </w:r>
    </w:p>
    <w:p w:rsidR="00672AA9" w:rsidRDefault="00672AA9" w:rsidP="00672AA9">
      <w:pPr>
        <w:pStyle w:val="ListParagraph"/>
        <w:rPr>
          <w:sz w:val="22"/>
          <w:szCs w:val="22"/>
        </w:rPr>
      </w:pPr>
    </w:p>
    <w:p w:rsidR="00672AA9" w:rsidRPr="009A5EEB" w:rsidRDefault="00672AA9" w:rsidP="00672AA9">
      <w:pPr>
        <w:pStyle w:val="MainParawithChapter"/>
        <w:jc w:val="both"/>
        <w:rPr>
          <w:sz w:val="22"/>
          <w:szCs w:val="22"/>
        </w:rPr>
      </w:pPr>
      <w:r w:rsidRPr="009A5EEB">
        <w:rPr>
          <w:sz w:val="22"/>
          <w:szCs w:val="22"/>
        </w:rPr>
        <w:t xml:space="preserve">Women are more likely to be officially registered as unemployed, while there is higher unemployment among men based on the Household Living Standards Survey. Due to gradual reforms and the high level of state ownership in enterprise sector, registered unemployment was extremely low in Belarus during the last decade: 2.1 percent in 2000 and 0.6 percent in 2011 (NSC, 2012a). There are more women among official registered unemployed even though by 2011 the difference becomes negligible (women accounted for 52 percent of total registered </w:t>
      </w:r>
      <w:r w:rsidRPr="009A5EEB">
        <w:rPr>
          <w:sz w:val="22"/>
          <w:szCs w:val="22"/>
        </w:rPr>
        <w:lastRenderedPageBreak/>
        <w:t>unemployment in 2011). Official statistics</w:t>
      </w:r>
      <w:r w:rsidR="005E42BE">
        <w:rPr>
          <w:sz w:val="22"/>
          <w:szCs w:val="22"/>
        </w:rPr>
        <w:t xml:space="preserve"> on registered unemployed</w:t>
      </w:r>
      <w:r w:rsidRPr="009A5EEB">
        <w:rPr>
          <w:sz w:val="22"/>
          <w:szCs w:val="22"/>
        </w:rPr>
        <w:t xml:space="preserve"> </w:t>
      </w:r>
      <w:r w:rsidR="005E42BE">
        <w:rPr>
          <w:sz w:val="22"/>
          <w:szCs w:val="22"/>
        </w:rPr>
        <w:t>are lower than total unemployment</w:t>
      </w:r>
      <w:r w:rsidRPr="009A5EEB">
        <w:rPr>
          <w:sz w:val="22"/>
          <w:szCs w:val="22"/>
        </w:rPr>
        <w:t xml:space="preserve">. For example, according to Census, unemployment was about 6 percent in 2009 versus 0.9 percent of officially registered unemployment. The small size of benefits and cumbersome legislation could negatively affect incentives for registration. Interestingly, data from the HLSS also show a different profile of unemployed. Namely, men are more likely to be unemployed than women (World Bank, 2012b). </w:t>
      </w:r>
    </w:p>
    <w:p w:rsidR="00D63AAC" w:rsidRDefault="00D63AAC" w:rsidP="00D63AAC">
      <w:pPr>
        <w:pStyle w:val="ListParagraph"/>
        <w:rPr>
          <w:sz w:val="22"/>
          <w:szCs w:val="22"/>
        </w:rPr>
      </w:pPr>
    </w:p>
    <w:tbl>
      <w:tblPr>
        <w:tblW w:w="0" w:type="auto"/>
        <w:tblBorders>
          <w:top w:val="single" w:sz="8" w:space="0" w:color="4F81BD"/>
        </w:tblBorders>
        <w:tblLook w:val="00A0" w:firstRow="1" w:lastRow="0" w:firstColumn="1" w:lastColumn="0" w:noHBand="0" w:noVBand="0"/>
      </w:tblPr>
      <w:tblGrid>
        <w:gridCol w:w="4461"/>
        <w:gridCol w:w="4395"/>
      </w:tblGrid>
      <w:tr w:rsidR="00D63AAC" w:rsidRPr="00997957" w:rsidTr="00C45BC0">
        <w:tc>
          <w:tcPr>
            <w:tcW w:w="9576" w:type="dxa"/>
            <w:gridSpan w:val="2"/>
            <w:tcBorders>
              <w:top w:val="nil"/>
              <w:bottom w:val="single" w:sz="4" w:space="0" w:color="auto"/>
            </w:tcBorders>
          </w:tcPr>
          <w:p w:rsidR="00D63AAC" w:rsidRPr="00997957" w:rsidRDefault="009F5B52" w:rsidP="004E4C78">
            <w:pPr>
              <w:pStyle w:val="Caption"/>
              <w:spacing w:after="60"/>
              <w:jc w:val="both"/>
              <w:rPr>
                <w:b w:val="0"/>
                <w:color w:val="1F497D"/>
              </w:rPr>
            </w:pPr>
            <w:bookmarkStart w:id="38" w:name="_Toc351104637"/>
            <w:bookmarkStart w:id="39" w:name="_Toc383010214"/>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1</w:t>
            </w:r>
            <w:r w:rsidR="008A55B1">
              <w:rPr>
                <w:noProof/>
              </w:rPr>
              <w:fldChar w:fldCharType="end"/>
            </w:r>
            <w:r>
              <w:t>: Male and Female L</w:t>
            </w:r>
            <w:r w:rsidR="00D63AAC" w:rsidRPr="00997957">
              <w:t xml:space="preserve">abor </w:t>
            </w:r>
            <w:r>
              <w:t>F</w:t>
            </w:r>
            <w:r w:rsidR="00D63AAC" w:rsidRPr="00997957">
              <w:t xml:space="preserve">orce </w:t>
            </w:r>
            <w:r>
              <w:t>P</w:t>
            </w:r>
            <w:r w:rsidR="00D63AAC" w:rsidRPr="00997957">
              <w:t>articipation, %</w:t>
            </w:r>
            <w:bookmarkEnd w:id="38"/>
            <w:bookmarkEnd w:id="39"/>
          </w:p>
        </w:tc>
      </w:tr>
      <w:tr w:rsidR="00D63AAC" w:rsidRPr="00510D2E" w:rsidTr="00C45BC0">
        <w:tc>
          <w:tcPr>
            <w:tcW w:w="4781" w:type="dxa"/>
            <w:tcBorders>
              <w:top w:val="single" w:sz="4" w:space="0" w:color="auto"/>
              <w:bottom w:val="single" w:sz="4" w:space="0" w:color="auto"/>
            </w:tcBorders>
          </w:tcPr>
          <w:p w:rsidR="00D63AAC" w:rsidRPr="00510D2E" w:rsidRDefault="005A6047" w:rsidP="008F24ED">
            <w:r>
              <w:rPr>
                <w:noProof/>
              </w:rPr>
              <w:drawing>
                <wp:inline distT="0" distB="0" distL="0" distR="0" wp14:anchorId="7AB80197" wp14:editId="0021FBD0">
                  <wp:extent cx="2599055" cy="2283460"/>
                  <wp:effectExtent l="0" t="0" r="0" b="254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795" w:type="dxa"/>
            <w:tcBorders>
              <w:top w:val="single" w:sz="4" w:space="0" w:color="auto"/>
              <w:bottom w:val="single" w:sz="4" w:space="0" w:color="auto"/>
            </w:tcBorders>
          </w:tcPr>
          <w:p w:rsidR="00D63AAC" w:rsidRPr="00510D2E" w:rsidRDefault="005A6047" w:rsidP="008F24ED">
            <w:r>
              <w:rPr>
                <w:noProof/>
              </w:rPr>
              <w:drawing>
                <wp:inline distT="0" distB="0" distL="0" distR="0" wp14:anchorId="32C61B14" wp14:editId="750990CD">
                  <wp:extent cx="2532380" cy="2340610"/>
                  <wp:effectExtent l="0" t="0" r="1270" b="2540"/>
                  <wp:docPr id="18"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D63AAC" w:rsidRPr="005106D5" w:rsidDel="005106D5">
              <w:t xml:space="preserve"> </w:t>
            </w:r>
          </w:p>
        </w:tc>
      </w:tr>
      <w:tr w:rsidR="00D63AAC" w:rsidRPr="001520FF" w:rsidTr="00C45BC0">
        <w:tc>
          <w:tcPr>
            <w:tcW w:w="9576" w:type="dxa"/>
            <w:gridSpan w:val="2"/>
            <w:tcBorders>
              <w:top w:val="single" w:sz="4" w:space="0" w:color="auto"/>
              <w:bottom w:val="nil"/>
            </w:tcBorders>
          </w:tcPr>
          <w:p w:rsidR="00D63AAC" w:rsidRDefault="00D63AAC" w:rsidP="008F24ED">
            <w:pPr>
              <w:rPr>
                <w:sz w:val="18"/>
              </w:rPr>
            </w:pPr>
            <w:r w:rsidRPr="001520FF">
              <w:rPr>
                <w:i/>
                <w:sz w:val="18"/>
              </w:rPr>
              <w:t>Source</w:t>
            </w:r>
            <w:r w:rsidRPr="001520FF">
              <w:rPr>
                <w:sz w:val="18"/>
              </w:rPr>
              <w:t xml:space="preserve">: WDI. </w:t>
            </w:r>
          </w:p>
          <w:p w:rsidR="00D63AAC" w:rsidRPr="001520FF" w:rsidRDefault="00D63AAC" w:rsidP="008F24ED">
            <w:pPr>
              <w:rPr>
                <w:sz w:val="18"/>
              </w:rPr>
            </w:pPr>
            <w:r w:rsidRPr="001520FF">
              <w:rPr>
                <w:i/>
                <w:sz w:val="18"/>
              </w:rPr>
              <w:t>Note</w:t>
            </w:r>
            <w:r w:rsidRPr="001520FF">
              <w:rPr>
                <w:sz w:val="18"/>
              </w:rPr>
              <w:t xml:space="preserve">: </w:t>
            </w:r>
            <w:r>
              <w:rPr>
                <w:sz w:val="18"/>
              </w:rPr>
              <w:t xml:space="preserve">Only upper-middle income countries from ECA region are used in figure on the left. </w:t>
            </w:r>
          </w:p>
        </w:tc>
      </w:tr>
    </w:tbl>
    <w:p w:rsidR="009A5EEB" w:rsidRDefault="009A5EEB" w:rsidP="00E95E30">
      <w:pPr>
        <w:pStyle w:val="MainParawithChapter"/>
        <w:numPr>
          <w:ilvl w:val="0"/>
          <w:numId w:val="0"/>
        </w:numPr>
        <w:jc w:val="both"/>
        <w:rPr>
          <w:sz w:val="22"/>
          <w:szCs w:val="22"/>
        </w:rPr>
      </w:pPr>
    </w:p>
    <w:p w:rsidR="009A5EEB" w:rsidRDefault="009A5EEB" w:rsidP="00E95E30">
      <w:pPr>
        <w:pStyle w:val="MainParawithChapter"/>
        <w:jc w:val="both"/>
        <w:rPr>
          <w:sz w:val="22"/>
          <w:szCs w:val="22"/>
        </w:rPr>
      </w:pPr>
      <w:r w:rsidRPr="009A5EEB">
        <w:rPr>
          <w:sz w:val="22"/>
          <w:szCs w:val="22"/>
        </w:rPr>
        <w:t>Women are more likely to be salaried employees and less likely to be managers than men.  Manual workers accounted for 60 percent and salaried employees for 40 percent of total wage employment in Belarus in 2008</w:t>
      </w:r>
      <w:r w:rsidR="00545C0F">
        <w:rPr>
          <w:rStyle w:val="FootnoteReference"/>
          <w:sz w:val="22"/>
          <w:szCs w:val="22"/>
        </w:rPr>
        <w:footnoteReference w:id="12"/>
      </w:r>
      <w:r w:rsidRPr="009A5EEB">
        <w:rPr>
          <w:sz w:val="22"/>
          <w:szCs w:val="22"/>
        </w:rPr>
        <w:t>.  Men are more likely to be manual workers than women. Manual workers accounted for 73 percent of total employment among men and 51 percent of employment among women in 2009</w:t>
      </w:r>
      <w:r w:rsidR="00107B85">
        <w:rPr>
          <w:sz w:val="22"/>
          <w:szCs w:val="22"/>
        </w:rPr>
        <w:t xml:space="preserve"> (Figure 3.2a)</w:t>
      </w:r>
      <w:r w:rsidRPr="009A5EEB">
        <w:rPr>
          <w:sz w:val="22"/>
          <w:szCs w:val="22"/>
        </w:rPr>
        <w:t>. If only salaried employees are considered, men have 2.5 time higher chances to have managerial position in than women. Thus, managers account for 41 percent of total salaried employees among men and only for 17 percent among women</w:t>
      </w:r>
      <w:r w:rsidR="00107B85">
        <w:rPr>
          <w:sz w:val="22"/>
          <w:szCs w:val="22"/>
        </w:rPr>
        <w:t xml:space="preserve"> </w:t>
      </w:r>
      <w:r w:rsidR="008E3DC1">
        <w:rPr>
          <w:sz w:val="22"/>
          <w:szCs w:val="22"/>
        </w:rPr>
        <w:t>(`</w:t>
      </w:r>
      <w:r w:rsidR="00107B85">
        <w:rPr>
          <w:sz w:val="22"/>
          <w:szCs w:val="22"/>
        </w:rPr>
        <w:t>Figure 3.2b)</w:t>
      </w:r>
      <w:r w:rsidRPr="009A5EEB">
        <w:rPr>
          <w:sz w:val="22"/>
          <w:szCs w:val="22"/>
        </w:rPr>
        <w:t>.</w:t>
      </w:r>
    </w:p>
    <w:p w:rsidR="00EB1C15" w:rsidRDefault="00EB1C15" w:rsidP="00EB1C15">
      <w:pPr>
        <w:pStyle w:val="MainParawithChapter"/>
        <w:numPr>
          <w:ilvl w:val="0"/>
          <w:numId w:val="0"/>
        </w:numPr>
        <w:jc w:val="both"/>
        <w:rPr>
          <w:sz w:val="22"/>
          <w:szCs w:val="22"/>
        </w:rPr>
      </w:pPr>
    </w:p>
    <w:p w:rsidR="00EB1C15" w:rsidRDefault="00EB1C15" w:rsidP="00EB1C15">
      <w:pPr>
        <w:pStyle w:val="MainParawithChapter"/>
        <w:jc w:val="both"/>
        <w:rPr>
          <w:sz w:val="22"/>
          <w:szCs w:val="22"/>
        </w:rPr>
      </w:pPr>
      <w:r w:rsidRPr="009A5EEB">
        <w:rPr>
          <w:sz w:val="22"/>
          <w:szCs w:val="22"/>
        </w:rPr>
        <w:t xml:space="preserve">There is a very high level of structural segregation in the labor </w:t>
      </w:r>
      <w:r>
        <w:rPr>
          <w:sz w:val="22"/>
          <w:szCs w:val="22"/>
        </w:rPr>
        <w:t>market in Belarus. As shown in T</w:t>
      </w:r>
      <w:r w:rsidRPr="009A5EEB">
        <w:rPr>
          <w:sz w:val="22"/>
          <w:szCs w:val="22"/>
        </w:rPr>
        <w:t>able 3</w:t>
      </w:r>
      <w:r>
        <w:rPr>
          <w:sz w:val="22"/>
          <w:szCs w:val="22"/>
        </w:rPr>
        <w:t>.1</w:t>
      </w:r>
      <w:r w:rsidRPr="009A5EEB">
        <w:rPr>
          <w:sz w:val="22"/>
          <w:szCs w:val="22"/>
        </w:rPr>
        <w:t>, women are concentrated in traditional female dominated sectors, such as education (81 percent), health and social security (83 percent), personal services (77 percent), trade and public catering (74 percent), culture and art (72 percent), communications (64 percent).  Women are more likely to occupy managerial positions in these sectors, but averages salaries there are lower than the county average. In contrast, men account for higher shares in such sectors as construction, transport, industry where they occupy managerial positions and which offer salaries higher than average in the country.  However, men are not better educated than women even in sectors where they hold more managerial positions. For example, women account for 24 percent of managerial positions in construction even though there are more women with higher education than men in this sector (34.7 of women in construction have higher education versus 13 percent of men in the same sector).</w:t>
      </w:r>
    </w:p>
    <w:p w:rsidR="00EB1C15" w:rsidRDefault="00EB1C15" w:rsidP="00EB1C15">
      <w:pPr>
        <w:pStyle w:val="MainParawithChapter"/>
        <w:numPr>
          <w:ilvl w:val="0"/>
          <w:numId w:val="0"/>
        </w:numPr>
        <w:jc w:val="both"/>
        <w:rPr>
          <w:sz w:val="22"/>
          <w:szCs w:val="22"/>
        </w:rPr>
      </w:pPr>
    </w:p>
    <w:tbl>
      <w:tblPr>
        <w:tblW w:w="0" w:type="auto"/>
        <w:tblBorders>
          <w:top w:val="single" w:sz="8" w:space="0" w:color="4F81BD"/>
        </w:tblBorders>
        <w:tblLook w:val="00A0" w:firstRow="1" w:lastRow="0" w:firstColumn="1" w:lastColumn="0" w:noHBand="0" w:noVBand="0"/>
      </w:tblPr>
      <w:tblGrid>
        <w:gridCol w:w="4473"/>
        <w:gridCol w:w="4383"/>
      </w:tblGrid>
      <w:tr w:rsidR="00D63AAC" w:rsidRPr="00997957" w:rsidTr="00EF414D">
        <w:tc>
          <w:tcPr>
            <w:tcW w:w="8856" w:type="dxa"/>
            <w:gridSpan w:val="2"/>
            <w:tcBorders>
              <w:top w:val="nil"/>
              <w:bottom w:val="single" w:sz="4" w:space="0" w:color="auto"/>
            </w:tcBorders>
          </w:tcPr>
          <w:p w:rsidR="00D63AAC" w:rsidRPr="00997957" w:rsidRDefault="009F5B52" w:rsidP="004E4C78">
            <w:pPr>
              <w:pStyle w:val="Caption"/>
              <w:spacing w:after="120"/>
              <w:jc w:val="both"/>
              <w:rPr>
                <w:b w:val="0"/>
                <w:color w:val="1F497D"/>
              </w:rPr>
            </w:pPr>
            <w:bookmarkStart w:id="40" w:name="_Toc351104638"/>
            <w:bookmarkStart w:id="41" w:name="_Toc383010215"/>
            <w:r>
              <w:lastRenderedPageBreak/>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2</w:t>
            </w:r>
            <w:r w:rsidR="008A55B1">
              <w:rPr>
                <w:noProof/>
              </w:rPr>
              <w:fldChar w:fldCharType="end"/>
            </w:r>
            <w:r>
              <w:t>:</w:t>
            </w:r>
            <w:r w:rsidR="00D63AAC" w:rsidRPr="00997957">
              <w:t xml:space="preserve"> Manual and </w:t>
            </w:r>
            <w:r>
              <w:t>Salaried Employees in by G</w:t>
            </w:r>
            <w:r w:rsidR="00D63AAC" w:rsidRPr="00997957">
              <w:t>ender 2009, %</w:t>
            </w:r>
            <w:bookmarkEnd w:id="40"/>
            <w:bookmarkEnd w:id="41"/>
          </w:p>
        </w:tc>
      </w:tr>
      <w:tr w:rsidR="00D63AAC" w:rsidTr="00EF414D">
        <w:tc>
          <w:tcPr>
            <w:tcW w:w="4473" w:type="dxa"/>
            <w:tcBorders>
              <w:top w:val="single" w:sz="4" w:space="0" w:color="auto"/>
              <w:bottom w:val="single" w:sz="4" w:space="0" w:color="4F81BD"/>
            </w:tcBorders>
          </w:tcPr>
          <w:p w:rsidR="00D63AAC" w:rsidRPr="00EB1C15" w:rsidRDefault="00D63AAC" w:rsidP="008F24ED">
            <w:pPr>
              <w:rPr>
                <w:sz w:val="20"/>
                <w:szCs w:val="20"/>
              </w:rPr>
            </w:pPr>
            <w:r w:rsidRPr="00EB1C15">
              <w:rPr>
                <w:sz w:val="20"/>
                <w:szCs w:val="20"/>
              </w:rPr>
              <w:t>a) Share of manual and salaried workers across gender</w:t>
            </w:r>
          </w:p>
        </w:tc>
        <w:tc>
          <w:tcPr>
            <w:tcW w:w="4383" w:type="dxa"/>
            <w:tcBorders>
              <w:top w:val="single" w:sz="4" w:space="0" w:color="auto"/>
              <w:bottom w:val="single" w:sz="4" w:space="0" w:color="4F81BD"/>
            </w:tcBorders>
          </w:tcPr>
          <w:p w:rsidR="00D63AAC" w:rsidRPr="00EB1C15" w:rsidRDefault="00D63AAC" w:rsidP="008F24ED">
            <w:pPr>
              <w:rPr>
                <w:sz w:val="20"/>
                <w:szCs w:val="20"/>
              </w:rPr>
            </w:pPr>
            <w:r w:rsidRPr="00EB1C15">
              <w:rPr>
                <w:sz w:val="20"/>
                <w:szCs w:val="20"/>
              </w:rPr>
              <w:t>b) Structure of salaried employment across gender</w:t>
            </w:r>
          </w:p>
        </w:tc>
      </w:tr>
      <w:tr w:rsidR="00D63AAC" w:rsidRPr="0065473C" w:rsidTr="00EF414D">
        <w:tc>
          <w:tcPr>
            <w:tcW w:w="4473" w:type="dxa"/>
            <w:tcBorders>
              <w:top w:val="nil"/>
              <w:bottom w:val="single" w:sz="4" w:space="0" w:color="auto"/>
            </w:tcBorders>
          </w:tcPr>
          <w:p w:rsidR="00D63AAC" w:rsidRPr="0065473C" w:rsidRDefault="005A6047" w:rsidP="008F24ED">
            <w:r>
              <w:rPr>
                <w:noProof/>
              </w:rPr>
              <w:drawing>
                <wp:inline distT="0" distB="0" distL="0" distR="0" wp14:anchorId="0B04FC17" wp14:editId="5947BC52">
                  <wp:extent cx="2647950" cy="2362200"/>
                  <wp:effectExtent l="0" t="0" r="0" b="0"/>
                  <wp:docPr id="1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D63AAC" w:rsidRPr="00B3630E" w:rsidDel="00B3630E">
              <w:t xml:space="preserve"> </w:t>
            </w:r>
          </w:p>
        </w:tc>
        <w:tc>
          <w:tcPr>
            <w:tcW w:w="4383" w:type="dxa"/>
            <w:tcBorders>
              <w:top w:val="nil"/>
              <w:bottom w:val="single" w:sz="4" w:space="0" w:color="auto"/>
            </w:tcBorders>
          </w:tcPr>
          <w:p w:rsidR="00D63AAC" w:rsidRPr="0065473C" w:rsidRDefault="005A6047" w:rsidP="008F24ED">
            <w:r>
              <w:rPr>
                <w:noProof/>
              </w:rPr>
              <w:drawing>
                <wp:inline distT="0" distB="0" distL="0" distR="0" wp14:anchorId="301077F2" wp14:editId="02D656CF">
                  <wp:extent cx="2580640" cy="2276475"/>
                  <wp:effectExtent l="0" t="0" r="0" b="0"/>
                  <wp:docPr id="2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D63AAC" w:rsidRPr="00B3630E" w:rsidDel="00B3630E">
              <w:t xml:space="preserve"> </w:t>
            </w:r>
          </w:p>
        </w:tc>
      </w:tr>
      <w:tr w:rsidR="00D63AAC" w:rsidRPr="001520FF" w:rsidTr="00EF414D">
        <w:tc>
          <w:tcPr>
            <w:tcW w:w="8856" w:type="dxa"/>
            <w:gridSpan w:val="2"/>
            <w:tcBorders>
              <w:top w:val="single" w:sz="4" w:space="0" w:color="auto"/>
              <w:bottom w:val="nil"/>
            </w:tcBorders>
          </w:tcPr>
          <w:p w:rsidR="00D63AAC" w:rsidRPr="001520FF" w:rsidRDefault="00D63AAC" w:rsidP="008F24ED">
            <w:pPr>
              <w:rPr>
                <w:sz w:val="18"/>
              </w:rPr>
            </w:pPr>
            <w:r w:rsidRPr="001520FF">
              <w:rPr>
                <w:i/>
                <w:sz w:val="18"/>
              </w:rPr>
              <w:t>Source</w:t>
            </w:r>
            <w:r w:rsidRPr="001520FF">
              <w:rPr>
                <w:sz w:val="18"/>
              </w:rPr>
              <w:t xml:space="preserve">: </w:t>
            </w:r>
            <w:r>
              <w:rPr>
                <w:sz w:val="18"/>
              </w:rPr>
              <w:t xml:space="preserve">NSC (2010).  </w:t>
            </w:r>
          </w:p>
        </w:tc>
      </w:tr>
    </w:tbl>
    <w:p w:rsidR="00D63AAC" w:rsidRDefault="00D63AAC" w:rsidP="00D63AAC">
      <w:pPr>
        <w:pStyle w:val="MainParawithChapter"/>
        <w:numPr>
          <w:ilvl w:val="0"/>
          <w:numId w:val="0"/>
        </w:numPr>
        <w:jc w:val="both"/>
        <w:rPr>
          <w:sz w:val="22"/>
          <w:szCs w:val="22"/>
        </w:rPr>
      </w:pPr>
    </w:p>
    <w:tbl>
      <w:tblPr>
        <w:tblW w:w="5000" w:type="pct"/>
        <w:tblBorders>
          <w:top w:val="single" w:sz="4" w:space="0" w:color="auto"/>
          <w:bottom w:val="single" w:sz="4" w:space="0" w:color="auto"/>
        </w:tblBorders>
        <w:tblLook w:val="0000" w:firstRow="0" w:lastRow="0" w:firstColumn="0" w:lastColumn="0" w:noHBand="0" w:noVBand="0"/>
      </w:tblPr>
      <w:tblGrid>
        <w:gridCol w:w="4410"/>
        <w:gridCol w:w="852"/>
        <w:gridCol w:w="1009"/>
        <w:gridCol w:w="1437"/>
        <w:gridCol w:w="1148"/>
      </w:tblGrid>
      <w:tr w:rsidR="00D63AAC" w:rsidRPr="00997957" w:rsidTr="00C45BC0">
        <w:trPr>
          <w:trHeight w:val="181"/>
        </w:trPr>
        <w:tc>
          <w:tcPr>
            <w:tcW w:w="5000" w:type="pct"/>
            <w:gridSpan w:val="5"/>
            <w:tcBorders>
              <w:top w:val="nil"/>
              <w:bottom w:val="single" w:sz="4" w:space="0" w:color="auto"/>
            </w:tcBorders>
            <w:noWrap/>
            <w:vAlign w:val="bottom"/>
          </w:tcPr>
          <w:p w:rsidR="00D63AAC" w:rsidRPr="00997957" w:rsidRDefault="009F5B52" w:rsidP="004E4C78">
            <w:pPr>
              <w:pStyle w:val="Caption"/>
              <w:keepNext/>
              <w:spacing w:after="60"/>
              <w:rPr>
                <w:lang w:eastAsia="ru-RU"/>
              </w:rPr>
            </w:pPr>
            <w:bookmarkStart w:id="42" w:name="_Toc352690484"/>
            <w:bookmarkStart w:id="43" w:name="_Toc383011597"/>
            <w:r>
              <w:t xml:space="preserve">Table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t>.</w:t>
            </w:r>
            <w:r w:rsidR="008A55B1">
              <w:fldChar w:fldCharType="begin"/>
            </w:r>
            <w:r w:rsidR="008A55B1">
              <w:instrText xml:space="preserve"> SEQ Table \* ARABIC \s 1 </w:instrText>
            </w:r>
            <w:r w:rsidR="008A55B1">
              <w:fldChar w:fldCharType="separate"/>
            </w:r>
            <w:r w:rsidR="008A55B1">
              <w:rPr>
                <w:noProof/>
              </w:rPr>
              <w:t>1</w:t>
            </w:r>
            <w:r w:rsidR="008A55B1">
              <w:rPr>
                <w:noProof/>
              </w:rPr>
              <w:fldChar w:fldCharType="end"/>
            </w:r>
            <w:r>
              <w:t>:</w:t>
            </w:r>
            <w:r w:rsidR="00D63AAC" w:rsidRPr="00997957">
              <w:rPr>
                <w:szCs w:val="22"/>
              </w:rPr>
              <w:t xml:space="preserve"> Employment and </w:t>
            </w:r>
            <w:r>
              <w:rPr>
                <w:szCs w:val="22"/>
              </w:rPr>
              <w:t>E</w:t>
            </w:r>
            <w:r w:rsidR="00D63AAC" w:rsidRPr="00997957">
              <w:rPr>
                <w:szCs w:val="22"/>
              </w:rPr>
              <w:t xml:space="preserve">arnings </w:t>
            </w:r>
            <w:r>
              <w:rPr>
                <w:szCs w:val="22"/>
              </w:rPr>
              <w:t>S</w:t>
            </w:r>
            <w:r w:rsidR="00D63AAC" w:rsidRPr="00997957">
              <w:rPr>
                <w:szCs w:val="22"/>
              </w:rPr>
              <w:t>tatistics, 2009</w:t>
            </w:r>
            <w:bookmarkEnd w:id="42"/>
            <w:bookmarkEnd w:id="43"/>
          </w:p>
        </w:tc>
      </w:tr>
      <w:tr w:rsidR="00D63AAC" w:rsidRPr="00F93C6C" w:rsidTr="00C45BC0">
        <w:trPr>
          <w:trHeight w:val="675"/>
        </w:trPr>
        <w:tc>
          <w:tcPr>
            <w:tcW w:w="2207" w:type="pct"/>
            <w:tcBorders>
              <w:top w:val="single" w:sz="4" w:space="0" w:color="auto"/>
              <w:bottom w:val="single" w:sz="4" w:space="0" w:color="4F81BD"/>
            </w:tcBorders>
            <w:noWrap/>
            <w:vAlign w:val="bottom"/>
          </w:tcPr>
          <w:p w:rsidR="00D63AAC" w:rsidRPr="00C45BC0" w:rsidRDefault="00D63AAC" w:rsidP="008F24ED">
            <w:pPr>
              <w:rPr>
                <w:sz w:val="20"/>
                <w:szCs w:val="20"/>
                <w:lang w:eastAsia="ru-RU"/>
              </w:rPr>
            </w:pPr>
          </w:p>
        </w:tc>
        <w:tc>
          <w:tcPr>
            <w:tcW w:w="552" w:type="pct"/>
            <w:tcBorders>
              <w:top w:val="single" w:sz="4" w:space="0" w:color="auto"/>
              <w:bottom w:val="single" w:sz="4" w:space="0" w:color="4F81BD"/>
            </w:tcBorders>
            <w:tcMar>
              <w:left w:w="57" w:type="dxa"/>
              <w:right w:w="57" w:type="dxa"/>
            </w:tcMar>
          </w:tcPr>
          <w:p w:rsidR="00D63AAC" w:rsidRPr="00C45BC0" w:rsidRDefault="00D63AAC" w:rsidP="008F24ED">
            <w:pPr>
              <w:jc w:val="center"/>
              <w:rPr>
                <w:sz w:val="20"/>
                <w:szCs w:val="20"/>
                <w:lang w:eastAsia="ru-RU"/>
              </w:rPr>
            </w:pPr>
            <w:r w:rsidRPr="00C45BC0">
              <w:rPr>
                <w:sz w:val="20"/>
                <w:szCs w:val="20"/>
                <w:lang w:eastAsia="ru-RU"/>
              </w:rPr>
              <w:t>% of women in sector</w:t>
            </w:r>
          </w:p>
        </w:tc>
        <w:tc>
          <w:tcPr>
            <w:tcW w:w="640" w:type="pct"/>
            <w:tcBorders>
              <w:top w:val="single" w:sz="4" w:space="0" w:color="auto"/>
              <w:bottom w:val="single" w:sz="4" w:space="0" w:color="4F81BD"/>
            </w:tcBorders>
            <w:tcMar>
              <w:left w:w="57" w:type="dxa"/>
              <w:right w:w="57" w:type="dxa"/>
            </w:tcMar>
          </w:tcPr>
          <w:p w:rsidR="00D63AAC" w:rsidRPr="00C45BC0" w:rsidRDefault="00D63AAC" w:rsidP="008F24ED">
            <w:pPr>
              <w:jc w:val="center"/>
              <w:rPr>
                <w:sz w:val="20"/>
                <w:szCs w:val="20"/>
                <w:lang w:eastAsia="ru-RU"/>
              </w:rPr>
            </w:pPr>
            <w:r w:rsidRPr="00C45BC0">
              <w:rPr>
                <w:sz w:val="20"/>
                <w:szCs w:val="20"/>
                <w:lang w:eastAsia="ru-RU"/>
              </w:rPr>
              <w:t>% of women in managerial positions</w:t>
            </w:r>
          </w:p>
        </w:tc>
        <w:tc>
          <w:tcPr>
            <w:tcW w:w="882" w:type="pct"/>
            <w:tcBorders>
              <w:top w:val="single" w:sz="4" w:space="0" w:color="auto"/>
              <w:bottom w:val="single" w:sz="4" w:space="0" w:color="4F81BD"/>
            </w:tcBorders>
            <w:tcMar>
              <w:left w:w="57" w:type="dxa"/>
              <w:right w:w="57" w:type="dxa"/>
            </w:tcMar>
          </w:tcPr>
          <w:p w:rsidR="00D63AAC" w:rsidRPr="00C45BC0" w:rsidRDefault="00D63AAC" w:rsidP="008F24ED">
            <w:pPr>
              <w:jc w:val="center"/>
              <w:rPr>
                <w:sz w:val="20"/>
                <w:szCs w:val="20"/>
                <w:lang w:eastAsia="ru-RU"/>
              </w:rPr>
            </w:pPr>
            <w:r w:rsidRPr="00C45BC0">
              <w:rPr>
                <w:sz w:val="20"/>
                <w:szCs w:val="20"/>
                <w:lang w:eastAsia="ru-RU"/>
              </w:rPr>
              <w:t>Ratio of women wage to mean wage</w:t>
            </w:r>
          </w:p>
        </w:tc>
        <w:tc>
          <w:tcPr>
            <w:tcW w:w="719" w:type="pct"/>
            <w:tcBorders>
              <w:top w:val="single" w:sz="4" w:space="0" w:color="auto"/>
              <w:bottom w:val="single" w:sz="4" w:space="0" w:color="4F81BD"/>
            </w:tcBorders>
            <w:tcMar>
              <w:left w:w="57" w:type="dxa"/>
              <w:right w:w="57" w:type="dxa"/>
            </w:tcMar>
          </w:tcPr>
          <w:p w:rsidR="00D63AAC" w:rsidRPr="00C45BC0" w:rsidRDefault="00D63AAC" w:rsidP="008F24ED">
            <w:pPr>
              <w:jc w:val="center"/>
              <w:rPr>
                <w:sz w:val="20"/>
                <w:szCs w:val="20"/>
                <w:lang w:eastAsia="ru-RU"/>
              </w:rPr>
            </w:pPr>
            <w:r w:rsidRPr="00C45BC0">
              <w:rPr>
                <w:sz w:val="20"/>
                <w:szCs w:val="20"/>
                <w:lang w:eastAsia="ru-RU"/>
              </w:rPr>
              <w:t>Ratio of men wage to mean wage</w:t>
            </w:r>
          </w:p>
        </w:tc>
      </w:tr>
      <w:tr w:rsidR="00D63AAC" w:rsidRPr="00F93C6C" w:rsidTr="00672AA9">
        <w:trPr>
          <w:trHeight w:val="196"/>
        </w:trPr>
        <w:tc>
          <w:tcPr>
            <w:tcW w:w="2207" w:type="pct"/>
            <w:tcBorders>
              <w:top w:val="single" w:sz="4" w:space="0" w:color="4F81BD"/>
              <w:bottom w:val="nil"/>
            </w:tcBorders>
            <w:noWrap/>
            <w:vAlign w:val="bottom"/>
          </w:tcPr>
          <w:p w:rsidR="00D63AAC" w:rsidRPr="00C45BC0" w:rsidRDefault="00D63AAC" w:rsidP="008F24ED">
            <w:pPr>
              <w:rPr>
                <w:b/>
                <w:sz w:val="20"/>
                <w:szCs w:val="20"/>
                <w:lang w:eastAsia="ru-RU"/>
              </w:rPr>
            </w:pPr>
            <w:r w:rsidRPr="00C45BC0">
              <w:rPr>
                <w:b/>
                <w:sz w:val="20"/>
                <w:szCs w:val="20"/>
                <w:lang w:eastAsia="ru-RU"/>
              </w:rPr>
              <w:t>Total</w:t>
            </w:r>
          </w:p>
        </w:tc>
        <w:tc>
          <w:tcPr>
            <w:tcW w:w="552" w:type="pct"/>
            <w:tcBorders>
              <w:top w:val="single" w:sz="4" w:space="0" w:color="4F81BD"/>
              <w:bottom w:val="nil"/>
            </w:tcBorders>
            <w:tcMar>
              <w:left w:w="57" w:type="dxa"/>
              <w:right w:w="57" w:type="dxa"/>
            </w:tcMar>
            <w:vAlign w:val="bottom"/>
          </w:tcPr>
          <w:p w:rsidR="00D63AAC" w:rsidRPr="00C45BC0" w:rsidRDefault="00D63AAC" w:rsidP="008F24ED">
            <w:pPr>
              <w:jc w:val="center"/>
              <w:rPr>
                <w:b/>
                <w:sz w:val="20"/>
                <w:szCs w:val="20"/>
                <w:lang w:eastAsia="ru-RU"/>
              </w:rPr>
            </w:pPr>
            <w:r w:rsidRPr="00C45BC0">
              <w:rPr>
                <w:b/>
                <w:sz w:val="20"/>
                <w:szCs w:val="20"/>
                <w:lang w:eastAsia="ru-RU"/>
              </w:rPr>
              <w:t>53</w:t>
            </w:r>
          </w:p>
        </w:tc>
        <w:tc>
          <w:tcPr>
            <w:tcW w:w="640" w:type="pct"/>
            <w:tcBorders>
              <w:top w:val="single" w:sz="4" w:space="0" w:color="4F81BD"/>
              <w:bottom w:val="nil"/>
            </w:tcBorders>
            <w:tcMar>
              <w:left w:w="57" w:type="dxa"/>
              <w:right w:w="57" w:type="dxa"/>
            </w:tcMar>
            <w:vAlign w:val="bottom"/>
          </w:tcPr>
          <w:p w:rsidR="00D63AAC" w:rsidRPr="00C45BC0" w:rsidRDefault="00D63AAC" w:rsidP="008F24ED">
            <w:pPr>
              <w:jc w:val="center"/>
              <w:rPr>
                <w:b/>
                <w:sz w:val="20"/>
                <w:szCs w:val="20"/>
                <w:lang w:eastAsia="ru-RU"/>
              </w:rPr>
            </w:pPr>
            <w:r w:rsidRPr="00C45BC0">
              <w:rPr>
                <w:b/>
                <w:sz w:val="20"/>
                <w:szCs w:val="20"/>
                <w:lang w:eastAsia="ru-RU"/>
              </w:rPr>
              <w:t>46</w:t>
            </w:r>
          </w:p>
        </w:tc>
        <w:tc>
          <w:tcPr>
            <w:tcW w:w="882" w:type="pct"/>
            <w:tcBorders>
              <w:top w:val="single" w:sz="4" w:space="0" w:color="4F81BD"/>
              <w:bottom w:val="nil"/>
            </w:tcBorders>
            <w:tcMar>
              <w:left w:w="57" w:type="dxa"/>
              <w:right w:w="57" w:type="dxa"/>
            </w:tcMar>
            <w:vAlign w:val="bottom"/>
          </w:tcPr>
          <w:p w:rsidR="00D63AAC" w:rsidRPr="00C45BC0" w:rsidRDefault="00D63AAC" w:rsidP="008F24ED">
            <w:pPr>
              <w:jc w:val="center"/>
              <w:rPr>
                <w:b/>
                <w:sz w:val="20"/>
                <w:szCs w:val="20"/>
                <w:lang w:eastAsia="ru-RU"/>
              </w:rPr>
            </w:pPr>
            <w:r w:rsidRPr="00C45BC0">
              <w:rPr>
                <w:b/>
                <w:sz w:val="20"/>
                <w:szCs w:val="20"/>
                <w:lang w:eastAsia="ru-RU"/>
              </w:rPr>
              <w:t>85</w:t>
            </w:r>
          </w:p>
        </w:tc>
        <w:tc>
          <w:tcPr>
            <w:tcW w:w="719" w:type="pct"/>
            <w:tcBorders>
              <w:top w:val="single" w:sz="4" w:space="0" w:color="4F81BD"/>
              <w:bottom w:val="nil"/>
            </w:tcBorders>
            <w:tcMar>
              <w:left w:w="57" w:type="dxa"/>
              <w:right w:w="57" w:type="dxa"/>
            </w:tcMar>
            <w:vAlign w:val="bottom"/>
          </w:tcPr>
          <w:p w:rsidR="00D63AAC" w:rsidRPr="00C45BC0" w:rsidRDefault="00D63AAC" w:rsidP="008F24ED">
            <w:pPr>
              <w:jc w:val="center"/>
              <w:rPr>
                <w:b/>
                <w:sz w:val="20"/>
                <w:szCs w:val="20"/>
                <w:lang w:eastAsia="ru-RU"/>
              </w:rPr>
            </w:pPr>
            <w:r w:rsidRPr="00C45BC0">
              <w:rPr>
                <w:b/>
                <w:sz w:val="20"/>
                <w:szCs w:val="20"/>
                <w:lang w:eastAsia="ru-RU"/>
              </w:rPr>
              <w:t>113</w:t>
            </w:r>
          </w:p>
        </w:tc>
      </w:tr>
      <w:tr w:rsidR="00D63AAC" w:rsidRPr="00F93C6C" w:rsidTr="00672AA9">
        <w:trPr>
          <w:trHeight w:val="232"/>
        </w:trPr>
        <w:tc>
          <w:tcPr>
            <w:tcW w:w="2207" w:type="pct"/>
            <w:tcBorders>
              <w:top w:val="nil"/>
              <w:bottom w:val="nil"/>
            </w:tcBorders>
            <w:noWrap/>
            <w:vAlign w:val="bottom"/>
          </w:tcPr>
          <w:p w:rsidR="00D63AAC" w:rsidRPr="00C45BC0" w:rsidRDefault="00D63AAC" w:rsidP="008F24ED">
            <w:pPr>
              <w:rPr>
                <w:sz w:val="20"/>
                <w:szCs w:val="20"/>
                <w:lang w:eastAsia="ru-RU"/>
              </w:rPr>
            </w:pPr>
            <w:r w:rsidRPr="00C45BC0">
              <w:rPr>
                <w:sz w:val="20"/>
                <w:szCs w:val="20"/>
                <w:lang w:eastAsia="ru-RU"/>
              </w:rPr>
              <w:t>Forestry</w:t>
            </w:r>
          </w:p>
        </w:tc>
        <w:tc>
          <w:tcPr>
            <w:tcW w:w="552" w:type="pct"/>
            <w:tcBorders>
              <w:top w:val="nil"/>
              <w:bottom w:val="nil"/>
            </w:tcBorders>
            <w:noWrap/>
            <w:tcMar>
              <w:left w:w="57" w:type="dxa"/>
              <w:right w:w="57" w:type="dxa"/>
            </w:tcMar>
            <w:vAlign w:val="bottom"/>
          </w:tcPr>
          <w:p w:rsidR="00D63AAC" w:rsidRPr="00C45BC0" w:rsidRDefault="00D63AAC" w:rsidP="008F24ED">
            <w:pPr>
              <w:jc w:val="center"/>
              <w:rPr>
                <w:sz w:val="20"/>
                <w:szCs w:val="20"/>
                <w:lang w:eastAsia="ru-RU"/>
              </w:rPr>
            </w:pPr>
            <w:r w:rsidRPr="00C45BC0">
              <w:rPr>
                <w:sz w:val="20"/>
                <w:szCs w:val="20"/>
                <w:lang w:eastAsia="ru-RU"/>
              </w:rPr>
              <w:t>16</w:t>
            </w:r>
          </w:p>
        </w:tc>
        <w:tc>
          <w:tcPr>
            <w:tcW w:w="640" w:type="pct"/>
            <w:tcBorders>
              <w:top w:val="nil"/>
              <w:bottom w:val="nil"/>
            </w:tcBorders>
            <w:noWrap/>
            <w:tcMar>
              <w:left w:w="57" w:type="dxa"/>
              <w:right w:w="57" w:type="dxa"/>
            </w:tcMar>
            <w:vAlign w:val="bottom"/>
          </w:tcPr>
          <w:p w:rsidR="00D63AAC" w:rsidRPr="00C45BC0" w:rsidRDefault="00D63AAC" w:rsidP="008F24ED">
            <w:pPr>
              <w:jc w:val="center"/>
              <w:rPr>
                <w:sz w:val="20"/>
                <w:szCs w:val="20"/>
                <w:lang w:eastAsia="ru-RU"/>
              </w:rPr>
            </w:pPr>
            <w:r w:rsidRPr="00C45BC0">
              <w:rPr>
                <w:sz w:val="20"/>
                <w:szCs w:val="20"/>
                <w:lang w:eastAsia="ru-RU"/>
              </w:rPr>
              <w:t>16</w:t>
            </w:r>
          </w:p>
        </w:tc>
        <w:tc>
          <w:tcPr>
            <w:tcW w:w="882" w:type="pct"/>
            <w:tcBorders>
              <w:top w:val="nil"/>
              <w:bottom w:val="nil"/>
            </w:tcBorders>
            <w:noWrap/>
            <w:tcMar>
              <w:left w:w="57" w:type="dxa"/>
              <w:right w:w="57" w:type="dxa"/>
            </w:tcMar>
            <w:vAlign w:val="bottom"/>
          </w:tcPr>
          <w:p w:rsidR="00D63AAC" w:rsidRPr="00C45BC0" w:rsidRDefault="00D63AAC" w:rsidP="008F24ED">
            <w:pPr>
              <w:jc w:val="center"/>
              <w:rPr>
                <w:sz w:val="20"/>
                <w:szCs w:val="20"/>
                <w:lang w:eastAsia="ru-RU"/>
              </w:rPr>
            </w:pPr>
            <w:r w:rsidRPr="00C45BC0">
              <w:rPr>
                <w:sz w:val="20"/>
                <w:szCs w:val="20"/>
                <w:lang w:eastAsia="ru-RU"/>
              </w:rPr>
              <w:t>72</w:t>
            </w:r>
          </w:p>
        </w:tc>
        <w:tc>
          <w:tcPr>
            <w:tcW w:w="719" w:type="pct"/>
            <w:tcBorders>
              <w:top w:val="nil"/>
              <w:bottom w:val="nil"/>
            </w:tcBorders>
            <w:noWrap/>
            <w:tcMar>
              <w:left w:w="57" w:type="dxa"/>
              <w:right w:w="57" w:type="dxa"/>
            </w:tcMar>
            <w:vAlign w:val="bottom"/>
          </w:tcPr>
          <w:p w:rsidR="00D63AAC" w:rsidRPr="00C45BC0" w:rsidRDefault="00D63AAC" w:rsidP="008F24ED">
            <w:pPr>
              <w:jc w:val="center"/>
              <w:rPr>
                <w:sz w:val="20"/>
                <w:szCs w:val="20"/>
                <w:lang w:eastAsia="ru-RU"/>
              </w:rPr>
            </w:pPr>
            <w:r w:rsidRPr="00C45BC0">
              <w:rPr>
                <w:sz w:val="20"/>
                <w:szCs w:val="20"/>
                <w:lang w:eastAsia="ru-RU"/>
              </w:rPr>
              <w:t>77</w:t>
            </w:r>
          </w:p>
        </w:tc>
      </w:tr>
      <w:tr w:rsidR="00D63AAC" w:rsidRPr="00F93C6C" w:rsidTr="00672AA9">
        <w:trPr>
          <w:trHeight w:val="232"/>
        </w:trPr>
        <w:tc>
          <w:tcPr>
            <w:tcW w:w="2207" w:type="pct"/>
            <w:tcBorders>
              <w:top w:val="nil"/>
            </w:tcBorders>
            <w:noWrap/>
            <w:vAlign w:val="bottom"/>
          </w:tcPr>
          <w:p w:rsidR="00D63AAC" w:rsidRPr="00C45BC0" w:rsidRDefault="00D63AAC" w:rsidP="008F24ED">
            <w:pPr>
              <w:rPr>
                <w:sz w:val="20"/>
                <w:szCs w:val="20"/>
                <w:lang w:eastAsia="ru-RU"/>
              </w:rPr>
            </w:pPr>
            <w:r w:rsidRPr="00C45BC0">
              <w:rPr>
                <w:sz w:val="20"/>
                <w:szCs w:val="20"/>
                <w:lang w:eastAsia="ru-RU"/>
              </w:rPr>
              <w:t>Construction</w:t>
            </w:r>
          </w:p>
        </w:tc>
        <w:tc>
          <w:tcPr>
            <w:tcW w:w="552" w:type="pct"/>
            <w:tcBorders>
              <w:top w:val="nil"/>
            </w:tcBorders>
            <w:noWrap/>
            <w:tcMar>
              <w:left w:w="57" w:type="dxa"/>
              <w:right w:w="57" w:type="dxa"/>
            </w:tcMar>
            <w:vAlign w:val="bottom"/>
          </w:tcPr>
          <w:p w:rsidR="00D63AAC" w:rsidRPr="00C45BC0" w:rsidRDefault="00D63AAC" w:rsidP="008F24ED">
            <w:pPr>
              <w:jc w:val="center"/>
              <w:rPr>
                <w:sz w:val="20"/>
                <w:szCs w:val="20"/>
                <w:lang w:eastAsia="ru-RU"/>
              </w:rPr>
            </w:pPr>
            <w:r w:rsidRPr="00C45BC0">
              <w:rPr>
                <w:sz w:val="20"/>
                <w:szCs w:val="20"/>
                <w:lang w:eastAsia="ru-RU"/>
              </w:rPr>
              <w:t>21</w:t>
            </w:r>
          </w:p>
        </w:tc>
        <w:tc>
          <w:tcPr>
            <w:tcW w:w="640" w:type="pct"/>
            <w:tcBorders>
              <w:top w:val="nil"/>
            </w:tcBorders>
            <w:noWrap/>
            <w:tcMar>
              <w:left w:w="57" w:type="dxa"/>
              <w:right w:w="57" w:type="dxa"/>
            </w:tcMar>
            <w:vAlign w:val="bottom"/>
          </w:tcPr>
          <w:p w:rsidR="00D63AAC" w:rsidRPr="00C45BC0" w:rsidRDefault="00D63AAC" w:rsidP="008F24ED">
            <w:pPr>
              <w:jc w:val="center"/>
              <w:rPr>
                <w:sz w:val="20"/>
                <w:szCs w:val="20"/>
                <w:lang w:eastAsia="ru-RU"/>
              </w:rPr>
            </w:pPr>
            <w:r w:rsidRPr="00C45BC0">
              <w:rPr>
                <w:sz w:val="20"/>
                <w:szCs w:val="20"/>
                <w:lang w:eastAsia="ru-RU"/>
              </w:rPr>
              <w:t>24</w:t>
            </w:r>
          </w:p>
        </w:tc>
        <w:tc>
          <w:tcPr>
            <w:tcW w:w="882" w:type="pct"/>
            <w:tcBorders>
              <w:top w:val="nil"/>
            </w:tcBorders>
            <w:noWrap/>
            <w:tcMar>
              <w:left w:w="57" w:type="dxa"/>
              <w:right w:w="57" w:type="dxa"/>
            </w:tcMar>
            <w:vAlign w:val="bottom"/>
          </w:tcPr>
          <w:p w:rsidR="00D63AAC" w:rsidRPr="00C45BC0" w:rsidRDefault="00D63AAC" w:rsidP="008F24ED">
            <w:pPr>
              <w:jc w:val="center"/>
              <w:rPr>
                <w:sz w:val="20"/>
                <w:szCs w:val="20"/>
                <w:lang w:eastAsia="ru-RU"/>
              </w:rPr>
            </w:pPr>
            <w:r w:rsidRPr="00C45BC0">
              <w:rPr>
                <w:sz w:val="20"/>
                <w:szCs w:val="20"/>
                <w:lang w:eastAsia="ru-RU"/>
              </w:rPr>
              <w:t>134</w:t>
            </w:r>
          </w:p>
        </w:tc>
        <w:tc>
          <w:tcPr>
            <w:tcW w:w="719" w:type="pct"/>
            <w:tcBorders>
              <w:top w:val="nil"/>
            </w:tcBorders>
            <w:noWrap/>
            <w:tcMar>
              <w:left w:w="57" w:type="dxa"/>
              <w:right w:w="57" w:type="dxa"/>
            </w:tcMar>
            <w:vAlign w:val="bottom"/>
          </w:tcPr>
          <w:p w:rsidR="00D63AAC" w:rsidRPr="00C45BC0" w:rsidRDefault="00D63AAC" w:rsidP="008F24ED">
            <w:pPr>
              <w:jc w:val="center"/>
              <w:rPr>
                <w:sz w:val="20"/>
                <w:szCs w:val="20"/>
                <w:lang w:eastAsia="ru-RU"/>
              </w:rPr>
            </w:pPr>
            <w:r w:rsidRPr="00C45BC0">
              <w:rPr>
                <w:sz w:val="20"/>
                <w:szCs w:val="20"/>
                <w:lang w:eastAsia="ru-RU"/>
              </w:rPr>
              <w:t>136</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Transport</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29</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25</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100</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119</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Housing and communal services</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36</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29</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79</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96</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Agriculture</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41</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43</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60</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64</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Material supply and sales</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43</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36</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127</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146</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Industry</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45</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35</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88</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125</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Science and science services</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51</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37</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143</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182</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Real estate</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55</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45</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109</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129</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Commercial activities to support market functioning</w:t>
            </w:r>
          </w:p>
        </w:tc>
        <w:tc>
          <w:tcPr>
            <w:tcW w:w="552" w:type="pct"/>
            <w:noWrap/>
          </w:tcPr>
          <w:p w:rsidR="00D63AAC" w:rsidRPr="00C45BC0" w:rsidRDefault="00D63AAC" w:rsidP="008F24ED">
            <w:pPr>
              <w:jc w:val="center"/>
              <w:rPr>
                <w:sz w:val="20"/>
                <w:szCs w:val="20"/>
                <w:lang w:eastAsia="ru-RU"/>
              </w:rPr>
            </w:pPr>
            <w:r w:rsidRPr="00C45BC0">
              <w:rPr>
                <w:sz w:val="20"/>
                <w:szCs w:val="20"/>
                <w:lang w:eastAsia="ru-RU"/>
              </w:rPr>
              <w:t>58</w:t>
            </w:r>
          </w:p>
        </w:tc>
        <w:tc>
          <w:tcPr>
            <w:tcW w:w="640" w:type="pct"/>
            <w:noWrap/>
          </w:tcPr>
          <w:p w:rsidR="00D63AAC" w:rsidRPr="00C45BC0" w:rsidRDefault="00D63AAC" w:rsidP="008F24ED">
            <w:pPr>
              <w:jc w:val="center"/>
              <w:rPr>
                <w:sz w:val="20"/>
                <w:szCs w:val="20"/>
                <w:lang w:eastAsia="ru-RU"/>
              </w:rPr>
            </w:pPr>
            <w:r w:rsidRPr="00C45BC0">
              <w:rPr>
                <w:sz w:val="20"/>
                <w:szCs w:val="20"/>
                <w:lang w:eastAsia="ru-RU"/>
              </w:rPr>
              <w:t>47</w:t>
            </w:r>
          </w:p>
        </w:tc>
        <w:tc>
          <w:tcPr>
            <w:tcW w:w="882" w:type="pct"/>
            <w:noWrap/>
          </w:tcPr>
          <w:p w:rsidR="00D63AAC" w:rsidRPr="00C45BC0" w:rsidRDefault="00D63AAC" w:rsidP="008F24ED">
            <w:pPr>
              <w:jc w:val="center"/>
              <w:rPr>
                <w:sz w:val="20"/>
                <w:szCs w:val="20"/>
                <w:lang w:eastAsia="ru-RU"/>
              </w:rPr>
            </w:pPr>
            <w:r w:rsidRPr="00C45BC0">
              <w:rPr>
                <w:sz w:val="20"/>
                <w:szCs w:val="20"/>
                <w:lang w:eastAsia="ru-RU"/>
              </w:rPr>
              <w:t>172</w:t>
            </w:r>
          </w:p>
        </w:tc>
        <w:tc>
          <w:tcPr>
            <w:tcW w:w="719" w:type="pct"/>
            <w:noWrap/>
          </w:tcPr>
          <w:p w:rsidR="00D63AAC" w:rsidRPr="00C45BC0" w:rsidRDefault="00D63AAC" w:rsidP="008F24ED">
            <w:pPr>
              <w:jc w:val="center"/>
              <w:rPr>
                <w:sz w:val="20"/>
                <w:szCs w:val="20"/>
                <w:lang w:eastAsia="ru-RU"/>
              </w:rPr>
            </w:pPr>
            <w:r w:rsidRPr="00C45BC0">
              <w:rPr>
                <w:sz w:val="20"/>
                <w:szCs w:val="20"/>
                <w:lang w:eastAsia="ru-RU"/>
              </w:rPr>
              <w:t>248</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Communications</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64</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73</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97</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126</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Culture and art</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72</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74</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68</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86</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Trade and public catering</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74</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69</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85</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110</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Non-productive personal services</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77</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60</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60</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95</w:t>
            </w:r>
          </w:p>
        </w:tc>
      </w:tr>
      <w:tr w:rsidR="00D63AAC" w:rsidRPr="00F93C6C" w:rsidTr="00672AA9">
        <w:trPr>
          <w:trHeight w:val="232"/>
        </w:trPr>
        <w:tc>
          <w:tcPr>
            <w:tcW w:w="2207" w:type="pct"/>
            <w:noWrap/>
            <w:vAlign w:val="bottom"/>
          </w:tcPr>
          <w:p w:rsidR="00D63AAC" w:rsidRPr="00C45BC0" w:rsidRDefault="00D63AAC" w:rsidP="008F24ED">
            <w:pPr>
              <w:rPr>
                <w:sz w:val="20"/>
                <w:szCs w:val="20"/>
                <w:lang w:eastAsia="ru-RU"/>
              </w:rPr>
            </w:pPr>
            <w:r w:rsidRPr="00C45BC0">
              <w:rPr>
                <w:sz w:val="20"/>
                <w:szCs w:val="20"/>
                <w:lang w:eastAsia="ru-RU"/>
              </w:rPr>
              <w:t>Education</w:t>
            </w:r>
          </w:p>
        </w:tc>
        <w:tc>
          <w:tcPr>
            <w:tcW w:w="552" w:type="pct"/>
            <w:noWrap/>
            <w:vAlign w:val="bottom"/>
          </w:tcPr>
          <w:p w:rsidR="00D63AAC" w:rsidRPr="00C45BC0" w:rsidRDefault="00D63AAC" w:rsidP="008F24ED">
            <w:pPr>
              <w:jc w:val="center"/>
              <w:rPr>
                <w:sz w:val="20"/>
                <w:szCs w:val="20"/>
                <w:lang w:eastAsia="ru-RU"/>
              </w:rPr>
            </w:pPr>
            <w:r w:rsidRPr="00C45BC0">
              <w:rPr>
                <w:sz w:val="20"/>
                <w:szCs w:val="20"/>
                <w:lang w:eastAsia="ru-RU"/>
              </w:rPr>
              <w:t>81</w:t>
            </w:r>
          </w:p>
        </w:tc>
        <w:tc>
          <w:tcPr>
            <w:tcW w:w="640" w:type="pct"/>
            <w:noWrap/>
            <w:vAlign w:val="bottom"/>
          </w:tcPr>
          <w:p w:rsidR="00D63AAC" w:rsidRPr="00C45BC0" w:rsidRDefault="00D63AAC" w:rsidP="008F24ED">
            <w:pPr>
              <w:jc w:val="center"/>
              <w:rPr>
                <w:sz w:val="20"/>
                <w:szCs w:val="20"/>
                <w:lang w:eastAsia="ru-RU"/>
              </w:rPr>
            </w:pPr>
            <w:r w:rsidRPr="00C45BC0">
              <w:rPr>
                <w:sz w:val="20"/>
                <w:szCs w:val="20"/>
                <w:lang w:eastAsia="ru-RU"/>
              </w:rPr>
              <w:t>73</w:t>
            </w:r>
          </w:p>
        </w:tc>
        <w:tc>
          <w:tcPr>
            <w:tcW w:w="882" w:type="pct"/>
            <w:noWrap/>
            <w:vAlign w:val="bottom"/>
          </w:tcPr>
          <w:p w:rsidR="00D63AAC" w:rsidRPr="00C45BC0" w:rsidRDefault="00D63AAC" w:rsidP="008F24ED">
            <w:pPr>
              <w:jc w:val="center"/>
              <w:rPr>
                <w:sz w:val="20"/>
                <w:szCs w:val="20"/>
                <w:lang w:eastAsia="ru-RU"/>
              </w:rPr>
            </w:pPr>
            <w:r w:rsidRPr="00C45BC0">
              <w:rPr>
                <w:sz w:val="20"/>
                <w:szCs w:val="20"/>
                <w:lang w:eastAsia="ru-RU"/>
              </w:rPr>
              <w:t>66</w:t>
            </w:r>
          </w:p>
        </w:tc>
        <w:tc>
          <w:tcPr>
            <w:tcW w:w="719" w:type="pct"/>
            <w:noWrap/>
            <w:vAlign w:val="bottom"/>
          </w:tcPr>
          <w:p w:rsidR="00D63AAC" w:rsidRPr="00C45BC0" w:rsidRDefault="00D63AAC" w:rsidP="008F24ED">
            <w:pPr>
              <w:jc w:val="center"/>
              <w:rPr>
                <w:sz w:val="20"/>
                <w:szCs w:val="20"/>
                <w:lang w:eastAsia="ru-RU"/>
              </w:rPr>
            </w:pPr>
            <w:r w:rsidRPr="00C45BC0">
              <w:rPr>
                <w:sz w:val="20"/>
                <w:szCs w:val="20"/>
                <w:lang w:eastAsia="ru-RU"/>
              </w:rPr>
              <w:t>83</w:t>
            </w:r>
          </w:p>
        </w:tc>
      </w:tr>
      <w:tr w:rsidR="00D63AAC" w:rsidRPr="00F93C6C" w:rsidTr="00C45BC0">
        <w:trPr>
          <w:trHeight w:val="232"/>
        </w:trPr>
        <w:tc>
          <w:tcPr>
            <w:tcW w:w="2207" w:type="pct"/>
            <w:tcBorders>
              <w:bottom w:val="single" w:sz="4" w:space="0" w:color="auto"/>
            </w:tcBorders>
            <w:noWrap/>
            <w:vAlign w:val="bottom"/>
          </w:tcPr>
          <w:p w:rsidR="00D63AAC" w:rsidRPr="00C45BC0" w:rsidRDefault="00D63AAC" w:rsidP="008F24ED">
            <w:pPr>
              <w:rPr>
                <w:sz w:val="20"/>
                <w:szCs w:val="20"/>
                <w:lang w:eastAsia="ru-RU"/>
              </w:rPr>
            </w:pPr>
            <w:r w:rsidRPr="00C45BC0">
              <w:rPr>
                <w:sz w:val="20"/>
                <w:szCs w:val="20"/>
                <w:lang w:eastAsia="ru-RU"/>
              </w:rPr>
              <w:t>Health and social security</w:t>
            </w:r>
          </w:p>
        </w:tc>
        <w:tc>
          <w:tcPr>
            <w:tcW w:w="552" w:type="pct"/>
            <w:tcBorders>
              <w:bottom w:val="single" w:sz="4" w:space="0" w:color="auto"/>
            </w:tcBorders>
            <w:noWrap/>
            <w:vAlign w:val="bottom"/>
          </w:tcPr>
          <w:p w:rsidR="00D63AAC" w:rsidRPr="00C45BC0" w:rsidRDefault="00D63AAC" w:rsidP="008F24ED">
            <w:pPr>
              <w:jc w:val="center"/>
              <w:rPr>
                <w:sz w:val="20"/>
                <w:szCs w:val="20"/>
                <w:lang w:eastAsia="ru-RU"/>
              </w:rPr>
            </w:pPr>
            <w:r w:rsidRPr="00C45BC0">
              <w:rPr>
                <w:sz w:val="20"/>
                <w:szCs w:val="20"/>
                <w:lang w:eastAsia="ru-RU"/>
              </w:rPr>
              <w:t>83</w:t>
            </w:r>
          </w:p>
        </w:tc>
        <w:tc>
          <w:tcPr>
            <w:tcW w:w="640" w:type="pct"/>
            <w:tcBorders>
              <w:bottom w:val="single" w:sz="4" w:space="0" w:color="auto"/>
            </w:tcBorders>
            <w:noWrap/>
            <w:vAlign w:val="bottom"/>
          </w:tcPr>
          <w:p w:rsidR="00D63AAC" w:rsidRPr="00C45BC0" w:rsidRDefault="00D63AAC" w:rsidP="008F24ED">
            <w:pPr>
              <w:jc w:val="center"/>
              <w:rPr>
                <w:sz w:val="20"/>
                <w:szCs w:val="20"/>
                <w:lang w:eastAsia="ru-RU"/>
              </w:rPr>
            </w:pPr>
            <w:r w:rsidRPr="00C45BC0">
              <w:rPr>
                <w:sz w:val="20"/>
                <w:szCs w:val="20"/>
                <w:lang w:eastAsia="ru-RU"/>
              </w:rPr>
              <w:t>66</w:t>
            </w:r>
          </w:p>
        </w:tc>
        <w:tc>
          <w:tcPr>
            <w:tcW w:w="882" w:type="pct"/>
            <w:tcBorders>
              <w:bottom w:val="single" w:sz="4" w:space="0" w:color="auto"/>
            </w:tcBorders>
            <w:noWrap/>
            <w:vAlign w:val="bottom"/>
          </w:tcPr>
          <w:p w:rsidR="00D63AAC" w:rsidRPr="00C45BC0" w:rsidRDefault="00D63AAC" w:rsidP="008F24ED">
            <w:pPr>
              <w:jc w:val="center"/>
              <w:rPr>
                <w:sz w:val="20"/>
                <w:szCs w:val="20"/>
                <w:lang w:eastAsia="ru-RU"/>
              </w:rPr>
            </w:pPr>
            <w:r w:rsidRPr="00C45BC0">
              <w:rPr>
                <w:sz w:val="20"/>
                <w:szCs w:val="20"/>
                <w:lang w:eastAsia="ru-RU"/>
              </w:rPr>
              <w:t>73</w:t>
            </w:r>
          </w:p>
        </w:tc>
        <w:tc>
          <w:tcPr>
            <w:tcW w:w="719" w:type="pct"/>
            <w:tcBorders>
              <w:bottom w:val="single" w:sz="4" w:space="0" w:color="auto"/>
            </w:tcBorders>
            <w:noWrap/>
            <w:vAlign w:val="bottom"/>
          </w:tcPr>
          <w:p w:rsidR="00D63AAC" w:rsidRPr="00C45BC0" w:rsidRDefault="00D63AAC" w:rsidP="008F24ED">
            <w:pPr>
              <w:jc w:val="center"/>
              <w:rPr>
                <w:sz w:val="20"/>
                <w:szCs w:val="20"/>
                <w:lang w:eastAsia="ru-RU"/>
              </w:rPr>
            </w:pPr>
            <w:r w:rsidRPr="00C45BC0">
              <w:rPr>
                <w:sz w:val="20"/>
                <w:szCs w:val="20"/>
                <w:lang w:eastAsia="ru-RU"/>
              </w:rPr>
              <w:t>117</w:t>
            </w:r>
          </w:p>
        </w:tc>
      </w:tr>
      <w:tr w:rsidR="00D63AAC" w:rsidRPr="009635FA" w:rsidTr="00C45BC0">
        <w:trPr>
          <w:trHeight w:val="232"/>
        </w:trPr>
        <w:tc>
          <w:tcPr>
            <w:tcW w:w="5000" w:type="pct"/>
            <w:gridSpan w:val="5"/>
            <w:tcBorders>
              <w:top w:val="single" w:sz="4" w:space="0" w:color="auto"/>
              <w:bottom w:val="nil"/>
            </w:tcBorders>
            <w:noWrap/>
            <w:vAlign w:val="bottom"/>
          </w:tcPr>
          <w:p w:rsidR="00D63AAC" w:rsidRPr="00C45BC0" w:rsidRDefault="00D63AAC" w:rsidP="008F24ED">
            <w:pPr>
              <w:rPr>
                <w:sz w:val="18"/>
                <w:szCs w:val="18"/>
              </w:rPr>
            </w:pPr>
            <w:r w:rsidRPr="00C45BC0">
              <w:rPr>
                <w:i/>
                <w:sz w:val="18"/>
                <w:szCs w:val="18"/>
              </w:rPr>
              <w:t>Source</w:t>
            </w:r>
            <w:r w:rsidRPr="00C45BC0">
              <w:rPr>
                <w:sz w:val="18"/>
                <w:szCs w:val="18"/>
              </w:rPr>
              <w:t xml:space="preserve">: NSC (2010). </w:t>
            </w:r>
          </w:p>
          <w:p w:rsidR="00D63AAC" w:rsidRPr="009635FA" w:rsidRDefault="00D63AAC" w:rsidP="008F24ED">
            <w:pPr>
              <w:rPr>
                <w:sz w:val="20"/>
                <w:szCs w:val="20"/>
                <w:lang w:eastAsia="ru-RU"/>
              </w:rPr>
            </w:pPr>
            <w:r w:rsidRPr="00C45BC0">
              <w:rPr>
                <w:i/>
                <w:sz w:val="18"/>
                <w:szCs w:val="18"/>
              </w:rPr>
              <w:t xml:space="preserve">Notes: </w:t>
            </w:r>
            <w:r w:rsidRPr="00C45BC0">
              <w:rPr>
                <w:sz w:val="18"/>
                <w:szCs w:val="18"/>
              </w:rPr>
              <w:t>Gross nominal monthly wages are for December, 2009.</w:t>
            </w:r>
            <w:r w:rsidRPr="009635FA">
              <w:rPr>
                <w:sz w:val="20"/>
                <w:szCs w:val="20"/>
              </w:rPr>
              <w:t xml:space="preserve"> </w:t>
            </w:r>
          </w:p>
        </w:tc>
      </w:tr>
    </w:tbl>
    <w:p w:rsidR="00D63AAC" w:rsidRDefault="00D63AAC" w:rsidP="00D63AAC">
      <w:pPr>
        <w:pStyle w:val="MainParawithChapter"/>
        <w:numPr>
          <w:ilvl w:val="0"/>
          <w:numId w:val="0"/>
        </w:numPr>
        <w:jc w:val="both"/>
        <w:rPr>
          <w:sz w:val="22"/>
          <w:szCs w:val="22"/>
        </w:rPr>
      </w:pPr>
    </w:p>
    <w:p w:rsidR="009A5EEB" w:rsidRDefault="009A5EEB" w:rsidP="00E95E30">
      <w:pPr>
        <w:pStyle w:val="MainParawithChapter"/>
        <w:numPr>
          <w:ilvl w:val="0"/>
          <w:numId w:val="0"/>
        </w:numPr>
        <w:jc w:val="both"/>
        <w:rPr>
          <w:sz w:val="22"/>
          <w:szCs w:val="22"/>
        </w:rPr>
      </w:pPr>
    </w:p>
    <w:p w:rsidR="009A5EEB" w:rsidRDefault="009A5EEB" w:rsidP="00E95E30">
      <w:pPr>
        <w:pStyle w:val="MainParawithChapter"/>
        <w:jc w:val="both"/>
        <w:rPr>
          <w:sz w:val="22"/>
          <w:szCs w:val="22"/>
        </w:rPr>
      </w:pPr>
      <w:r w:rsidRPr="009A5EEB">
        <w:rPr>
          <w:sz w:val="22"/>
          <w:szCs w:val="22"/>
        </w:rPr>
        <w:t>Employment gap in favor of men is observed among young, old people and less educated. There is no significant employment gap between men and women aged 24-54 years. However, young women aged 20-24 years are less likely to be employed than men. Taking into account that the average age at birth of first child was 25 years, this is rather a reflection of higher women enrollment in tertiary education. A large employment gap is observed when women reach retirement at the age of 55. The gap is 45 percent for 55-59 years age cohort</w:t>
      </w:r>
      <w:r w:rsidR="00107B85">
        <w:rPr>
          <w:sz w:val="22"/>
          <w:szCs w:val="22"/>
        </w:rPr>
        <w:t xml:space="preserve"> (Figure 3.3a)</w:t>
      </w:r>
      <w:r w:rsidRPr="009A5EEB">
        <w:rPr>
          <w:sz w:val="22"/>
          <w:szCs w:val="22"/>
        </w:rPr>
        <w:t xml:space="preserve">. Education seems to be an important determinant of employment which helps women to keep </w:t>
      </w:r>
      <w:r w:rsidRPr="009A5EEB">
        <w:rPr>
          <w:sz w:val="22"/>
          <w:szCs w:val="22"/>
        </w:rPr>
        <w:lastRenderedPageBreak/>
        <w:t>employment at comparable levels with men. Thus, gender employment gap is not observed among individuals with higher education, but widens to 14 percent among individuals with general secondary education</w:t>
      </w:r>
      <w:r w:rsidR="00107B85">
        <w:rPr>
          <w:sz w:val="22"/>
          <w:szCs w:val="22"/>
        </w:rPr>
        <w:t xml:space="preserve"> (Figure 3.3b)</w:t>
      </w:r>
      <w:r w:rsidRPr="009A5EEB">
        <w:rPr>
          <w:sz w:val="22"/>
          <w:szCs w:val="22"/>
        </w:rPr>
        <w:t xml:space="preserve">.  </w:t>
      </w:r>
    </w:p>
    <w:p w:rsidR="009A5EEB" w:rsidRDefault="009A5EEB" w:rsidP="00E95E30">
      <w:pPr>
        <w:pStyle w:val="MainParawithChapter"/>
        <w:numPr>
          <w:ilvl w:val="0"/>
          <w:numId w:val="0"/>
        </w:numPr>
        <w:jc w:val="both"/>
        <w:rPr>
          <w:sz w:val="22"/>
          <w:szCs w:val="22"/>
        </w:rPr>
      </w:pPr>
    </w:p>
    <w:tbl>
      <w:tblPr>
        <w:tblW w:w="0" w:type="auto"/>
        <w:tblBorders>
          <w:top w:val="single" w:sz="8" w:space="0" w:color="4F81BD"/>
        </w:tblBorders>
        <w:tblLook w:val="00A0" w:firstRow="1" w:lastRow="0" w:firstColumn="1" w:lastColumn="0" w:noHBand="0" w:noVBand="0"/>
      </w:tblPr>
      <w:tblGrid>
        <w:gridCol w:w="4338"/>
        <w:gridCol w:w="4518"/>
      </w:tblGrid>
      <w:tr w:rsidR="00D63AAC" w:rsidRPr="00997957" w:rsidTr="00C45BC0">
        <w:tc>
          <w:tcPr>
            <w:tcW w:w="8856" w:type="dxa"/>
            <w:gridSpan w:val="2"/>
            <w:tcBorders>
              <w:top w:val="nil"/>
              <w:bottom w:val="single" w:sz="4" w:space="0" w:color="auto"/>
            </w:tcBorders>
          </w:tcPr>
          <w:p w:rsidR="00D63AAC" w:rsidRPr="00997957" w:rsidRDefault="009F5B52" w:rsidP="004E4C78">
            <w:pPr>
              <w:pStyle w:val="Caption"/>
              <w:spacing w:after="120"/>
              <w:jc w:val="both"/>
              <w:rPr>
                <w:b w:val="0"/>
                <w:color w:val="1F497D"/>
              </w:rPr>
            </w:pPr>
            <w:bookmarkStart w:id="44" w:name="_Toc351104639"/>
            <w:bookmarkStart w:id="45" w:name="_Toc383010216"/>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3</w:t>
            </w:r>
            <w:r w:rsidR="008A55B1">
              <w:rPr>
                <w:noProof/>
              </w:rPr>
              <w:fldChar w:fldCharType="end"/>
            </w:r>
            <w:r>
              <w:t>:</w:t>
            </w:r>
            <w:r w:rsidR="00D63AAC" w:rsidRPr="00997957">
              <w:t xml:space="preserve"> Employment </w:t>
            </w:r>
            <w:r>
              <w:t>R</w:t>
            </w:r>
            <w:r w:rsidR="00D63AAC" w:rsidRPr="00997957">
              <w:t xml:space="preserve">atios across </w:t>
            </w:r>
            <w:r>
              <w:t>G</w:t>
            </w:r>
            <w:r w:rsidR="00D63AAC" w:rsidRPr="00997957">
              <w:t xml:space="preserve">ender, </w:t>
            </w:r>
            <w:r>
              <w:t>A</w:t>
            </w:r>
            <w:r w:rsidR="00D63AAC" w:rsidRPr="00997957">
              <w:t xml:space="preserve">ge and </w:t>
            </w:r>
            <w:r>
              <w:t>E</w:t>
            </w:r>
            <w:r w:rsidR="00D63AAC" w:rsidRPr="00997957">
              <w:t>ducation in 2010, %</w:t>
            </w:r>
            <w:bookmarkEnd w:id="44"/>
            <w:bookmarkEnd w:id="45"/>
          </w:p>
        </w:tc>
      </w:tr>
      <w:tr w:rsidR="00D63AAC" w:rsidRPr="00510D2E" w:rsidTr="00C45BC0">
        <w:tc>
          <w:tcPr>
            <w:tcW w:w="4338" w:type="dxa"/>
            <w:tcBorders>
              <w:top w:val="single" w:sz="4" w:space="0" w:color="auto"/>
              <w:bottom w:val="single" w:sz="4" w:space="0" w:color="4F81BD"/>
            </w:tcBorders>
          </w:tcPr>
          <w:p w:rsidR="00D63AAC" w:rsidRPr="00FD5B21" w:rsidRDefault="00D63AAC" w:rsidP="008F24ED">
            <w:pPr>
              <w:rPr>
                <w:sz w:val="20"/>
                <w:szCs w:val="20"/>
              </w:rPr>
            </w:pPr>
            <w:r w:rsidRPr="00FD5B21">
              <w:rPr>
                <w:sz w:val="20"/>
                <w:szCs w:val="20"/>
              </w:rPr>
              <w:t>a) Employment ratios across age groups and gender, %</w:t>
            </w:r>
          </w:p>
        </w:tc>
        <w:tc>
          <w:tcPr>
            <w:tcW w:w="4518" w:type="dxa"/>
            <w:tcBorders>
              <w:top w:val="single" w:sz="4" w:space="0" w:color="auto"/>
              <w:bottom w:val="single" w:sz="4" w:space="0" w:color="4F81BD"/>
            </w:tcBorders>
          </w:tcPr>
          <w:p w:rsidR="00D63AAC" w:rsidRPr="00FD5B21" w:rsidRDefault="00D63AAC" w:rsidP="008F24ED">
            <w:pPr>
              <w:rPr>
                <w:sz w:val="20"/>
                <w:szCs w:val="20"/>
              </w:rPr>
            </w:pPr>
            <w:r w:rsidRPr="00FD5B21">
              <w:rPr>
                <w:sz w:val="20"/>
                <w:szCs w:val="20"/>
              </w:rPr>
              <w:t>b) Employment ratios across education categories and gender, %</w:t>
            </w:r>
          </w:p>
        </w:tc>
      </w:tr>
      <w:tr w:rsidR="00D63AAC" w:rsidRPr="00347D63" w:rsidTr="00C45BC0">
        <w:tc>
          <w:tcPr>
            <w:tcW w:w="4338" w:type="dxa"/>
            <w:tcBorders>
              <w:top w:val="nil"/>
              <w:bottom w:val="single" w:sz="4" w:space="0" w:color="auto"/>
            </w:tcBorders>
          </w:tcPr>
          <w:p w:rsidR="00D63AAC" w:rsidRPr="00347D63" w:rsidRDefault="005A6047" w:rsidP="008F24ED">
            <w:r>
              <w:rPr>
                <w:noProof/>
              </w:rPr>
              <w:drawing>
                <wp:inline distT="0" distB="0" distL="0" distR="0" wp14:anchorId="73CCF925" wp14:editId="197EF842">
                  <wp:extent cx="2493010" cy="2133600"/>
                  <wp:effectExtent l="0" t="0" r="2540" b="0"/>
                  <wp:docPr id="21" name="Picture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518" w:type="dxa"/>
            <w:tcBorders>
              <w:top w:val="nil"/>
              <w:bottom w:val="single" w:sz="4" w:space="0" w:color="auto"/>
            </w:tcBorders>
          </w:tcPr>
          <w:p w:rsidR="00D63AAC" w:rsidRPr="00347D63" w:rsidRDefault="005A6047" w:rsidP="008F24ED">
            <w:r>
              <w:rPr>
                <w:noProof/>
              </w:rPr>
              <w:drawing>
                <wp:inline distT="0" distB="0" distL="0" distR="0" wp14:anchorId="3706B11A" wp14:editId="16C503F8">
                  <wp:extent cx="2581275" cy="206692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63AAC" w:rsidRPr="001520FF" w:rsidTr="00C45BC0">
        <w:tc>
          <w:tcPr>
            <w:tcW w:w="8856" w:type="dxa"/>
            <w:gridSpan w:val="2"/>
            <w:tcBorders>
              <w:top w:val="single" w:sz="4" w:space="0" w:color="auto"/>
              <w:bottom w:val="nil"/>
            </w:tcBorders>
          </w:tcPr>
          <w:p w:rsidR="00D63AAC" w:rsidRDefault="00D63AAC" w:rsidP="008F24ED">
            <w:pPr>
              <w:rPr>
                <w:sz w:val="18"/>
              </w:rPr>
            </w:pPr>
            <w:r w:rsidRPr="001520FF">
              <w:rPr>
                <w:i/>
                <w:sz w:val="18"/>
              </w:rPr>
              <w:t>Source</w:t>
            </w:r>
            <w:r w:rsidRPr="001520FF">
              <w:rPr>
                <w:sz w:val="18"/>
              </w:rPr>
              <w:t xml:space="preserve">: </w:t>
            </w:r>
            <w:r>
              <w:rPr>
                <w:sz w:val="18"/>
              </w:rPr>
              <w:t xml:space="preserve">HLSS, World Bank staff calculations. </w:t>
            </w:r>
          </w:p>
          <w:p w:rsidR="00D63AAC" w:rsidRPr="001520FF" w:rsidRDefault="009621C3" w:rsidP="008F24ED">
            <w:pPr>
              <w:rPr>
                <w:sz w:val="18"/>
              </w:rPr>
            </w:pPr>
            <w:r>
              <w:rPr>
                <w:i/>
                <w:sz w:val="18"/>
              </w:rPr>
              <w:t>Notes</w:t>
            </w:r>
            <w:r w:rsidR="00D63AAC">
              <w:rPr>
                <w:i/>
                <w:sz w:val="18"/>
              </w:rPr>
              <w:t>:</w:t>
            </w:r>
            <w:r w:rsidR="00D63AAC" w:rsidRPr="0092766E">
              <w:rPr>
                <w:sz w:val="18"/>
              </w:rPr>
              <w:t xml:space="preserve"> population aged 17-65.</w:t>
            </w:r>
            <w:r w:rsidR="00D63AAC">
              <w:rPr>
                <w:i/>
                <w:sz w:val="18"/>
              </w:rPr>
              <w:t xml:space="preserve"> </w:t>
            </w:r>
          </w:p>
        </w:tc>
      </w:tr>
    </w:tbl>
    <w:p w:rsidR="00D63AAC" w:rsidRDefault="00D63AAC" w:rsidP="00E95E30">
      <w:pPr>
        <w:pStyle w:val="MainParawithChapter"/>
        <w:numPr>
          <w:ilvl w:val="0"/>
          <w:numId w:val="0"/>
        </w:numPr>
        <w:jc w:val="both"/>
        <w:rPr>
          <w:sz w:val="22"/>
          <w:szCs w:val="22"/>
        </w:rPr>
      </w:pPr>
    </w:p>
    <w:p w:rsidR="00D63AAC" w:rsidRDefault="00D63AAC" w:rsidP="00E95E30">
      <w:pPr>
        <w:pStyle w:val="MainParawithChapter"/>
        <w:numPr>
          <w:ilvl w:val="0"/>
          <w:numId w:val="0"/>
        </w:numPr>
        <w:jc w:val="both"/>
        <w:rPr>
          <w:sz w:val="22"/>
          <w:szCs w:val="22"/>
        </w:rPr>
      </w:pPr>
    </w:p>
    <w:p w:rsidR="009A5EEB" w:rsidRDefault="009A5EEB" w:rsidP="00E95E30">
      <w:pPr>
        <w:pStyle w:val="MainParawithChapter"/>
        <w:jc w:val="both"/>
        <w:rPr>
          <w:sz w:val="22"/>
          <w:szCs w:val="22"/>
        </w:rPr>
      </w:pPr>
      <w:r w:rsidRPr="009A5EEB">
        <w:rPr>
          <w:sz w:val="22"/>
          <w:szCs w:val="22"/>
        </w:rPr>
        <w:t>The retirement age is low with a large gender gap in favor of women. The current retirement age in Belarus is one of the lowest among countries of the ECA region</w:t>
      </w:r>
      <w:r w:rsidR="00545C0F">
        <w:rPr>
          <w:rStyle w:val="FootnoteReference"/>
          <w:sz w:val="22"/>
          <w:szCs w:val="22"/>
        </w:rPr>
        <w:footnoteReference w:id="13"/>
      </w:r>
      <w:r w:rsidRPr="009A5EEB">
        <w:rPr>
          <w:sz w:val="22"/>
          <w:szCs w:val="22"/>
        </w:rPr>
        <w:t xml:space="preserve">.  Women retire at age 55 years and men at age 60 years. The gap in five years is inconsistent with men and women’s life expectancy.  The earlier a person retires, he or she is likely to retire at a lower wage—and hence—pension level than if they had continued to work and experienced an increase in wages. Moreover, since pensions do not fully replace wage earnings, retirees are likely to have lower income than employed persons. Moreover, since employers know that women will retire early, the incentive to groom women for positions with higher responsibilities (and wages) is lower and consequently, women’s careers are adversely impacted.  About half of the newly retired men and women continue to work while receiving generous pension benefits indicating that many persons eligible for pensions are able and interested to keep working (World Bank, 2011a). </w:t>
      </w:r>
    </w:p>
    <w:p w:rsidR="00F37C60" w:rsidRDefault="00F37C60" w:rsidP="00F37C60">
      <w:pPr>
        <w:pStyle w:val="MainParawithChapter"/>
        <w:numPr>
          <w:ilvl w:val="0"/>
          <w:numId w:val="0"/>
        </w:numPr>
        <w:jc w:val="both"/>
        <w:rPr>
          <w:sz w:val="22"/>
          <w:szCs w:val="22"/>
        </w:rPr>
      </w:pPr>
    </w:p>
    <w:p w:rsidR="00F37C60" w:rsidRPr="009A5EEB" w:rsidRDefault="00F37C60" w:rsidP="00E95E30">
      <w:pPr>
        <w:pStyle w:val="MainParawithChapter"/>
        <w:jc w:val="both"/>
        <w:rPr>
          <w:sz w:val="22"/>
          <w:szCs w:val="22"/>
        </w:rPr>
      </w:pPr>
      <w:r>
        <w:rPr>
          <w:sz w:val="22"/>
          <w:szCs w:val="22"/>
        </w:rPr>
        <w:t>Women working after retir</w:t>
      </w:r>
      <w:r w:rsidR="00BB4A1D">
        <w:rPr>
          <w:sz w:val="22"/>
          <w:szCs w:val="22"/>
        </w:rPr>
        <w:t>ement age are more educated and more likely to live in the capital</w:t>
      </w:r>
      <w:r>
        <w:rPr>
          <w:sz w:val="22"/>
          <w:szCs w:val="22"/>
        </w:rPr>
        <w:t>. Profile of women after retirement age (55 years) is presented in table 3.2. As can be seen, working women are more likely to live in the capital than women who do not work: 30 percent versus 15 percent respectively.</w:t>
      </w:r>
      <w:r w:rsidR="00BB4A1D">
        <w:rPr>
          <w:sz w:val="22"/>
          <w:szCs w:val="22"/>
        </w:rPr>
        <w:t xml:space="preserve"> W</w:t>
      </w:r>
      <w:r>
        <w:rPr>
          <w:sz w:val="22"/>
          <w:szCs w:val="22"/>
        </w:rPr>
        <w:t xml:space="preserve">orking women are better educated than women who do not work: 25 percent had higher education compared to 13 percent respectively in 2010.  </w:t>
      </w:r>
      <w:r w:rsidR="00BB4A1D">
        <w:rPr>
          <w:sz w:val="22"/>
          <w:szCs w:val="22"/>
        </w:rPr>
        <w:t xml:space="preserve">Finally, there is no statistically significant difference in the size of average pension between working and nonworking women. </w:t>
      </w:r>
    </w:p>
    <w:p w:rsidR="009A5EEB" w:rsidRPr="009A5EEB" w:rsidRDefault="009A5EEB" w:rsidP="00E95E30">
      <w:pPr>
        <w:pStyle w:val="MainParawithChapter"/>
        <w:numPr>
          <w:ilvl w:val="0"/>
          <w:numId w:val="0"/>
        </w:numPr>
        <w:jc w:val="both"/>
        <w:rPr>
          <w:sz w:val="22"/>
          <w:szCs w:val="22"/>
        </w:rPr>
      </w:pPr>
    </w:p>
    <w:p w:rsidR="0050144B" w:rsidRDefault="0050144B" w:rsidP="0050144B">
      <w:pPr>
        <w:pStyle w:val="MainParawithChapter"/>
        <w:numPr>
          <w:ilvl w:val="0"/>
          <w:numId w:val="0"/>
        </w:numPr>
        <w:jc w:val="both"/>
        <w:rPr>
          <w:sz w:val="22"/>
          <w:szCs w:val="22"/>
        </w:rPr>
      </w:pPr>
    </w:p>
    <w:p w:rsidR="00EF414D" w:rsidRDefault="00EF414D" w:rsidP="0050144B">
      <w:pPr>
        <w:pStyle w:val="MainParawithChapter"/>
        <w:numPr>
          <w:ilvl w:val="0"/>
          <w:numId w:val="0"/>
        </w:numPr>
        <w:jc w:val="both"/>
        <w:rPr>
          <w:sz w:val="22"/>
          <w:szCs w:val="22"/>
        </w:rPr>
      </w:pPr>
    </w:p>
    <w:tbl>
      <w:tblPr>
        <w:tblW w:w="6540" w:type="dxa"/>
        <w:tblInd w:w="93" w:type="dxa"/>
        <w:tblBorders>
          <w:top w:val="single" w:sz="4" w:space="0" w:color="auto"/>
          <w:bottom w:val="single" w:sz="4" w:space="0" w:color="auto"/>
        </w:tblBorders>
        <w:tblLook w:val="04A0" w:firstRow="1" w:lastRow="0" w:firstColumn="1" w:lastColumn="0" w:noHBand="0" w:noVBand="1"/>
      </w:tblPr>
      <w:tblGrid>
        <w:gridCol w:w="2177"/>
        <w:gridCol w:w="628"/>
        <w:gridCol w:w="90"/>
        <w:gridCol w:w="180"/>
        <w:gridCol w:w="1504"/>
        <w:gridCol w:w="1961"/>
      </w:tblGrid>
      <w:tr w:rsidR="00200A63" w:rsidRPr="00200A63" w:rsidTr="00C45BC0">
        <w:trPr>
          <w:trHeight w:val="150"/>
        </w:trPr>
        <w:tc>
          <w:tcPr>
            <w:tcW w:w="6540" w:type="dxa"/>
            <w:gridSpan w:val="6"/>
            <w:tcBorders>
              <w:top w:val="nil"/>
              <w:bottom w:val="single" w:sz="4" w:space="0" w:color="auto"/>
            </w:tcBorders>
            <w:shd w:val="clear" w:color="auto" w:fill="auto"/>
            <w:noWrap/>
            <w:vAlign w:val="bottom"/>
            <w:hideMark/>
          </w:tcPr>
          <w:p w:rsidR="00200A63" w:rsidRPr="009362D1" w:rsidRDefault="00200A63" w:rsidP="004E4C78">
            <w:pPr>
              <w:pStyle w:val="Caption"/>
              <w:keepNext/>
              <w:spacing w:after="120"/>
            </w:pPr>
            <w:bookmarkStart w:id="46" w:name="_Toc383011598"/>
            <w:r w:rsidRPr="009362D1">
              <w:lastRenderedPageBreak/>
              <w:t xml:space="preserve">Table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9362D1">
              <w:t>.</w:t>
            </w:r>
            <w:r w:rsidR="008A55B1">
              <w:fldChar w:fldCharType="begin"/>
            </w:r>
            <w:r w:rsidR="008A55B1">
              <w:instrText xml:space="preserve"> SEQ Table \* ARABIC \s 1 </w:instrText>
            </w:r>
            <w:r w:rsidR="008A55B1">
              <w:fldChar w:fldCharType="separate"/>
            </w:r>
            <w:r w:rsidR="008A55B1">
              <w:rPr>
                <w:noProof/>
              </w:rPr>
              <w:t>2</w:t>
            </w:r>
            <w:r w:rsidR="008A55B1">
              <w:rPr>
                <w:noProof/>
              </w:rPr>
              <w:fldChar w:fldCharType="end"/>
            </w:r>
            <w:r w:rsidR="009362D1">
              <w:rPr>
                <w:noProof/>
              </w:rPr>
              <w:t xml:space="preserve">: </w:t>
            </w:r>
            <w:r w:rsidRPr="009362D1">
              <w:t>Profile of working and nonworking women above 55</w:t>
            </w:r>
            <w:bookmarkEnd w:id="46"/>
          </w:p>
        </w:tc>
      </w:tr>
      <w:tr w:rsidR="009621C3" w:rsidRPr="00200A63" w:rsidTr="00C45BC0">
        <w:trPr>
          <w:trHeight w:val="150"/>
        </w:trPr>
        <w:tc>
          <w:tcPr>
            <w:tcW w:w="2177" w:type="dxa"/>
            <w:tcBorders>
              <w:top w:val="single" w:sz="4" w:space="0" w:color="auto"/>
              <w:bottom w:val="single" w:sz="4" w:space="0" w:color="4F81BD" w:themeColor="accent1"/>
            </w:tcBorders>
            <w:shd w:val="clear" w:color="auto" w:fill="auto"/>
            <w:noWrap/>
            <w:vAlign w:val="bottom"/>
            <w:hideMark/>
          </w:tcPr>
          <w:p w:rsidR="00200A63" w:rsidRPr="00200A63" w:rsidRDefault="00200A63">
            <w:pPr>
              <w:rPr>
                <w:sz w:val="20"/>
                <w:szCs w:val="20"/>
              </w:rPr>
            </w:pPr>
          </w:p>
        </w:tc>
        <w:tc>
          <w:tcPr>
            <w:tcW w:w="2402" w:type="dxa"/>
            <w:gridSpan w:val="4"/>
            <w:tcBorders>
              <w:top w:val="single" w:sz="4" w:space="0" w:color="auto"/>
              <w:bottom w:val="single" w:sz="4" w:space="0" w:color="4F81BD" w:themeColor="accent1"/>
            </w:tcBorders>
            <w:shd w:val="clear" w:color="auto" w:fill="auto"/>
            <w:noWrap/>
            <w:vAlign w:val="bottom"/>
            <w:hideMark/>
          </w:tcPr>
          <w:p w:rsidR="00200A63" w:rsidRPr="00200A63" w:rsidRDefault="00200A63" w:rsidP="009621C3">
            <w:pPr>
              <w:jc w:val="center"/>
              <w:rPr>
                <w:sz w:val="20"/>
                <w:szCs w:val="20"/>
              </w:rPr>
            </w:pPr>
            <w:r w:rsidRPr="00200A63">
              <w:rPr>
                <w:sz w:val="20"/>
                <w:szCs w:val="20"/>
              </w:rPr>
              <w:t>not employed</w:t>
            </w:r>
          </w:p>
        </w:tc>
        <w:tc>
          <w:tcPr>
            <w:tcW w:w="1961" w:type="dxa"/>
            <w:tcBorders>
              <w:top w:val="single" w:sz="4" w:space="0" w:color="auto"/>
              <w:bottom w:val="single" w:sz="4" w:space="0" w:color="4F81BD" w:themeColor="accent1"/>
            </w:tcBorders>
            <w:shd w:val="clear" w:color="auto" w:fill="auto"/>
            <w:noWrap/>
            <w:vAlign w:val="bottom"/>
            <w:hideMark/>
          </w:tcPr>
          <w:p w:rsidR="00200A63" w:rsidRPr="00200A63" w:rsidRDefault="00200A63" w:rsidP="009621C3">
            <w:pPr>
              <w:jc w:val="center"/>
              <w:rPr>
                <w:sz w:val="20"/>
                <w:szCs w:val="20"/>
              </w:rPr>
            </w:pPr>
            <w:r w:rsidRPr="00200A63">
              <w:rPr>
                <w:sz w:val="20"/>
                <w:szCs w:val="20"/>
              </w:rPr>
              <w:t>employed</w:t>
            </w:r>
          </w:p>
        </w:tc>
      </w:tr>
      <w:tr w:rsidR="00200A63" w:rsidRPr="00200A63" w:rsidTr="00627256">
        <w:trPr>
          <w:trHeight w:val="150"/>
        </w:trPr>
        <w:tc>
          <w:tcPr>
            <w:tcW w:w="6540" w:type="dxa"/>
            <w:gridSpan w:val="6"/>
            <w:tcBorders>
              <w:top w:val="single" w:sz="4" w:space="0" w:color="4F81BD" w:themeColor="accent1"/>
            </w:tcBorders>
            <w:shd w:val="clear" w:color="auto" w:fill="auto"/>
            <w:noWrap/>
            <w:vAlign w:val="bottom"/>
            <w:hideMark/>
          </w:tcPr>
          <w:p w:rsidR="00200A63" w:rsidRPr="00200A63" w:rsidRDefault="00200A63">
            <w:pPr>
              <w:jc w:val="center"/>
              <w:rPr>
                <w:sz w:val="20"/>
                <w:szCs w:val="20"/>
              </w:rPr>
            </w:pPr>
            <w:r w:rsidRPr="009621C3">
              <w:rPr>
                <w:b/>
                <w:sz w:val="20"/>
                <w:szCs w:val="20"/>
              </w:rPr>
              <w:t>Region</w:t>
            </w:r>
          </w:p>
        </w:tc>
      </w:tr>
      <w:tr w:rsidR="009621C3" w:rsidRPr="00200A63" w:rsidTr="009621C3">
        <w:trPr>
          <w:trHeight w:val="150"/>
        </w:trPr>
        <w:tc>
          <w:tcPr>
            <w:tcW w:w="2805" w:type="dxa"/>
            <w:gridSpan w:val="2"/>
            <w:shd w:val="clear" w:color="auto" w:fill="auto"/>
            <w:noWrap/>
            <w:vAlign w:val="center"/>
            <w:hideMark/>
          </w:tcPr>
          <w:p w:rsidR="00200A63" w:rsidRPr="00200A63" w:rsidRDefault="00200A63">
            <w:pPr>
              <w:rPr>
                <w:sz w:val="20"/>
                <w:szCs w:val="20"/>
              </w:rPr>
            </w:pPr>
            <w:r w:rsidRPr="00200A63">
              <w:rPr>
                <w:sz w:val="20"/>
                <w:szCs w:val="20"/>
              </w:rPr>
              <w:t>Minsk city</w:t>
            </w:r>
          </w:p>
        </w:tc>
        <w:tc>
          <w:tcPr>
            <w:tcW w:w="1774" w:type="dxa"/>
            <w:gridSpan w:val="3"/>
            <w:shd w:val="clear" w:color="auto" w:fill="auto"/>
            <w:noWrap/>
            <w:vAlign w:val="bottom"/>
            <w:hideMark/>
          </w:tcPr>
          <w:p w:rsidR="00200A63" w:rsidRPr="00200A63" w:rsidRDefault="00200A63" w:rsidP="009621C3">
            <w:pPr>
              <w:jc w:val="center"/>
              <w:rPr>
                <w:sz w:val="20"/>
                <w:szCs w:val="20"/>
              </w:rPr>
            </w:pPr>
            <w:r w:rsidRPr="00200A63">
              <w:rPr>
                <w:sz w:val="20"/>
                <w:szCs w:val="20"/>
              </w:rPr>
              <w:t>15</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30</w:t>
            </w:r>
          </w:p>
        </w:tc>
      </w:tr>
      <w:tr w:rsidR="009621C3" w:rsidRPr="00200A63" w:rsidTr="009621C3">
        <w:trPr>
          <w:trHeight w:val="150"/>
        </w:trPr>
        <w:tc>
          <w:tcPr>
            <w:tcW w:w="2805" w:type="dxa"/>
            <w:gridSpan w:val="2"/>
            <w:shd w:val="clear" w:color="auto" w:fill="auto"/>
            <w:noWrap/>
            <w:vAlign w:val="center"/>
            <w:hideMark/>
          </w:tcPr>
          <w:p w:rsidR="00200A63" w:rsidRPr="00200A63" w:rsidRDefault="00200A63">
            <w:pPr>
              <w:rPr>
                <w:sz w:val="20"/>
                <w:szCs w:val="20"/>
              </w:rPr>
            </w:pPr>
            <w:r w:rsidRPr="00200A63">
              <w:rPr>
                <w:sz w:val="20"/>
                <w:szCs w:val="20"/>
              </w:rPr>
              <w:t>Large city</w:t>
            </w:r>
          </w:p>
        </w:tc>
        <w:tc>
          <w:tcPr>
            <w:tcW w:w="1774" w:type="dxa"/>
            <w:gridSpan w:val="3"/>
            <w:shd w:val="clear" w:color="auto" w:fill="auto"/>
            <w:noWrap/>
            <w:vAlign w:val="bottom"/>
            <w:hideMark/>
          </w:tcPr>
          <w:p w:rsidR="00200A63" w:rsidRPr="00200A63" w:rsidRDefault="00200A63" w:rsidP="009621C3">
            <w:pPr>
              <w:jc w:val="center"/>
              <w:rPr>
                <w:sz w:val="20"/>
                <w:szCs w:val="20"/>
              </w:rPr>
            </w:pPr>
            <w:r w:rsidRPr="00200A63">
              <w:rPr>
                <w:sz w:val="20"/>
                <w:szCs w:val="20"/>
              </w:rPr>
              <w:t>27</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32</w:t>
            </w:r>
          </w:p>
        </w:tc>
      </w:tr>
      <w:tr w:rsidR="009621C3" w:rsidRPr="00200A63" w:rsidTr="009621C3">
        <w:trPr>
          <w:trHeight w:val="150"/>
        </w:trPr>
        <w:tc>
          <w:tcPr>
            <w:tcW w:w="2805" w:type="dxa"/>
            <w:gridSpan w:val="2"/>
            <w:shd w:val="clear" w:color="auto" w:fill="auto"/>
            <w:noWrap/>
            <w:vAlign w:val="center"/>
            <w:hideMark/>
          </w:tcPr>
          <w:p w:rsidR="00200A63" w:rsidRPr="00200A63" w:rsidRDefault="00200A63">
            <w:pPr>
              <w:rPr>
                <w:sz w:val="20"/>
                <w:szCs w:val="20"/>
              </w:rPr>
            </w:pPr>
            <w:r w:rsidRPr="00200A63">
              <w:rPr>
                <w:sz w:val="20"/>
                <w:szCs w:val="20"/>
              </w:rPr>
              <w:t>Small city</w:t>
            </w:r>
          </w:p>
        </w:tc>
        <w:tc>
          <w:tcPr>
            <w:tcW w:w="1774" w:type="dxa"/>
            <w:gridSpan w:val="3"/>
            <w:shd w:val="clear" w:color="auto" w:fill="auto"/>
            <w:noWrap/>
            <w:vAlign w:val="bottom"/>
            <w:hideMark/>
          </w:tcPr>
          <w:p w:rsidR="00200A63" w:rsidRPr="00200A63" w:rsidRDefault="00200A63" w:rsidP="009621C3">
            <w:pPr>
              <w:jc w:val="center"/>
              <w:rPr>
                <w:sz w:val="20"/>
                <w:szCs w:val="20"/>
              </w:rPr>
            </w:pPr>
            <w:r w:rsidRPr="00200A63">
              <w:rPr>
                <w:sz w:val="20"/>
                <w:szCs w:val="20"/>
              </w:rPr>
              <w:t>24</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19</w:t>
            </w:r>
          </w:p>
        </w:tc>
      </w:tr>
      <w:tr w:rsidR="009621C3" w:rsidRPr="00200A63" w:rsidTr="009621C3">
        <w:trPr>
          <w:trHeight w:val="150"/>
        </w:trPr>
        <w:tc>
          <w:tcPr>
            <w:tcW w:w="2805" w:type="dxa"/>
            <w:gridSpan w:val="2"/>
            <w:shd w:val="clear" w:color="auto" w:fill="auto"/>
            <w:noWrap/>
            <w:vAlign w:val="bottom"/>
            <w:hideMark/>
          </w:tcPr>
          <w:p w:rsidR="00200A63" w:rsidRPr="00200A63" w:rsidRDefault="00200A63">
            <w:pPr>
              <w:rPr>
                <w:sz w:val="20"/>
                <w:szCs w:val="20"/>
              </w:rPr>
            </w:pPr>
            <w:r w:rsidRPr="00200A63">
              <w:rPr>
                <w:sz w:val="20"/>
                <w:szCs w:val="20"/>
              </w:rPr>
              <w:t>Rural</w:t>
            </w:r>
          </w:p>
        </w:tc>
        <w:tc>
          <w:tcPr>
            <w:tcW w:w="1774" w:type="dxa"/>
            <w:gridSpan w:val="3"/>
            <w:shd w:val="clear" w:color="auto" w:fill="auto"/>
            <w:noWrap/>
            <w:vAlign w:val="bottom"/>
            <w:hideMark/>
          </w:tcPr>
          <w:p w:rsidR="00200A63" w:rsidRPr="00200A63" w:rsidRDefault="00200A63" w:rsidP="009621C3">
            <w:pPr>
              <w:jc w:val="center"/>
              <w:rPr>
                <w:sz w:val="20"/>
                <w:szCs w:val="20"/>
              </w:rPr>
            </w:pPr>
            <w:r w:rsidRPr="00200A63">
              <w:rPr>
                <w:sz w:val="20"/>
                <w:szCs w:val="20"/>
              </w:rPr>
              <w:t>34</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19</w:t>
            </w:r>
          </w:p>
        </w:tc>
      </w:tr>
      <w:tr w:rsidR="00200A63" w:rsidRPr="00200A63" w:rsidTr="009621C3">
        <w:trPr>
          <w:trHeight w:val="150"/>
        </w:trPr>
        <w:tc>
          <w:tcPr>
            <w:tcW w:w="6540" w:type="dxa"/>
            <w:gridSpan w:val="6"/>
            <w:shd w:val="clear" w:color="auto" w:fill="auto"/>
            <w:noWrap/>
            <w:vAlign w:val="center"/>
            <w:hideMark/>
          </w:tcPr>
          <w:p w:rsidR="00200A63" w:rsidRPr="009621C3" w:rsidRDefault="00200A63">
            <w:pPr>
              <w:jc w:val="center"/>
              <w:rPr>
                <w:b/>
                <w:sz w:val="20"/>
                <w:szCs w:val="20"/>
              </w:rPr>
            </w:pPr>
            <w:r w:rsidRPr="009621C3">
              <w:rPr>
                <w:b/>
                <w:sz w:val="20"/>
                <w:szCs w:val="20"/>
              </w:rPr>
              <w:t>Education</w:t>
            </w:r>
          </w:p>
        </w:tc>
      </w:tr>
      <w:tr w:rsidR="009621C3" w:rsidRPr="00200A63" w:rsidTr="009621C3">
        <w:trPr>
          <w:trHeight w:val="282"/>
        </w:trPr>
        <w:tc>
          <w:tcPr>
            <w:tcW w:w="3075" w:type="dxa"/>
            <w:gridSpan w:val="4"/>
            <w:shd w:val="clear" w:color="auto" w:fill="auto"/>
            <w:vAlign w:val="center"/>
            <w:hideMark/>
          </w:tcPr>
          <w:p w:rsidR="00200A63" w:rsidRPr="00200A63" w:rsidRDefault="00200A63">
            <w:pPr>
              <w:rPr>
                <w:sz w:val="20"/>
                <w:szCs w:val="20"/>
              </w:rPr>
            </w:pPr>
            <w:r w:rsidRPr="00200A63">
              <w:rPr>
                <w:sz w:val="20"/>
                <w:szCs w:val="20"/>
              </w:rPr>
              <w:t>Higher education</w:t>
            </w:r>
          </w:p>
        </w:tc>
        <w:tc>
          <w:tcPr>
            <w:tcW w:w="1504" w:type="dxa"/>
            <w:shd w:val="clear" w:color="auto" w:fill="auto"/>
            <w:noWrap/>
            <w:vAlign w:val="bottom"/>
            <w:hideMark/>
          </w:tcPr>
          <w:p w:rsidR="00200A63" w:rsidRPr="00200A63" w:rsidRDefault="00200A63" w:rsidP="009621C3">
            <w:pPr>
              <w:jc w:val="center"/>
              <w:rPr>
                <w:sz w:val="20"/>
                <w:szCs w:val="20"/>
              </w:rPr>
            </w:pPr>
            <w:r w:rsidRPr="00200A63">
              <w:rPr>
                <w:sz w:val="20"/>
                <w:szCs w:val="20"/>
              </w:rPr>
              <w:t>13</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25</w:t>
            </w:r>
          </w:p>
        </w:tc>
      </w:tr>
      <w:tr w:rsidR="009621C3" w:rsidRPr="00200A63" w:rsidTr="009621C3">
        <w:trPr>
          <w:trHeight w:val="90"/>
        </w:trPr>
        <w:tc>
          <w:tcPr>
            <w:tcW w:w="3075" w:type="dxa"/>
            <w:gridSpan w:val="4"/>
            <w:shd w:val="clear" w:color="auto" w:fill="auto"/>
            <w:vAlign w:val="center"/>
            <w:hideMark/>
          </w:tcPr>
          <w:p w:rsidR="00200A63" w:rsidRPr="00200A63" w:rsidRDefault="00200A63">
            <w:pPr>
              <w:rPr>
                <w:sz w:val="20"/>
                <w:szCs w:val="20"/>
              </w:rPr>
            </w:pPr>
            <w:r w:rsidRPr="00200A63">
              <w:rPr>
                <w:sz w:val="20"/>
                <w:szCs w:val="20"/>
              </w:rPr>
              <w:t>Secondary specialized education</w:t>
            </w:r>
          </w:p>
        </w:tc>
        <w:tc>
          <w:tcPr>
            <w:tcW w:w="1504" w:type="dxa"/>
            <w:shd w:val="clear" w:color="auto" w:fill="auto"/>
            <w:noWrap/>
            <w:vAlign w:val="bottom"/>
            <w:hideMark/>
          </w:tcPr>
          <w:p w:rsidR="00200A63" w:rsidRPr="00200A63" w:rsidRDefault="00200A63" w:rsidP="009621C3">
            <w:pPr>
              <w:jc w:val="center"/>
              <w:rPr>
                <w:sz w:val="20"/>
                <w:szCs w:val="20"/>
              </w:rPr>
            </w:pPr>
            <w:r w:rsidRPr="00200A63">
              <w:rPr>
                <w:sz w:val="20"/>
                <w:szCs w:val="20"/>
              </w:rPr>
              <w:t>27</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38</w:t>
            </w:r>
          </w:p>
        </w:tc>
      </w:tr>
      <w:tr w:rsidR="009621C3" w:rsidRPr="00200A63" w:rsidTr="009621C3">
        <w:trPr>
          <w:trHeight w:val="282"/>
        </w:trPr>
        <w:tc>
          <w:tcPr>
            <w:tcW w:w="3075" w:type="dxa"/>
            <w:gridSpan w:val="4"/>
            <w:shd w:val="clear" w:color="auto" w:fill="auto"/>
            <w:vAlign w:val="center"/>
            <w:hideMark/>
          </w:tcPr>
          <w:p w:rsidR="00200A63" w:rsidRPr="00200A63" w:rsidRDefault="00200A63">
            <w:pPr>
              <w:rPr>
                <w:sz w:val="20"/>
                <w:szCs w:val="20"/>
              </w:rPr>
            </w:pPr>
            <w:r w:rsidRPr="00200A63">
              <w:rPr>
                <w:sz w:val="20"/>
                <w:szCs w:val="20"/>
              </w:rPr>
              <w:t>Vocational school</w:t>
            </w:r>
          </w:p>
        </w:tc>
        <w:tc>
          <w:tcPr>
            <w:tcW w:w="1504" w:type="dxa"/>
            <w:shd w:val="clear" w:color="auto" w:fill="auto"/>
            <w:noWrap/>
            <w:vAlign w:val="bottom"/>
            <w:hideMark/>
          </w:tcPr>
          <w:p w:rsidR="00200A63" w:rsidRPr="00200A63" w:rsidRDefault="00200A63" w:rsidP="009621C3">
            <w:pPr>
              <w:jc w:val="center"/>
              <w:rPr>
                <w:sz w:val="20"/>
                <w:szCs w:val="20"/>
              </w:rPr>
            </w:pPr>
            <w:r w:rsidRPr="00200A63">
              <w:rPr>
                <w:sz w:val="20"/>
                <w:szCs w:val="20"/>
              </w:rPr>
              <w:t>7</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12</w:t>
            </w:r>
          </w:p>
        </w:tc>
      </w:tr>
      <w:tr w:rsidR="009621C3" w:rsidRPr="00200A63" w:rsidTr="009621C3">
        <w:trPr>
          <w:trHeight w:val="80"/>
        </w:trPr>
        <w:tc>
          <w:tcPr>
            <w:tcW w:w="3075" w:type="dxa"/>
            <w:gridSpan w:val="4"/>
            <w:shd w:val="clear" w:color="auto" w:fill="auto"/>
            <w:vAlign w:val="center"/>
            <w:hideMark/>
          </w:tcPr>
          <w:p w:rsidR="00200A63" w:rsidRPr="00200A63" w:rsidRDefault="00200A63">
            <w:pPr>
              <w:rPr>
                <w:sz w:val="20"/>
                <w:szCs w:val="20"/>
              </w:rPr>
            </w:pPr>
            <w:r w:rsidRPr="00200A63">
              <w:rPr>
                <w:sz w:val="20"/>
                <w:szCs w:val="20"/>
              </w:rPr>
              <w:t>General secondary education</w:t>
            </w:r>
          </w:p>
        </w:tc>
        <w:tc>
          <w:tcPr>
            <w:tcW w:w="1504" w:type="dxa"/>
            <w:shd w:val="clear" w:color="auto" w:fill="auto"/>
            <w:noWrap/>
            <w:vAlign w:val="bottom"/>
            <w:hideMark/>
          </w:tcPr>
          <w:p w:rsidR="00200A63" w:rsidRPr="00200A63" w:rsidRDefault="00200A63" w:rsidP="009621C3">
            <w:pPr>
              <w:jc w:val="center"/>
              <w:rPr>
                <w:sz w:val="20"/>
                <w:szCs w:val="20"/>
              </w:rPr>
            </w:pPr>
            <w:r w:rsidRPr="00200A63">
              <w:rPr>
                <w:sz w:val="20"/>
                <w:szCs w:val="20"/>
              </w:rPr>
              <w:t>18</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23</w:t>
            </w:r>
          </w:p>
        </w:tc>
      </w:tr>
      <w:tr w:rsidR="009621C3" w:rsidRPr="00200A63" w:rsidTr="009621C3">
        <w:trPr>
          <w:trHeight w:val="282"/>
        </w:trPr>
        <w:tc>
          <w:tcPr>
            <w:tcW w:w="3075" w:type="dxa"/>
            <w:gridSpan w:val="4"/>
            <w:shd w:val="clear" w:color="auto" w:fill="auto"/>
            <w:vAlign w:val="center"/>
            <w:hideMark/>
          </w:tcPr>
          <w:p w:rsidR="00200A63" w:rsidRPr="00200A63" w:rsidRDefault="00200A63">
            <w:pPr>
              <w:rPr>
                <w:sz w:val="20"/>
                <w:szCs w:val="20"/>
              </w:rPr>
            </w:pPr>
            <w:r w:rsidRPr="00200A63">
              <w:rPr>
                <w:sz w:val="20"/>
                <w:szCs w:val="20"/>
              </w:rPr>
              <w:t>General basic education</w:t>
            </w:r>
          </w:p>
        </w:tc>
        <w:tc>
          <w:tcPr>
            <w:tcW w:w="1504" w:type="dxa"/>
            <w:shd w:val="clear" w:color="auto" w:fill="auto"/>
            <w:noWrap/>
            <w:vAlign w:val="bottom"/>
            <w:hideMark/>
          </w:tcPr>
          <w:p w:rsidR="00200A63" w:rsidRPr="00200A63" w:rsidRDefault="00200A63" w:rsidP="009621C3">
            <w:pPr>
              <w:jc w:val="center"/>
              <w:rPr>
                <w:sz w:val="20"/>
                <w:szCs w:val="20"/>
              </w:rPr>
            </w:pPr>
            <w:r w:rsidRPr="00200A63">
              <w:rPr>
                <w:sz w:val="20"/>
                <w:szCs w:val="20"/>
              </w:rPr>
              <w:t>17</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2</w:t>
            </w:r>
          </w:p>
        </w:tc>
      </w:tr>
      <w:tr w:rsidR="009621C3" w:rsidRPr="00200A63" w:rsidTr="009621C3">
        <w:trPr>
          <w:trHeight w:val="423"/>
        </w:trPr>
        <w:tc>
          <w:tcPr>
            <w:tcW w:w="3075" w:type="dxa"/>
            <w:gridSpan w:val="4"/>
            <w:shd w:val="clear" w:color="auto" w:fill="auto"/>
            <w:vAlign w:val="center"/>
            <w:hideMark/>
          </w:tcPr>
          <w:p w:rsidR="00200A63" w:rsidRPr="00200A63" w:rsidRDefault="00200A63">
            <w:pPr>
              <w:rPr>
                <w:sz w:val="20"/>
                <w:szCs w:val="20"/>
              </w:rPr>
            </w:pPr>
            <w:r w:rsidRPr="00200A63">
              <w:rPr>
                <w:sz w:val="20"/>
                <w:szCs w:val="20"/>
              </w:rPr>
              <w:t>General primary education</w:t>
            </w:r>
          </w:p>
        </w:tc>
        <w:tc>
          <w:tcPr>
            <w:tcW w:w="1504" w:type="dxa"/>
            <w:shd w:val="clear" w:color="auto" w:fill="auto"/>
            <w:noWrap/>
            <w:vAlign w:val="bottom"/>
            <w:hideMark/>
          </w:tcPr>
          <w:p w:rsidR="00200A63" w:rsidRPr="00200A63" w:rsidRDefault="00200A63" w:rsidP="009621C3">
            <w:pPr>
              <w:jc w:val="center"/>
              <w:rPr>
                <w:sz w:val="20"/>
                <w:szCs w:val="20"/>
              </w:rPr>
            </w:pPr>
            <w:r w:rsidRPr="00200A63">
              <w:rPr>
                <w:sz w:val="20"/>
                <w:szCs w:val="20"/>
              </w:rPr>
              <w:t>15</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0</w:t>
            </w:r>
          </w:p>
        </w:tc>
      </w:tr>
      <w:tr w:rsidR="009621C3" w:rsidRPr="00200A63" w:rsidTr="009621C3">
        <w:trPr>
          <w:trHeight w:val="80"/>
        </w:trPr>
        <w:tc>
          <w:tcPr>
            <w:tcW w:w="3075" w:type="dxa"/>
            <w:gridSpan w:val="4"/>
            <w:shd w:val="clear" w:color="auto" w:fill="auto"/>
            <w:vAlign w:val="center"/>
            <w:hideMark/>
          </w:tcPr>
          <w:p w:rsidR="00200A63" w:rsidRPr="00200A63" w:rsidRDefault="00200A63">
            <w:pPr>
              <w:rPr>
                <w:sz w:val="20"/>
                <w:szCs w:val="20"/>
              </w:rPr>
            </w:pPr>
            <w:r w:rsidRPr="00200A63">
              <w:rPr>
                <w:sz w:val="20"/>
                <w:szCs w:val="20"/>
              </w:rPr>
              <w:t>Incomplete primary education</w:t>
            </w:r>
          </w:p>
        </w:tc>
        <w:tc>
          <w:tcPr>
            <w:tcW w:w="1504" w:type="dxa"/>
            <w:shd w:val="clear" w:color="auto" w:fill="auto"/>
            <w:noWrap/>
            <w:vAlign w:val="bottom"/>
            <w:hideMark/>
          </w:tcPr>
          <w:p w:rsidR="00200A63" w:rsidRPr="00200A63" w:rsidRDefault="00200A63" w:rsidP="009621C3">
            <w:pPr>
              <w:jc w:val="center"/>
              <w:rPr>
                <w:sz w:val="20"/>
                <w:szCs w:val="20"/>
              </w:rPr>
            </w:pPr>
            <w:r w:rsidRPr="00200A63">
              <w:rPr>
                <w:sz w:val="20"/>
                <w:szCs w:val="20"/>
              </w:rPr>
              <w:t>1</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0</w:t>
            </w:r>
          </w:p>
        </w:tc>
      </w:tr>
      <w:tr w:rsidR="009621C3" w:rsidRPr="00200A63" w:rsidTr="009621C3">
        <w:trPr>
          <w:trHeight w:val="117"/>
        </w:trPr>
        <w:tc>
          <w:tcPr>
            <w:tcW w:w="3075" w:type="dxa"/>
            <w:gridSpan w:val="4"/>
            <w:shd w:val="clear" w:color="auto" w:fill="auto"/>
            <w:vAlign w:val="center"/>
            <w:hideMark/>
          </w:tcPr>
          <w:p w:rsidR="00200A63" w:rsidRPr="00200A63" w:rsidRDefault="00200A63">
            <w:pPr>
              <w:rPr>
                <w:sz w:val="20"/>
                <w:szCs w:val="20"/>
              </w:rPr>
            </w:pPr>
            <w:r w:rsidRPr="00200A63">
              <w:rPr>
                <w:sz w:val="20"/>
                <w:szCs w:val="20"/>
              </w:rPr>
              <w:t>Doesn't know, refuses to answer</w:t>
            </w:r>
          </w:p>
        </w:tc>
        <w:tc>
          <w:tcPr>
            <w:tcW w:w="1504" w:type="dxa"/>
            <w:shd w:val="clear" w:color="auto" w:fill="auto"/>
            <w:noWrap/>
            <w:vAlign w:val="bottom"/>
            <w:hideMark/>
          </w:tcPr>
          <w:p w:rsidR="00200A63" w:rsidRPr="00200A63" w:rsidRDefault="00200A63" w:rsidP="009621C3">
            <w:pPr>
              <w:jc w:val="center"/>
              <w:rPr>
                <w:sz w:val="20"/>
                <w:szCs w:val="20"/>
              </w:rPr>
            </w:pPr>
            <w:r w:rsidRPr="00200A63">
              <w:rPr>
                <w:sz w:val="20"/>
                <w:szCs w:val="20"/>
              </w:rPr>
              <w:t>1</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0</w:t>
            </w:r>
          </w:p>
        </w:tc>
      </w:tr>
      <w:tr w:rsidR="009621C3" w:rsidRPr="00200A63" w:rsidTr="009621C3">
        <w:trPr>
          <w:trHeight w:val="282"/>
        </w:trPr>
        <w:tc>
          <w:tcPr>
            <w:tcW w:w="3075" w:type="dxa"/>
            <w:gridSpan w:val="4"/>
            <w:shd w:val="clear" w:color="auto" w:fill="auto"/>
            <w:vAlign w:val="center"/>
            <w:hideMark/>
          </w:tcPr>
          <w:p w:rsidR="00200A63" w:rsidRPr="00200A63" w:rsidRDefault="00200A63">
            <w:pPr>
              <w:rPr>
                <w:sz w:val="20"/>
                <w:szCs w:val="20"/>
              </w:rPr>
            </w:pPr>
            <w:r w:rsidRPr="00200A63">
              <w:rPr>
                <w:sz w:val="20"/>
                <w:szCs w:val="20"/>
              </w:rPr>
              <w:t>total</w:t>
            </w:r>
          </w:p>
        </w:tc>
        <w:tc>
          <w:tcPr>
            <w:tcW w:w="1504" w:type="dxa"/>
            <w:shd w:val="clear" w:color="auto" w:fill="auto"/>
            <w:noWrap/>
            <w:vAlign w:val="bottom"/>
            <w:hideMark/>
          </w:tcPr>
          <w:p w:rsidR="00200A63" w:rsidRPr="00200A63" w:rsidRDefault="00200A63" w:rsidP="009621C3">
            <w:pPr>
              <w:jc w:val="center"/>
              <w:rPr>
                <w:sz w:val="20"/>
                <w:szCs w:val="20"/>
              </w:rPr>
            </w:pPr>
            <w:r w:rsidRPr="00200A63">
              <w:rPr>
                <w:sz w:val="20"/>
                <w:szCs w:val="20"/>
              </w:rPr>
              <w:t>100</w:t>
            </w:r>
          </w:p>
        </w:tc>
        <w:tc>
          <w:tcPr>
            <w:tcW w:w="1961" w:type="dxa"/>
            <w:shd w:val="clear" w:color="auto" w:fill="auto"/>
            <w:noWrap/>
            <w:vAlign w:val="bottom"/>
            <w:hideMark/>
          </w:tcPr>
          <w:p w:rsidR="00200A63" w:rsidRPr="00200A63" w:rsidRDefault="00200A63" w:rsidP="009621C3">
            <w:pPr>
              <w:jc w:val="center"/>
              <w:rPr>
                <w:sz w:val="20"/>
                <w:szCs w:val="20"/>
              </w:rPr>
            </w:pPr>
            <w:r w:rsidRPr="00200A63">
              <w:rPr>
                <w:sz w:val="20"/>
                <w:szCs w:val="20"/>
              </w:rPr>
              <w:t>100</w:t>
            </w:r>
          </w:p>
        </w:tc>
      </w:tr>
      <w:tr w:rsidR="00200A63" w:rsidRPr="00200A63" w:rsidTr="009621C3">
        <w:trPr>
          <w:trHeight w:val="282"/>
        </w:trPr>
        <w:tc>
          <w:tcPr>
            <w:tcW w:w="6540" w:type="dxa"/>
            <w:gridSpan w:val="6"/>
            <w:shd w:val="clear" w:color="auto" w:fill="auto"/>
            <w:vAlign w:val="center"/>
            <w:hideMark/>
          </w:tcPr>
          <w:p w:rsidR="00200A63" w:rsidRPr="009621C3" w:rsidRDefault="00200A63" w:rsidP="009621C3">
            <w:pPr>
              <w:jc w:val="center"/>
              <w:rPr>
                <w:b/>
                <w:sz w:val="20"/>
                <w:szCs w:val="20"/>
              </w:rPr>
            </w:pPr>
            <w:r w:rsidRPr="009621C3">
              <w:rPr>
                <w:b/>
                <w:sz w:val="20"/>
                <w:szCs w:val="20"/>
              </w:rPr>
              <w:t>Pension size</w:t>
            </w:r>
          </w:p>
        </w:tc>
      </w:tr>
      <w:tr w:rsidR="009621C3" w:rsidRPr="00200A63" w:rsidTr="00C45BC0">
        <w:trPr>
          <w:trHeight w:val="49"/>
        </w:trPr>
        <w:tc>
          <w:tcPr>
            <w:tcW w:w="2895" w:type="dxa"/>
            <w:gridSpan w:val="3"/>
            <w:tcBorders>
              <w:bottom w:val="single" w:sz="4" w:space="0" w:color="auto"/>
            </w:tcBorders>
            <w:shd w:val="clear" w:color="auto" w:fill="auto"/>
            <w:vAlign w:val="center"/>
            <w:hideMark/>
          </w:tcPr>
          <w:p w:rsidR="00200A63" w:rsidRPr="00200A63" w:rsidRDefault="009621C3">
            <w:pPr>
              <w:rPr>
                <w:sz w:val="20"/>
                <w:szCs w:val="20"/>
              </w:rPr>
            </w:pPr>
            <w:r w:rsidRPr="00200A63">
              <w:rPr>
                <w:sz w:val="20"/>
                <w:szCs w:val="20"/>
              </w:rPr>
              <w:t>Monthly</w:t>
            </w:r>
            <w:r w:rsidR="00200A63" w:rsidRPr="00200A63">
              <w:rPr>
                <w:sz w:val="20"/>
                <w:szCs w:val="20"/>
              </w:rPr>
              <w:t xml:space="preserve"> average pension</w:t>
            </w:r>
            <w:r>
              <w:rPr>
                <w:sz w:val="20"/>
                <w:szCs w:val="20"/>
              </w:rPr>
              <w:t>, rubles</w:t>
            </w:r>
          </w:p>
        </w:tc>
        <w:tc>
          <w:tcPr>
            <w:tcW w:w="1684" w:type="dxa"/>
            <w:gridSpan w:val="2"/>
            <w:tcBorders>
              <w:bottom w:val="single" w:sz="4" w:space="0" w:color="auto"/>
            </w:tcBorders>
            <w:shd w:val="clear" w:color="auto" w:fill="auto"/>
            <w:noWrap/>
            <w:vAlign w:val="bottom"/>
            <w:hideMark/>
          </w:tcPr>
          <w:p w:rsidR="00200A63" w:rsidRPr="00200A63" w:rsidRDefault="00200A63" w:rsidP="009621C3">
            <w:pPr>
              <w:jc w:val="center"/>
              <w:rPr>
                <w:sz w:val="20"/>
                <w:szCs w:val="20"/>
              </w:rPr>
            </w:pPr>
            <w:r w:rsidRPr="00200A63">
              <w:rPr>
                <w:sz w:val="20"/>
                <w:szCs w:val="20"/>
              </w:rPr>
              <w:t>514774</w:t>
            </w:r>
          </w:p>
        </w:tc>
        <w:tc>
          <w:tcPr>
            <w:tcW w:w="1961" w:type="dxa"/>
            <w:tcBorders>
              <w:bottom w:val="single" w:sz="4" w:space="0" w:color="auto"/>
            </w:tcBorders>
            <w:shd w:val="clear" w:color="auto" w:fill="auto"/>
            <w:noWrap/>
            <w:vAlign w:val="bottom"/>
            <w:hideMark/>
          </w:tcPr>
          <w:p w:rsidR="00200A63" w:rsidRPr="00200A63" w:rsidRDefault="00200A63" w:rsidP="009621C3">
            <w:pPr>
              <w:jc w:val="center"/>
              <w:rPr>
                <w:sz w:val="20"/>
                <w:szCs w:val="20"/>
              </w:rPr>
            </w:pPr>
            <w:r w:rsidRPr="00200A63">
              <w:rPr>
                <w:sz w:val="20"/>
                <w:szCs w:val="20"/>
              </w:rPr>
              <w:t>513747</w:t>
            </w:r>
          </w:p>
        </w:tc>
      </w:tr>
      <w:tr w:rsidR="009621C3" w:rsidRPr="00200A63" w:rsidTr="00C45BC0">
        <w:trPr>
          <w:trHeight w:val="150"/>
        </w:trPr>
        <w:tc>
          <w:tcPr>
            <w:tcW w:w="6540" w:type="dxa"/>
            <w:gridSpan w:val="6"/>
            <w:tcBorders>
              <w:top w:val="single" w:sz="4" w:space="0" w:color="auto"/>
              <w:bottom w:val="nil"/>
            </w:tcBorders>
            <w:shd w:val="clear" w:color="auto" w:fill="auto"/>
            <w:noWrap/>
            <w:vAlign w:val="bottom"/>
            <w:hideMark/>
          </w:tcPr>
          <w:p w:rsidR="009621C3" w:rsidRPr="00C45BC0" w:rsidRDefault="009621C3" w:rsidP="009621C3">
            <w:pPr>
              <w:rPr>
                <w:sz w:val="18"/>
                <w:szCs w:val="18"/>
              </w:rPr>
            </w:pPr>
            <w:r w:rsidRPr="00C45BC0">
              <w:rPr>
                <w:i/>
                <w:sz w:val="18"/>
                <w:szCs w:val="18"/>
              </w:rPr>
              <w:t>Source:</w:t>
            </w:r>
            <w:r w:rsidRPr="00C45BC0">
              <w:rPr>
                <w:sz w:val="18"/>
                <w:szCs w:val="18"/>
              </w:rPr>
              <w:t xml:space="preserve"> HLSS, World Bank staff calculations. </w:t>
            </w:r>
          </w:p>
          <w:p w:rsidR="009621C3" w:rsidRPr="00C45BC0" w:rsidRDefault="009621C3" w:rsidP="000A3D22">
            <w:pPr>
              <w:rPr>
                <w:sz w:val="18"/>
                <w:szCs w:val="18"/>
              </w:rPr>
            </w:pPr>
            <w:r w:rsidRPr="00C45BC0">
              <w:rPr>
                <w:i/>
                <w:sz w:val="18"/>
                <w:szCs w:val="18"/>
              </w:rPr>
              <w:t>Notes</w:t>
            </w:r>
            <w:r w:rsidRPr="00C45BC0">
              <w:rPr>
                <w:sz w:val="18"/>
                <w:szCs w:val="18"/>
              </w:rPr>
              <w:t xml:space="preserve">: </w:t>
            </w:r>
            <w:r w:rsidR="000A3D22" w:rsidRPr="00C45BC0">
              <w:rPr>
                <w:sz w:val="18"/>
                <w:szCs w:val="18"/>
              </w:rPr>
              <w:t>female population older 55</w:t>
            </w:r>
            <w:r w:rsidRPr="00C45BC0">
              <w:rPr>
                <w:sz w:val="18"/>
                <w:szCs w:val="18"/>
              </w:rPr>
              <w:t>.</w:t>
            </w:r>
          </w:p>
        </w:tc>
      </w:tr>
    </w:tbl>
    <w:p w:rsidR="00200A63" w:rsidRDefault="00200A63" w:rsidP="0050144B">
      <w:pPr>
        <w:pStyle w:val="MainParawithChapter"/>
        <w:numPr>
          <w:ilvl w:val="0"/>
          <w:numId w:val="0"/>
        </w:numPr>
        <w:jc w:val="both"/>
        <w:rPr>
          <w:sz w:val="22"/>
          <w:szCs w:val="22"/>
        </w:rPr>
      </w:pPr>
    </w:p>
    <w:p w:rsidR="0050144B" w:rsidRDefault="0050144B" w:rsidP="0050144B">
      <w:pPr>
        <w:pStyle w:val="ListParagraph"/>
        <w:rPr>
          <w:sz w:val="22"/>
          <w:szCs w:val="22"/>
        </w:rPr>
      </w:pPr>
    </w:p>
    <w:p w:rsidR="009A5EEB" w:rsidRDefault="009A5EEB" w:rsidP="00E95E30">
      <w:pPr>
        <w:pStyle w:val="MainParawithChapter"/>
        <w:jc w:val="both"/>
        <w:rPr>
          <w:sz w:val="22"/>
          <w:szCs w:val="22"/>
        </w:rPr>
      </w:pPr>
      <w:r w:rsidRPr="009A5EEB">
        <w:rPr>
          <w:sz w:val="22"/>
          <w:szCs w:val="22"/>
        </w:rPr>
        <w:t>Childcare availability and affordability are important for female employment. Even though we cannot explore employment patterns of women with and without children due to data limitations, there is some evidence that women with children are more likely to engage in housework and caring of children.  Thus, among families with female heads of household, around one percent of heads engage in housework compared to 26 percent among heads with more than two kids under five years old (HLSS). This may indicate importance of childcare and preschool service for women. According to NSC (2012b), 75 percent of children aged 1-5 years were covered by preschool education in Belarus in 2011 with a pronounced difference across urban and rural areas: 81 versus 56 percent respectively. Yet, it should be noted that lack of information on how working women with young children cope in terms of child care is a gap that needs to be filled, especially as it may adversely affect women employment opportunities or career development as a result.</w:t>
      </w:r>
    </w:p>
    <w:p w:rsidR="009A5EEB" w:rsidRDefault="009A5EEB" w:rsidP="00771B38">
      <w:pPr>
        <w:pStyle w:val="MainParawithChapter"/>
        <w:numPr>
          <w:ilvl w:val="0"/>
          <w:numId w:val="0"/>
        </w:numPr>
        <w:jc w:val="both"/>
        <w:rPr>
          <w:sz w:val="22"/>
          <w:szCs w:val="22"/>
        </w:rPr>
      </w:pPr>
    </w:p>
    <w:p w:rsidR="00FD5B21" w:rsidRPr="009A5EEB" w:rsidRDefault="00FD5B21" w:rsidP="00771B38">
      <w:pPr>
        <w:pStyle w:val="MainParawithChapter"/>
        <w:numPr>
          <w:ilvl w:val="0"/>
          <w:numId w:val="0"/>
        </w:numPr>
        <w:jc w:val="both"/>
        <w:rPr>
          <w:sz w:val="22"/>
          <w:szCs w:val="22"/>
        </w:rPr>
      </w:pPr>
    </w:p>
    <w:p w:rsidR="009A5EEB" w:rsidRPr="008F24ED" w:rsidRDefault="009A5EEB" w:rsidP="007C6CE9">
      <w:pPr>
        <w:pStyle w:val="Heading2"/>
        <w:numPr>
          <w:ilvl w:val="0"/>
          <w:numId w:val="46"/>
        </w:numPr>
        <w:ind w:left="0" w:firstLine="0"/>
        <w:jc w:val="center"/>
        <w:rPr>
          <w:rFonts w:ascii="Times New Roman Bold" w:hAnsi="Times New Roman Bold"/>
          <w:smallCaps/>
        </w:rPr>
      </w:pPr>
      <w:bookmarkStart w:id="47" w:name="_Toc383011590"/>
      <w:r w:rsidRPr="008F24ED">
        <w:rPr>
          <w:rFonts w:ascii="Times New Roman Bold" w:hAnsi="Times New Roman Bold"/>
          <w:smallCaps/>
        </w:rPr>
        <w:t>Entrepreneurship and access to finance</w:t>
      </w:r>
      <w:bookmarkEnd w:id="47"/>
    </w:p>
    <w:p w:rsidR="009A5EEB" w:rsidRPr="008F24ED" w:rsidRDefault="009A5EEB" w:rsidP="008F24ED">
      <w:pPr>
        <w:pStyle w:val="Heading2"/>
        <w:rPr>
          <w:rFonts w:ascii="Times New Roman Bold" w:hAnsi="Times New Roman Bold"/>
          <w:smallCaps/>
        </w:rPr>
      </w:pPr>
    </w:p>
    <w:p w:rsidR="009A5EEB" w:rsidRPr="008F24ED" w:rsidRDefault="009A5EEB" w:rsidP="00771B38">
      <w:pPr>
        <w:pStyle w:val="MainParawithChapter"/>
        <w:numPr>
          <w:ilvl w:val="0"/>
          <w:numId w:val="0"/>
        </w:numPr>
        <w:jc w:val="both"/>
        <w:rPr>
          <w:b/>
          <w:sz w:val="22"/>
          <w:szCs w:val="22"/>
        </w:rPr>
      </w:pPr>
      <w:r w:rsidRPr="008F24ED">
        <w:rPr>
          <w:b/>
          <w:sz w:val="22"/>
          <w:szCs w:val="22"/>
        </w:rPr>
        <w:t xml:space="preserve">Entrepreneurship </w:t>
      </w:r>
    </w:p>
    <w:p w:rsidR="009A5EEB" w:rsidRPr="009A5EEB" w:rsidRDefault="009A5EEB" w:rsidP="00771B38">
      <w:pPr>
        <w:pStyle w:val="MainParawithChapter"/>
        <w:numPr>
          <w:ilvl w:val="0"/>
          <w:numId w:val="0"/>
        </w:numPr>
        <w:jc w:val="both"/>
        <w:rPr>
          <w:sz w:val="22"/>
          <w:szCs w:val="22"/>
        </w:rPr>
      </w:pPr>
    </w:p>
    <w:p w:rsidR="009A5EEB" w:rsidRPr="009A5EEB" w:rsidRDefault="009A5EEB" w:rsidP="00E95E30">
      <w:pPr>
        <w:pStyle w:val="MainParawithChapter"/>
        <w:jc w:val="both"/>
        <w:rPr>
          <w:sz w:val="22"/>
          <w:szCs w:val="22"/>
        </w:rPr>
      </w:pPr>
      <w:r w:rsidRPr="009A5EEB">
        <w:rPr>
          <w:sz w:val="22"/>
          <w:szCs w:val="22"/>
        </w:rPr>
        <w:t xml:space="preserve">Women are less likely to start their own business and are less successful given the decision to start. The LiTS database collects data for attempts and success in business for men and women. As shown in Figure </w:t>
      </w:r>
      <w:r w:rsidR="00107B85">
        <w:rPr>
          <w:sz w:val="22"/>
          <w:szCs w:val="22"/>
        </w:rPr>
        <w:t>3.4</w:t>
      </w:r>
      <w:r w:rsidRPr="009A5EEB">
        <w:rPr>
          <w:sz w:val="22"/>
          <w:szCs w:val="22"/>
        </w:rPr>
        <w:t xml:space="preserve">a, men are more likely to start their own business (12 versus 6 percent respectively). Men also are more likely to be successful among those who tried (49 versus 45 percent respectively). The reasons for failure are difficult to analyze because 12 percent of men refused to answer. Nevertheless, nobody among men indicated such reasons as “competitors threatened me” and “could not afford protection measures’ which were mentioned by 15 percent of women. </w:t>
      </w:r>
    </w:p>
    <w:p w:rsidR="009A5EEB" w:rsidRPr="009A5EEB" w:rsidRDefault="009A5EEB" w:rsidP="00771B38">
      <w:pPr>
        <w:pStyle w:val="MainParawithChapter"/>
        <w:numPr>
          <w:ilvl w:val="0"/>
          <w:numId w:val="0"/>
        </w:numPr>
        <w:jc w:val="both"/>
        <w:rPr>
          <w:sz w:val="22"/>
          <w:szCs w:val="22"/>
        </w:rPr>
      </w:pPr>
    </w:p>
    <w:p w:rsidR="009A5EEB" w:rsidRDefault="009A5EEB" w:rsidP="00E95E30">
      <w:pPr>
        <w:pStyle w:val="MainParawithChapter"/>
        <w:jc w:val="both"/>
        <w:rPr>
          <w:sz w:val="22"/>
          <w:szCs w:val="22"/>
        </w:rPr>
      </w:pPr>
      <w:r w:rsidRPr="009A5EEB">
        <w:rPr>
          <w:sz w:val="22"/>
          <w:szCs w:val="22"/>
        </w:rPr>
        <w:lastRenderedPageBreak/>
        <w:t>Unwillingness to take personal or financial risks can be one of the factors affecting fewer attempts to start business among women, but business women seem to be less risk averse than men. The role of risk in entrepreneurship can be assessed by using data from the LiTS, where men and women rate their willingness to take risks. Firstly, regardless of gender, those who attempted to start a business seem to be less risk averse which is rather expected</w:t>
      </w:r>
      <w:r w:rsidR="00107B85">
        <w:rPr>
          <w:sz w:val="22"/>
          <w:szCs w:val="22"/>
        </w:rPr>
        <w:t xml:space="preserve"> (Figure 3.4b)</w:t>
      </w:r>
      <w:r w:rsidRPr="009A5EEB">
        <w:rPr>
          <w:sz w:val="22"/>
          <w:szCs w:val="22"/>
        </w:rPr>
        <w:t>. Secondly, among those who did not attempt to start business, women are less willing to take risks than men. Thirdly, among those who started business and who managed to do this, women are willing to take more risks than men. This may imply that more willingness to take risks among female entrepreneurs is needed to succeed in starting business.</w:t>
      </w:r>
    </w:p>
    <w:p w:rsidR="00D63AAC" w:rsidRDefault="00D63AAC" w:rsidP="00D63AAC">
      <w:pPr>
        <w:pStyle w:val="ListParagraph"/>
        <w:rPr>
          <w:sz w:val="22"/>
          <w:szCs w:val="22"/>
        </w:rPr>
      </w:pPr>
    </w:p>
    <w:tbl>
      <w:tblPr>
        <w:tblW w:w="0" w:type="auto"/>
        <w:tblBorders>
          <w:top w:val="single" w:sz="8" w:space="0" w:color="4F81BD"/>
        </w:tblBorders>
        <w:tblLook w:val="00A0" w:firstRow="1" w:lastRow="0" w:firstColumn="1" w:lastColumn="0" w:noHBand="0" w:noVBand="0"/>
      </w:tblPr>
      <w:tblGrid>
        <w:gridCol w:w="4408"/>
        <w:gridCol w:w="4448"/>
      </w:tblGrid>
      <w:tr w:rsidR="00D63AAC" w:rsidRPr="00997957" w:rsidTr="00C45BC0">
        <w:tc>
          <w:tcPr>
            <w:tcW w:w="9576" w:type="dxa"/>
            <w:gridSpan w:val="2"/>
            <w:tcBorders>
              <w:top w:val="nil"/>
              <w:bottom w:val="single" w:sz="4" w:space="0" w:color="auto"/>
            </w:tcBorders>
          </w:tcPr>
          <w:p w:rsidR="00D63AAC" w:rsidRPr="00997957" w:rsidRDefault="009F5B52" w:rsidP="004E4C78">
            <w:pPr>
              <w:pStyle w:val="Caption"/>
              <w:spacing w:after="120"/>
              <w:jc w:val="both"/>
              <w:rPr>
                <w:b w:val="0"/>
                <w:color w:val="1F497D"/>
              </w:rPr>
            </w:pPr>
            <w:bookmarkStart w:id="48" w:name="_Toc351104640"/>
            <w:bookmarkStart w:id="49" w:name="_Toc383010217"/>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4</w:t>
            </w:r>
            <w:r w:rsidR="008A55B1">
              <w:rPr>
                <w:noProof/>
              </w:rPr>
              <w:fldChar w:fldCharType="end"/>
            </w:r>
            <w:r>
              <w:t>:</w:t>
            </w:r>
            <w:r w:rsidR="00D63AAC" w:rsidRPr="00997957">
              <w:t xml:space="preserve"> Attempts and </w:t>
            </w:r>
            <w:r>
              <w:t>S</w:t>
            </w:r>
            <w:r w:rsidR="00D63AAC" w:rsidRPr="00997957">
              <w:t xml:space="preserve">uccess in </w:t>
            </w:r>
            <w:r>
              <w:t>S</w:t>
            </w:r>
            <w:r w:rsidR="00D63AAC" w:rsidRPr="00997957">
              <w:t xml:space="preserve">tarting </w:t>
            </w:r>
            <w:r>
              <w:t>B</w:t>
            </w:r>
            <w:r w:rsidR="00D63AAC" w:rsidRPr="00997957">
              <w:t xml:space="preserve">usiness </w:t>
            </w:r>
            <w:r w:rsidR="00672AA9">
              <w:t>A</w:t>
            </w:r>
            <w:r w:rsidR="00D63AAC" w:rsidRPr="00997957">
              <w:t xml:space="preserve">cross </w:t>
            </w:r>
            <w:r>
              <w:t>G</w:t>
            </w:r>
            <w:r w:rsidR="00D63AAC" w:rsidRPr="00997957">
              <w:t>ender</w:t>
            </w:r>
            <w:bookmarkEnd w:id="48"/>
            <w:bookmarkEnd w:id="49"/>
          </w:p>
        </w:tc>
      </w:tr>
      <w:tr w:rsidR="00D63AAC" w:rsidRPr="00510D2E" w:rsidTr="00C45BC0">
        <w:tc>
          <w:tcPr>
            <w:tcW w:w="4802" w:type="dxa"/>
            <w:tcBorders>
              <w:top w:val="single" w:sz="4" w:space="0" w:color="auto"/>
              <w:bottom w:val="single" w:sz="4" w:space="0" w:color="4F81BD"/>
            </w:tcBorders>
          </w:tcPr>
          <w:p w:rsidR="00D63AAC" w:rsidRPr="00672AA9" w:rsidRDefault="00D63AAC" w:rsidP="008F24ED">
            <w:pPr>
              <w:rPr>
                <w:sz w:val="20"/>
                <w:szCs w:val="20"/>
              </w:rPr>
            </w:pPr>
            <w:r w:rsidRPr="00672AA9">
              <w:rPr>
                <w:sz w:val="20"/>
                <w:szCs w:val="20"/>
              </w:rPr>
              <w:t>a) Attempts and success in starting business, 2008</w:t>
            </w:r>
          </w:p>
        </w:tc>
        <w:tc>
          <w:tcPr>
            <w:tcW w:w="4774" w:type="dxa"/>
            <w:tcBorders>
              <w:top w:val="single" w:sz="4" w:space="0" w:color="auto"/>
              <w:bottom w:val="single" w:sz="4" w:space="0" w:color="4F81BD"/>
            </w:tcBorders>
          </w:tcPr>
          <w:p w:rsidR="00D63AAC" w:rsidRPr="00672AA9" w:rsidRDefault="00D63AAC" w:rsidP="008F24ED">
            <w:pPr>
              <w:rPr>
                <w:sz w:val="20"/>
                <w:szCs w:val="20"/>
              </w:rPr>
            </w:pPr>
            <w:r w:rsidRPr="00672AA9">
              <w:rPr>
                <w:sz w:val="20"/>
                <w:szCs w:val="20"/>
              </w:rPr>
              <w:t>b) Willingness to take risks by attempts and success in starting business, 2008</w:t>
            </w:r>
          </w:p>
        </w:tc>
      </w:tr>
      <w:tr w:rsidR="00D63AAC" w:rsidRPr="00CE1A4F" w:rsidTr="00C45BC0">
        <w:tc>
          <w:tcPr>
            <w:tcW w:w="4802" w:type="dxa"/>
            <w:tcBorders>
              <w:top w:val="nil"/>
              <w:bottom w:val="single" w:sz="4" w:space="0" w:color="auto"/>
            </w:tcBorders>
          </w:tcPr>
          <w:p w:rsidR="00D63AAC" w:rsidRPr="00CE1A4F" w:rsidRDefault="005A6047" w:rsidP="008F24ED">
            <w:r>
              <w:rPr>
                <w:noProof/>
              </w:rPr>
              <w:drawing>
                <wp:inline distT="0" distB="0" distL="0" distR="0" wp14:anchorId="1F360C8D" wp14:editId="778C2D53">
                  <wp:extent cx="2590800" cy="2219325"/>
                  <wp:effectExtent l="0" t="0" r="0" b="0"/>
                  <wp:docPr id="23"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774" w:type="dxa"/>
            <w:tcBorders>
              <w:top w:val="nil"/>
              <w:bottom w:val="single" w:sz="4" w:space="0" w:color="auto"/>
            </w:tcBorders>
          </w:tcPr>
          <w:p w:rsidR="00D63AAC" w:rsidRPr="00CE1A4F" w:rsidRDefault="005A6047" w:rsidP="008F24ED">
            <w:r>
              <w:rPr>
                <w:noProof/>
              </w:rPr>
              <w:drawing>
                <wp:inline distT="0" distB="0" distL="0" distR="0" wp14:anchorId="57B3BA85" wp14:editId="2507536A">
                  <wp:extent cx="2626360" cy="2302510"/>
                  <wp:effectExtent l="0" t="0" r="2540" b="2540"/>
                  <wp:docPr id="24"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D63AAC" w:rsidRPr="001520FF" w:rsidTr="00C45BC0">
        <w:tc>
          <w:tcPr>
            <w:tcW w:w="9576" w:type="dxa"/>
            <w:gridSpan w:val="2"/>
            <w:tcBorders>
              <w:top w:val="single" w:sz="4" w:space="0" w:color="auto"/>
              <w:bottom w:val="nil"/>
            </w:tcBorders>
          </w:tcPr>
          <w:p w:rsidR="00D63AAC" w:rsidRDefault="00D63AAC" w:rsidP="008F24ED">
            <w:pPr>
              <w:rPr>
                <w:sz w:val="18"/>
              </w:rPr>
            </w:pPr>
            <w:r w:rsidRPr="001520FF">
              <w:rPr>
                <w:i/>
                <w:sz w:val="18"/>
              </w:rPr>
              <w:t>Source</w:t>
            </w:r>
            <w:r w:rsidRPr="001520FF">
              <w:rPr>
                <w:sz w:val="18"/>
              </w:rPr>
              <w:t>: LiTS</w:t>
            </w:r>
            <w:r>
              <w:rPr>
                <w:sz w:val="18"/>
              </w:rPr>
              <w:t xml:space="preserve"> II (EBRD and World Bank, 2011). World Bank staff calculations. </w:t>
            </w:r>
          </w:p>
          <w:p w:rsidR="00D63AAC" w:rsidRPr="001520FF" w:rsidRDefault="00D63AAC" w:rsidP="008F24ED">
            <w:pPr>
              <w:rPr>
                <w:sz w:val="18"/>
              </w:rPr>
            </w:pPr>
            <w:r>
              <w:rPr>
                <w:sz w:val="18"/>
              </w:rPr>
              <w:t xml:space="preserve">Notes: *** gender difference significant at 1%, </w:t>
            </w:r>
            <w:r w:rsidRPr="001520FF">
              <w:rPr>
                <w:sz w:val="18"/>
              </w:rPr>
              <w:t>** gender difference significant at 5%, * gender difference significant at 10%.</w:t>
            </w:r>
            <w:r w:rsidRPr="006D323B">
              <w:rPr>
                <w:sz w:val="18"/>
              </w:rPr>
              <w:t xml:space="preserve"> Willingness to take risks </w:t>
            </w:r>
            <w:r>
              <w:rPr>
                <w:sz w:val="18"/>
              </w:rPr>
              <w:t>ranges from</w:t>
            </w:r>
            <w:r w:rsidRPr="006D323B">
              <w:rPr>
                <w:sz w:val="18"/>
              </w:rPr>
              <w:t xml:space="preserve"> 1 to 10 where 1 means not willing to take risks at all and where 10 means very much willing to take risks. </w:t>
            </w:r>
          </w:p>
        </w:tc>
      </w:tr>
    </w:tbl>
    <w:p w:rsidR="004D21D5" w:rsidRDefault="004D21D5" w:rsidP="004D21D5">
      <w:pPr>
        <w:pStyle w:val="MainParawithChapter"/>
        <w:numPr>
          <w:ilvl w:val="0"/>
          <w:numId w:val="0"/>
        </w:numPr>
        <w:jc w:val="both"/>
        <w:rPr>
          <w:sz w:val="22"/>
          <w:szCs w:val="22"/>
        </w:rPr>
      </w:pPr>
    </w:p>
    <w:p w:rsidR="00E95E30" w:rsidRDefault="00E95E30" w:rsidP="00771B38">
      <w:pPr>
        <w:pStyle w:val="MainParawithChapter"/>
        <w:jc w:val="both"/>
        <w:rPr>
          <w:sz w:val="22"/>
          <w:szCs w:val="22"/>
        </w:rPr>
      </w:pPr>
      <w:r w:rsidRPr="00E95E30">
        <w:rPr>
          <w:sz w:val="22"/>
          <w:szCs w:val="22"/>
        </w:rPr>
        <w:t>Women have equal chances with men in participating in firms’ ownership, but are less likely to manage them. According to BEEPS (2012) data, the share of firms with female ownership is not different from men and is much higher than the average for ECA region (53 versus 36 percent</w:t>
      </w:r>
      <w:r w:rsidR="00107B85">
        <w:rPr>
          <w:sz w:val="22"/>
          <w:szCs w:val="22"/>
        </w:rPr>
        <w:t>,</w:t>
      </w:r>
      <w:r w:rsidRPr="00E95E30">
        <w:rPr>
          <w:sz w:val="22"/>
          <w:szCs w:val="22"/>
        </w:rPr>
        <w:t xml:space="preserve"> respectively</w:t>
      </w:r>
      <w:r w:rsidR="00107B85">
        <w:rPr>
          <w:sz w:val="22"/>
          <w:szCs w:val="22"/>
        </w:rPr>
        <w:t xml:space="preserve"> (Figure 3.5a</w:t>
      </w:r>
      <w:r w:rsidRPr="00E95E30">
        <w:rPr>
          <w:sz w:val="22"/>
          <w:szCs w:val="22"/>
        </w:rPr>
        <w:t>).</w:t>
      </w:r>
      <w:r w:rsidR="004D21D5">
        <w:rPr>
          <w:rStyle w:val="FootnoteReference"/>
          <w:sz w:val="22"/>
          <w:szCs w:val="22"/>
        </w:rPr>
        <w:footnoteReference w:id="14"/>
      </w:r>
      <w:r w:rsidRPr="00E95E30">
        <w:rPr>
          <w:sz w:val="22"/>
          <w:szCs w:val="22"/>
        </w:rPr>
        <w:t xml:space="preserve"> Participation of women in management is also higher in Belarus than in ECA, but women still are less likely to manage firms – (25 percent of all firms had women in top management in 2009).  As observed in many other countries, women are more likely to manage small firms (firms with 5-19 employees), but female ownership is higher among the largest firms</w:t>
      </w:r>
      <w:r w:rsidR="00107B85">
        <w:rPr>
          <w:sz w:val="22"/>
          <w:szCs w:val="22"/>
        </w:rPr>
        <w:t xml:space="preserve"> (Figure 3.5b)</w:t>
      </w:r>
      <w:r w:rsidRPr="00E95E30">
        <w:rPr>
          <w:sz w:val="22"/>
          <w:szCs w:val="22"/>
        </w:rPr>
        <w:t xml:space="preserve">.  This can be partly because women ownership is high in manufacturing and state firms which employ significantly more workers than other firms.  Finally, firms with a female top manager employ a higher percentage of full-time female workers: 76 percent versus 40 percent in firms with a male top manager. </w:t>
      </w:r>
    </w:p>
    <w:p w:rsidR="00816E39" w:rsidRDefault="00816E39" w:rsidP="001A446C"/>
    <w:p w:rsidR="00816E39" w:rsidRDefault="00816E39" w:rsidP="001A446C"/>
    <w:p w:rsidR="00816E39" w:rsidRPr="00816E39" w:rsidRDefault="00816E39" w:rsidP="001A446C"/>
    <w:p w:rsidR="00E95E30" w:rsidRPr="00E95E30" w:rsidRDefault="00E95E30" w:rsidP="00771B38">
      <w:pPr>
        <w:pStyle w:val="MainParawithChapter"/>
        <w:numPr>
          <w:ilvl w:val="0"/>
          <w:numId w:val="0"/>
        </w:numPr>
        <w:jc w:val="both"/>
        <w:rPr>
          <w:sz w:val="22"/>
          <w:szCs w:val="22"/>
        </w:rPr>
      </w:pPr>
    </w:p>
    <w:p w:rsidR="00E95E30" w:rsidRDefault="00E95E30" w:rsidP="00771B38">
      <w:pPr>
        <w:pStyle w:val="MainParawithChapter"/>
        <w:numPr>
          <w:ilvl w:val="0"/>
          <w:numId w:val="0"/>
        </w:numPr>
        <w:jc w:val="both"/>
        <w:rPr>
          <w:sz w:val="22"/>
          <w:szCs w:val="22"/>
        </w:rPr>
      </w:pPr>
    </w:p>
    <w:tbl>
      <w:tblPr>
        <w:tblW w:w="0" w:type="auto"/>
        <w:tblBorders>
          <w:top w:val="single" w:sz="8" w:space="0" w:color="4F81BD"/>
        </w:tblBorders>
        <w:tblLook w:val="00A0" w:firstRow="1" w:lastRow="0" w:firstColumn="1" w:lastColumn="0" w:noHBand="0" w:noVBand="0"/>
      </w:tblPr>
      <w:tblGrid>
        <w:gridCol w:w="4271"/>
        <w:gridCol w:w="4585"/>
      </w:tblGrid>
      <w:tr w:rsidR="00D63AAC" w:rsidRPr="001520FF" w:rsidTr="00917388">
        <w:tc>
          <w:tcPr>
            <w:tcW w:w="9576" w:type="dxa"/>
            <w:gridSpan w:val="2"/>
            <w:tcBorders>
              <w:top w:val="nil"/>
              <w:bottom w:val="single" w:sz="4" w:space="0" w:color="auto"/>
            </w:tcBorders>
          </w:tcPr>
          <w:p w:rsidR="00D63AAC" w:rsidRPr="00997957" w:rsidRDefault="009F5B52" w:rsidP="004E4C78">
            <w:pPr>
              <w:pStyle w:val="Caption"/>
              <w:spacing w:after="120"/>
              <w:jc w:val="both"/>
              <w:rPr>
                <w:b w:val="0"/>
                <w:color w:val="1F497D"/>
              </w:rPr>
            </w:pPr>
            <w:bookmarkStart w:id="50" w:name="_Toc351104641"/>
            <w:bookmarkStart w:id="51" w:name="_Toc383010218"/>
            <w:r>
              <w:lastRenderedPageBreak/>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w:instrText>
            </w:r>
            <w:r w:rsidR="008A55B1">
              <w:instrText xml:space="preserve">Figure \* ARABIC \s 1 </w:instrText>
            </w:r>
            <w:r w:rsidR="008A55B1">
              <w:fldChar w:fldCharType="separate"/>
            </w:r>
            <w:r w:rsidR="008A55B1">
              <w:rPr>
                <w:noProof/>
              </w:rPr>
              <w:t>5</w:t>
            </w:r>
            <w:r w:rsidR="008A55B1">
              <w:rPr>
                <w:noProof/>
              </w:rPr>
              <w:fldChar w:fldCharType="end"/>
            </w:r>
            <w:r>
              <w:t>:</w:t>
            </w:r>
            <w:r w:rsidR="00D63AAC" w:rsidRPr="00997957">
              <w:t xml:space="preserve"> Female </w:t>
            </w:r>
            <w:r>
              <w:t>M</w:t>
            </w:r>
            <w:r w:rsidR="00D63AAC" w:rsidRPr="00997957">
              <w:t xml:space="preserve">anagement and </w:t>
            </w:r>
            <w:r>
              <w:t>O</w:t>
            </w:r>
            <w:r w:rsidR="00D63AAC" w:rsidRPr="00997957">
              <w:t xml:space="preserve">wnership of </w:t>
            </w:r>
            <w:r>
              <w:t>F</w:t>
            </w:r>
            <w:r w:rsidR="00D63AAC" w:rsidRPr="00997957">
              <w:t>irms in 2008, %</w:t>
            </w:r>
            <w:bookmarkEnd w:id="50"/>
            <w:bookmarkEnd w:id="51"/>
          </w:p>
        </w:tc>
      </w:tr>
      <w:tr w:rsidR="00D63AAC" w:rsidRPr="001520FF" w:rsidTr="00917388">
        <w:tc>
          <w:tcPr>
            <w:tcW w:w="4767" w:type="dxa"/>
            <w:tcBorders>
              <w:top w:val="single" w:sz="4" w:space="0" w:color="auto"/>
              <w:bottom w:val="single" w:sz="4" w:space="0" w:color="4F81BD"/>
            </w:tcBorders>
          </w:tcPr>
          <w:p w:rsidR="00D63AAC" w:rsidRPr="00672AA9" w:rsidRDefault="00D63AAC" w:rsidP="008F24ED">
            <w:pPr>
              <w:rPr>
                <w:sz w:val="22"/>
                <w:szCs w:val="22"/>
              </w:rPr>
            </w:pPr>
            <w:r w:rsidRPr="00672AA9">
              <w:rPr>
                <w:sz w:val="22"/>
                <w:szCs w:val="22"/>
              </w:rPr>
              <w:t>a) Female ownership and management in Belarus and ECA</w:t>
            </w:r>
          </w:p>
        </w:tc>
        <w:tc>
          <w:tcPr>
            <w:tcW w:w="4809" w:type="dxa"/>
            <w:tcBorders>
              <w:top w:val="single" w:sz="4" w:space="0" w:color="auto"/>
              <w:bottom w:val="single" w:sz="4" w:space="0" w:color="4F81BD"/>
            </w:tcBorders>
          </w:tcPr>
          <w:p w:rsidR="00D63AAC" w:rsidRPr="00672AA9" w:rsidRDefault="00D63AAC" w:rsidP="008F24ED">
            <w:pPr>
              <w:rPr>
                <w:sz w:val="22"/>
                <w:szCs w:val="22"/>
              </w:rPr>
            </w:pPr>
            <w:r w:rsidRPr="00672AA9">
              <w:rPr>
                <w:sz w:val="22"/>
                <w:szCs w:val="22"/>
              </w:rPr>
              <w:t>b) Female ownership and management by firm size (employees)</w:t>
            </w:r>
          </w:p>
        </w:tc>
      </w:tr>
      <w:tr w:rsidR="00D63AAC" w:rsidRPr="001520FF" w:rsidTr="00917388">
        <w:tc>
          <w:tcPr>
            <w:tcW w:w="4767" w:type="dxa"/>
            <w:tcBorders>
              <w:top w:val="nil"/>
              <w:bottom w:val="single" w:sz="4" w:space="0" w:color="auto"/>
            </w:tcBorders>
          </w:tcPr>
          <w:p w:rsidR="00D63AAC" w:rsidRPr="006916D7" w:rsidRDefault="005A6047" w:rsidP="008F24ED">
            <w:r>
              <w:rPr>
                <w:noProof/>
              </w:rPr>
              <w:drawing>
                <wp:inline distT="0" distB="0" distL="0" distR="0" wp14:anchorId="2517CDD8" wp14:editId="1D40A41F">
                  <wp:extent cx="2590800" cy="1942465"/>
                  <wp:effectExtent l="0" t="0" r="0" b="635"/>
                  <wp:docPr id="25" name="Picture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809" w:type="dxa"/>
            <w:tcBorders>
              <w:top w:val="nil"/>
              <w:bottom w:val="single" w:sz="4" w:space="0" w:color="auto"/>
            </w:tcBorders>
          </w:tcPr>
          <w:p w:rsidR="00D63AAC" w:rsidRPr="006916D7" w:rsidRDefault="005A6047" w:rsidP="008F24ED">
            <w:r>
              <w:rPr>
                <w:noProof/>
              </w:rPr>
              <w:drawing>
                <wp:inline distT="0" distB="0" distL="0" distR="0" wp14:anchorId="53E50C22" wp14:editId="150F4A26">
                  <wp:extent cx="2790825" cy="195135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D63AAC" w:rsidRPr="001520FF" w:rsidTr="00917388">
        <w:tc>
          <w:tcPr>
            <w:tcW w:w="9576" w:type="dxa"/>
            <w:gridSpan w:val="2"/>
            <w:tcBorders>
              <w:top w:val="single" w:sz="4" w:space="0" w:color="auto"/>
              <w:bottom w:val="nil"/>
            </w:tcBorders>
          </w:tcPr>
          <w:p w:rsidR="00D63AAC" w:rsidRDefault="00D63AAC" w:rsidP="008F24ED">
            <w:pPr>
              <w:rPr>
                <w:sz w:val="18"/>
              </w:rPr>
            </w:pPr>
            <w:r w:rsidRPr="001520FF">
              <w:rPr>
                <w:i/>
                <w:sz w:val="18"/>
              </w:rPr>
              <w:t>Source</w:t>
            </w:r>
            <w:r w:rsidRPr="001520FF">
              <w:rPr>
                <w:sz w:val="18"/>
              </w:rPr>
              <w:t>:</w:t>
            </w:r>
            <w:r>
              <w:rPr>
                <w:sz w:val="18"/>
              </w:rPr>
              <w:t xml:space="preserve"> BEEPS (</w:t>
            </w:r>
            <w:r w:rsidRPr="00801F7C">
              <w:rPr>
                <w:sz w:val="18"/>
              </w:rPr>
              <w:t>EBRD and World Bank</w:t>
            </w:r>
            <w:r>
              <w:rPr>
                <w:sz w:val="18"/>
              </w:rPr>
              <w:t xml:space="preserve">, </w:t>
            </w:r>
            <w:r w:rsidRPr="00801F7C">
              <w:rPr>
                <w:sz w:val="18"/>
              </w:rPr>
              <w:t>2009</w:t>
            </w:r>
            <w:r>
              <w:rPr>
                <w:sz w:val="18"/>
              </w:rPr>
              <w:t xml:space="preserve">). </w:t>
            </w:r>
          </w:p>
          <w:p w:rsidR="00D63AAC" w:rsidRPr="00196AD9" w:rsidRDefault="00D63AAC" w:rsidP="008F24ED">
            <w:pPr>
              <w:rPr>
                <w:sz w:val="18"/>
              </w:rPr>
            </w:pPr>
            <w:r w:rsidRPr="00196AD9">
              <w:rPr>
                <w:i/>
                <w:sz w:val="18"/>
              </w:rPr>
              <w:t xml:space="preserve">Note: </w:t>
            </w:r>
            <w:r>
              <w:rPr>
                <w:sz w:val="18"/>
              </w:rPr>
              <w:t xml:space="preserve">Results are taken from </w:t>
            </w:r>
            <w:hyperlink r:id="rId46" w:history="1">
              <w:r w:rsidRPr="00B662E6">
                <w:rPr>
                  <w:rStyle w:val="Hyperlink"/>
                  <w:sz w:val="18"/>
                </w:rPr>
                <w:t>http://www.enterprisesurveys.org/</w:t>
              </w:r>
            </w:hyperlink>
            <w:r>
              <w:rPr>
                <w:sz w:val="18"/>
              </w:rPr>
              <w:t xml:space="preserve">. </w:t>
            </w:r>
          </w:p>
        </w:tc>
      </w:tr>
    </w:tbl>
    <w:p w:rsidR="00D63AAC" w:rsidRDefault="00D63AAC" w:rsidP="00D63AAC"/>
    <w:p w:rsidR="00773693" w:rsidRDefault="00773693" w:rsidP="00D63AAC"/>
    <w:tbl>
      <w:tblPr>
        <w:tblW w:w="0" w:type="auto"/>
        <w:tblBorders>
          <w:top w:val="single" w:sz="8" w:space="0" w:color="4F81BD"/>
        </w:tblBorders>
        <w:tblLook w:val="00A0" w:firstRow="1" w:lastRow="0" w:firstColumn="1" w:lastColumn="0" w:noHBand="0" w:noVBand="0"/>
      </w:tblPr>
      <w:tblGrid>
        <w:gridCol w:w="8856"/>
      </w:tblGrid>
      <w:tr w:rsidR="00D63AAC" w:rsidRPr="001520FF" w:rsidTr="00E514B9">
        <w:tc>
          <w:tcPr>
            <w:tcW w:w="9576" w:type="dxa"/>
            <w:tcBorders>
              <w:top w:val="nil"/>
              <w:bottom w:val="single" w:sz="4" w:space="0" w:color="auto"/>
            </w:tcBorders>
          </w:tcPr>
          <w:p w:rsidR="00D63AAC" w:rsidRPr="00997957" w:rsidRDefault="009F5B52" w:rsidP="004E4C78">
            <w:pPr>
              <w:pStyle w:val="Caption"/>
              <w:spacing w:after="120"/>
              <w:jc w:val="both"/>
              <w:rPr>
                <w:b w:val="0"/>
                <w:color w:val="1F497D"/>
              </w:rPr>
            </w:pPr>
            <w:bookmarkStart w:id="52" w:name="_Toc351104642"/>
            <w:bookmarkStart w:id="53" w:name="_Toc383010219"/>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6</w:t>
            </w:r>
            <w:r w:rsidR="008A55B1">
              <w:rPr>
                <w:noProof/>
              </w:rPr>
              <w:fldChar w:fldCharType="end"/>
            </w:r>
            <w:r>
              <w:t>:</w:t>
            </w:r>
            <w:r w:rsidR="00D63AAC" w:rsidRPr="00997957">
              <w:t xml:space="preserve"> Female </w:t>
            </w:r>
            <w:r>
              <w:t>O</w:t>
            </w:r>
            <w:r w:rsidR="00D63AAC" w:rsidRPr="00997957">
              <w:t xml:space="preserve">wnership and </w:t>
            </w:r>
            <w:r>
              <w:t>M</w:t>
            </w:r>
            <w:r w:rsidR="00D63AAC" w:rsidRPr="00997957">
              <w:t xml:space="preserve">anagement by </w:t>
            </w:r>
            <w:r>
              <w:t>E</w:t>
            </w:r>
            <w:r w:rsidR="00D63AAC" w:rsidRPr="00997957">
              <w:t xml:space="preserve">conomic </w:t>
            </w:r>
            <w:r>
              <w:t>S</w:t>
            </w:r>
            <w:r w:rsidR="00D63AAC" w:rsidRPr="00997957">
              <w:t>ectors in 2008, %</w:t>
            </w:r>
            <w:bookmarkEnd w:id="52"/>
            <w:bookmarkEnd w:id="53"/>
          </w:p>
        </w:tc>
      </w:tr>
      <w:tr w:rsidR="00D63AAC" w:rsidRPr="001520FF" w:rsidTr="00E514B9">
        <w:tc>
          <w:tcPr>
            <w:tcW w:w="9576" w:type="dxa"/>
            <w:tcBorders>
              <w:top w:val="single" w:sz="4" w:space="0" w:color="auto"/>
              <w:bottom w:val="single" w:sz="4" w:space="0" w:color="auto"/>
            </w:tcBorders>
          </w:tcPr>
          <w:p w:rsidR="00D63AAC" w:rsidRPr="007638CB" w:rsidRDefault="005A6047" w:rsidP="00672AA9">
            <w:pPr>
              <w:jc w:val="center"/>
            </w:pPr>
            <w:r>
              <w:rPr>
                <w:noProof/>
              </w:rPr>
              <w:drawing>
                <wp:inline distT="0" distB="0" distL="0" distR="0" wp14:anchorId="069C4676" wp14:editId="3447C840">
                  <wp:extent cx="4305300" cy="2276475"/>
                  <wp:effectExtent l="0" t="0" r="0" b="0"/>
                  <wp:docPr id="27"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63AAC" w:rsidRPr="001520FF" w:rsidTr="00E514B9">
        <w:tc>
          <w:tcPr>
            <w:tcW w:w="9576" w:type="dxa"/>
            <w:tcBorders>
              <w:top w:val="single" w:sz="4" w:space="0" w:color="auto"/>
              <w:bottom w:val="nil"/>
            </w:tcBorders>
          </w:tcPr>
          <w:p w:rsidR="00D63AAC" w:rsidRDefault="00D63AAC" w:rsidP="008F24ED">
            <w:pPr>
              <w:rPr>
                <w:sz w:val="18"/>
              </w:rPr>
            </w:pPr>
            <w:r w:rsidRPr="001520FF">
              <w:rPr>
                <w:i/>
                <w:sz w:val="18"/>
              </w:rPr>
              <w:t>Source</w:t>
            </w:r>
            <w:r w:rsidRPr="001520FF">
              <w:rPr>
                <w:sz w:val="18"/>
              </w:rPr>
              <w:t>:</w:t>
            </w:r>
            <w:r w:rsidRPr="00801F7C">
              <w:rPr>
                <w:i/>
                <w:sz w:val="20"/>
                <w:szCs w:val="20"/>
              </w:rPr>
              <w:t xml:space="preserve"> </w:t>
            </w:r>
            <w:r>
              <w:rPr>
                <w:sz w:val="18"/>
              </w:rPr>
              <w:t>BEEPS (</w:t>
            </w:r>
            <w:r w:rsidRPr="00801F7C">
              <w:rPr>
                <w:sz w:val="18"/>
              </w:rPr>
              <w:t>EBRD and World Bank</w:t>
            </w:r>
            <w:r>
              <w:rPr>
                <w:sz w:val="18"/>
              </w:rPr>
              <w:t xml:space="preserve">, </w:t>
            </w:r>
            <w:r w:rsidRPr="00801F7C">
              <w:rPr>
                <w:sz w:val="18"/>
              </w:rPr>
              <w:t>2009</w:t>
            </w:r>
            <w:r>
              <w:rPr>
                <w:sz w:val="18"/>
              </w:rPr>
              <w:t>).  World Bank staff calculations.</w:t>
            </w:r>
          </w:p>
          <w:p w:rsidR="00D63AAC" w:rsidRPr="001520FF" w:rsidRDefault="00D63AAC" w:rsidP="008F24ED">
            <w:r>
              <w:rPr>
                <w:sz w:val="18"/>
              </w:rPr>
              <w:t xml:space="preserve">Note: Strict weight is used. </w:t>
            </w:r>
          </w:p>
        </w:tc>
      </w:tr>
    </w:tbl>
    <w:p w:rsidR="00D63AAC" w:rsidRDefault="00D63AAC" w:rsidP="00771B38">
      <w:pPr>
        <w:pStyle w:val="MainParawithChapter"/>
        <w:numPr>
          <w:ilvl w:val="0"/>
          <w:numId w:val="0"/>
        </w:numPr>
        <w:jc w:val="both"/>
        <w:rPr>
          <w:sz w:val="22"/>
          <w:szCs w:val="22"/>
        </w:rPr>
      </w:pPr>
    </w:p>
    <w:p w:rsidR="00672AA9" w:rsidRDefault="00672AA9" w:rsidP="00672AA9">
      <w:pPr>
        <w:pStyle w:val="MainParawithChapter"/>
        <w:jc w:val="both"/>
        <w:rPr>
          <w:sz w:val="22"/>
          <w:szCs w:val="22"/>
        </w:rPr>
      </w:pPr>
      <w:r w:rsidRPr="00E95E30">
        <w:rPr>
          <w:sz w:val="22"/>
          <w:szCs w:val="22"/>
        </w:rPr>
        <w:t>Similar to employment patterns, women are concentrated in garment, hotels and restaurants, retail and textiles. One can distinguish three main types of sectors based on female management and ownership: high female ownership and management, high ownership and low management, low ownership and management. High women ownership and management is observed in such traditional feminized sectors as hotels and restaurants, garment and retail. High female ownership is observed in food, transport, other manufacturing, but with much lower female management. Finally, male dominated sectors include basic metals, IT, chemicals, plastic and rubber</w:t>
      </w:r>
      <w:r w:rsidR="00107B85">
        <w:rPr>
          <w:sz w:val="22"/>
          <w:szCs w:val="22"/>
        </w:rPr>
        <w:t xml:space="preserve"> (Figure 3.6)</w:t>
      </w:r>
      <w:r w:rsidRPr="00E95E30">
        <w:rPr>
          <w:sz w:val="22"/>
          <w:szCs w:val="22"/>
        </w:rPr>
        <w:t>.</w:t>
      </w:r>
    </w:p>
    <w:p w:rsidR="00D63AAC" w:rsidRDefault="00D63AAC" w:rsidP="00771B38">
      <w:pPr>
        <w:pStyle w:val="MainParawithChapter"/>
        <w:numPr>
          <w:ilvl w:val="0"/>
          <w:numId w:val="0"/>
        </w:numPr>
        <w:jc w:val="both"/>
        <w:rPr>
          <w:sz w:val="22"/>
          <w:szCs w:val="22"/>
        </w:rPr>
      </w:pPr>
    </w:p>
    <w:p w:rsidR="00E95E30" w:rsidRPr="00BC75C6" w:rsidRDefault="00E95E30" w:rsidP="00771B38">
      <w:pPr>
        <w:pStyle w:val="MainParawithChapter"/>
        <w:numPr>
          <w:ilvl w:val="0"/>
          <w:numId w:val="0"/>
        </w:numPr>
        <w:jc w:val="both"/>
        <w:rPr>
          <w:b/>
          <w:sz w:val="22"/>
          <w:szCs w:val="22"/>
        </w:rPr>
      </w:pPr>
      <w:r w:rsidRPr="00BC75C6">
        <w:rPr>
          <w:b/>
          <w:sz w:val="22"/>
          <w:szCs w:val="22"/>
        </w:rPr>
        <w:t xml:space="preserve">Access to </w:t>
      </w:r>
      <w:r w:rsidR="00BC75C6">
        <w:rPr>
          <w:b/>
          <w:sz w:val="22"/>
          <w:szCs w:val="22"/>
        </w:rPr>
        <w:t>F</w:t>
      </w:r>
      <w:r w:rsidRPr="00BC75C6">
        <w:rPr>
          <w:b/>
          <w:sz w:val="22"/>
          <w:szCs w:val="22"/>
        </w:rPr>
        <w:t xml:space="preserve">inance </w:t>
      </w:r>
    </w:p>
    <w:p w:rsidR="00E95E30" w:rsidRPr="00E95E30" w:rsidRDefault="00E95E30" w:rsidP="00771B38">
      <w:pPr>
        <w:pStyle w:val="MainParawithChapter"/>
        <w:numPr>
          <w:ilvl w:val="0"/>
          <w:numId w:val="0"/>
        </w:numPr>
        <w:jc w:val="both"/>
        <w:rPr>
          <w:sz w:val="22"/>
          <w:szCs w:val="22"/>
        </w:rPr>
      </w:pPr>
    </w:p>
    <w:p w:rsidR="00E95E30" w:rsidRDefault="00E95E30" w:rsidP="00771B38">
      <w:pPr>
        <w:pStyle w:val="MainParawithChapter"/>
        <w:jc w:val="both"/>
        <w:rPr>
          <w:sz w:val="22"/>
          <w:szCs w:val="22"/>
        </w:rPr>
      </w:pPr>
      <w:r w:rsidRPr="00E95E30">
        <w:rPr>
          <w:sz w:val="22"/>
          <w:szCs w:val="22"/>
        </w:rPr>
        <w:t xml:space="preserve">Financial inclusion, measured as access to financial accounts and loans, is deeper in Belarus than the average for ECA countries. According to the available statistics on access to </w:t>
      </w:r>
      <w:r w:rsidRPr="00E95E30">
        <w:rPr>
          <w:sz w:val="22"/>
          <w:szCs w:val="22"/>
        </w:rPr>
        <w:lastRenderedPageBreak/>
        <w:t>finance and usage of financial resources</w:t>
      </w:r>
      <w:r w:rsidR="00F61344">
        <w:rPr>
          <w:sz w:val="22"/>
          <w:szCs w:val="22"/>
        </w:rPr>
        <w:t xml:space="preserve"> in 2011</w:t>
      </w:r>
      <w:r w:rsidRPr="00E95E30">
        <w:rPr>
          <w:sz w:val="22"/>
          <w:szCs w:val="22"/>
        </w:rPr>
        <w:t xml:space="preserve"> (Demirguc-Kunt &amp; Klapper, 2012), the population in Belarus has higher access to banking system than the average for ECA region, measured by percentage of population having accounts or obtaining loans from formal financial institutions. Thus, 59 percent of the population has banking accounts and 53 percent obtained the loan in past year in Belarus in comparison to 45 percent of having accounts and 40 percent receiving loans in ECA region. Moreover, people in Belarus use available accounts more frequently. Thus, 95 percent of those having accounts put deposits once or twice per month in comparison to 81 percent in ECA regions. The same picture is observed with regards to money withdrawals, which are more frequent in Belarus</w:t>
      </w:r>
      <w:r w:rsidR="00107B85">
        <w:rPr>
          <w:sz w:val="22"/>
          <w:szCs w:val="22"/>
        </w:rPr>
        <w:t xml:space="preserve"> (Figure 3.7)</w:t>
      </w:r>
      <w:r w:rsidRPr="00E95E30">
        <w:rPr>
          <w:sz w:val="22"/>
          <w:szCs w:val="22"/>
        </w:rPr>
        <w:t>.</w:t>
      </w:r>
    </w:p>
    <w:p w:rsidR="00E95E30" w:rsidRPr="004E4C78" w:rsidRDefault="00E95E30" w:rsidP="00771B38">
      <w:pPr>
        <w:pStyle w:val="MainParawithChapter"/>
        <w:numPr>
          <w:ilvl w:val="0"/>
          <w:numId w:val="0"/>
        </w:numPr>
        <w:jc w:val="both"/>
        <w:rPr>
          <w:sz w:val="16"/>
          <w:szCs w:val="16"/>
        </w:rPr>
      </w:pPr>
    </w:p>
    <w:tbl>
      <w:tblPr>
        <w:tblW w:w="0" w:type="auto"/>
        <w:tblBorders>
          <w:bottom w:val="single" w:sz="8" w:space="0" w:color="4F81BD"/>
        </w:tblBorders>
        <w:tblLook w:val="00A0" w:firstRow="1" w:lastRow="0" w:firstColumn="1" w:lastColumn="0" w:noHBand="0" w:noVBand="0"/>
      </w:tblPr>
      <w:tblGrid>
        <w:gridCol w:w="4342"/>
        <w:gridCol w:w="4514"/>
      </w:tblGrid>
      <w:tr w:rsidR="00D63AAC" w:rsidRPr="00997957" w:rsidTr="00C45BC0">
        <w:tc>
          <w:tcPr>
            <w:tcW w:w="9576" w:type="dxa"/>
            <w:gridSpan w:val="2"/>
            <w:tcBorders>
              <w:top w:val="nil"/>
              <w:bottom w:val="single" w:sz="4" w:space="0" w:color="auto"/>
            </w:tcBorders>
          </w:tcPr>
          <w:p w:rsidR="00D63AAC" w:rsidRPr="00997957" w:rsidRDefault="009F5B52" w:rsidP="009F5B52">
            <w:pPr>
              <w:pStyle w:val="Caption"/>
              <w:jc w:val="both"/>
              <w:rPr>
                <w:b w:val="0"/>
              </w:rPr>
            </w:pPr>
            <w:bookmarkStart w:id="54" w:name="_Toc351104643"/>
            <w:bookmarkStart w:id="55" w:name="_Toc383010220"/>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w:instrText>
            </w:r>
            <w:r w:rsidR="008A55B1">
              <w:instrText xml:space="preserve">re \* ARABIC \s 1 </w:instrText>
            </w:r>
            <w:r w:rsidR="008A55B1">
              <w:fldChar w:fldCharType="separate"/>
            </w:r>
            <w:r w:rsidR="008A55B1">
              <w:rPr>
                <w:noProof/>
              </w:rPr>
              <w:t>7</w:t>
            </w:r>
            <w:r w:rsidR="008A55B1">
              <w:rPr>
                <w:noProof/>
              </w:rPr>
              <w:fldChar w:fldCharType="end"/>
            </w:r>
            <w:r>
              <w:t>:</w:t>
            </w:r>
            <w:r w:rsidR="00D63AAC" w:rsidRPr="00997957">
              <w:t xml:space="preserve"> Use of </w:t>
            </w:r>
            <w:r>
              <w:t>B</w:t>
            </w:r>
            <w:r w:rsidR="00D63AAC" w:rsidRPr="00997957">
              <w:t xml:space="preserve">ank </w:t>
            </w:r>
            <w:r>
              <w:t>A</w:t>
            </w:r>
            <w:r w:rsidR="00D63AAC" w:rsidRPr="00997957">
              <w:t xml:space="preserve">ccounts in Belarus and the ECA </w:t>
            </w:r>
            <w:r>
              <w:t>R</w:t>
            </w:r>
            <w:r w:rsidR="00D63AAC" w:rsidRPr="00997957">
              <w:t>egion, 2011</w:t>
            </w:r>
            <w:bookmarkEnd w:id="54"/>
            <w:bookmarkEnd w:id="55"/>
          </w:p>
        </w:tc>
      </w:tr>
      <w:tr w:rsidR="00D63AAC" w:rsidRPr="00982055" w:rsidTr="00C45BC0">
        <w:tc>
          <w:tcPr>
            <w:tcW w:w="4817" w:type="dxa"/>
            <w:tcBorders>
              <w:top w:val="single" w:sz="4" w:space="0" w:color="auto"/>
              <w:left w:val="nil"/>
              <w:bottom w:val="single" w:sz="8" w:space="0" w:color="4F81BD"/>
              <w:right w:val="nil"/>
            </w:tcBorders>
          </w:tcPr>
          <w:p w:rsidR="00D63AAC" w:rsidRPr="00EB1C15" w:rsidRDefault="00D63AAC" w:rsidP="008F24ED">
            <w:pPr>
              <w:rPr>
                <w:sz w:val="20"/>
                <w:szCs w:val="20"/>
              </w:rPr>
            </w:pPr>
            <w:r w:rsidRPr="00EB1C15">
              <w:rPr>
                <w:sz w:val="20"/>
                <w:szCs w:val="20"/>
              </w:rPr>
              <w:t>a) Belarus</w:t>
            </w:r>
          </w:p>
        </w:tc>
        <w:tc>
          <w:tcPr>
            <w:tcW w:w="4759" w:type="dxa"/>
            <w:tcBorders>
              <w:top w:val="single" w:sz="4" w:space="0" w:color="auto"/>
              <w:left w:val="nil"/>
              <w:bottom w:val="single" w:sz="8" w:space="0" w:color="4F81BD"/>
              <w:right w:val="nil"/>
            </w:tcBorders>
          </w:tcPr>
          <w:p w:rsidR="00D63AAC" w:rsidRPr="00EB1C15" w:rsidRDefault="00D63AAC" w:rsidP="008F24ED">
            <w:pPr>
              <w:rPr>
                <w:sz w:val="20"/>
                <w:szCs w:val="20"/>
              </w:rPr>
            </w:pPr>
            <w:r w:rsidRPr="00EB1C15">
              <w:rPr>
                <w:sz w:val="20"/>
                <w:szCs w:val="20"/>
              </w:rPr>
              <w:t>b) ECA</w:t>
            </w:r>
          </w:p>
        </w:tc>
      </w:tr>
      <w:tr w:rsidR="00D63AAC" w:rsidRPr="00982055" w:rsidTr="00C45BC0">
        <w:tc>
          <w:tcPr>
            <w:tcW w:w="4817" w:type="dxa"/>
            <w:tcBorders>
              <w:top w:val="single" w:sz="8" w:space="0" w:color="4F81BD"/>
              <w:left w:val="nil"/>
              <w:bottom w:val="single" w:sz="4" w:space="0" w:color="auto"/>
              <w:right w:val="nil"/>
            </w:tcBorders>
          </w:tcPr>
          <w:p w:rsidR="00D63AAC" w:rsidRPr="00982055" w:rsidRDefault="005A6047" w:rsidP="008F24ED">
            <w:r>
              <w:rPr>
                <w:noProof/>
              </w:rPr>
              <w:drawing>
                <wp:inline distT="0" distB="0" distL="0" distR="0" wp14:anchorId="40DA1F9C" wp14:editId="0AFB6DC8">
                  <wp:extent cx="2350770" cy="1971675"/>
                  <wp:effectExtent l="0" t="0" r="0" b="0"/>
                  <wp:docPr id="2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759" w:type="dxa"/>
            <w:tcBorders>
              <w:top w:val="single" w:sz="8" w:space="0" w:color="4F81BD"/>
              <w:left w:val="nil"/>
              <w:bottom w:val="single" w:sz="4" w:space="0" w:color="auto"/>
              <w:right w:val="nil"/>
            </w:tcBorders>
          </w:tcPr>
          <w:p w:rsidR="00D63AAC" w:rsidRPr="00982055" w:rsidRDefault="005A6047" w:rsidP="008F24ED">
            <w:r>
              <w:rPr>
                <w:noProof/>
              </w:rPr>
              <w:drawing>
                <wp:inline distT="0" distB="0" distL="0" distR="0" wp14:anchorId="6AAF376B" wp14:editId="5EEDF2B0">
                  <wp:extent cx="2590800" cy="1969135"/>
                  <wp:effectExtent l="0" t="0" r="0" b="0"/>
                  <wp:docPr id="2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D63AAC" w:rsidRPr="00982055" w:rsidTr="00C45BC0">
        <w:tc>
          <w:tcPr>
            <w:tcW w:w="9576" w:type="dxa"/>
            <w:gridSpan w:val="2"/>
            <w:tcBorders>
              <w:top w:val="single" w:sz="4" w:space="0" w:color="auto"/>
              <w:left w:val="nil"/>
              <w:bottom w:val="nil"/>
              <w:right w:val="nil"/>
            </w:tcBorders>
          </w:tcPr>
          <w:p w:rsidR="00D63AAC" w:rsidRPr="00982055" w:rsidRDefault="00D63AAC" w:rsidP="008F24ED">
            <w:pPr>
              <w:rPr>
                <w:u w:val="single"/>
              </w:rPr>
            </w:pPr>
            <w:r w:rsidRPr="00EB1C15">
              <w:rPr>
                <w:i/>
                <w:sz w:val="18"/>
              </w:rPr>
              <w:t>Source</w:t>
            </w:r>
            <w:r w:rsidRPr="00982055">
              <w:rPr>
                <w:sz w:val="18"/>
              </w:rPr>
              <w:t>: FINDEX (Demirguc-Kunt &amp; Klapper, 2012).</w:t>
            </w:r>
            <w:r w:rsidRPr="00982055">
              <w:rPr>
                <w:u w:val="single"/>
              </w:rPr>
              <w:t xml:space="preserve"> </w:t>
            </w:r>
          </w:p>
        </w:tc>
      </w:tr>
    </w:tbl>
    <w:p w:rsidR="00D63AAC" w:rsidRPr="004E4C78" w:rsidRDefault="00D63AAC" w:rsidP="00D63AAC">
      <w:pPr>
        <w:pStyle w:val="MainParawithChapter"/>
        <w:numPr>
          <w:ilvl w:val="0"/>
          <w:numId w:val="0"/>
        </w:numPr>
        <w:jc w:val="both"/>
        <w:rPr>
          <w:sz w:val="16"/>
          <w:szCs w:val="16"/>
        </w:rPr>
      </w:pPr>
    </w:p>
    <w:p w:rsidR="00EB1C15" w:rsidRDefault="00EB1C15" w:rsidP="00EB1C15">
      <w:pPr>
        <w:pStyle w:val="MainParawithChapter"/>
        <w:jc w:val="both"/>
        <w:rPr>
          <w:sz w:val="22"/>
          <w:szCs w:val="22"/>
        </w:rPr>
      </w:pPr>
      <w:r w:rsidRPr="00E95E30">
        <w:rPr>
          <w:sz w:val="22"/>
          <w:szCs w:val="22"/>
        </w:rPr>
        <w:t>There are no gender disparities in access to financial resources in Belarus, but there seem be some gender differences in purposes of accounts and sources of loans. Access to financial accounts and loans from formal financial institutions is not different across gender in Belarus</w:t>
      </w:r>
      <w:r>
        <w:rPr>
          <w:sz w:val="22"/>
          <w:szCs w:val="22"/>
        </w:rPr>
        <w:t xml:space="preserve"> (Figure 3.8)</w:t>
      </w:r>
      <w:r w:rsidRPr="00E95E30">
        <w:rPr>
          <w:sz w:val="22"/>
          <w:szCs w:val="22"/>
        </w:rPr>
        <w:t>. No differences are observed in the use of bank accounts as well.  Women in Belarus make deposits and withdraw money from accounts with the same frequency as men. Nevertheless, some gender differences can be observed from detailed data on purposes of accounts. Thus, women are more likely to have accounts to receive government transfers than men, while men are more likely to open accounts for business purposes</w:t>
      </w:r>
      <w:r>
        <w:rPr>
          <w:sz w:val="22"/>
          <w:szCs w:val="22"/>
        </w:rPr>
        <w:t xml:space="preserve"> (Figure 3.8b)</w:t>
      </w:r>
      <w:r w:rsidRPr="00E95E30">
        <w:rPr>
          <w:sz w:val="22"/>
          <w:szCs w:val="22"/>
        </w:rPr>
        <w:t>.   Regarding sources of loans, men obtain more loans from family and friends in comparison to women</w:t>
      </w:r>
      <w:r>
        <w:rPr>
          <w:sz w:val="22"/>
          <w:szCs w:val="22"/>
        </w:rPr>
        <w:t xml:space="preserve"> (Figure 3.8a)</w:t>
      </w:r>
      <w:r w:rsidRPr="00E95E30">
        <w:rPr>
          <w:sz w:val="22"/>
          <w:szCs w:val="22"/>
        </w:rPr>
        <w:t>.</w:t>
      </w:r>
    </w:p>
    <w:p w:rsidR="004C18F3" w:rsidRPr="004E4C78" w:rsidRDefault="004C18F3" w:rsidP="00D63AAC">
      <w:pPr>
        <w:pStyle w:val="MainParawithChapter"/>
        <w:numPr>
          <w:ilvl w:val="0"/>
          <w:numId w:val="0"/>
        </w:numPr>
        <w:jc w:val="both"/>
        <w:rPr>
          <w:sz w:val="16"/>
          <w:szCs w:val="16"/>
        </w:rPr>
      </w:pPr>
    </w:p>
    <w:tbl>
      <w:tblPr>
        <w:tblW w:w="0" w:type="auto"/>
        <w:tblBorders>
          <w:bottom w:val="single" w:sz="8" w:space="0" w:color="4F81BD"/>
        </w:tblBorders>
        <w:tblLook w:val="00A0" w:firstRow="1" w:lastRow="0" w:firstColumn="1" w:lastColumn="0" w:noHBand="0" w:noVBand="0"/>
      </w:tblPr>
      <w:tblGrid>
        <w:gridCol w:w="4446"/>
        <w:gridCol w:w="21"/>
        <w:gridCol w:w="4389"/>
      </w:tblGrid>
      <w:tr w:rsidR="00D63AAC" w:rsidRPr="00997957" w:rsidTr="00C45BC0">
        <w:tc>
          <w:tcPr>
            <w:tcW w:w="9576" w:type="dxa"/>
            <w:gridSpan w:val="3"/>
            <w:tcBorders>
              <w:top w:val="nil"/>
              <w:bottom w:val="single" w:sz="4" w:space="0" w:color="auto"/>
            </w:tcBorders>
          </w:tcPr>
          <w:p w:rsidR="00D63AAC" w:rsidRPr="00997957" w:rsidRDefault="009F5B52" w:rsidP="009F5B52">
            <w:pPr>
              <w:pStyle w:val="Caption"/>
              <w:jc w:val="both"/>
              <w:rPr>
                <w:b w:val="0"/>
                <w:u w:val="single"/>
              </w:rPr>
            </w:pPr>
            <w:bookmarkStart w:id="56" w:name="_Toc351104644"/>
            <w:bookmarkStart w:id="57" w:name="_Toc383010221"/>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8</w:t>
            </w:r>
            <w:r w:rsidR="008A55B1">
              <w:rPr>
                <w:noProof/>
              </w:rPr>
              <w:fldChar w:fldCharType="end"/>
            </w:r>
            <w:r>
              <w:t>:</w:t>
            </w:r>
            <w:r w:rsidR="00D63AAC" w:rsidRPr="00997957">
              <w:t xml:space="preserve"> Purposes of </w:t>
            </w:r>
            <w:r>
              <w:t>A</w:t>
            </w:r>
            <w:r w:rsidR="00D63AAC" w:rsidRPr="00997957">
              <w:t xml:space="preserve">ccounts and </w:t>
            </w:r>
            <w:r>
              <w:t>S</w:t>
            </w:r>
            <w:r w:rsidR="00D63AAC" w:rsidRPr="00997957">
              <w:t xml:space="preserve">ources of </w:t>
            </w:r>
            <w:r>
              <w:t>L</w:t>
            </w:r>
            <w:r w:rsidR="00D63AAC" w:rsidRPr="00997957">
              <w:t>oans in Belarus, 2011</w:t>
            </w:r>
            <w:bookmarkEnd w:id="56"/>
            <w:bookmarkEnd w:id="57"/>
          </w:p>
        </w:tc>
      </w:tr>
      <w:tr w:rsidR="00D63AAC" w:rsidRPr="00524077" w:rsidTr="00C45BC0">
        <w:tc>
          <w:tcPr>
            <w:tcW w:w="4788" w:type="dxa"/>
            <w:tcBorders>
              <w:top w:val="single" w:sz="4" w:space="0" w:color="auto"/>
            </w:tcBorders>
          </w:tcPr>
          <w:p w:rsidR="00D63AAC" w:rsidRPr="00FD5B21" w:rsidRDefault="00D63AAC" w:rsidP="008F24ED">
            <w:pPr>
              <w:rPr>
                <w:sz w:val="20"/>
                <w:szCs w:val="20"/>
              </w:rPr>
            </w:pPr>
            <w:r w:rsidRPr="00FD5B21">
              <w:rPr>
                <w:sz w:val="20"/>
                <w:szCs w:val="20"/>
              </w:rPr>
              <w:t>a) Source of loans, %</w:t>
            </w:r>
          </w:p>
        </w:tc>
        <w:tc>
          <w:tcPr>
            <w:tcW w:w="4788" w:type="dxa"/>
            <w:gridSpan w:val="2"/>
            <w:tcBorders>
              <w:top w:val="single" w:sz="4" w:space="0" w:color="auto"/>
            </w:tcBorders>
          </w:tcPr>
          <w:p w:rsidR="00D63AAC" w:rsidRPr="00FD5B21" w:rsidRDefault="00D63AAC" w:rsidP="008F24ED">
            <w:pPr>
              <w:rPr>
                <w:sz w:val="20"/>
                <w:szCs w:val="20"/>
              </w:rPr>
            </w:pPr>
            <w:r w:rsidRPr="00FD5B21">
              <w:rPr>
                <w:sz w:val="20"/>
                <w:szCs w:val="20"/>
              </w:rPr>
              <w:t>b) Purpose of banking account , %</w:t>
            </w:r>
          </w:p>
        </w:tc>
      </w:tr>
      <w:tr w:rsidR="00D63AAC" w:rsidRPr="00982055" w:rsidTr="00C45BC0">
        <w:tc>
          <w:tcPr>
            <w:tcW w:w="4816" w:type="dxa"/>
            <w:gridSpan w:val="2"/>
            <w:tcBorders>
              <w:top w:val="single" w:sz="8" w:space="0" w:color="4F81BD"/>
              <w:left w:val="nil"/>
              <w:bottom w:val="single" w:sz="4" w:space="0" w:color="auto"/>
              <w:right w:val="nil"/>
            </w:tcBorders>
          </w:tcPr>
          <w:p w:rsidR="00D63AAC" w:rsidRPr="00982055" w:rsidRDefault="005A6047" w:rsidP="008F24ED">
            <w:r>
              <w:rPr>
                <w:noProof/>
              </w:rPr>
              <w:drawing>
                <wp:inline distT="0" distB="0" distL="0" distR="0" wp14:anchorId="69843C93" wp14:editId="1114D029">
                  <wp:extent cx="2524125" cy="1895475"/>
                  <wp:effectExtent l="0" t="0" r="0" b="0"/>
                  <wp:docPr id="3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760" w:type="dxa"/>
            <w:tcBorders>
              <w:top w:val="single" w:sz="8" w:space="0" w:color="4F81BD"/>
              <w:left w:val="nil"/>
              <w:bottom w:val="single" w:sz="4" w:space="0" w:color="auto"/>
              <w:right w:val="nil"/>
            </w:tcBorders>
          </w:tcPr>
          <w:p w:rsidR="00D63AAC" w:rsidRPr="00982055" w:rsidRDefault="005A6047" w:rsidP="008F24ED">
            <w:r>
              <w:rPr>
                <w:noProof/>
              </w:rPr>
              <w:drawing>
                <wp:inline distT="0" distB="0" distL="0" distR="0" wp14:anchorId="668278ED" wp14:editId="3666199A">
                  <wp:extent cx="2465070" cy="1924050"/>
                  <wp:effectExtent l="0" t="0" r="0" b="0"/>
                  <wp:docPr id="3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D63AAC" w:rsidRPr="00982055" w:rsidTr="00C45BC0">
        <w:trPr>
          <w:trHeight w:val="160"/>
        </w:trPr>
        <w:tc>
          <w:tcPr>
            <w:tcW w:w="9576" w:type="dxa"/>
            <w:gridSpan w:val="3"/>
            <w:tcBorders>
              <w:top w:val="single" w:sz="4" w:space="0" w:color="auto"/>
              <w:left w:val="nil"/>
              <w:bottom w:val="nil"/>
              <w:right w:val="nil"/>
            </w:tcBorders>
          </w:tcPr>
          <w:p w:rsidR="00D63AAC" w:rsidRPr="00982055" w:rsidRDefault="00D63AAC" w:rsidP="008F24ED">
            <w:pPr>
              <w:rPr>
                <w:u w:val="single"/>
              </w:rPr>
            </w:pPr>
            <w:r w:rsidRPr="00EB1C15">
              <w:rPr>
                <w:i/>
                <w:sz w:val="18"/>
              </w:rPr>
              <w:t>Source</w:t>
            </w:r>
            <w:r w:rsidRPr="00982055">
              <w:rPr>
                <w:sz w:val="18"/>
              </w:rPr>
              <w:t>: FINDEX (Demirguc-Kunt &amp; Klapper, 2012).</w:t>
            </w:r>
          </w:p>
        </w:tc>
      </w:tr>
    </w:tbl>
    <w:p w:rsidR="00E95E30" w:rsidRDefault="00E95E30" w:rsidP="00771B38">
      <w:pPr>
        <w:pStyle w:val="MainParawithChapter"/>
        <w:numPr>
          <w:ilvl w:val="0"/>
          <w:numId w:val="0"/>
        </w:numPr>
        <w:jc w:val="both"/>
        <w:rPr>
          <w:sz w:val="22"/>
          <w:szCs w:val="22"/>
        </w:rPr>
      </w:pPr>
    </w:p>
    <w:p w:rsidR="00E95E30" w:rsidRPr="00BC75C6" w:rsidRDefault="00E95E30" w:rsidP="007C6CE9">
      <w:pPr>
        <w:pStyle w:val="Heading2"/>
        <w:numPr>
          <w:ilvl w:val="0"/>
          <w:numId w:val="46"/>
        </w:numPr>
        <w:ind w:left="0" w:firstLine="0"/>
        <w:jc w:val="center"/>
        <w:rPr>
          <w:rFonts w:ascii="Times New Roman Bold" w:hAnsi="Times New Roman Bold"/>
          <w:smallCaps/>
        </w:rPr>
      </w:pPr>
      <w:bookmarkStart w:id="58" w:name="_Toc383011591"/>
      <w:r w:rsidRPr="00BC75C6">
        <w:rPr>
          <w:rFonts w:ascii="Times New Roman Bold" w:hAnsi="Times New Roman Bold"/>
          <w:smallCaps/>
        </w:rPr>
        <w:t>Earnings on the labor market</w:t>
      </w:r>
      <w:bookmarkEnd w:id="58"/>
    </w:p>
    <w:p w:rsidR="00E95E30" w:rsidRPr="00E95E30" w:rsidRDefault="00E95E30" w:rsidP="00771B38">
      <w:pPr>
        <w:pStyle w:val="MainParawithChapter"/>
        <w:numPr>
          <w:ilvl w:val="0"/>
          <w:numId w:val="0"/>
        </w:numPr>
        <w:jc w:val="both"/>
        <w:rPr>
          <w:sz w:val="22"/>
          <w:szCs w:val="22"/>
        </w:rPr>
      </w:pPr>
    </w:p>
    <w:p w:rsidR="00E95E30" w:rsidRDefault="00E95E30" w:rsidP="00771B38">
      <w:pPr>
        <w:pStyle w:val="MainParawithChapter"/>
        <w:jc w:val="both"/>
        <w:rPr>
          <w:sz w:val="22"/>
          <w:szCs w:val="22"/>
        </w:rPr>
      </w:pPr>
      <w:r w:rsidRPr="00E95E30">
        <w:rPr>
          <w:sz w:val="22"/>
          <w:szCs w:val="22"/>
        </w:rPr>
        <w:t>The raw gender wage gap in Belarus was increasing during the last decade in spite of relatively stable participation rates among women and improving education. The raw monthly wage gap increased from 19 to 26 percent in Belarus from 2001 to 2011. Since hourly wage gap is not available international comparison is limited. Analysis of gross monthly wages from main jobs based on the HLSS also shows that women tend to earn less than men</w:t>
      </w:r>
      <w:r w:rsidR="00090260">
        <w:rPr>
          <w:sz w:val="22"/>
          <w:szCs w:val="22"/>
        </w:rPr>
        <w:t xml:space="preserve"> (Figure 3.9)</w:t>
      </w:r>
      <w:r w:rsidRPr="00E95E30">
        <w:rPr>
          <w:sz w:val="22"/>
          <w:szCs w:val="22"/>
        </w:rPr>
        <w:t>. Increasing wage gap was accompanied by relatively stable female labor force participation and improving education.  According to Pastore and Verashchagina (2007), sharp increase of gender wage gap between 1996 and 2004 in Belarus is associated with the fact that efforts of women to increase their qualification were offset by concentration of women into low wage occupations in the public and social services.</w:t>
      </w:r>
    </w:p>
    <w:p w:rsidR="00D63AAC" w:rsidRDefault="00D63AAC" w:rsidP="00D63AAC">
      <w:pPr>
        <w:pStyle w:val="MainParawithChapter"/>
        <w:numPr>
          <w:ilvl w:val="0"/>
          <w:numId w:val="0"/>
        </w:numPr>
        <w:jc w:val="both"/>
        <w:rPr>
          <w:sz w:val="22"/>
          <w:szCs w:val="22"/>
        </w:rPr>
      </w:pPr>
    </w:p>
    <w:tbl>
      <w:tblPr>
        <w:tblW w:w="0" w:type="auto"/>
        <w:tblBorders>
          <w:top w:val="single" w:sz="8" w:space="0" w:color="4F81BD"/>
        </w:tblBorders>
        <w:tblLook w:val="00A0" w:firstRow="1" w:lastRow="0" w:firstColumn="1" w:lastColumn="0" w:noHBand="0" w:noVBand="0"/>
      </w:tblPr>
      <w:tblGrid>
        <w:gridCol w:w="8856"/>
      </w:tblGrid>
      <w:tr w:rsidR="00D63AAC" w:rsidRPr="00997957" w:rsidTr="00C45BC0">
        <w:tc>
          <w:tcPr>
            <w:tcW w:w="9576" w:type="dxa"/>
            <w:tcBorders>
              <w:top w:val="nil"/>
              <w:bottom w:val="single" w:sz="4" w:space="0" w:color="auto"/>
            </w:tcBorders>
          </w:tcPr>
          <w:p w:rsidR="00D63AAC" w:rsidRPr="00997957" w:rsidRDefault="009F5B52" w:rsidP="009F5B52">
            <w:pPr>
              <w:pStyle w:val="Caption"/>
              <w:jc w:val="both"/>
              <w:rPr>
                <w:b w:val="0"/>
                <w:color w:val="1F497D"/>
              </w:rPr>
            </w:pPr>
            <w:bookmarkStart w:id="59" w:name="_Toc351104645"/>
            <w:bookmarkStart w:id="60" w:name="_Toc383010222"/>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9</w:t>
            </w:r>
            <w:r w:rsidR="008A55B1">
              <w:rPr>
                <w:noProof/>
              </w:rPr>
              <w:fldChar w:fldCharType="end"/>
            </w:r>
            <w:r>
              <w:t>:</w:t>
            </w:r>
            <w:r w:rsidR="00D63AAC" w:rsidRPr="00997957">
              <w:t xml:space="preserve"> Log </w:t>
            </w:r>
            <w:r>
              <w:t>M</w:t>
            </w:r>
            <w:r w:rsidR="00D63AAC" w:rsidRPr="00997957">
              <w:t xml:space="preserve">onthly </w:t>
            </w:r>
            <w:r>
              <w:t>W</w:t>
            </w:r>
            <w:r w:rsidR="00D63AAC" w:rsidRPr="00997957">
              <w:t xml:space="preserve">age </w:t>
            </w:r>
            <w:r>
              <w:t>A</w:t>
            </w:r>
            <w:r w:rsidR="00D63AAC" w:rsidRPr="00997957">
              <w:t xml:space="preserve">cross </w:t>
            </w:r>
            <w:r>
              <w:t>G</w:t>
            </w:r>
            <w:r w:rsidR="00D63AAC" w:rsidRPr="00997957">
              <w:t>ender, 2010</w:t>
            </w:r>
            <w:bookmarkEnd w:id="59"/>
            <w:bookmarkEnd w:id="60"/>
          </w:p>
        </w:tc>
      </w:tr>
      <w:tr w:rsidR="00D63AAC" w:rsidRPr="00CF505A" w:rsidTr="00C45BC0">
        <w:tc>
          <w:tcPr>
            <w:tcW w:w="9576" w:type="dxa"/>
            <w:tcBorders>
              <w:top w:val="single" w:sz="4" w:space="0" w:color="auto"/>
              <w:bottom w:val="single" w:sz="4" w:space="0" w:color="auto"/>
            </w:tcBorders>
          </w:tcPr>
          <w:p w:rsidR="00D63AAC" w:rsidRPr="00CF505A" w:rsidRDefault="005A6047" w:rsidP="008F24ED">
            <w:pPr>
              <w:jc w:val="center"/>
            </w:pPr>
            <w:r>
              <w:rPr>
                <w:noProof/>
              </w:rPr>
              <w:drawing>
                <wp:inline distT="0" distB="0" distL="0" distR="0" wp14:anchorId="05F10C4E" wp14:editId="0B71BA45">
                  <wp:extent cx="3667125" cy="2695575"/>
                  <wp:effectExtent l="0" t="0" r="9525" b="9525"/>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67125" cy="2695575"/>
                          </a:xfrm>
                          <a:prstGeom prst="rect">
                            <a:avLst/>
                          </a:prstGeom>
                          <a:noFill/>
                          <a:ln>
                            <a:noFill/>
                          </a:ln>
                        </pic:spPr>
                      </pic:pic>
                    </a:graphicData>
                  </a:graphic>
                </wp:inline>
              </w:drawing>
            </w:r>
          </w:p>
        </w:tc>
      </w:tr>
      <w:tr w:rsidR="00D63AAC" w:rsidRPr="004830CE" w:rsidTr="00C45BC0">
        <w:tc>
          <w:tcPr>
            <w:tcW w:w="9576" w:type="dxa"/>
            <w:tcBorders>
              <w:top w:val="single" w:sz="4" w:space="0" w:color="auto"/>
              <w:bottom w:val="nil"/>
            </w:tcBorders>
          </w:tcPr>
          <w:p w:rsidR="00D63AAC" w:rsidRPr="004830CE" w:rsidRDefault="00D63AAC" w:rsidP="008F24ED">
            <w:pPr>
              <w:rPr>
                <w:sz w:val="18"/>
                <w:szCs w:val="18"/>
              </w:rPr>
            </w:pPr>
            <w:r w:rsidRPr="004830CE">
              <w:rPr>
                <w:i/>
                <w:sz w:val="18"/>
                <w:szCs w:val="18"/>
              </w:rPr>
              <w:t>Source</w:t>
            </w:r>
            <w:r w:rsidRPr="004830CE">
              <w:rPr>
                <w:sz w:val="18"/>
                <w:szCs w:val="18"/>
              </w:rPr>
              <w:t>:</w:t>
            </w:r>
            <w:r w:rsidRPr="004830CE">
              <w:rPr>
                <w:i/>
                <w:sz w:val="18"/>
                <w:szCs w:val="18"/>
              </w:rPr>
              <w:t xml:space="preserve"> </w:t>
            </w:r>
            <w:r>
              <w:rPr>
                <w:sz w:val="18"/>
                <w:szCs w:val="18"/>
              </w:rPr>
              <w:t>HLSS</w:t>
            </w:r>
            <w:r w:rsidRPr="004830CE">
              <w:rPr>
                <w:sz w:val="18"/>
                <w:szCs w:val="18"/>
              </w:rPr>
              <w:t>, World Bank staff</w:t>
            </w:r>
            <w:r>
              <w:rPr>
                <w:sz w:val="18"/>
                <w:szCs w:val="18"/>
              </w:rPr>
              <w:t xml:space="preserve"> calculations</w:t>
            </w:r>
            <w:r w:rsidRPr="004830CE">
              <w:rPr>
                <w:sz w:val="18"/>
                <w:szCs w:val="18"/>
              </w:rPr>
              <w:t xml:space="preserve">. </w:t>
            </w:r>
          </w:p>
          <w:p w:rsidR="00D63AAC" w:rsidRPr="004830CE" w:rsidRDefault="00D63AAC" w:rsidP="008F24ED">
            <w:pPr>
              <w:rPr>
                <w:sz w:val="18"/>
                <w:szCs w:val="18"/>
              </w:rPr>
            </w:pPr>
            <w:r w:rsidRPr="004830CE">
              <w:rPr>
                <w:i/>
                <w:sz w:val="18"/>
                <w:szCs w:val="18"/>
              </w:rPr>
              <w:t>Source</w:t>
            </w:r>
            <w:r w:rsidRPr="004830CE">
              <w:rPr>
                <w:sz w:val="18"/>
                <w:szCs w:val="18"/>
              </w:rPr>
              <w:t>:</w:t>
            </w:r>
            <w:r w:rsidRPr="004830CE">
              <w:rPr>
                <w:i/>
                <w:sz w:val="18"/>
                <w:szCs w:val="18"/>
              </w:rPr>
              <w:t xml:space="preserve"> </w:t>
            </w:r>
            <w:r>
              <w:rPr>
                <w:sz w:val="18"/>
                <w:szCs w:val="18"/>
              </w:rPr>
              <w:t xml:space="preserve">Kernel density distributions. The gender difference in the distributions is statistically significant at 5% level based on </w:t>
            </w:r>
            <w:r w:rsidRPr="004830CE">
              <w:rPr>
                <w:sz w:val="18"/>
                <w:szCs w:val="18"/>
              </w:rPr>
              <w:t>Kolmogorov-Smirnov equality-of-distributions test</w:t>
            </w:r>
            <w:r>
              <w:rPr>
                <w:sz w:val="18"/>
                <w:szCs w:val="18"/>
              </w:rPr>
              <w:t xml:space="preserve">. </w:t>
            </w:r>
          </w:p>
        </w:tc>
      </w:tr>
    </w:tbl>
    <w:p w:rsidR="00D63AAC" w:rsidRDefault="00D63AAC" w:rsidP="00D63AAC">
      <w:pPr>
        <w:pStyle w:val="MainParawithChapter"/>
        <w:numPr>
          <w:ilvl w:val="0"/>
          <w:numId w:val="0"/>
        </w:numPr>
        <w:jc w:val="both"/>
        <w:rPr>
          <w:sz w:val="22"/>
          <w:szCs w:val="22"/>
        </w:rPr>
      </w:pPr>
    </w:p>
    <w:p w:rsidR="00E95E30" w:rsidRDefault="00E95E30" w:rsidP="00771B38">
      <w:pPr>
        <w:pStyle w:val="MainParawithChapter"/>
        <w:jc w:val="both"/>
        <w:rPr>
          <w:sz w:val="22"/>
          <w:szCs w:val="22"/>
        </w:rPr>
      </w:pPr>
      <w:r w:rsidRPr="00E95E30">
        <w:rPr>
          <w:sz w:val="22"/>
          <w:szCs w:val="22"/>
        </w:rPr>
        <w:t>Returns to education and experience are very high in Belarus with education paying equal across gender and experience paying more for women</w:t>
      </w:r>
      <w:r w:rsidR="00107B85">
        <w:rPr>
          <w:sz w:val="22"/>
          <w:szCs w:val="22"/>
        </w:rPr>
        <w:t xml:space="preserve"> (Figure 3.8)</w:t>
      </w:r>
      <w:r w:rsidRPr="00E95E30">
        <w:rPr>
          <w:sz w:val="22"/>
          <w:szCs w:val="22"/>
        </w:rPr>
        <w:t>. Running basic Mincer equation shows no difference in returns to education between men and women</w:t>
      </w:r>
      <w:r w:rsidR="00545C0F">
        <w:rPr>
          <w:rStyle w:val="FootnoteReference"/>
          <w:sz w:val="22"/>
          <w:szCs w:val="22"/>
        </w:rPr>
        <w:footnoteReference w:id="15"/>
      </w:r>
      <w:r w:rsidRPr="00E95E30">
        <w:rPr>
          <w:sz w:val="22"/>
          <w:szCs w:val="22"/>
        </w:rPr>
        <w:t xml:space="preserve">. One additional year of schooling brings 10 percent increase in wages both for men and women.  Experience, measured by age and its </w:t>
      </w:r>
      <w:r w:rsidR="008716BB" w:rsidRPr="00E95E30">
        <w:rPr>
          <w:sz w:val="22"/>
          <w:szCs w:val="22"/>
        </w:rPr>
        <w:t>squ</w:t>
      </w:r>
      <w:r w:rsidR="008716BB">
        <w:rPr>
          <w:sz w:val="22"/>
          <w:szCs w:val="22"/>
        </w:rPr>
        <w:t>ared</w:t>
      </w:r>
      <w:r w:rsidR="008716BB" w:rsidRPr="00E95E30">
        <w:rPr>
          <w:sz w:val="22"/>
          <w:szCs w:val="22"/>
        </w:rPr>
        <w:t xml:space="preserve"> </w:t>
      </w:r>
      <w:r w:rsidRPr="00E95E30">
        <w:rPr>
          <w:sz w:val="22"/>
          <w:szCs w:val="22"/>
        </w:rPr>
        <w:t>term, is also very important and generates very high returns especially for women. Obtained results similar to what have been obtained by Pastore and Verashchagina (2006) who explain high returns to education and experience by a strong role of state in controlling wage rates and seniority rules</w:t>
      </w:r>
      <w:r w:rsidR="00545C0F">
        <w:rPr>
          <w:rStyle w:val="FootnoteReference"/>
          <w:sz w:val="22"/>
          <w:szCs w:val="22"/>
        </w:rPr>
        <w:footnoteReference w:id="16"/>
      </w:r>
      <w:r w:rsidRPr="00E95E30">
        <w:rPr>
          <w:sz w:val="22"/>
          <w:szCs w:val="22"/>
        </w:rPr>
        <w:t xml:space="preserve">.  </w:t>
      </w:r>
    </w:p>
    <w:p w:rsidR="00D63AAC" w:rsidRDefault="00D63AAC" w:rsidP="00D63AAC">
      <w:pPr>
        <w:pStyle w:val="MainParawithChapter"/>
        <w:numPr>
          <w:ilvl w:val="0"/>
          <w:numId w:val="0"/>
        </w:numPr>
        <w:jc w:val="both"/>
        <w:rPr>
          <w:sz w:val="22"/>
          <w:szCs w:val="22"/>
        </w:rPr>
      </w:pPr>
    </w:p>
    <w:tbl>
      <w:tblPr>
        <w:tblW w:w="0" w:type="auto"/>
        <w:tblBorders>
          <w:top w:val="single" w:sz="8" w:space="0" w:color="4F81BD"/>
        </w:tblBorders>
        <w:tblLook w:val="00A0" w:firstRow="1" w:lastRow="0" w:firstColumn="1" w:lastColumn="0" w:noHBand="0" w:noVBand="0"/>
      </w:tblPr>
      <w:tblGrid>
        <w:gridCol w:w="8856"/>
      </w:tblGrid>
      <w:tr w:rsidR="00D63AAC" w:rsidRPr="00997957" w:rsidTr="00C45BC0">
        <w:tc>
          <w:tcPr>
            <w:tcW w:w="9576" w:type="dxa"/>
            <w:tcBorders>
              <w:top w:val="nil"/>
              <w:bottom w:val="single" w:sz="4" w:space="0" w:color="auto"/>
            </w:tcBorders>
          </w:tcPr>
          <w:p w:rsidR="00D63AAC" w:rsidRPr="00997957" w:rsidRDefault="009F5B52" w:rsidP="009F5B52">
            <w:pPr>
              <w:pStyle w:val="Caption"/>
              <w:jc w:val="both"/>
              <w:rPr>
                <w:b w:val="0"/>
                <w:color w:val="1F497D"/>
              </w:rPr>
            </w:pPr>
            <w:bookmarkStart w:id="61" w:name="_Toc351104646"/>
            <w:bookmarkStart w:id="62" w:name="_Toc383010223"/>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10</w:t>
            </w:r>
            <w:r w:rsidR="008A55B1">
              <w:rPr>
                <w:noProof/>
              </w:rPr>
              <w:fldChar w:fldCharType="end"/>
            </w:r>
            <w:r>
              <w:t>:</w:t>
            </w:r>
            <w:r w:rsidR="00D63AAC" w:rsidRPr="00997957">
              <w:t xml:space="preserve"> Returns to </w:t>
            </w:r>
            <w:r>
              <w:t>E</w:t>
            </w:r>
            <w:r w:rsidR="00D63AAC" w:rsidRPr="00997957">
              <w:t xml:space="preserve">ducation and </w:t>
            </w:r>
            <w:r>
              <w:t>E</w:t>
            </w:r>
            <w:r w:rsidR="00D63AAC" w:rsidRPr="00997957">
              <w:t xml:space="preserve">xperience </w:t>
            </w:r>
            <w:r>
              <w:t>B</w:t>
            </w:r>
            <w:r w:rsidR="00D63AAC" w:rsidRPr="00997957">
              <w:t xml:space="preserve">ased on Heckman </w:t>
            </w:r>
            <w:r>
              <w:t>M</w:t>
            </w:r>
            <w:r w:rsidR="00D63AAC" w:rsidRPr="00997957">
              <w:t>odel, 2010</w:t>
            </w:r>
            <w:bookmarkEnd w:id="61"/>
            <w:bookmarkEnd w:id="62"/>
          </w:p>
        </w:tc>
      </w:tr>
      <w:tr w:rsidR="00D63AAC" w:rsidRPr="00F12195" w:rsidTr="00C45BC0">
        <w:tc>
          <w:tcPr>
            <w:tcW w:w="9576" w:type="dxa"/>
            <w:tcBorders>
              <w:top w:val="single" w:sz="4" w:space="0" w:color="auto"/>
              <w:bottom w:val="single" w:sz="4" w:space="0" w:color="auto"/>
            </w:tcBorders>
          </w:tcPr>
          <w:p w:rsidR="00D63AAC" w:rsidRDefault="005A6047" w:rsidP="008F24ED">
            <w:pPr>
              <w:jc w:val="center"/>
            </w:pPr>
            <w:r>
              <w:rPr>
                <w:noProof/>
              </w:rPr>
              <w:drawing>
                <wp:inline distT="0" distB="0" distL="0" distR="0" wp14:anchorId="2503A9CE" wp14:editId="18961B48">
                  <wp:extent cx="4629150" cy="292417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F414D" w:rsidRPr="00F12195" w:rsidRDefault="00EF414D" w:rsidP="008F24ED">
            <w:pPr>
              <w:jc w:val="center"/>
            </w:pPr>
          </w:p>
        </w:tc>
      </w:tr>
      <w:tr w:rsidR="00D63AAC" w:rsidRPr="00F12195" w:rsidTr="00C45BC0">
        <w:tc>
          <w:tcPr>
            <w:tcW w:w="9576" w:type="dxa"/>
            <w:tcBorders>
              <w:top w:val="single" w:sz="4" w:space="0" w:color="auto"/>
              <w:bottom w:val="nil"/>
            </w:tcBorders>
          </w:tcPr>
          <w:p w:rsidR="00EF414D" w:rsidRDefault="00EF414D" w:rsidP="008F24ED">
            <w:pPr>
              <w:rPr>
                <w:i/>
                <w:sz w:val="18"/>
                <w:szCs w:val="18"/>
              </w:rPr>
            </w:pPr>
          </w:p>
          <w:p w:rsidR="00D63AAC" w:rsidRPr="004830CE" w:rsidRDefault="00D63AAC" w:rsidP="008F24ED">
            <w:pPr>
              <w:rPr>
                <w:sz w:val="18"/>
                <w:szCs w:val="18"/>
              </w:rPr>
            </w:pPr>
            <w:r w:rsidRPr="004830CE">
              <w:rPr>
                <w:i/>
                <w:sz w:val="18"/>
                <w:szCs w:val="18"/>
              </w:rPr>
              <w:t>Source</w:t>
            </w:r>
            <w:r w:rsidRPr="004830CE">
              <w:rPr>
                <w:sz w:val="18"/>
                <w:szCs w:val="18"/>
              </w:rPr>
              <w:t>:</w:t>
            </w:r>
            <w:r w:rsidRPr="004830CE">
              <w:rPr>
                <w:i/>
                <w:sz w:val="18"/>
                <w:szCs w:val="18"/>
              </w:rPr>
              <w:t xml:space="preserve"> </w:t>
            </w:r>
            <w:r>
              <w:rPr>
                <w:sz w:val="18"/>
                <w:szCs w:val="18"/>
              </w:rPr>
              <w:t>HLSS</w:t>
            </w:r>
            <w:r w:rsidRPr="004830CE">
              <w:rPr>
                <w:sz w:val="18"/>
                <w:szCs w:val="18"/>
              </w:rPr>
              <w:t>, World Bank staff</w:t>
            </w:r>
            <w:r>
              <w:rPr>
                <w:sz w:val="18"/>
                <w:szCs w:val="18"/>
              </w:rPr>
              <w:t xml:space="preserve"> calculations</w:t>
            </w:r>
            <w:r w:rsidRPr="004830CE">
              <w:rPr>
                <w:sz w:val="18"/>
                <w:szCs w:val="18"/>
              </w:rPr>
              <w:t xml:space="preserve">. </w:t>
            </w:r>
          </w:p>
          <w:p w:rsidR="00D63AAC" w:rsidRPr="00F12195" w:rsidRDefault="00D63AAC" w:rsidP="008F24ED">
            <w:pPr>
              <w:rPr>
                <w:sz w:val="18"/>
                <w:szCs w:val="18"/>
              </w:rPr>
            </w:pPr>
            <w:r w:rsidRPr="00F93C6C">
              <w:rPr>
                <w:i/>
                <w:sz w:val="18"/>
                <w:szCs w:val="18"/>
              </w:rPr>
              <w:t>Note:</w:t>
            </w:r>
            <w:r w:rsidRPr="004830CE">
              <w:rPr>
                <w:i/>
                <w:sz w:val="18"/>
                <w:szCs w:val="18"/>
              </w:rPr>
              <w:t xml:space="preserve"> </w:t>
            </w:r>
            <w:r>
              <w:rPr>
                <w:sz w:val="18"/>
                <w:szCs w:val="18"/>
              </w:rPr>
              <w:t>Full results available in the annex</w:t>
            </w:r>
            <w:r w:rsidR="00BB413C">
              <w:rPr>
                <w:sz w:val="18"/>
                <w:szCs w:val="18"/>
              </w:rPr>
              <w:t xml:space="preserve"> (Table A2)</w:t>
            </w:r>
            <w:r>
              <w:rPr>
                <w:sz w:val="18"/>
                <w:szCs w:val="18"/>
              </w:rPr>
              <w:t xml:space="preserve">. Other controls include regional dummies and dummy for rural/urban areas. Heckman selection equation is identified by using dummy for head of household and size of the household.  All presented coefficients are significant at 1 percent level. Conditional marginal effects are presented from Heckman regression (for working women and men). </w:t>
            </w:r>
          </w:p>
        </w:tc>
      </w:tr>
    </w:tbl>
    <w:p w:rsidR="00D63AAC" w:rsidRDefault="00D63AAC" w:rsidP="00D63AAC">
      <w:pPr>
        <w:pStyle w:val="MainParawithChapter"/>
        <w:numPr>
          <w:ilvl w:val="0"/>
          <w:numId w:val="0"/>
        </w:numPr>
        <w:jc w:val="both"/>
        <w:rPr>
          <w:sz w:val="22"/>
          <w:szCs w:val="22"/>
        </w:rPr>
      </w:pPr>
    </w:p>
    <w:p w:rsidR="00E95E30" w:rsidRPr="00E95E30" w:rsidRDefault="00E95E30" w:rsidP="00771B38">
      <w:pPr>
        <w:pStyle w:val="MainParawithChapter"/>
        <w:jc w:val="both"/>
        <w:rPr>
          <w:sz w:val="22"/>
          <w:szCs w:val="22"/>
        </w:rPr>
      </w:pPr>
      <w:r w:rsidRPr="00E95E30">
        <w:rPr>
          <w:sz w:val="22"/>
          <w:szCs w:val="22"/>
        </w:rPr>
        <w:t>Oaxaca decomposition reveals that observed characteristics explain only a tiny share of the monthly wage gap observed in Belarus. We estimate regressions explaining men’s and women’s mean monthly wages for the 4th quarter of 2010 to obtain threefold and twofold Oaxaca-Blinder decomposition of gender wage gap</w:t>
      </w:r>
      <w:r w:rsidR="005B0696">
        <w:rPr>
          <w:rStyle w:val="FootnoteReference"/>
          <w:sz w:val="22"/>
          <w:szCs w:val="22"/>
        </w:rPr>
        <w:footnoteReference w:id="17"/>
      </w:r>
      <w:r w:rsidRPr="00E95E30">
        <w:rPr>
          <w:sz w:val="22"/>
          <w:szCs w:val="22"/>
        </w:rPr>
        <w:t xml:space="preserve">.  As shown </w:t>
      </w:r>
      <w:r w:rsidR="00BB413C">
        <w:rPr>
          <w:sz w:val="22"/>
          <w:szCs w:val="22"/>
        </w:rPr>
        <w:t>in T</w:t>
      </w:r>
      <w:r w:rsidRPr="00E95E30">
        <w:rPr>
          <w:sz w:val="22"/>
          <w:szCs w:val="22"/>
        </w:rPr>
        <w:t xml:space="preserve">able </w:t>
      </w:r>
      <w:r w:rsidR="00BB413C">
        <w:rPr>
          <w:sz w:val="22"/>
          <w:szCs w:val="22"/>
        </w:rPr>
        <w:t>3.</w:t>
      </w:r>
      <w:r w:rsidR="009362D1">
        <w:rPr>
          <w:sz w:val="22"/>
          <w:szCs w:val="22"/>
        </w:rPr>
        <w:t>3a</w:t>
      </w:r>
      <w:r w:rsidRPr="00E95E30">
        <w:rPr>
          <w:sz w:val="22"/>
          <w:szCs w:val="22"/>
        </w:rPr>
        <w:t xml:space="preserve">, estimated wage gap is 31 percent. Absolute majority of this gap stems from differences in returns to observed characteristics (unexplained part), while observed characteristics explain only 3 percent of wage gap. Large unexplained part of wage gap may be a result of omitted variables, such as occupation type, but could also signal about discrimination of women in the labor market of Belarus. </w:t>
      </w:r>
    </w:p>
    <w:p w:rsidR="00E95E30" w:rsidRPr="00E95E30" w:rsidRDefault="00E95E30" w:rsidP="00771B38">
      <w:pPr>
        <w:pStyle w:val="MainParawithChapter"/>
        <w:numPr>
          <w:ilvl w:val="0"/>
          <w:numId w:val="0"/>
        </w:numPr>
        <w:jc w:val="both"/>
        <w:rPr>
          <w:sz w:val="22"/>
          <w:szCs w:val="22"/>
        </w:rPr>
      </w:pPr>
    </w:p>
    <w:p w:rsidR="00E95E30" w:rsidRDefault="00E95E30" w:rsidP="00771B38">
      <w:pPr>
        <w:pStyle w:val="MainParawithChapter"/>
        <w:jc w:val="both"/>
        <w:rPr>
          <w:sz w:val="22"/>
          <w:szCs w:val="22"/>
        </w:rPr>
      </w:pPr>
      <w:r w:rsidRPr="00E95E30">
        <w:rPr>
          <w:sz w:val="22"/>
          <w:szCs w:val="22"/>
        </w:rPr>
        <w:t>Occupational segregation is the key observed factor explaining the wage gap and contributing to the unexpla</w:t>
      </w:r>
      <w:r w:rsidR="00BB413C">
        <w:rPr>
          <w:sz w:val="22"/>
          <w:szCs w:val="22"/>
        </w:rPr>
        <w:t>ined part as well. As shown in Table 3.</w:t>
      </w:r>
      <w:r w:rsidR="009362D1">
        <w:rPr>
          <w:sz w:val="22"/>
          <w:szCs w:val="22"/>
        </w:rPr>
        <w:t>3</w:t>
      </w:r>
      <w:r w:rsidRPr="00E95E30">
        <w:rPr>
          <w:sz w:val="22"/>
          <w:szCs w:val="22"/>
        </w:rPr>
        <w:t xml:space="preserve">b, education and experience tend to narrow both the explained and unexplained parts of the wage gap, but concentration of women in low paid sectors overweighs this effect and increases the explained part of gender gap. Sectoral segregation contributed to the unexplained part of gender gap as well, but mostly it stems from intercept and this requires further analysis based on more detailed data.  </w:t>
      </w:r>
    </w:p>
    <w:p w:rsidR="00816E39" w:rsidRDefault="00816E39" w:rsidP="00C45BC0">
      <w:pPr>
        <w:pStyle w:val="MainParawithChapter"/>
        <w:numPr>
          <w:ilvl w:val="0"/>
          <w:numId w:val="0"/>
        </w:numPr>
        <w:jc w:val="both"/>
        <w:rPr>
          <w:sz w:val="22"/>
          <w:szCs w:val="22"/>
        </w:rPr>
      </w:pPr>
    </w:p>
    <w:p w:rsidR="00D63AAC" w:rsidRDefault="00D63AAC" w:rsidP="00D63AAC">
      <w:pPr>
        <w:pStyle w:val="ListParagraph"/>
        <w:rPr>
          <w:sz w:val="22"/>
          <w:szCs w:val="22"/>
        </w:rPr>
      </w:pPr>
    </w:p>
    <w:p w:rsidR="00EF414D" w:rsidRDefault="00EF414D" w:rsidP="00D63AAC">
      <w:pPr>
        <w:pStyle w:val="ListParagraph"/>
        <w:rPr>
          <w:sz w:val="22"/>
          <w:szCs w:val="22"/>
        </w:rPr>
      </w:pPr>
    </w:p>
    <w:tbl>
      <w:tblPr>
        <w:tblW w:w="5000" w:type="pct"/>
        <w:tblBorders>
          <w:top w:val="single" w:sz="4" w:space="0" w:color="4F81BD"/>
          <w:bottom w:val="single" w:sz="4" w:space="0" w:color="4F81BD"/>
        </w:tblBorders>
        <w:tblLook w:val="01E0" w:firstRow="1" w:lastRow="1" w:firstColumn="1" w:lastColumn="1" w:noHBand="0" w:noVBand="0"/>
      </w:tblPr>
      <w:tblGrid>
        <w:gridCol w:w="4428"/>
        <w:gridCol w:w="4428"/>
      </w:tblGrid>
      <w:tr w:rsidR="00D63AAC" w:rsidRPr="00997957" w:rsidTr="00EF414D">
        <w:trPr>
          <w:trHeight w:val="70"/>
        </w:trPr>
        <w:tc>
          <w:tcPr>
            <w:tcW w:w="5000" w:type="pct"/>
            <w:gridSpan w:val="2"/>
            <w:tcBorders>
              <w:top w:val="nil"/>
              <w:bottom w:val="single" w:sz="4" w:space="0" w:color="auto"/>
            </w:tcBorders>
          </w:tcPr>
          <w:p w:rsidR="00D63AAC" w:rsidRPr="00997957" w:rsidRDefault="009F5B52" w:rsidP="004E4C78">
            <w:pPr>
              <w:pStyle w:val="Caption"/>
              <w:keepNext/>
              <w:spacing w:after="120"/>
            </w:pPr>
            <w:bookmarkStart w:id="63" w:name="_Toc352690485"/>
            <w:bookmarkStart w:id="64" w:name="_Toc383011599"/>
            <w:r>
              <w:lastRenderedPageBreak/>
              <w:t xml:space="preserve">Table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9362D1">
              <w:t>.</w:t>
            </w:r>
            <w:r w:rsidR="008A55B1">
              <w:fldChar w:fldCharType="begin"/>
            </w:r>
            <w:r w:rsidR="008A55B1">
              <w:instrText xml:space="preserve"> SEQ Table \* ARABIC \s 1 </w:instrText>
            </w:r>
            <w:r w:rsidR="008A55B1">
              <w:fldChar w:fldCharType="separate"/>
            </w:r>
            <w:r w:rsidR="008A55B1">
              <w:rPr>
                <w:noProof/>
              </w:rPr>
              <w:t>3</w:t>
            </w:r>
            <w:r w:rsidR="008A55B1">
              <w:rPr>
                <w:noProof/>
              </w:rPr>
              <w:fldChar w:fldCharType="end"/>
            </w:r>
            <w:r>
              <w:t xml:space="preserve">: </w:t>
            </w:r>
            <w:r w:rsidR="00D63AAC" w:rsidRPr="009362D1">
              <w:t xml:space="preserve"> Oaxaca </w:t>
            </w:r>
            <w:r w:rsidRPr="009362D1">
              <w:t>D</w:t>
            </w:r>
            <w:r w:rsidR="00D63AAC" w:rsidRPr="009362D1">
              <w:t xml:space="preserve">ecomposition of </w:t>
            </w:r>
            <w:r w:rsidRPr="009362D1">
              <w:t>M</w:t>
            </w:r>
            <w:r w:rsidR="00D63AAC" w:rsidRPr="009362D1">
              <w:t xml:space="preserve">onthly </w:t>
            </w:r>
            <w:r w:rsidRPr="009362D1">
              <w:t>W</w:t>
            </w:r>
            <w:r w:rsidR="00D63AAC" w:rsidRPr="009362D1">
              <w:t>ages, 2010</w:t>
            </w:r>
            <w:bookmarkEnd w:id="63"/>
            <w:bookmarkEnd w:id="64"/>
          </w:p>
        </w:tc>
      </w:tr>
      <w:tr w:rsidR="00D63AAC" w:rsidTr="00EF414D">
        <w:trPr>
          <w:trHeight w:val="484"/>
        </w:trPr>
        <w:tc>
          <w:tcPr>
            <w:tcW w:w="2500" w:type="pct"/>
            <w:tcBorders>
              <w:top w:val="single" w:sz="4" w:space="0" w:color="auto"/>
              <w:bottom w:val="single" w:sz="4" w:space="0" w:color="4F81BD"/>
            </w:tcBorders>
          </w:tcPr>
          <w:p w:rsidR="00D63AAC" w:rsidRPr="00EF414D" w:rsidRDefault="00D63AAC" w:rsidP="008F24ED">
            <w:pPr>
              <w:rPr>
                <w:sz w:val="20"/>
                <w:szCs w:val="20"/>
              </w:rPr>
            </w:pPr>
            <w:r w:rsidRPr="00EF414D">
              <w:rPr>
                <w:sz w:val="20"/>
                <w:szCs w:val="20"/>
              </w:rPr>
              <w:t>a) Threefold and twofold decomposition of wage gap, original scale</w:t>
            </w:r>
          </w:p>
        </w:tc>
        <w:tc>
          <w:tcPr>
            <w:tcW w:w="2500" w:type="pct"/>
            <w:tcBorders>
              <w:top w:val="single" w:sz="4" w:space="0" w:color="auto"/>
              <w:bottom w:val="single" w:sz="4" w:space="0" w:color="4F81BD"/>
            </w:tcBorders>
          </w:tcPr>
          <w:p w:rsidR="00D63AAC" w:rsidRPr="00EF414D" w:rsidRDefault="00D63AAC" w:rsidP="008F24ED">
            <w:pPr>
              <w:rPr>
                <w:sz w:val="20"/>
                <w:szCs w:val="20"/>
              </w:rPr>
            </w:pPr>
            <w:r w:rsidRPr="00EF414D">
              <w:rPr>
                <w:sz w:val="20"/>
                <w:szCs w:val="20"/>
              </w:rPr>
              <w:t>b) Detailed twofold decomposition of wage gap, log of monthly wage</w:t>
            </w:r>
          </w:p>
        </w:tc>
      </w:tr>
      <w:tr w:rsidR="00D63AAC" w:rsidTr="00EF414D">
        <w:tc>
          <w:tcPr>
            <w:tcW w:w="2500" w:type="pct"/>
            <w:tcBorders>
              <w:top w:val="single" w:sz="4" w:space="0" w:color="4F81BD"/>
              <w:bottom w:val="single" w:sz="4" w:space="0" w:color="auto"/>
            </w:tcBorders>
          </w:tcPr>
          <w:tbl>
            <w:tblPr>
              <w:tblW w:w="2640" w:type="dxa"/>
              <w:jc w:val="center"/>
              <w:tblLook w:val="0000" w:firstRow="0" w:lastRow="0" w:firstColumn="0" w:lastColumn="0" w:noHBand="0" w:noVBand="0"/>
            </w:tblPr>
            <w:tblGrid>
              <w:gridCol w:w="1464"/>
              <w:gridCol w:w="1176"/>
            </w:tblGrid>
            <w:tr w:rsidR="00D63AAC" w:rsidRPr="00EF414D" w:rsidTr="00672AA9">
              <w:trPr>
                <w:trHeight w:val="255"/>
                <w:jc w:val="center"/>
              </w:trPr>
              <w:tc>
                <w:tcPr>
                  <w:tcW w:w="2640" w:type="dxa"/>
                  <w:gridSpan w:val="2"/>
                </w:tcPr>
                <w:p w:rsidR="00D63AAC" w:rsidRPr="00EF414D" w:rsidRDefault="00D63AAC" w:rsidP="008F24ED">
                  <w:pPr>
                    <w:jc w:val="center"/>
                    <w:rPr>
                      <w:b/>
                      <w:bCs/>
                      <w:sz w:val="20"/>
                      <w:szCs w:val="20"/>
                      <w:lang w:eastAsia="ru-RU"/>
                    </w:rPr>
                  </w:pPr>
                  <w:r w:rsidRPr="00EF414D">
                    <w:rPr>
                      <w:b/>
                      <w:bCs/>
                      <w:sz w:val="20"/>
                      <w:szCs w:val="20"/>
                      <w:lang w:eastAsia="ru-RU"/>
                    </w:rPr>
                    <w:t>Threefold decomposition</w:t>
                  </w:r>
                </w:p>
              </w:tc>
            </w:tr>
            <w:tr w:rsidR="00D63AAC" w:rsidRPr="00EF414D" w:rsidTr="00672AA9">
              <w:trPr>
                <w:trHeight w:val="255"/>
                <w:jc w:val="center"/>
              </w:trPr>
              <w:tc>
                <w:tcPr>
                  <w:tcW w:w="1464" w:type="dxa"/>
                  <w:noWrap/>
                  <w:vAlign w:val="bottom"/>
                </w:tcPr>
                <w:p w:rsidR="00D63AAC" w:rsidRPr="00EF414D" w:rsidRDefault="00D63AAC" w:rsidP="008F24ED">
                  <w:pPr>
                    <w:rPr>
                      <w:sz w:val="20"/>
                      <w:szCs w:val="20"/>
                      <w:lang w:eastAsia="ru-RU"/>
                    </w:rPr>
                  </w:pPr>
                  <w:r w:rsidRPr="00EF414D">
                    <w:rPr>
                      <w:sz w:val="20"/>
                      <w:szCs w:val="20"/>
                      <w:lang w:eastAsia="ru-RU"/>
                    </w:rPr>
                    <w:t>Gender gap, %</w:t>
                  </w:r>
                </w:p>
              </w:tc>
              <w:tc>
                <w:tcPr>
                  <w:tcW w:w="1176" w:type="dxa"/>
                  <w:noWrap/>
                  <w:vAlign w:val="bottom"/>
                </w:tcPr>
                <w:p w:rsidR="00D63AAC" w:rsidRPr="00EF414D" w:rsidRDefault="00D63AAC" w:rsidP="008F24ED">
                  <w:pPr>
                    <w:jc w:val="center"/>
                    <w:rPr>
                      <w:sz w:val="20"/>
                      <w:szCs w:val="20"/>
                      <w:lang w:eastAsia="ru-RU"/>
                    </w:rPr>
                  </w:pPr>
                  <w:r w:rsidRPr="00EF414D">
                    <w:rPr>
                      <w:sz w:val="20"/>
                      <w:szCs w:val="20"/>
                      <w:lang w:eastAsia="ru-RU"/>
                    </w:rPr>
                    <w:t>31***</w:t>
                  </w:r>
                </w:p>
              </w:tc>
            </w:tr>
            <w:tr w:rsidR="00D63AAC" w:rsidRPr="00EF414D" w:rsidTr="00672AA9">
              <w:trPr>
                <w:trHeight w:val="255"/>
                <w:jc w:val="center"/>
              </w:trPr>
              <w:tc>
                <w:tcPr>
                  <w:tcW w:w="1464" w:type="dxa"/>
                  <w:noWrap/>
                  <w:vAlign w:val="bottom"/>
                </w:tcPr>
                <w:p w:rsidR="00D63AAC" w:rsidRPr="00EF414D" w:rsidRDefault="00D63AAC" w:rsidP="008F24ED">
                  <w:pPr>
                    <w:rPr>
                      <w:sz w:val="20"/>
                      <w:szCs w:val="20"/>
                      <w:lang w:eastAsia="ru-RU"/>
                    </w:rPr>
                  </w:pPr>
                  <w:r w:rsidRPr="00EF414D">
                    <w:rPr>
                      <w:sz w:val="20"/>
                      <w:szCs w:val="20"/>
                      <w:lang w:eastAsia="ru-RU"/>
                    </w:rPr>
                    <w:t>Endowments</w:t>
                  </w:r>
                </w:p>
              </w:tc>
              <w:tc>
                <w:tcPr>
                  <w:tcW w:w="1176" w:type="dxa"/>
                  <w:noWrap/>
                  <w:vAlign w:val="bottom"/>
                </w:tcPr>
                <w:p w:rsidR="00D63AAC" w:rsidRPr="00EF414D" w:rsidRDefault="00D63AAC" w:rsidP="008F24ED">
                  <w:pPr>
                    <w:jc w:val="center"/>
                    <w:rPr>
                      <w:sz w:val="20"/>
                      <w:szCs w:val="20"/>
                      <w:lang w:eastAsia="ru-RU"/>
                    </w:rPr>
                  </w:pPr>
                  <w:r w:rsidRPr="00EF414D">
                    <w:rPr>
                      <w:sz w:val="20"/>
                      <w:szCs w:val="20"/>
                      <w:lang w:eastAsia="ru-RU"/>
                    </w:rPr>
                    <w:t>1.3</w:t>
                  </w:r>
                </w:p>
              </w:tc>
            </w:tr>
            <w:tr w:rsidR="00D63AAC" w:rsidRPr="00EF414D" w:rsidTr="00672AA9">
              <w:trPr>
                <w:trHeight w:val="255"/>
                <w:jc w:val="center"/>
              </w:trPr>
              <w:tc>
                <w:tcPr>
                  <w:tcW w:w="1464" w:type="dxa"/>
                  <w:noWrap/>
                  <w:vAlign w:val="bottom"/>
                </w:tcPr>
                <w:p w:rsidR="00D63AAC" w:rsidRPr="00EF414D" w:rsidRDefault="00D63AAC" w:rsidP="008F24ED">
                  <w:pPr>
                    <w:rPr>
                      <w:sz w:val="20"/>
                      <w:szCs w:val="20"/>
                      <w:lang w:eastAsia="ru-RU"/>
                    </w:rPr>
                  </w:pPr>
                  <w:r w:rsidRPr="00EF414D">
                    <w:rPr>
                      <w:sz w:val="20"/>
                      <w:szCs w:val="20"/>
                      <w:lang w:eastAsia="ru-RU"/>
                    </w:rPr>
                    <w:t>Coefficients</w:t>
                  </w:r>
                </w:p>
              </w:tc>
              <w:tc>
                <w:tcPr>
                  <w:tcW w:w="1176" w:type="dxa"/>
                  <w:noWrap/>
                  <w:vAlign w:val="bottom"/>
                </w:tcPr>
                <w:p w:rsidR="00D63AAC" w:rsidRPr="00EF414D" w:rsidRDefault="00D63AAC" w:rsidP="008F24ED">
                  <w:pPr>
                    <w:jc w:val="center"/>
                    <w:rPr>
                      <w:sz w:val="20"/>
                      <w:szCs w:val="20"/>
                      <w:lang w:eastAsia="ru-RU"/>
                    </w:rPr>
                  </w:pPr>
                  <w:r w:rsidRPr="00EF414D">
                    <w:rPr>
                      <w:sz w:val="20"/>
                      <w:szCs w:val="20"/>
                      <w:lang w:eastAsia="ru-RU"/>
                    </w:rPr>
                    <w:t>27***</w:t>
                  </w:r>
                </w:p>
              </w:tc>
            </w:tr>
            <w:tr w:rsidR="00D63AAC" w:rsidRPr="00EF414D" w:rsidTr="00672AA9">
              <w:trPr>
                <w:trHeight w:val="255"/>
                <w:jc w:val="center"/>
              </w:trPr>
              <w:tc>
                <w:tcPr>
                  <w:tcW w:w="1464" w:type="dxa"/>
                  <w:noWrap/>
                  <w:vAlign w:val="bottom"/>
                </w:tcPr>
                <w:p w:rsidR="00D63AAC" w:rsidRPr="00EF414D" w:rsidRDefault="00D63AAC" w:rsidP="008F24ED">
                  <w:pPr>
                    <w:rPr>
                      <w:sz w:val="20"/>
                      <w:szCs w:val="20"/>
                      <w:lang w:eastAsia="ru-RU"/>
                    </w:rPr>
                  </w:pPr>
                  <w:r w:rsidRPr="00EF414D">
                    <w:rPr>
                      <w:sz w:val="20"/>
                      <w:szCs w:val="20"/>
                      <w:lang w:eastAsia="ru-RU"/>
                    </w:rPr>
                    <w:t>Interaction</w:t>
                  </w:r>
                </w:p>
              </w:tc>
              <w:tc>
                <w:tcPr>
                  <w:tcW w:w="1176" w:type="dxa"/>
                  <w:noWrap/>
                  <w:vAlign w:val="bottom"/>
                </w:tcPr>
                <w:p w:rsidR="00D63AAC" w:rsidRPr="00EF414D" w:rsidRDefault="00D63AAC" w:rsidP="008F24ED">
                  <w:pPr>
                    <w:jc w:val="center"/>
                    <w:rPr>
                      <w:sz w:val="20"/>
                      <w:szCs w:val="20"/>
                      <w:lang w:eastAsia="ru-RU"/>
                    </w:rPr>
                  </w:pPr>
                  <w:r w:rsidRPr="00EF414D">
                    <w:rPr>
                      <w:sz w:val="20"/>
                      <w:szCs w:val="20"/>
                      <w:lang w:eastAsia="ru-RU"/>
                    </w:rPr>
                    <w:t>2</w:t>
                  </w:r>
                </w:p>
              </w:tc>
            </w:tr>
            <w:tr w:rsidR="00D63AAC" w:rsidRPr="00EF414D" w:rsidTr="00672AA9">
              <w:trPr>
                <w:trHeight w:val="255"/>
                <w:jc w:val="center"/>
              </w:trPr>
              <w:tc>
                <w:tcPr>
                  <w:tcW w:w="2640" w:type="dxa"/>
                  <w:gridSpan w:val="2"/>
                </w:tcPr>
                <w:p w:rsidR="00D63AAC" w:rsidRPr="00EF414D" w:rsidRDefault="00D63AAC" w:rsidP="008F24ED">
                  <w:pPr>
                    <w:jc w:val="center"/>
                    <w:rPr>
                      <w:b/>
                      <w:bCs/>
                      <w:sz w:val="20"/>
                      <w:szCs w:val="20"/>
                      <w:lang w:eastAsia="ru-RU"/>
                    </w:rPr>
                  </w:pPr>
                  <w:r w:rsidRPr="00EF414D">
                    <w:rPr>
                      <w:b/>
                      <w:bCs/>
                      <w:sz w:val="20"/>
                      <w:szCs w:val="20"/>
                      <w:lang w:eastAsia="ru-RU"/>
                    </w:rPr>
                    <w:t>Twofold decomposition</w:t>
                  </w:r>
                </w:p>
              </w:tc>
            </w:tr>
            <w:tr w:rsidR="00D63AAC" w:rsidRPr="00EF414D" w:rsidTr="00672AA9">
              <w:trPr>
                <w:trHeight w:val="255"/>
                <w:jc w:val="center"/>
              </w:trPr>
              <w:tc>
                <w:tcPr>
                  <w:tcW w:w="1464" w:type="dxa"/>
                  <w:noWrap/>
                  <w:vAlign w:val="bottom"/>
                </w:tcPr>
                <w:p w:rsidR="00D63AAC" w:rsidRPr="00EF414D" w:rsidRDefault="00D63AAC" w:rsidP="008F24ED">
                  <w:pPr>
                    <w:rPr>
                      <w:sz w:val="20"/>
                      <w:szCs w:val="20"/>
                      <w:lang w:eastAsia="ru-RU"/>
                    </w:rPr>
                  </w:pPr>
                  <w:r w:rsidRPr="00EF414D">
                    <w:rPr>
                      <w:sz w:val="20"/>
                      <w:szCs w:val="20"/>
                      <w:lang w:eastAsia="ru-RU"/>
                    </w:rPr>
                    <w:t>Explained</w:t>
                  </w:r>
                </w:p>
              </w:tc>
              <w:tc>
                <w:tcPr>
                  <w:tcW w:w="1176" w:type="dxa"/>
                  <w:noWrap/>
                  <w:vAlign w:val="bottom"/>
                </w:tcPr>
                <w:p w:rsidR="00D63AAC" w:rsidRPr="00EF414D" w:rsidRDefault="00D63AAC" w:rsidP="008F24ED">
                  <w:pPr>
                    <w:jc w:val="center"/>
                    <w:rPr>
                      <w:sz w:val="20"/>
                      <w:szCs w:val="20"/>
                      <w:lang w:eastAsia="ru-RU"/>
                    </w:rPr>
                  </w:pPr>
                  <w:r w:rsidRPr="00EF414D">
                    <w:rPr>
                      <w:sz w:val="20"/>
                      <w:szCs w:val="20"/>
                      <w:lang w:eastAsia="ru-RU"/>
                    </w:rPr>
                    <w:t>1</w:t>
                  </w:r>
                </w:p>
              </w:tc>
            </w:tr>
            <w:tr w:rsidR="00D63AAC" w:rsidRPr="00EF414D" w:rsidTr="00672AA9">
              <w:trPr>
                <w:trHeight w:val="255"/>
                <w:jc w:val="center"/>
              </w:trPr>
              <w:tc>
                <w:tcPr>
                  <w:tcW w:w="1464" w:type="dxa"/>
                  <w:noWrap/>
                  <w:vAlign w:val="bottom"/>
                </w:tcPr>
                <w:p w:rsidR="00D63AAC" w:rsidRPr="00EF414D" w:rsidRDefault="00D63AAC" w:rsidP="008F24ED">
                  <w:pPr>
                    <w:rPr>
                      <w:sz w:val="20"/>
                      <w:szCs w:val="20"/>
                      <w:lang w:eastAsia="ru-RU"/>
                    </w:rPr>
                  </w:pPr>
                  <w:r w:rsidRPr="00EF414D">
                    <w:rPr>
                      <w:sz w:val="20"/>
                      <w:szCs w:val="20"/>
                      <w:lang w:eastAsia="ru-RU"/>
                    </w:rPr>
                    <w:t>Unexplained</w:t>
                  </w:r>
                </w:p>
              </w:tc>
              <w:tc>
                <w:tcPr>
                  <w:tcW w:w="1176" w:type="dxa"/>
                  <w:noWrap/>
                  <w:vAlign w:val="bottom"/>
                </w:tcPr>
                <w:p w:rsidR="00D63AAC" w:rsidRPr="00EF414D" w:rsidRDefault="00D63AAC" w:rsidP="008F24ED">
                  <w:pPr>
                    <w:jc w:val="center"/>
                    <w:rPr>
                      <w:sz w:val="20"/>
                      <w:szCs w:val="20"/>
                      <w:lang w:eastAsia="ru-RU"/>
                    </w:rPr>
                  </w:pPr>
                  <w:r w:rsidRPr="00EF414D">
                    <w:rPr>
                      <w:sz w:val="20"/>
                      <w:szCs w:val="20"/>
                      <w:lang w:eastAsia="ru-RU"/>
                    </w:rPr>
                    <w:t>29***</w:t>
                  </w:r>
                </w:p>
              </w:tc>
            </w:tr>
          </w:tbl>
          <w:p w:rsidR="00D63AAC" w:rsidRPr="00EF414D" w:rsidRDefault="00D63AAC" w:rsidP="008F24ED">
            <w:pPr>
              <w:rPr>
                <w:sz w:val="20"/>
                <w:szCs w:val="20"/>
              </w:rPr>
            </w:pPr>
          </w:p>
        </w:tc>
        <w:tc>
          <w:tcPr>
            <w:tcW w:w="2500" w:type="pct"/>
            <w:tcBorders>
              <w:top w:val="single" w:sz="4" w:space="0" w:color="4F81BD"/>
              <w:bottom w:val="single" w:sz="4" w:space="0" w:color="auto"/>
            </w:tcBorders>
          </w:tcPr>
          <w:tbl>
            <w:tblPr>
              <w:tblW w:w="2740" w:type="dxa"/>
              <w:tblLook w:val="0000" w:firstRow="0" w:lastRow="0" w:firstColumn="0" w:lastColumn="0" w:noHBand="0" w:noVBand="0"/>
            </w:tblPr>
            <w:tblGrid>
              <w:gridCol w:w="1780"/>
              <w:gridCol w:w="960"/>
            </w:tblGrid>
            <w:tr w:rsidR="00D63AAC" w:rsidRPr="00EF414D" w:rsidTr="00672AA9">
              <w:trPr>
                <w:trHeight w:val="255"/>
              </w:trPr>
              <w:tc>
                <w:tcPr>
                  <w:tcW w:w="1780" w:type="dxa"/>
                  <w:noWrap/>
                  <w:vAlign w:val="bottom"/>
                </w:tcPr>
                <w:p w:rsidR="00D63AAC" w:rsidRPr="00EF414D" w:rsidRDefault="00D63AAC" w:rsidP="008F24ED">
                  <w:pPr>
                    <w:rPr>
                      <w:rFonts w:cs="Arial CYR"/>
                      <w:b/>
                      <w:bCs/>
                      <w:sz w:val="20"/>
                      <w:szCs w:val="20"/>
                      <w:lang w:eastAsia="ru-RU"/>
                    </w:rPr>
                  </w:pPr>
                  <w:r w:rsidRPr="00EF414D">
                    <w:rPr>
                      <w:rFonts w:cs="Arial CYR"/>
                      <w:b/>
                      <w:bCs/>
                      <w:sz w:val="20"/>
                      <w:szCs w:val="20"/>
                      <w:lang w:eastAsia="ru-RU"/>
                    </w:rPr>
                    <w:t>Gap</w:t>
                  </w:r>
                </w:p>
              </w:tc>
              <w:tc>
                <w:tcPr>
                  <w:tcW w:w="960" w:type="dxa"/>
                  <w:noWrap/>
                  <w:vAlign w:val="bottom"/>
                </w:tcPr>
                <w:p w:rsidR="00D63AAC" w:rsidRPr="00EF414D" w:rsidRDefault="00D63AAC" w:rsidP="008F24ED">
                  <w:pPr>
                    <w:jc w:val="center"/>
                    <w:rPr>
                      <w:rFonts w:cs="Arial CYR"/>
                      <w:b/>
                      <w:bCs/>
                      <w:sz w:val="20"/>
                      <w:szCs w:val="20"/>
                      <w:lang w:eastAsia="ru-RU"/>
                    </w:rPr>
                  </w:pPr>
                  <w:r w:rsidRPr="00EF414D">
                    <w:rPr>
                      <w:rFonts w:cs="Arial CYR"/>
                      <w:b/>
                      <w:bCs/>
                      <w:sz w:val="20"/>
                      <w:szCs w:val="20"/>
                      <w:lang w:eastAsia="ru-RU"/>
                    </w:rPr>
                    <w:t>100</w:t>
                  </w:r>
                </w:p>
              </w:tc>
            </w:tr>
            <w:tr w:rsidR="00D63AAC" w:rsidRPr="00EF414D" w:rsidTr="00672AA9">
              <w:trPr>
                <w:trHeight w:val="255"/>
              </w:trPr>
              <w:tc>
                <w:tcPr>
                  <w:tcW w:w="1780" w:type="dxa"/>
                  <w:noWrap/>
                  <w:vAlign w:val="bottom"/>
                </w:tcPr>
                <w:p w:rsidR="00D63AAC" w:rsidRPr="00EF414D" w:rsidRDefault="00D63AAC" w:rsidP="008F24ED">
                  <w:pPr>
                    <w:rPr>
                      <w:rFonts w:cs="Arial CYR"/>
                      <w:b/>
                      <w:bCs/>
                      <w:sz w:val="20"/>
                      <w:szCs w:val="20"/>
                      <w:lang w:eastAsia="ru-RU"/>
                    </w:rPr>
                  </w:pPr>
                  <w:r w:rsidRPr="00EF414D">
                    <w:rPr>
                      <w:rFonts w:cs="Arial CYR"/>
                      <w:b/>
                      <w:bCs/>
                      <w:sz w:val="20"/>
                      <w:szCs w:val="20"/>
                      <w:lang w:eastAsia="ru-RU"/>
                    </w:rPr>
                    <w:t>Explained</w:t>
                  </w:r>
                </w:p>
              </w:tc>
              <w:tc>
                <w:tcPr>
                  <w:tcW w:w="960" w:type="dxa"/>
                  <w:noWrap/>
                  <w:vAlign w:val="bottom"/>
                </w:tcPr>
                <w:p w:rsidR="00D63AAC" w:rsidRPr="00EF414D" w:rsidRDefault="00D63AAC" w:rsidP="008F24ED">
                  <w:pPr>
                    <w:jc w:val="center"/>
                    <w:rPr>
                      <w:rFonts w:cs="Arial CYR"/>
                      <w:b/>
                      <w:bCs/>
                      <w:sz w:val="20"/>
                      <w:szCs w:val="20"/>
                      <w:lang w:eastAsia="ru-RU"/>
                    </w:rPr>
                  </w:pPr>
                  <w:r w:rsidRPr="00EF414D">
                    <w:rPr>
                      <w:rFonts w:cs="Arial CYR"/>
                      <w:b/>
                      <w:bCs/>
                      <w:sz w:val="20"/>
                      <w:szCs w:val="20"/>
                      <w:lang w:eastAsia="ru-RU"/>
                    </w:rPr>
                    <w:t>3</w:t>
                  </w:r>
                </w:p>
              </w:tc>
            </w:tr>
            <w:tr w:rsidR="00D63AAC" w:rsidRPr="00EF414D" w:rsidTr="00672AA9">
              <w:trPr>
                <w:trHeight w:val="255"/>
              </w:trPr>
              <w:tc>
                <w:tcPr>
                  <w:tcW w:w="1780" w:type="dxa"/>
                  <w:noWrap/>
                  <w:vAlign w:val="bottom"/>
                </w:tcPr>
                <w:p w:rsidR="00D63AAC" w:rsidRPr="00EF414D" w:rsidRDefault="00D63AAC" w:rsidP="008F24ED">
                  <w:pPr>
                    <w:rPr>
                      <w:rFonts w:cs="Arial CYR"/>
                      <w:sz w:val="20"/>
                      <w:szCs w:val="20"/>
                      <w:lang w:eastAsia="ru-RU"/>
                    </w:rPr>
                  </w:pPr>
                  <w:r w:rsidRPr="00EF414D">
                    <w:rPr>
                      <w:rFonts w:cs="Arial CYR"/>
                      <w:sz w:val="20"/>
                      <w:szCs w:val="20"/>
                      <w:lang w:eastAsia="ru-RU"/>
                    </w:rPr>
                    <w:t xml:space="preserve">  Experience</w:t>
                  </w:r>
                </w:p>
              </w:tc>
              <w:tc>
                <w:tcPr>
                  <w:tcW w:w="960" w:type="dxa"/>
                  <w:noWrap/>
                  <w:vAlign w:val="bottom"/>
                </w:tcPr>
                <w:p w:rsidR="00D63AAC" w:rsidRPr="00EF414D" w:rsidRDefault="00D63AAC" w:rsidP="008F24ED">
                  <w:pPr>
                    <w:jc w:val="center"/>
                    <w:rPr>
                      <w:rFonts w:cs="Arial CYR"/>
                      <w:sz w:val="20"/>
                      <w:szCs w:val="20"/>
                      <w:lang w:eastAsia="ru-RU"/>
                    </w:rPr>
                  </w:pPr>
                  <w:r w:rsidRPr="00EF414D">
                    <w:rPr>
                      <w:rFonts w:cs="Arial CYR"/>
                      <w:sz w:val="20"/>
                      <w:szCs w:val="20"/>
                      <w:lang w:eastAsia="ru-RU"/>
                    </w:rPr>
                    <w:t>-7</w:t>
                  </w:r>
                </w:p>
              </w:tc>
            </w:tr>
            <w:tr w:rsidR="00D63AAC" w:rsidRPr="00EF414D" w:rsidTr="00672AA9">
              <w:trPr>
                <w:trHeight w:val="255"/>
              </w:trPr>
              <w:tc>
                <w:tcPr>
                  <w:tcW w:w="1780" w:type="dxa"/>
                  <w:noWrap/>
                  <w:vAlign w:val="bottom"/>
                </w:tcPr>
                <w:p w:rsidR="00D63AAC" w:rsidRPr="00EF414D" w:rsidRDefault="00D63AAC" w:rsidP="008F24ED">
                  <w:pPr>
                    <w:rPr>
                      <w:rFonts w:cs="Arial CYR"/>
                      <w:sz w:val="20"/>
                      <w:szCs w:val="20"/>
                      <w:lang w:eastAsia="ru-RU"/>
                    </w:rPr>
                  </w:pPr>
                  <w:r w:rsidRPr="00EF414D">
                    <w:rPr>
                      <w:rFonts w:cs="Arial CYR"/>
                      <w:sz w:val="20"/>
                      <w:szCs w:val="20"/>
                      <w:lang w:eastAsia="ru-RU"/>
                    </w:rPr>
                    <w:t xml:space="preserve">  Education</w:t>
                  </w:r>
                </w:p>
              </w:tc>
              <w:tc>
                <w:tcPr>
                  <w:tcW w:w="960" w:type="dxa"/>
                  <w:noWrap/>
                  <w:vAlign w:val="bottom"/>
                </w:tcPr>
                <w:p w:rsidR="00D63AAC" w:rsidRPr="00EF414D" w:rsidRDefault="00D63AAC" w:rsidP="008F24ED">
                  <w:pPr>
                    <w:jc w:val="center"/>
                    <w:rPr>
                      <w:rFonts w:cs="Arial CYR"/>
                      <w:sz w:val="20"/>
                      <w:szCs w:val="20"/>
                      <w:lang w:eastAsia="ru-RU"/>
                    </w:rPr>
                  </w:pPr>
                  <w:r w:rsidRPr="00EF414D">
                    <w:rPr>
                      <w:rFonts w:cs="Arial CYR"/>
                      <w:sz w:val="20"/>
                      <w:szCs w:val="20"/>
                      <w:lang w:eastAsia="ru-RU"/>
                    </w:rPr>
                    <w:t>-15</w:t>
                  </w:r>
                </w:p>
              </w:tc>
            </w:tr>
            <w:tr w:rsidR="00D63AAC" w:rsidRPr="00EF414D" w:rsidTr="00672AA9">
              <w:trPr>
                <w:trHeight w:val="255"/>
              </w:trPr>
              <w:tc>
                <w:tcPr>
                  <w:tcW w:w="1780" w:type="dxa"/>
                  <w:noWrap/>
                  <w:vAlign w:val="bottom"/>
                </w:tcPr>
                <w:p w:rsidR="00D63AAC" w:rsidRPr="00EF414D" w:rsidRDefault="00D63AAC" w:rsidP="008F24ED">
                  <w:pPr>
                    <w:rPr>
                      <w:rFonts w:cs="Arial CYR"/>
                      <w:sz w:val="20"/>
                      <w:szCs w:val="20"/>
                      <w:lang w:eastAsia="ru-RU"/>
                    </w:rPr>
                  </w:pPr>
                  <w:r w:rsidRPr="00EF414D">
                    <w:rPr>
                      <w:rFonts w:cs="Arial CYR"/>
                      <w:sz w:val="20"/>
                      <w:szCs w:val="20"/>
                      <w:lang w:eastAsia="ru-RU"/>
                    </w:rPr>
                    <w:t xml:space="preserve">  Region</w:t>
                  </w:r>
                </w:p>
              </w:tc>
              <w:tc>
                <w:tcPr>
                  <w:tcW w:w="960" w:type="dxa"/>
                  <w:noWrap/>
                  <w:vAlign w:val="bottom"/>
                </w:tcPr>
                <w:p w:rsidR="00D63AAC" w:rsidRPr="00EF414D" w:rsidRDefault="00D63AAC" w:rsidP="008F24ED">
                  <w:pPr>
                    <w:jc w:val="center"/>
                    <w:rPr>
                      <w:rFonts w:cs="Arial CYR"/>
                      <w:sz w:val="20"/>
                      <w:szCs w:val="20"/>
                      <w:lang w:eastAsia="ru-RU"/>
                    </w:rPr>
                  </w:pPr>
                  <w:r w:rsidRPr="00EF414D">
                    <w:rPr>
                      <w:rFonts w:cs="Arial CYR"/>
                      <w:sz w:val="20"/>
                      <w:szCs w:val="20"/>
                      <w:lang w:eastAsia="ru-RU"/>
                    </w:rPr>
                    <w:t>-2</w:t>
                  </w:r>
                </w:p>
              </w:tc>
            </w:tr>
            <w:tr w:rsidR="00D63AAC" w:rsidRPr="00EF414D" w:rsidTr="00672AA9">
              <w:trPr>
                <w:trHeight w:val="255"/>
              </w:trPr>
              <w:tc>
                <w:tcPr>
                  <w:tcW w:w="1780" w:type="dxa"/>
                  <w:noWrap/>
                  <w:vAlign w:val="bottom"/>
                </w:tcPr>
                <w:p w:rsidR="00D63AAC" w:rsidRPr="00EF414D" w:rsidRDefault="00D63AAC" w:rsidP="008F24ED">
                  <w:pPr>
                    <w:rPr>
                      <w:rFonts w:cs="Arial CYR"/>
                      <w:sz w:val="20"/>
                      <w:szCs w:val="20"/>
                      <w:lang w:eastAsia="ru-RU"/>
                    </w:rPr>
                  </w:pPr>
                  <w:r w:rsidRPr="00EF414D">
                    <w:rPr>
                      <w:rFonts w:cs="Arial CYR"/>
                      <w:sz w:val="20"/>
                      <w:szCs w:val="20"/>
                      <w:lang w:eastAsia="ru-RU"/>
                    </w:rPr>
                    <w:t xml:space="preserve">  Sector</w:t>
                  </w:r>
                </w:p>
              </w:tc>
              <w:tc>
                <w:tcPr>
                  <w:tcW w:w="960" w:type="dxa"/>
                  <w:noWrap/>
                  <w:vAlign w:val="bottom"/>
                </w:tcPr>
                <w:p w:rsidR="00D63AAC" w:rsidRPr="00EF414D" w:rsidRDefault="00D63AAC" w:rsidP="008F24ED">
                  <w:pPr>
                    <w:jc w:val="center"/>
                    <w:rPr>
                      <w:rFonts w:cs="Arial CYR"/>
                      <w:sz w:val="20"/>
                      <w:szCs w:val="20"/>
                      <w:lang w:eastAsia="ru-RU"/>
                    </w:rPr>
                  </w:pPr>
                  <w:r w:rsidRPr="00EF414D">
                    <w:rPr>
                      <w:rFonts w:cs="Arial CYR"/>
                      <w:sz w:val="20"/>
                      <w:szCs w:val="20"/>
                      <w:lang w:eastAsia="ru-RU"/>
                    </w:rPr>
                    <w:t>27</w:t>
                  </w:r>
                </w:p>
              </w:tc>
            </w:tr>
            <w:tr w:rsidR="00D63AAC" w:rsidRPr="00EF414D" w:rsidTr="00672AA9">
              <w:trPr>
                <w:trHeight w:val="255"/>
              </w:trPr>
              <w:tc>
                <w:tcPr>
                  <w:tcW w:w="1780" w:type="dxa"/>
                  <w:noWrap/>
                  <w:vAlign w:val="bottom"/>
                </w:tcPr>
                <w:p w:rsidR="00D63AAC" w:rsidRPr="00EF414D" w:rsidRDefault="00D63AAC" w:rsidP="008F24ED">
                  <w:pPr>
                    <w:rPr>
                      <w:rFonts w:cs="Arial CYR"/>
                      <w:b/>
                      <w:bCs/>
                      <w:sz w:val="20"/>
                      <w:szCs w:val="20"/>
                      <w:lang w:eastAsia="ru-RU"/>
                    </w:rPr>
                  </w:pPr>
                  <w:r w:rsidRPr="00EF414D">
                    <w:rPr>
                      <w:rFonts w:cs="Arial CYR"/>
                      <w:b/>
                      <w:bCs/>
                      <w:sz w:val="20"/>
                      <w:szCs w:val="20"/>
                      <w:lang w:eastAsia="ru-RU"/>
                    </w:rPr>
                    <w:t>Unexplained</w:t>
                  </w:r>
                </w:p>
              </w:tc>
              <w:tc>
                <w:tcPr>
                  <w:tcW w:w="960" w:type="dxa"/>
                  <w:noWrap/>
                  <w:vAlign w:val="bottom"/>
                </w:tcPr>
                <w:p w:rsidR="00D63AAC" w:rsidRPr="00EF414D" w:rsidRDefault="00D63AAC" w:rsidP="008F24ED">
                  <w:pPr>
                    <w:jc w:val="center"/>
                    <w:rPr>
                      <w:rFonts w:cs="Arial CYR"/>
                      <w:b/>
                      <w:bCs/>
                      <w:sz w:val="20"/>
                      <w:szCs w:val="20"/>
                      <w:lang w:eastAsia="ru-RU"/>
                    </w:rPr>
                  </w:pPr>
                  <w:r w:rsidRPr="00EF414D">
                    <w:rPr>
                      <w:rFonts w:cs="Arial CYR"/>
                      <w:b/>
                      <w:bCs/>
                      <w:sz w:val="20"/>
                      <w:szCs w:val="20"/>
                      <w:lang w:eastAsia="ru-RU"/>
                    </w:rPr>
                    <w:t>97</w:t>
                  </w:r>
                </w:p>
              </w:tc>
            </w:tr>
            <w:tr w:rsidR="00D63AAC" w:rsidRPr="00EF414D" w:rsidTr="00672AA9">
              <w:trPr>
                <w:trHeight w:val="255"/>
              </w:trPr>
              <w:tc>
                <w:tcPr>
                  <w:tcW w:w="1780" w:type="dxa"/>
                  <w:noWrap/>
                  <w:vAlign w:val="bottom"/>
                </w:tcPr>
                <w:p w:rsidR="00D63AAC" w:rsidRPr="00EF414D" w:rsidRDefault="00D63AAC" w:rsidP="008F24ED">
                  <w:pPr>
                    <w:rPr>
                      <w:rFonts w:cs="Arial CYR"/>
                      <w:sz w:val="20"/>
                      <w:szCs w:val="20"/>
                      <w:lang w:eastAsia="ru-RU"/>
                    </w:rPr>
                  </w:pPr>
                  <w:r w:rsidRPr="00EF414D">
                    <w:rPr>
                      <w:rFonts w:cs="Arial CYR"/>
                      <w:sz w:val="20"/>
                      <w:szCs w:val="20"/>
                      <w:lang w:eastAsia="ru-RU"/>
                    </w:rPr>
                    <w:t xml:space="preserve">  Experience</w:t>
                  </w:r>
                </w:p>
              </w:tc>
              <w:tc>
                <w:tcPr>
                  <w:tcW w:w="960" w:type="dxa"/>
                  <w:noWrap/>
                  <w:vAlign w:val="bottom"/>
                </w:tcPr>
                <w:p w:rsidR="00D63AAC" w:rsidRPr="00EF414D" w:rsidRDefault="00D63AAC" w:rsidP="008F24ED">
                  <w:pPr>
                    <w:jc w:val="center"/>
                    <w:rPr>
                      <w:rFonts w:cs="Arial CYR"/>
                      <w:sz w:val="20"/>
                      <w:szCs w:val="20"/>
                      <w:lang w:eastAsia="ru-RU"/>
                    </w:rPr>
                  </w:pPr>
                  <w:r w:rsidRPr="00EF414D">
                    <w:rPr>
                      <w:rFonts w:cs="Arial CYR"/>
                      <w:sz w:val="20"/>
                      <w:szCs w:val="20"/>
                      <w:lang w:eastAsia="ru-RU"/>
                    </w:rPr>
                    <w:t>-6</w:t>
                  </w:r>
                </w:p>
              </w:tc>
            </w:tr>
            <w:tr w:rsidR="00D63AAC" w:rsidRPr="00EF414D" w:rsidTr="00672AA9">
              <w:trPr>
                <w:trHeight w:val="255"/>
              </w:trPr>
              <w:tc>
                <w:tcPr>
                  <w:tcW w:w="1780" w:type="dxa"/>
                  <w:noWrap/>
                  <w:vAlign w:val="bottom"/>
                </w:tcPr>
                <w:p w:rsidR="00D63AAC" w:rsidRPr="00EF414D" w:rsidRDefault="00D63AAC" w:rsidP="008F24ED">
                  <w:pPr>
                    <w:rPr>
                      <w:rFonts w:cs="Arial CYR"/>
                      <w:sz w:val="20"/>
                      <w:szCs w:val="20"/>
                      <w:lang w:eastAsia="ru-RU"/>
                    </w:rPr>
                  </w:pPr>
                  <w:r w:rsidRPr="00EF414D">
                    <w:rPr>
                      <w:rFonts w:cs="Arial CYR"/>
                      <w:sz w:val="20"/>
                      <w:szCs w:val="20"/>
                      <w:lang w:eastAsia="ru-RU"/>
                    </w:rPr>
                    <w:t xml:space="preserve">  Education</w:t>
                  </w:r>
                </w:p>
              </w:tc>
              <w:tc>
                <w:tcPr>
                  <w:tcW w:w="960" w:type="dxa"/>
                  <w:noWrap/>
                  <w:vAlign w:val="bottom"/>
                </w:tcPr>
                <w:p w:rsidR="00D63AAC" w:rsidRPr="00EF414D" w:rsidRDefault="00D63AAC" w:rsidP="008F24ED">
                  <w:pPr>
                    <w:jc w:val="center"/>
                    <w:rPr>
                      <w:rFonts w:cs="Arial CYR"/>
                      <w:sz w:val="20"/>
                      <w:szCs w:val="20"/>
                      <w:lang w:eastAsia="ru-RU"/>
                    </w:rPr>
                  </w:pPr>
                  <w:r w:rsidRPr="00EF414D">
                    <w:rPr>
                      <w:rFonts w:cs="Arial CYR"/>
                      <w:sz w:val="20"/>
                      <w:szCs w:val="20"/>
                      <w:lang w:eastAsia="ru-RU"/>
                    </w:rPr>
                    <w:t>-65</w:t>
                  </w:r>
                </w:p>
              </w:tc>
            </w:tr>
            <w:tr w:rsidR="00D63AAC" w:rsidRPr="00EF414D" w:rsidTr="00672AA9">
              <w:trPr>
                <w:trHeight w:val="255"/>
              </w:trPr>
              <w:tc>
                <w:tcPr>
                  <w:tcW w:w="1780" w:type="dxa"/>
                  <w:noWrap/>
                  <w:vAlign w:val="bottom"/>
                </w:tcPr>
                <w:p w:rsidR="00D63AAC" w:rsidRPr="00EF414D" w:rsidRDefault="00D63AAC" w:rsidP="008F24ED">
                  <w:pPr>
                    <w:rPr>
                      <w:rFonts w:cs="Arial CYR"/>
                      <w:sz w:val="20"/>
                      <w:szCs w:val="20"/>
                      <w:lang w:eastAsia="ru-RU"/>
                    </w:rPr>
                  </w:pPr>
                  <w:r w:rsidRPr="00EF414D">
                    <w:rPr>
                      <w:rFonts w:cs="Arial CYR"/>
                      <w:sz w:val="20"/>
                      <w:szCs w:val="20"/>
                      <w:lang w:eastAsia="ru-RU"/>
                    </w:rPr>
                    <w:t xml:space="preserve">  Region</w:t>
                  </w:r>
                </w:p>
              </w:tc>
              <w:tc>
                <w:tcPr>
                  <w:tcW w:w="960" w:type="dxa"/>
                  <w:noWrap/>
                  <w:vAlign w:val="bottom"/>
                </w:tcPr>
                <w:p w:rsidR="00D63AAC" w:rsidRPr="00EF414D" w:rsidRDefault="00D63AAC" w:rsidP="008F24ED">
                  <w:pPr>
                    <w:jc w:val="center"/>
                    <w:rPr>
                      <w:rFonts w:cs="Arial CYR"/>
                      <w:sz w:val="20"/>
                      <w:szCs w:val="20"/>
                      <w:lang w:eastAsia="ru-RU"/>
                    </w:rPr>
                  </w:pPr>
                  <w:r w:rsidRPr="00EF414D">
                    <w:rPr>
                      <w:rFonts w:cs="Arial CYR"/>
                      <w:sz w:val="20"/>
                      <w:szCs w:val="20"/>
                      <w:lang w:eastAsia="ru-RU"/>
                    </w:rPr>
                    <w:t>9</w:t>
                  </w:r>
                </w:p>
              </w:tc>
            </w:tr>
            <w:tr w:rsidR="00D63AAC" w:rsidRPr="00EF414D" w:rsidTr="00672AA9">
              <w:trPr>
                <w:trHeight w:val="255"/>
              </w:trPr>
              <w:tc>
                <w:tcPr>
                  <w:tcW w:w="1780" w:type="dxa"/>
                  <w:noWrap/>
                  <w:vAlign w:val="bottom"/>
                </w:tcPr>
                <w:p w:rsidR="00D63AAC" w:rsidRPr="00EF414D" w:rsidRDefault="00D63AAC" w:rsidP="008F24ED">
                  <w:pPr>
                    <w:rPr>
                      <w:rFonts w:cs="Arial CYR"/>
                      <w:sz w:val="20"/>
                      <w:szCs w:val="20"/>
                      <w:lang w:eastAsia="ru-RU"/>
                    </w:rPr>
                  </w:pPr>
                  <w:r w:rsidRPr="00EF414D">
                    <w:rPr>
                      <w:rFonts w:cs="Arial CYR"/>
                      <w:sz w:val="20"/>
                      <w:szCs w:val="20"/>
                      <w:lang w:eastAsia="ru-RU"/>
                    </w:rPr>
                    <w:t xml:space="preserve">  Sector</w:t>
                  </w:r>
                </w:p>
              </w:tc>
              <w:tc>
                <w:tcPr>
                  <w:tcW w:w="960" w:type="dxa"/>
                  <w:noWrap/>
                  <w:vAlign w:val="bottom"/>
                </w:tcPr>
                <w:p w:rsidR="00D63AAC" w:rsidRPr="00EF414D" w:rsidRDefault="00D63AAC" w:rsidP="008F24ED">
                  <w:pPr>
                    <w:jc w:val="center"/>
                    <w:rPr>
                      <w:rFonts w:cs="Arial CYR"/>
                      <w:sz w:val="20"/>
                      <w:szCs w:val="20"/>
                      <w:lang w:eastAsia="ru-RU"/>
                    </w:rPr>
                  </w:pPr>
                  <w:r w:rsidRPr="00EF414D">
                    <w:rPr>
                      <w:rFonts w:cs="Arial CYR"/>
                      <w:sz w:val="20"/>
                      <w:szCs w:val="20"/>
                      <w:lang w:eastAsia="ru-RU"/>
                    </w:rPr>
                    <w:t>9</w:t>
                  </w:r>
                </w:p>
              </w:tc>
            </w:tr>
            <w:tr w:rsidR="00D63AAC" w:rsidRPr="00EF414D" w:rsidTr="00672AA9">
              <w:trPr>
                <w:trHeight w:val="255"/>
              </w:trPr>
              <w:tc>
                <w:tcPr>
                  <w:tcW w:w="1780" w:type="dxa"/>
                  <w:noWrap/>
                  <w:vAlign w:val="bottom"/>
                </w:tcPr>
                <w:p w:rsidR="00D63AAC" w:rsidRPr="00EF414D" w:rsidRDefault="00D63AAC" w:rsidP="008F24ED">
                  <w:pPr>
                    <w:rPr>
                      <w:rFonts w:cs="Arial CYR"/>
                      <w:sz w:val="20"/>
                      <w:szCs w:val="20"/>
                      <w:lang w:eastAsia="ru-RU"/>
                    </w:rPr>
                  </w:pPr>
                  <w:r w:rsidRPr="00EF414D">
                    <w:rPr>
                      <w:rFonts w:cs="Arial CYR"/>
                      <w:sz w:val="20"/>
                      <w:szCs w:val="20"/>
                      <w:lang w:eastAsia="ru-RU"/>
                    </w:rPr>
                    <w:t xml:space="preserve">  Constant</w:t>
                  </w:r>
                </w:p>
              </w:tc>
              <w:tc>
                <w:tcPr>
                  <w:tcW w:w="960" w:type="dxa"/>
                  <w:noWrap/>
                  <w:vAlign w:val="bottom"/>
                </w:tcPr>
                <w:p w:rsidR="00D63AAC" w:rsidRPr="00EF414D" w:rsidRDefault="00D63AAC" w:rsidP="008F24ED">
                  <w:pPr>
                    <w:jc w:val="center"/>
                    <w:rPr>
                      <w:rFonts w:cs="Arial CYR"/>
                      <w:sz w:val="20"/>
                      <w:szCs w:val="20"/>
                      <w:lang w:eastAsia="ru-RU"/>
                    </w:rPr>
                  </w:pPr>
                  <w:r w:rsidRPr="00EF414D">
                    <w:rPr>
                      <w:rFonts w:cs="Arial CYR"/>
                      <w:sz w:val="20"/>
                      <w:szCs w:val="20"/>
                      <w:lang w:eastAsia="ru-RU"/>
                    </w:rPr>
                    <w:t>150</w:t>
                  </w:r>
                </w:p>
              </w:tc>
            </w:tr>
          </w:tbl>
          <w:p w:rsidR="00D63AAC" w:rsidRPr="00EF414D" w:rsidRDefault="00D63AAC" w:rsidP="008F24ED">
            <w:pPr>
              <w:rPr>
                <w:sz w:val="20"/>
                <w:szCs w:val="20"/>
              </w:rPr>
            </w:pPr>
          </w:p>
        </w:tc>
      </w:tr>
      <w:tr w:rsidR="00D63AAC" w:rsidRPr="00465AEC" w:rsidTr="00EF414D">
        <w:tc>
          <w:tcPr>
            <w:tcW w:w="5000" w:type="pct"/>
            <w:gridSpan w:val="2"/>
            <w:tcBorders>
              <w:top w:val="single" w:sz="4" w:space="0" w:color="auto"/>
              <w:bottom w:val="nil"/>
            </w:tcBorders>
          </w:tcPr>
          <w:p w:rsidR="00D63AAC" w:rsidRPr="00465AEC" w:rsidRDefault="00D63AAC" w:rsidP="008F24ED">
            <w:pPr>
              <w:rPr>
                <w:bCs/>
                <w:i/>
                <w:sz w:val="18"/>
                <w:szCs w:val="18"/>
                <w:lang w:eastAsia="ru-RU"/>
              </w:rPr>
            </w:pPr>
            <w:r w:rsidRPr="00465AEC">
              <w:rPr>
                <w:bCs/>
                <w:i/>
                <w:sz w:val="18"/>
                <w:szCs w:val="18"/>
                <w:lang w:eastAsia="ru-RU"/>
              </w:rPr>
              <w:t xml:space="preserve">Source: </w:t>
            </w:r>
            <w:r>
              <w:rPr>
                <w:bCs/>
                <w:sz w:val="18"/>
                <w:szCs w:val="18"/>
                <w:lang w:eastAsia="ru-RU"/>
              </w:rPr>
              <w:t>HLSS</w:t>
            </w:r>
            <w:r w:rsidRPr="00465AEC">
              <w:rPr>
                <w:bCs/>
                <w:sz w:val="18"/>
                <w:szCs w:val="18"/>
                <w:lang w:eastAsia="ru-RU"/>
              </w:rPr>
              <w:t xml:space="preserve">, World Bank staff estimation. </w:t>
            </w:r>
          </w:p>
          <w:p w:rsidR="00D63AAC" w:rsidRPr="00465AEC" w:rsidRDefault="00D63AAC" w:rsidP="008F24ED">
            <w:pPr>
              <w:rPr>
                <w:rFonts w:cs="Arial CYR"/>
                <w:b/>
                <w:bCs/>
                <w:sz w:val="18"/>
                <w:szCs w:val="18"/>
                <w:lang w:eastAsia="ru-RU"/>
              </w:rPr>
            </w:pPr>
            <w:r w:rsidRPr="00465AEC">
              <w:rPr>
                <w:bCs/>
                <w:i/>
                <w:sz w:val="18"/>
                <w:szCs w:val="18"/>
                <w:lang w:eastAsia="ru-RU"/>
              </w:rPr>
              <w:t>Note:</w:t>
            </w:r>
            <w:r w:rsidRPr="00465AEC">
              <w:rPr>
                <w:bCs/>
                <w:sz w:val="18"/>
                <w:szCs w:val="18"/>
                <w:lang w:eastAsia="ru-RU"/>
              </w:rPr>
              <w:t xml:space="preserve"> </w:t>
            </w:r>
            <w:r w:rsidRPr="00993231">
              <w:rPr>
                <w:bCs/>
                <w:sz w:val="18"/>
                <w:szCs w:val="18"/>
                <w:lang w:eastAsia="ru-RU"/>
              </w:rPr>
              <w:t xml:space="preserve">*** significant at 1%, ** significant at 5%, * significant at 10%. </w:t>
            </w:r>
            <w:r w:rsidRPr="00465AEC">
              <w:rPr>
                <w:bCs/>
                <w:sz w:val="18"/>
                <w:szCs w:val="18"/>
                <w:lang w:eastAsia="ru-RU"/>
              </w:rPr>
              <w:t>Explanatory variables include age, age square</w:t>
            </w:r>
            <w:r>
              <w:rPr>
                <w:bCs/>
                <w:sz w:val="18"/>
                <w:szCs w:val="18"/>
                <w:lang w:eastAsia="ru-RU"/>
              </w:rPr>
              <w:t>d</w:t>
            </w:r>
            <w:r w:rsidRPr="00465AEC">
              <w:rPr>
                <w:bCs/>
                <w:sz w:val="18"/>
                <w:szCs w:val="18"/>
                <w:lang w:eastAsia="ru-RU"/>
              </w:rPr>
              <w:t xml:space="preserve">, years of education, regional and sectoral dummies. </w:t>
            </w:r>
            <w:r>
              <w:rPr>
                <w:bCs/>
                <w:sz w:val="18"/>
                <w:szCs w:val="18"/>
                <w:lang w:eastAsia="ru-RU"/>
              </w:rPr>
              <w:t xml:space="preserve">Positive sign of components indicates increase of wage gap. </w:t>
            </w:r>
          </w:p>
        </w:tc>
      </w:tr>
    </w:tbl>
    <w:p w:rsidR="00D63AAC" w:rsidRDefault="00D63AAC" w:rsidP="00D63AAC">
      <w:pPr>
        <w:pStyle w:val="MainParawithChapter"/>
        <w:numPr>
          <w:ilvl w:val="0"/>
          <w:numId w:val="0"/>
        </w:numPr>
        <w:jc w:val="both"/>
        <w:rPr>
          <w:sz w:val="22"/>
          <w:szCs w:val="22"/>
        </w:rPr>
      </w:pPr>
    </w:p>
    <w:p w:rsidR="006F6430" w:rsidRPr="00BC75C6" w:rsidRDefault="006F6430" w:rsidP="00EF414D">
      <w:pPr>
        <w:pStyle w:val="Heading2"/>
        <w:numPr>
          <w:ilvl w:val="0"/>
          <w:numId w:val="46"/>
        </w:numPr>
        <w:spacing w:before="240"/>
        <w:ind w:left="0" w:firstLine="0"/>
        <w:jc w:val="center"/>
        <w:rPr>
          <w:rFonts w:ascii="Times New Roman Bold" w:hAnsi="Times New Roman Bold"/>
          <w:smallCaps/>
        </w:rPr>
      </w:pPr>
      <w:bookmarkStart w:id="65" w:name="_Toc383011592"/>
      <w:r w:rsidRPr="00BC75C6">
        <w:rPr>
          <w:rFonts w:ascii="Times New Roman Bold" w:hAnsi="Times New Roman Bold"/>
          <w:smallCaps/>
        </w:rPr>
        <w:t>Gender and poverty</w:t>
      </w:r>
      <w:bookmarkEnd w:id="65"/>
    </w:p>
    <w:p w:rsidR="006F6430" w:rsidRPr="00BC75C6" w:rsidRDefault="006F6430" w:rsidP="00BC75C6">
      <w:pPr>
        <w:pStyle w:val="Heading2"/>
        <w:rPr>
          <w:rFonts w:ascii="Times New Roman Bold" w:hAnsi="Times New Roman Bold"/>
          <w:smallCaps/>
        </w:rPr>
      </w:pPr>
    </w:p>
    <w:p w:rsidR="006F6430" w:rsidRDefault="006F6430" w:rsidP="00771B38">
      <w:pPr>
        <w:pStyle w:val="MainParawithChapter"/>
        <w:jc w:val="both"/>
        <w:rPr>
          <w:sz w:val="22"/>
          <w:szCs w:val="22"/>
        </w:rPr>
      </w:pPr>
      <w:r w:rsidRPr="006F6430">
        <w:rPr>
          <w:sz w:val="22"/>
          <w:szCs w:val="22"/>
        </w:rPr>
        <w:t xml:space="preserve">As a result of aging and higher male mortality, there are more female heads of households than male heads among elderly. As shown in Figure </w:t>
      </w:r>
      <w:r w:rsidR="00BB413C">
        <w:rPr>
          <w:sz w:val="22"/>
          <w:szCs w:val="22"/>
        </w:rPr>
        <w:t>3.11</w:t>
      </w:r>
      <w:r w:rsidRPr="006F6430">
        <w:rPr>
          <w:sz w:val="22"/>
          <w:szCs w:val="22"/>
        </w:rPr>
        <w:t xml:space="preserve">, the share of male heads of household drops from 46 percent in the population group aged 19-24 to 32 percent among population above 65. Women are more likely to be heads of households in single person and </w:t>
      </w:r>
      <w:r w:rsidR="008716BB" w:rsidRPr="006F6430">
        <w:rPr>
          <w:sz w:val="22"/>
          <w:szCs w:val="22"/>
        </w:rPr>
        <w:t>sing</w:t>
      </w:r>
      <w:r w:rsidR="008716BB">
        <w:rPr>
          <w:sz w:val="22"/>
          <w:szCs w:val="22"/>
        </w:rPr>
        <w:t>le</w:t>
      </w:r>
      <w:r w:rsidR="008716BB" w:rsidRPr="006F6430">
        <w:rPr>
          <w:sz w:val="22"/>
          <w:szCs w:val="22"/>
        </w:rPr>
        <w:t xml:space="preserve"> </w:t>
      </w:r>
      <w:r w:rsidRPr="006F6430">
        <w:rPr>
          <w:sz w:val="22"/>
          <w:szCs w:val="22"/>
        </w:rPr>
        <w:t>parent households across all age groups. Thus, about 90 percent of all single person and single parent households were headed by women for age groups from 25 years</w:t>
      </w:r>
      <w:r w:rsidR="00BB413C">
        <w:rPr>
          <w:sz w:val="22"/>
          <w:szCs w:val="22"/>
        </w:rPr>
        <w:t xml:space="preserve"> (Figure 3.12)</w:t>
      </w:r>
      <w:r w:rsidRPr="006F6430">
        <w:rPr>
          <w:sz w:val="22"/>
          <w:szCs w:val="22"/>
        </w:rPr>
        <w:t>.</w:t>
      </w:r>
    </w:p>
    <w:p w:rsidR="00672AA9" w:rsidRDefault="00672AA9" w:rsidP="00672AA9">
      <w:pPr>
        <w:pStyle w:val="MainParawithChapter"/>
        <w:numPr>
          <w:ilvl w:val="0"/>
          <w:numId w:val="0"/>
        </w:numPr>
        <w:jc w:val="both"/>
        <w:rPr>
          <w:sz w:val="22"/>
          <w:szCs w:val="22"/>
        </w:rPr>
      </w:pPr>
    </w:p>
    <w:tbl>
      <w:tblPr>
        <w:tblW w:w="0" w:type="auto"/>
        <w:tblBorders>
          <w:bottom w:val="single" w:sz="8" w:space="0" w:color="4F81BD"/>
        </w:tblBorders>
        <w:tblLook w:val="00A0" w:firstRow="1" w:lastRow="0" w:firstColumn="1" w:lastColumn="0" w:noHBand="0" w:noVBand="0"/>
      </w:tblPr>
      <w:tblGrid>
        <w:gridCol w:w="4338"/>
        <w:gridCol w:w="4518"/>
      </w:tblGrid>
      <w:tr w:rsidR="00816973" w:rsidRPr="00997957" w:rsidTr="00EF414D">
        <w:tc>
          <w:tcPr>
            <w:tcW w:w="4338" w:type="dxa"/>
            <w:tcBorders>
              <w:top w:val="nil"/>
              <w:left w:val="nil"/>
              <w:bottom w:val="single" w:sz="4" w:space="0" w:color="auto"/>
              <w:right w:val="nil"/>
            </w:tcBorders>
          </w:tcPr>
          <w:p w:rsidR="00816973" w:rsidRPr="00997957" w:rsidRDefault="009F5B52" w:rsidP="009F5B52">
            <w:pPr>
              <w:pStyle w:val="Caption"/>
              <w:jc w:val="both"/>
              <w:rPr>
                <w:noProof/>
                <w:sz w:val="20"/>
              </w:rPr>
            </w:pPr>
            <w:bookmarkStart w:id="66" w:name="_Toc351104647"/>
            <w:bookmarkStart w:id="67" w:name="_Toc383010224"/>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11</w:t>
            </w:r>
            <w:r w:rsidR="008A55B1">
              <w:rPr>
                <w:noProof/>
              </w:rPr>
              <w:fldChar w:fldCharType="end"/>
            </w:r>
            <w:r>
              <w:t>:</w:t>
            </w:r>
            <w:r w:rsidR="00816973" w:rsidRPr="00997957">
              <w:t xml:space="preserve"> Share of male and female headed households in population by age groups, %</w:t>
            </w:r>
            <w:bookmarkEnd w:id="66"/>
            <w:bookmarkEnd w:id="67"/>
          </w:p>
        </w:tc>
        <w:tc>
          <w:tcPr>
            <w:tcW w:w="4518" w:type="dxa"/>
            <w:tcBorders>
              <w:top w:val="nil"/>
              <w:left w:val="nil"/>
              <w:bottom w:val="single" w:sz="4" w:space="0" w:color="auto"/>
              <w:right w:val="nil"/>
            </w:tcBorders>
          </w:tcPr>
          <w:p w:rsidR="00816973" w:rsidRPr="00997957" w:rsidRDefault="000543E3" w:rsidP="000543E3">
            <w:pPr>
              <w:pStyle w:val="Caption"/>
              <w:jc w:val="both"/>
              <w:rPr>
                <w:noProof/>
                <w:sz w:val="20"/>
              </w:rPr>
            </w:pPr>
            <w:bookmarkStart w:id="68" w:name="_Toc351104648"/>
            <w:bookmarkStart w:id="69" w:name="_Toc383010225"/>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12</w:t>
            </w:r>
            <w:r w:rsidR="008A55B1">
              <w:rPr>
                <w:noProof/>
              </w:rPr>
              <w:fldChar w:fldCharType="end"/>
            </w:r>
            <w:r>
              <w:t>:</w:t>
            </w:r>
            <w:r w:rsidR="00816973" w:rsidRPr="00997957">
              <w:t xml:space="preserve"> Share of men and women headed households among single person and single parent families by age groups, %</w:t>
            </w:r>
            <w:bookmarkEnd w:id="68"/>
            <w:bookmarkEnd w:id="69"/>
          </w:p>
        </w:tc>
      </w:tr>
      <w:tr w:rsidR="00816973" w:rsidRPr="00EC7566" w:rsidTr="00EF414D">
        <w:tc>
          <w:tcPr>
            <w:tcW w:w="4338" w:type="dxa"/>
            <w:tcBorders>
              <w:top w:val="single" w:sz="4" w:space="0" w:color="auto"/>
              <w:left w:val="nil"/>
              <w:bottom w:val="single" w:sz="4" w:space="0" w:color="auto"/>
              <w:right w:val="nil"/>
            </w:tcBorders>
          </w:tcPr>
          <w:p w:rsidR="00816973" w:rsidRPr="00EC7566" w:rsidRDefault="00073CD7" w:rsidP="008F24ED">
            <w:pPr>
              <w:rPr>
                <w:b/>
              </w:rPr>
            </w:pPr>
            <w:r>
              <w:rPr>
                <w:noProof/>
              </w:rPr>
              <w:drawing>
                <wp:inline distT="0" distB="0" distL="0" distR="0" wp14:anchorId="6B3F5E1D" wp14:editId="790A6E7A">
                  <wp:extent cx="2628900" cy="210439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518" w:type="dxa"/>
            <w:tcBorders>
              <w:top w:val="single" w:sz="4" w:space="0" w:color="auto"/>
              <w:left w:val="nil"/>
              <w:bottom w:val="single" w:sz="4" w:space="0" w:color="auto"/>
              <w:right w:val="nil"/>
            </w:tcBorders>
          </w:tcPr>
          <w:p w:rsidR="00816973" w:rsidRPr="00EC7566" w:rsidRDefault="00F2442D" w:rsidP="008F24ED">
            <w:pPr>
              <w:rPr>
                <w:b/>
                <w:noProof/>
                <w:lang w:eastAsia="ru-RU"/>
              </w:rPr>
            </w:pPr>
            <w:r>
              <w:rPr>
                <w:noProof/>
              </w:rPr>
              <w:drawing>
                <wp:inline distT="0" distB="0" distL="0" distR="0" wp14:anchorId="203D2666" wp14:editId="64F6D611">
                  <wp:extent cx="2743199" cy="2128837"/>
                  <wp:effectExtent l="0" t="0" r="635"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816973" w:rsidRPr="00EC7566" w:rsidTr="00EF414D">
        <w:tc>
          <w:tcPr>
            <w:tcW w:w="8856" w:type="dxa"/>
            <w:gridSpan w:val="2"/>
            <w:tcBorders>
              <w:top w:val="single" w:sz="4" w:space="0" w:color="auto"/>
              <w:left w:val="nil"/>
              <w:bottom w:val="nil"/>
              <w:right w:val="nil"/>
            </w:tcBorders>
          </w:tcPr>
          <w:p w:rsidR="00816973" w:rsidRPr="00EC7566" w:rsidRDefault="00816973" w:rsidP="008F24ED">
            <w:pPr>
              <w:rPr>
                <w:sz w:val="18"/>
              </w:rPr>
            </w:pPr>
            <w:r w:rsidRPr="001520FF">
              <w:rPr>
                <w:i/>
                <w:sz w:val="18"/>
              </w:rPr>
              <w:t>Source</w:t>
            </w:r>
            <w:r w:rsidRPr="001520FF">
              <w:rPr>
                <w:sz w:val="18"/>
              </w:rPr>
              <w:t xml:space="preserve">: </w:t>
            </w:r>
            <w:r>
              <w:rPr>
                <w:sz w:val="18"/>
              </w:rPr>
              <w:t>HLSS. World Bank staff calculations.</w:t>
            </w:r>
          </w:p>
        </w:tc>
      </w:tr>
    </w:tbl>
    <w:p w:rsidR="00816973" w:rsidRDefault="00816973" w:rsidP="00816973">
      <w:pPr>
        <w:pStyle w:val="MainParawithChapter"/>
        <w:numPr>
          <w:ilvl w:val="0"/>
          <w:numId w:val="0"/>
        </w:numPr>
        <w:jc w:val="both"/>
        <w:rPr>
          <w:sz w:val="22"/>
          <w:szCs w:val="22"/>
        </w:rPr>
      </w:pPr>
    </w:p>
    <w:p w:rsidR="00EF414D" w:rsidRDefault="00EF414D" w:rsidP="00EF414D">
      <w:pPr>
        <w:pStyle w:val="MainParawithChapter"/>
        <w:jc w:val="both"/>
        <w:rPr>
          <w:sz w:val="22"/>
          <w:szCs w:val="22"/>
        </w:rPr>
      </w:pPr>
      <w:r w:rsidRPr="006F6430">
        <w:rPr>
          <w:sz w:val="22"/>
          <w:szCs w:val="22"/>
        </w:rPr>
        <w:t xml:space="preserve">Households headed by women have lower income per capita than households headed by men. As have been discussed in the previous section, women tend to earn less than men. Moreover, they retire five years earlier than men. As a result, single person households, one </w:t>
      </w:r>
      <w:r w:rsidRPr="006F6430">
        <w:rPr>
          <w:sz w:val="22"/>
          <w:szCs w:val="22"/>
        </w:rPr>
        <w:lastRenderedPageBreak/>
        <w:t>parent households and households headed by pensioners have lower monthly income per capita if the head is a woman. Single parent household headed by women have the lowest income per capita across all types of households</w:t>
      </w:r>
      <w:r>
        <w:rPr>
          <w:sz w:val="22"/>
          <w:szCs w:val="22"/>
        </w:rPr>
        <w:t xml:space="preserve"> (Figure 3.13)</w:t>
      </w:r>
      <w:r w:rsidRPr="006F6430">
        <w:rPr>
          <w:sz w:val="22"/>
          <w:szCs w:val="22"/>
        </w:rPr>
        <w:t>. Women heads of single person households are poorer than men across all age groups, but those older</w:t>
      </w:r>
      <w:r>
        <w:rPr>
          <w:sz w:val="22"/>
          <w:szCs w:val="22"/>
        </w:rPr>
        <w:t xml:space="preserve"> than</w:t>
      </w:r>
      <w:r w:rsidRPr="006F6430">
        <w:rPr>
          <w:sz w:val="22"/>
          <w:szCs w:val="22"/>
        </w:rPr>
        <w:t xml:space="preserve"> 65 are particularly vulnerable</w:t>
      </w:r>
      <w:r>
        <w:rPr>
          <w:sz w:val="22"/>
          <w:szCs w:val="22"/>
        </w:rPr>
        <w:t xml:space="preserve"> (Figure 3.14)</w:t>
      </w:r>
      <w:r w:rsidRPr="006F6430">
        <w:rPr>
          <w:sz w:val="22"/>
          <w:szCs w:val="22"/>
        </w:rPr>
        <w:t>.</w:t>
      </w:r>
    </w:p>
    <w:p w:rsidR="00816973" w:rsidRDefault="00816973" w:rsidP="00816973">
      <w:pPr>
        <w:pStyle w:val="MainParawithChapter"/>
        <w:numPr>
          <w:ilvl w:val="0"/>
          <w:numId w:val="0"/>
        </w:numPr>
        <w:jc w:val="both"/>
        <w:rPr>
          <w:sz w:val="22"/>
          <w:szCs w:val="22"/>
        </w:rPr>
      </w:pPr>
    </w:p>
    <w:tbl>
      <w:tblPr>
        <w:tblW w:w="0" w:type="auto"/>
        <w:tblBorders>
          <w:bottom w:val="single" w:sz="8" w:space="0" w:color="4F81BD"/>
        </w:tblBorders>
        <w:tblLook w:val="00A0" w:firstRow="1" w:lastRow="0" w:firstColumn="1" w:lastColumn="0" w:noHBand="0" w:noVBand="0"/>
      </w:tblPr>
      <w:tblGrid>
        <w:gridCol w:w="4367"/>
        <w:gridCol w:w="4489"/>
      </w:tblGrid>
      <w:tr w:rsidR="00816973" w:rsidRPr="00044B1F" w:rsidTr="00EF414D">
        <w:tc>
          <w:tcPr>
            <w:tcW w:w="4781" w:type="dxa"/>
            <w:tcBorders>
              <w:top w:val="nil"/>
              <w:left w:val="nil"/>
              <w:bottom w:val="single" w:sz="4" w:space="0" w:color="auto"/>
              <w:right w:val="nil"/>
            </w:tcBorders>
          </w:tcPr>
          <w:p w:rsidR="00816973" w:rsidRDefault="00895FB9" w:rsidP="00895FB9">
            <w:pPr>
              <w:pStyle w:val="Caption"/>
              <w:jc w:val="both"/>
              <w:rPr>
                <w:rFonts w:ascii="Cambria" w:hAnsi="Cambria"/>
                <w:b w:val="0"/>
                <w:bCs/>
                <w:color w:val="365F91"/>
                <w:sz w:val="28"/>
                <w:szCs w:val="28"/>
              </w:rPr>
            </w:pPr>
            <w:bookmarkStart w:id="70" w:name="_Toc351104649"/>
            <w:bookmarkStart w:id="71" w:name="_Toc383010226"/>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13</w:t>
            </w:r>
            <w:r w:rsidR="008A55B1">
              <w:rPr>
                <w:noProof/>
              </w:rPr>
              <w:fldChar w:fldCharType="end"/>
            </w:r>
            <w:r>
              <w:t>:</w:t>
            </w:r>
            <w:r w:rsidR="00816973" w:rsidRPr="00997957">
              <w:t xml:space="preserve"> Monthly income per capita by gender of head of household and the type of household</w:t>
            </w:r>
            <w:bookmarkEnd w:id="70"/>
            <w:bookmarkEnd w:id="71"/>
          </w:p>
        </w:tc>
        <w:tc>
          <w:tcPr>
            <w:tcW w:w="4795" w:type="dxa"/>
            <w:tcBorders>
              <w:top w:val="nil"/>
              <w:left w:val="nil"/>
              <w:bottom w:val="single" w:sz="4" w:space="0" w:color="auto"/>
              <w:right w:val="nil"/>
            </w:tcBorders>
          </w:tcPr>
          <w:p w:rsidR="00816973" w:rsidRDefault="00895FB9" w:rsidP="00895FB9">
            <w:pPr>
              <w:pStyle w:val="Caption"/>
              <w:jc w:val="both"/>
              <w:rPr>
                <w:rFonts w:ascii="Cambria" w:hAnsi="Cambria"/>
                <w:b w:val="0"/>
                <w:bCs/>
                <w:color w:val="365F91"/>
                <w:sz w:val="28"/>
                <w:szCs w:val="28"/>
              </w:rPr>
            </w:pPr>
            <w:bookmarkStart w:id="72" w:name="_Toc351104650"/>
            <w:bookmarkStart w:id="73" w:name="_Toc383010227"/>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14</w:t>
            </w:r>
            <w:r w:rsidR="008A55B1">
              <w:rPr>
                <w:noProof/>
              </w:rPr>
              <w:fldChar w:fldCharType="end"/>
            </w:r>
            <w:r>
              <w:t>:</w:t>
            </w:r>
            <w:r w:rsidR="00816973" w:rsidRPr="00997957">
              <w:t xml:space="preserve"> Monthly income per capita by gender of head of household and age group among single person and single parent households</w:t>
            </w:r>
            <w:bookmarkEnd w:id="72"/>
            <w:bookmarkEnd w:id="73"/>
            <w:r w:rsidR="00816973" w:rsidRPr="00997957">
              <w:rPr>
                <w:b w:val="0"/>
              </w:rPr>
              <w:t xml:space="preserve"> </w:t>
            </w:r>
          </w:p>
        </w:tc>
      </w:tr>
      <w:tr w:rsidR="00816973" w:rsidRPr="00044B1F" w:rsidTr="00EF414D">
        <w:tc>
          <w:tcPr>
            <w:tcW w:w="4781" w:type="dxa"/>
            <w:tcBorders>
              <w:top w:val="single" w:sz="4" w:space="0" w:color="auto"/>
              <w:left w:val="nil"/>
              <w:bottom w:val="single" w:sz="4" w:space="0" w:color="auto"/>
              <w:right w:val="nil"/>
            </w:tcBorders>
          </w:tcPr>
          <w:p w:rsidR="00816973" w:rsidRPr="00044B1F" w:rsidRDefault="005A6047" w:rsidP="008F24ED">
            <w:pPr>
              <w:rPr>
                <w:b/>
              </w:rPr>
            </w:pPr>
            <w:r>
              <w:rPr>
                <w:b/>
                <w:noProof/>
              </w:rPr>
              <w:drawing>
                <wp:inline distT="0" distB="0" distL="0" distR="0" wp14:anchorId="6C7F4129" wp14:editId="68F3ACD1">
                  <wp:extent cx="2494915" cy="2179955"/>
                  <wp:effectExtent l="0" t="0" r="635" b="0"/>
                  <wp:docPr id="36" name="Picture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795" w:type="dxa"/>
            <w:tcBorders>
              <w:top w:val="single" w:sz="4" w:space="0" w:color="auto"/>
              <w:left w:val="nil"/>
              <w:bottom w:val="single" w:sz="4" w:space="0" w:color="auto"/>
              <w:right w:val="nil"/>
            </w:tcBorders>
          </w:tcPr>
          <w:p w:rsidR="00816973" w:rsidRPr="00044B1F" w:rsidRDefault="005A6047" w:rsidP="008F24ED">
            <w:pPr>
              <w:rPr>
                <w:b/>
              </w:rPr>
            </w:pPr>
            <w:r>
              <w:rPr>
                <w:b/>
                <w:noProof/>
              </w:rPr>
              <w:drawing>
                <wp:inline distT="0" distB="0" distL="0" distR="0" wp14:anchorId="6739AF8E" wp14:editId="2B10CE6D">
                  <wp:extent cx="2607310" cy="2085975"/>
                  <wp:effectExtent l="0" t="0" r="2540" b="0"/>
                  <wp:docPr id="3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816973" w:rsidRPr="00044B1F" w:rsidTr="00C45BC0">
        <w:tc>
          <w:tcPr>
            <w:tcW w:w="9576" w:type="dxa"/>
            <w:gridSpan w:val="2"/>
            <w:tcBorders>
              <w:top w:val="single" w:sz="4" w:space="0" w:color="auto"/>
              <w:left w:val="nil"/>
              <w:bottom w:val="nil"/>
              <w:right w:val="nil"/>
            </w:tcBorders>
          </w:tcPr>
          <w:p w:rsidR="00816973" w:rsidRPr="00044B1F" w:rsidRDefault="00816973" w:rsidP="008F24ED">
            <w:pPr>
              <w:rPr>
                <w:sz w:val="18"/>
              </w:rPr>
            </w:pPr>
            <w:r w:rsidRPr="00EB1C15">
              <w:rPr>
                <w:i/>
                <w:sz w:val="18"/>
              </w:rPr>
              <w:t>Source</w:t>
            </w:r>
            <w:r w:rsidRPr="00044B1F">
              <w:rPr>
                <w:sz w:val="18"/>
              </w:rPr>
              <w:t>: HLSS. World Bank staff calculations.</w:t>
            </w:r>
          </w:p>
          <w:p w:rsidR="00816973" w:rsidRPr="00044B1F" w:rsidRDefault="00816973" w:rsidP="008F24ED">
            <w:pPr>
              <w:rPr>
                <w:sz w:val="18"/>
              </w:rPr>
            </w:pPr>
            <w:r w:rsidRPr="00044B1F">
              <w:rPr>
                <w:sz w:val="18"/>
              </w:rPr>
              <w:t>Note: Income per capita includes average monthly cash and in-kind income. *** gender difference significant at 1%.</w:t>
            </w:r>
          </w:p>
        </w:tc>
      </w:tr>
    </w:tbl>
    <w:p w:rsidR="005F3E1E" w:rsidRDefault="005F3E1E" w:rsidP="005F3E1E">
      <w:pPr>
        <w:pStyle w:val="MainParawithChapter"/>
        <w:numPr>
          <w:ilvl w:val="0"/>
          <w:numId w:val="0"/>
        </w:numPr>
        <w:jc w:val="both"/>
        <w:rPr>
          <w:sz w:val="22"/>
          <w:szCs w:val="22"/>
        </w:rPr>
      </w:pPr>
    </w:p>
    <w:p w:rsidR="006F6430" w:rsidRDefault="006F6430" w:rsidP="00771B38">
      <w:pPr>
        <w:pStyle w:val="MainParawithChapter"/>
        <w:jc w:val="both"/>
        <w:rPr>
          <w:sz w:val="22"/>
          <w:szCs w:val="22"/>
        </w:rPr>
      </w:pPr>
      <w:r w:rsidRPr="006F6430">
        <w:rPr>
          <w:sz w:val="22"/>
          <w:szCs w:val="22"/>
        </w:rPr>
        <w:t xml:space="preserve">The risk of poverty increases with the number of children. Analysis of single parent households headed by women shows that their income per capita drops sharply with an </w:t>
      </w:r>
      <w:r w:rsidR="00BB413C">
        <w:rPr>
          <w:sz w:val="22"/>
          <w:szCs w:val="22"/>
        </w:rPr>
        <w:t>increasing number of children (F</w:t>
      </w:r>
      <w:r w:rsidRPr="006F6430">
        <w:rPr>
          <w:sz w:val="22"/>
          <w:szCs w:val="22"/>
        </w:rPr>
        <w:t xml:space="preserve">igure </w:t>
      </w:r>
      <w:r w:rsidR="00BB413C">
        <w:rPr>
          <w:sz w:val="22"/>
          <w:szCs w:val="22"/>
        </w:rPr>
        <w:t>3.15</w:t>
      </w:r>
      <w:r w:rsidRPr="006F6430">
        <w:rPr>
          <w:sz w:val="22"/>
          <w:szCs w:val="22"/>
        </w:rPr>
        <w:t>). Thus, single parent female headed household without children below 12 years have income per capita around 672 thousand of Belarusian rubles</w:t>
      </w:r>
      <w:r w:rsidR="0019762A">
        <w:rPr>
          <w:sz w:val="22"/>
          <w:szCs w:val="22"/>
        </w:rPr>
        <w:t xml:space="preserve"> per month</w:t>
      </w:r>
      <w:r w:rsidRPr="006F6430">
        <w:rPr>
          <w:sz w:val="22"/>
          <w:szCs w:val="22"/>
        </w:rPr>
        <w:t>, while a household with 3 children has  almost halve less income per capita: 353 thousand Belarusian rubles</w:t>
      </w:r>
      <w:r w:rsidR="0019762A">
        <w:rPr>
          <w:sz w:val="22"/>
          <w:szCs w:val="22"/>
        </w:rPr>
        <w:t xml:space="preserve"> per month</w:t>
      </w:r>
      <w:r w:rsidRPr="006F6430">
        <w:rPr>
          <w:sz w:val="22"/>
          <w:szCs w:val="22"/>
        </w:rPr>
        <w:t>. This presentation of the income data does not take into account that there may be economies of scale so that for each additional household member, less money is needed to meet their consumption needs</w:t>
      </w:r>
      <w:r w:rsidR="005B0696">
        <w:rPr>
          <w:rStyle w:val="FootnoteReference"/>
          <w:sz w:val="22"/>
          <w:szCs w:val="22"/>
        </w:rPr>
        <w:footnoteReference w:id="18"/>
      </w:r>
      <w:r w:rsidRPr="006F6430">
        <w:rPr>
          <w:sz w:val="22"/>
          <w:szCs w:val="22"/>
        </w:rPr>
        <w:t xml:space="preserve">.  </w:t>
      </w:r>
    </w:p>
    <w:p w:rsidR="00694AEC" w:rsidRDefault="00694AEC">
      <w:bookmarkStart w:id="74" w:name="_Toc351104651"/>
    </w:p>
    <w:p w:rsidR="00EF414D" w:rsidRPr="006F6430" w:rsidRDefault="00EF414D" w:rsidP="00EF414D">
      <w:pPr>
        <w:pStyle w:val="MainParawithChapter"/>
        <w:jc w:val="both"/>
        <w:rPr>
          <w:sz w:val="22"/>
          <w:szCs w:val="22"/>
        </w:rPr>
      </w:pPr>
      <w:r w:rsidRPr="006F6430">
        <w:rPr>
          <w:sz w:val="22"/>
          <w:szCs w:val="22"/>
        </w:rPr>
        <w:t xml:space="preserve">Relative poverty is highest for single person households predominantly headed by women.  Absolute rates of poverty are quite low in Belarus. Thus, the share of population below the </w:t>
      </w:r>
      <w:r>
        <w:rPr>
          <w:sz w:val="22"/>
          <w:szCs w:val="22"/>
        </w:rPr>
        <w:t>national</w:t>
      </w:r>
      <w:r w:rsidRPr="006F6430">
        <w:rPr>
          <w:sz w:val="22"/>
          <w:szCs w:val="22"/>
        </w:rPr>
        <w:t xml:space="preserve"> poverty line declined from 41.9 percent in 2001 to 7.3 percent in 2011 (NSC, 2012c). Nevertheless, relative poverty shows higher number of the poor- 11.4 percent of the population in 2011 (Research Center of the Institute for Privatization and Management, 2012)</w:t>
      </w:r>
      <w:r>
        <w:rPr>
          <w:rStyle w:val="FootnoteReference"/>
          <w:sz w:val="22"/>
          <w:szCs w:val="22"/>
        </w:rPr>
        <w:footnoteReference w:id="19"/>
      </w:r>
      <w:r w:rsidRPr="006F6430">
        <w:rPr>
          <w:sz w:val="22"/>
          <w:szCs w:val="22"/>
        </w:rPr>
        <w:t xml:space="preserve">.  The relative poverty was the highest (35 percent) in single person households with the head older than 65 years in 2011. Taking into account that women form the majority of single person households, relative poverty is higher among them than among men. The gender gap in relative poverty </w:t>
      </w:r>
      <w:r w:rsidRPr="006F6430">
        <w:rPr>
          <w:sz w:val="22"/>
          <w:szCs w:val="22"/>
        </w:rPr>
        <w:lastRenderedPageBreak/>
        <w:t>increased in Belarus during the economic crisis in 2011 in comparison to 2010 and this is related to a higher share of women among old age population and their concentration in low paid public sectors (Research Center of the Institute for Privatization and Management, 2012).</w:t>
      </w:r>
    </w:p>
    <w:p w:rsidR="00EF414D" w:rsidRDefault="00EF414D"/>
    <w:tbl>
      <w:tblPr>
        <w:tblW w:w="0" w:type="auto"/>
        <w:tblBorders>
          <w:bottom w:val="single" w:sz="4" w:space="0" w:color="auto"/>
        </w:tblBorders>
        <w:tblLook w:val="00A0" w:firstRow="1" w:lastRow="0" w:firstColumn="1" w:lastColumn="0" w:noHBand="0" w:noVBand="0"/>
      </w:tblPr>
      <w:tblGrid>
        <w:gridCol w:w="8856"/>
      </w:tblGrid>
      <w:tr w:rsidR="00816973" w:rsidRPr="0085771A" w:rsidTr="00C45BC0">
        <w:tc>
          <w:tcPr>
            <w:tcW w:w="8856" w:type="dxa"/>
            <w:tcBorders>
              <w:bottom w:val="single" w:sz="4" w:space="0" w:color="auto"/>
            </w:tcBorders>
          </w:tcPr>
          <w:p w:rsidR="00816973" w:rsidRPr="00997957" w:rsidRDefault="00895FB9" w:rsidP="004E4C78">
            <w:pPr>
              <w:pStyle w:val="Caption"/>
              <w:spacing w:after="120"/>
              <w:jc w:val="both"/>
              <w:rPr>
                <w:b w:val="0"/>
              </w:rPr>
            </w:pPr>
            <w:bookmarkStart w:id="75" w:name="_Toc383010228"/>
            <w:r>
              <w:t xml:space="preserve">Figure </w:t>
            </w:r>
            <w:r w:rsidR="008A55B1">
              <w:fldChar w:fldCharType="begin"/>
            </w:r>
            <w:r w:rsidR="008A55B1">
              <w:instrText xml:space="preserve"> STYLEREF 1 \s </w:instrText>
            </w:r>
            <w:r w:rsidR="008A55B1">
              <w:fldChar w:fldCharType="separate"/>
            </w:r>
            <w:r w:rsidR="008A55B1">
              <w:rPr>
                <w:noProof/>
              </w:rPr>
              <w:t>3</w:t>
            </w:r>
            <w:r w:rsidR="008A55B1">
              <w:rPr>
                <w:noProof/>
              </w:rPr>
              <w:fldChar w:fldCharType="end"/>
            </w:r>
            <w:r w:rsidR="00A904F2">
              <w:t>.</w:t>
            </w:r>
            <w:r w:rsidR="008A55B1">
              <w:fldChar w:fldCharType="begin"/>
            </w:r>
            <w:r w:rsidR="008A55B1">
              <w:instrText xml:space="preserve"> SEQ Figure \* ARABIC \s 1 </w:instrText>
            </w:r>
            <w:r w:rsidR="008A55B1">
              <w:fldChar w:fldCharType="separate"/>
            </w:r>
            <w:r w:rsidR="008A55B1">
              <w:rPr>
                <w:noProof/>
              </w:rPr>
              <w:t>15</w:t>
            </w:r>
            <w:r w:rsidR="008A55B1">
              <w:rPr>
                <w:noProof/>
              </w:rPr>
              <w:fldChar w:fldCharType="end"/>
            </w:r>
            <w:r>
              <w:t>:</w:t>
            </w:r>
            <w:r w:rsidR="00816973" w:rsidRPr="00997957">
              <w:t xml:space="preserve"> Income per capita in female headed single parent households by the number of children below </w:t>
            </w:r>
            <w:r w:rsidR="00816973">
              <w:t xml:space="preserve"> </w:t>
            </w:r>
            <w:r w:rsidR="00816973" w:rsidRPr="00997957">
              <w:t>12 years, 2010</w:t>
            </w:r>
            <w:bookmarkEnd w:id="74"/>
            <w:bookmarkEnd w:id="75"/>
          </w:p>
        </w:tc>
      </w:tr>
      <w:tr w:rsidR="00816973" w:rsidRPr="0085771A" w:rsidTr="00C45BC0">
        <w:tc>
          <w:tcPr>
            <w:tcW w:w="8856" w:type="dxa"/>
            <w:tcBorders>
              <w:top w:val="single" w:sz="4" w:space="0" w:color="auto"/>
              <w:bottom w:val="single" w:sz="4" w:space="0" w:color="auto"/>
            </w:tcBorders>
          </w:tcPr>
          <w:p w:rsidR="00816973" w:rsidRPr="0085771A" w:rsidRDefault="005A6047" w:rsidP="00FB714A">
            <w:pPr>
              <w:jc w:val="center"/>
            </w:pPr>
            <w:r>
              <w:rPr>
                <w:noProof/>
              </w:rPr>
              <w:drawing>
                <wp:inline distT="0" distB="0" distL="0" distR="0" wp14:anchorId="3ECBFE65" wp14:editId="32EB3784">
                  <wp:extent cx="4331335" cy="280035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816973" w:rsidRPr="0085771A" w:rsidTr="00EF414D">
        <w:trPr>
          <w:trHeight w:val="404"/>
        </w:trPr>
        <w:tc>
          <w:tcPr>
            <w:tcW w:w="8856" w:type="dxa"/>
            <w:tcBorders>
              <w:top w:val="single" w:sz="4" w:space="0" w:color="auto"/>
              <w:bottom w:val="nil"/>
            </w:tcBorders>
          </w:tcPr>
          <w:p w:rsidR="00816973" w:rsidRDefault="00816973" w:rsidP="008F24ED">
            <w:r w:rsidRPr="00EB1C15">
              <w:rPr>
                <w:i/>
                <w:sz w:val="18"/>
              </w:rPr>
              <w:t>Source</w:t>
            </w:r>
            <w:r w:rsidRPr="0085771A">
              <w:rPr>
                <w:sz w:val="18"/>
              </w:rPr>
              <w:t>: HLSS, World Bank staff calculations.</w:t>
            </w:r>
            <w:r w:rsidRPr="0085771A">
              <w:t xml:space="preserve"> </w:t>
            </w:r>
          </w:p>
          <w:p w:rsidR="000908C8" w:rsidRPr="0085771A" w:rsidRDefault="000908C8" w:rsidP="008F24ED"/>
        </w:tc>
      </w:tr>
    </w:tbl>
    <w:p w:rsidR="006847A5" w:rsidRDefault="006F6430" w:rsidP="00771B38">
      <w:pPr>
        <w:pStyle w:val="MainParawithChapter"/>
        <w:jc w:val="both"/>
        <w:rPr>
          <w:sz w:val="22"/>
          <w:szCs w:val="22"/>
        </w:rPr>
      </w:pPr>
      <w:r w:rsidRPr="006F6430">
        <w:rPr>
          <w:sz w:val="22"/>
          <w:szCs w:val="22"/>
        </w:rPr>
        <w:t xml:space="preserve">Targeting performance and efficiency of the current social protection system can be improved since privileges often flow to non-poor beneficiaries. Social assistance system in Belarus is one of the most extensive in the region covering about half of the population. Among the largest programs measured by spending are child birth and child care related benefits. These benefits, except for the childcare benefit for children above three years old, use the categorical approach and do not require income testing for eligibility. Even though child care benefits demonstrate good targeting performance, overall targeting performance and efficiency of social assistance system could be improved by rationalization of poorly targeted privileges which still absorb about 20 percent of social spending (World Bank, 2011ab). </w:t>
      </w:r>
    </w:p>
    <w:p w:rsidR="006847A5" w:rsidRPr="004C18F3" w:rsidRDefault="006847A5" w:rsidP="00A904F2">
      <w:pPr>
        <w:pStyle w:val="Heading1"/>
      </w:pPr>
      <w:r>
        <w:rPr>
          <w:sz w:val="22"/>
          <w:szCs w:val="22"/>
        </w:rPr>
        <w:br w:type="page"/>
      </w:r>
      <w:r>
        <w:lastRenderedPageBreak/>
        <w:br/>
      </w:r>
      <w:r>
        <w:br/>
      </w:r>
      <w:bookmarkStart w:id="76" w:name="_Toc383011593"/>
      <w:r w:rsidRPr="004C18F3">
        <w:t>Conclusions and Policy Recommendations</w:t>
      </w:r>
      <w:bookmarkEnd w:id="76"/>
    </w:p>
    <w:p w:rsidR="00771B38" w:rsidRPr="006F6430" w:rsidRDefault="00771B38" w:rsidP="00771B38">
      <w:pPr>
        <w:pStyle w:val="MainParawithChapter"/>
        <w:numPr>
          <w:ilvl w:val="0"/>
          <w:numId w:val="0"/>
        </w:numPr>
        <w:jc w:val="both"/>
        <w:rPr>
          <w:sz w:val="22"/>
          <w:szCs w:val="22"/>
        </w:rPr>
      </w:pPr>
    </w:p>
    <w:p w:rsidR="006F6430" w:rsidRPr="006F6430" w:rsidRDefault="006F6430" w:rsidP="00771B38">
      <w:pPr>
        <w:pStyle w:val="MainParawithChapter"/>
        <w:jc w:val="both"/>
        <w:rPr>
          <w:sz w:val="22"/>
          <w:szCs w:val="22"/>
        </w:rPr>
      </w:pPr>
      <w:r w:rsidRPr="006F6430">
        <w:rPr>
          <w:sz w:val="22"/>
          <w:szCs w:val="22"/>
        </w:rPr>
        <w:t xml:space="preserve">Belarus has an advantage over other ECA countries in its high level of female human development indicators. Belarusian women are more educated than men, have a high level of labor force participation and are represented in politics. Significant progress was achieved in reducing maternal and infant mortality to the level observed in developed countries. Belarusian legislation does not discriminate against women, and different policy measures were enacted in the field of gender equality along with establishing the coordinating and advisory agency. </w:t>
      </w:r>
    </w:p>
    <w:p w:rsidR="006F6430" w:rsidRPr="006F6430" w:rsidRDefault="006F6430" w:rsidP="00771B38">
      <w:pPr>
        <w:pStyle w:val="MainParawithChapter"/>
        <w:numPr>
          <w:ilvl w:val="0"/>
          <w:numId w:val="0"/>
        </w:numPr>
        <w:jc w:val="both"/>
        <w:rPr>
          <w:sz w:val="22"/>
          <w:szCs w:val="22"/>
        </w:rPr>
      </w:pPr>
    </w:p>
    <w:p w:rsidR="006F6430" w:rsidRPr="006F6430" w:rsidRDefault="006F6430" w:rsidP="00771B38">
      <w:pPr>
        <w:pStyle w:val="MainParawithChapter"/>
        <w:jc w:val="both"/>
        <w:rPr>
          <w:sz w:val="22"/>
          <w:szCs w:val="22"/>
        </w:rPr>
      </w:pPr>
      <w:r w:rsidRPr="006F6430">
        <w:rPr>
          <w:sz w:val="22"/>
          <w:szCs w:val="22"/>
        </w:rPr>
        <w:t xml:space="preserve">Nevertheless, this report identifies important gender disparities in various spheres. Thus, in spite of their higher educational level, women on average earn less than men, are less likely to be represented at the top levels in politics and public administration, and less likely to start their own business and manage firms. Moreover, preliminary analysis shows that only a very small share of large and expanding wage gap can be explained by observable differences between male and female workers.  These findings may signal the existence of stereotypes and discriminatory practices in political and economic life which are indeed documented in qualitative studies. </w:t>
      </w:r>
    </w:p>
    <w:p w:rsidR="006F6430" w:rsidRPr="006F6430" w:rsidRDefault="006F6430" w:rsidP="00771B38">
      <w:pPr>
        <w:pStyle w:val="MainParawithChapter"/>
        <w:numPr>
          <w:ilvl w:val="0"/>
          <w:numId w:val="0"/>
        </w:numPr>
        <w:jc w:val="both"/>
        <w:rPr>
          <w:sz w:val="22"/>
          <w:szCs w:val="22"/>
        </w:rPr>
      </w:pPr>
    </w:p>
    <w:p w:rsidR="006F6430" w:rsidRPr="006F6430" w:rsidRDefault="006F6430" w:rsidP="00771B38">
      <w:pPr>
        <w:pStyle w:val="MainParawithChapter"/>
        <w:jc w:val="both"/>
        <w:rPr>
          <w:sz w:val="22"/>
          <w:szCs w:val="22"/>
        </w:rPr>
      </w:pPr>
      <w:r w:rsidRPr="006F6430">
        <w:rPr>
          <w:sz w:val="22"/>
          <w:szCs w:val="22"/>
        </w:rPr>
        <w:t>Besides the gap in economic and political opportunities, the population in Belarus is shrinking as a result of low fertility rates and high male mortality rates. Men have higher mortality rates than women due to their unhealthy and risky behavior leading to increasing gap in life expectancy far above the average for ECA region. In spite of the Government’s efforts, domestic violence also remains an important problem for Belarus. Tolerance of domestic violence in the society is quite high and people are reluctant to report the violence to the police.</w:t>
      </w:r>
    </w:p>
    <w:p w:rsidR="006F6430" w:rsidRPr="006F6430" w:rsidRDefault="006F6430" w:rsidP="00771B38">
      <w:pPr>
        <w:pStyle w:val="MainParawithChapter"/>
        <w:numPr>
          <w:ilvl w:val="0"/>
          <w:numId w:val="0"/>
        </w:numPr>
        <w:jc w:val="both"/>
        <w:rPr>
          <w:sz w:val="22"/>
          <w:szCs w:val="22"/>
        </w:rPr>
      </w:pPr>
    </w:p>
    <w:p w:rsidR="006F6430" w:rsidRDefault="006F6430" w:rsidP="00771B38">
      <w:pPr>
        <w:pStyle w:val="MainParawithChapter"/>
        <w:jc w:val="both"/>
        <w:rPr>
          <w:sz w:val="22"/>
          <w:szCs w:val="22"/>
        </w:rPr>
      </w:pPr>
      <w:r w:rsidRPr="006F6430">
        <w:rPr>
          <w:sz w:val="22"/>
          <w:szCs w:val="22"/>
        </w:rPr>
        <w:t xml:space="preserve">Women are more likely to be heads of single person and single parent households which have the lowest income per capita among the population groups in Belarus. Single parent households with young children are particularly vulnerable. The gender gap in relative poverty in favor of men in Belarus was one of the largest in Europe in 2011.  This could be related to higher share of women among old age population and their concentration in low paid public sectors. </w:t>
      </w:r>
    </w:p>
    <w:p w:rsidR="00C91B8A" w:rsidRPr="006F6430" w:rsidRDefault="00C91B8A" w:rsidP="00771B38">
      <w:pPr>
        <w:pStyle w:val="MainParawithChapter"/>
        <w:jc w:val="both"/>
        <w:rPr>
          <w:sz w:val="22"/>
          <w:szCs w:val="22"/>
        </w:rPr>
      </w:pPr>
    </w:p>
    <w:p w:rsidR="006F6430" w:rsidRPr="006F6430" w:rsidRDefault="006F6430" w:rsidP="00771B38">
      <w:pPr>
        <w:pStyle w:val="MainParawithChapter"/>
        <w:numPr>
          <w:ilvl w:val="0"/>
          <w:numId w:val="0"/>
        </w:numPr>
        <w:jc w:val="both"/>
        <w:rPr>
          <w:sz w:val="22"/>
          <w:szCs w:val="22"/>
        </w:rPr>
      </w:pPr>
    </w:p>
    <w:p w:rsidR="00C91B8A" w:rsidRPr="00EF414D" w:rsidRDefault="00EF414D" w:rsidP="00C91B8A">
      <w:pPr>
        <w:pStyle w:val="MainParawithChapter"/>
        <w:numPr>
          <w:ilvl w:val="0"/>
          <w:numId w:val="0"/>
        </w:numPr>
        <w:jc w:val="both"/>
        <w:rPr>
          <w:b/>
          <w:sz w:val="22"/>
          <w:szCs w:val="22"/>
        </w:rPr>
      </w:pPr>
      <w:r>
        <w:rPr>
          <w:b/>
          <w:szCs w:val="22"/>
        </w:rPr>
        <w:t>Policy R</w:t>
      </w:r>
      <w:r w:rsidR="00C91B8A" w:rsidRPr="00EF414D">
        <w:rPr>
          <w:b/>
          <w:szCs w:val="22"/>
        </w:rPr>
        <w:t xml:space="preserve">ecommendations </w:t>
      </w:r>
    </w:p>
    <w:p w:rsidR="00C91B8A" w:rsidRPr="00781113" w:rsidRDefault="00C91B8A" w:rsidP="00C91B8A">
      <w:pPr>
        <w:pStyle w:val="MainParawithChapter"/>
        <w:numPr>
          <w:ilvl w:val="0"/>
          <w:numId w:val="0"/>
        </w:numPr>
        <w:jc w:val="both"/>
        <w:rPr>
          <w:b/>
          <w:i/>
          <w:sz w:val="22"/>
          <w:szCs w:val="22"/>
        </w:rPr>
      </w:pPr>
    </w:p>
    <w:p w:rsidR="00C91B8A" w:rsidRPr="006F6430" w:rsidRDefault="00C91B8A" w:rsidP="00C91B8A">
      <w:pPr>
        <w:pStyle w:val="MainParawithChapter"/>
        <w:jc w:val="both"/>
        <w:rPr>
          <w:sz w:val="22"/>
          <w:szCs w:val="22"/>
        </w:rPr>
      </w:pPr>
      <w:r w:rsidRPr="006F6430">
        <w:rPr>
          <w:sz w:val="22"/>
          <w:szCs w:val="22"/>
        </w:rPr>
        <w:t>Promotion of gender equality in human development, economic opportunities, voice and representation is a complex task. Based on the existing situation, the following policy measures for the Government and the donor community may be beneficial for strengthening gender policy-making in Belarus:</w:t>
      </w:r>
    </w:p>
    <w:p w:rsidR="00C91B8A" w:rsidRPr="006F6430" w:rsidRDefault="00C91B8A" w:rsidP="00C91B8A">
      <w:pPr>
        <w:pStyle w:val="MainParawithChapter"/>
        <w:numPr>
          <w:ilvl w:val="0"/>
          <w:numId w:val="0"/>
        </w:numPr>
        <w:rPr>
          <w:sz w:val="22"/>
          <w:szCs w:val="22"/>
        </w:rPr>
      </w:pPr>
    </w:p>
    <w:p w:rsidR="00C91B8A" w:rsidRDefault="00C91B8A" w:rsidP="00C91B8A">
      <w:pPr>
        <w:pStyle w:val="MainParawithChapter"/>
        <w:numPr>
          <w:ilvl w:val="0"/>
          <w:numId w:val="0"/>
        </w:numPr>
        <w:jc w:val="both"/>
        <w:rPr>
          <w:sz w:val="22"/>
          <w:szCs w:val="22"/>
        </w:rPr>
      </w:pPr>
      <w:r w:rsidRPr="006F6430">
        <w:rPr>
          <w:sz w:val="22"/>
          <w:szCs w:val="22"/>
        </w:rPr>
        <w:t>•</w:t>
      </w:r>
      <w:r w:rsidRPr="006F6430">
        <w:rPr>
          <w:sz w:val="22"/>
          <w:szCs w:val="22"/>
        </w:rPr>
        <w:tab/>
        <w:t xml:space="preserve">In order to take a first step at combating violence and discrimination against women, </w:t>
      </w:r>
      <w:r w:rsidRPr="00781113">
        <w:rPr>
          <w:i/>
          <w:sz w:val="22"/>
          <w:szCs w:val="22"/>
        </w:rPr>
        <w:t xml:space="preserve">adoption of legislation on domestic violence and sex discrimination </w:t>
      </w:r>
      <w:r w:rsidRPr="006F6430">
        <w:rPr>
          <w:sz w:val="22"/>
          <w:szCs w:val="22"/>
        </w:rPr>
        <w:t xml:space="preserve">would be an important step in protecting women in Belarus. Support and guidance on this legislation is available through CEDAW. </w:t>
      </w:r>
      <w:r w:rsidRPr="00781113">
        <w:rPr>
          <w:i/>
          <w:sz w:val="22"/>
          <w:szCs w:val="22"/>
        </w:rPr>
        <w:t xml:space="preserve">Implementation and enforcement of </w:t>
      </w:r>
      <w:r w:rsidR="00083E00">
        <w:rPr>
          <w:i/>
          <w:sz w:val="22"/>
          <w:szCs w:val="22"/>
        </w:rPr>
        <w:t xml:space="preserve">proposed </w:t>
      </w:r>
      <w:r w:rsidRPr="00781113">
        <w:rPr>
          <w:i/>
          <w:sz w:val="22"/>
          <w:szCs w:val="22"/>
        </w:rPr>
        <w:t>domestic violence legislation</w:t>
      </w:r>
      <w:r w:rsidRPr="006F6430">
        <w:rPr>
          <w:sz w:val="22"/>
          <w:szCs w:val="22"/>
        </w:rPr>
        <w:t xml:space="preserve"> can benefit: (i) from the provision of training for the judges, prosecutors, the police and staff of the crisis centers, (ii) from public education campaigns and raising public awareness that gender based </w:t>
      </w:r>
      <w:r w:rsidRPr="006F6430">
        <w:rPr>
          <w:sz w:val="22"/>
          <w:szCs w:val="22"/>
        </w:rPr>
        <w:lastRenderedPageBreak/>
        <w:t>violence is human rights violation, (</w:t>
      </w:r>
      <w:r>
        <w:rPr>
          <w:sz w:val="22"/>
          <w:szCs w:val="22"/>
        </w:rPr>
        <w:t>iii</w:t>
      </w:r>
      <w:r w:rsidRPr="006F6430">
        <w:rPr>
          <w:sz w:val="22"/>
          <w:szCs w:val="22"/>
        </w:rPr>
        <w:t xml:space="preserve">) from ensuring access to short-term and long-term housing for the victims of domestic violence. </w:t>
      </w:r>
    </w:p>
    <w:p w:rsidR="00C91B8A" w:rsidRPr="006F6430" w:rsidRDefault="00C91B8A" w:rsidP="00C91B8A">
      <w:pPr>
        <w:pStyle w:val="MainParawithChapter"/>
        <w:numPr>
          <w:ilvl w:val="0"/>
          <w:numId w:val="0"/>
        </w:numPr>
        <w:jc w:val="both"/>
        <w:rPr>
          <w:sz w:val="22"/>
          <w:szCs w:val="22"/>
        </w:rPr>
      </w:pPr>
    </w:p>
    <w:p w:rsidR="00C91B8A" w:rsidRDefault="00C91B8A" w:rsidP="00C91B8A">
      <w:pPr>
        <w:pStyle w:val="MainParawithChapter"/>
        <w:numPr>
          <w:ilvl w:val="0"/>
          <w:numId w:val="0"/>
        </w:numPr>
        <w:jc w:val="both"/>
        <w:rPr>
          <w:sz w:val="22"/>
          <w:szCs w:val="22"/>
        </w:rPr>
      </w:pPr>
      <w:r w:rsidRPr="006F6430">
        <w:rPr>
          <w:sz w:val="22"/>
          <w:szCs w:val="22"/>
        </w:rPr>
        <w:t>•</w:t>
      </w:r>
      <w:r w:rsidRPr="006F6430">
        <w:rPr>
          <w:sz w:val="22"/>
          <w:szCs w:val="22"/>
        </w:rPr>
        <w:tab/>
        <w:t xml:space="preserve">The government may wish to </w:t>
      </w:r>
      <w:r w:rsidRPr="00781113">
        <w:rPr>
          <w:i/>
          <w:sz w:val="22"/>
          <w:szCs w:val="22"/>
        </w:rPr>
        <w:t>convene a task force that looks at gender disparities in vocational training and higher education</w:t>
      </w:r>
      <w:r w:rsidRPr="006F6430">
        <w:rPr>
          <w:sz w:val="22"/>
          <w:szCs w:val="22"/>
        </w:rPr>
        <w:t xml:space="preserve">. Relatively fewer women attend vocational schools and fewer men attend universities. The reasons for the disparities are not clear and greater knowledge is necessary. Factors may range from the lack of courses in vocational training that attract women </w:t>
      </w:r>
      <w:r>
        <w:rPr>
          <w:sz w:val="22"/>
          <w:szCs w:val="22"/>
        </w:rPr>
        <w:t>to</w:t>
      </w:r>
      <w:r w:rsidRPr="006F6430">
        <w:rPr>
          <w:sz w:val="22"/>
          <w:szCs w:val="22"/>
        </w:rPr>
        <w:t xml:space="preserve"> the societal pressures on young adult males to earn income (at the expense of going to college). </w:t>
      </w:r>
    </w:p>
    <w:p w:rsidR="00C91B8A" w:rsidRPr="006F6430" w:rsidRDefault="00C91B8A" w:rsidP="00C91B8A">
      <w:pPr>
        <w:pStyle w:val="MainParawithChapter"/>
        <w:numPr>
          <w:ilvl w:val="0"/>
          <w:numId w:val="0"/>
        </w:numPr>
        <w:jc w:val="both"/>
        <w:rPr>
          <w:sz w:val="22"/>
          <w:szCs w:val="22"/>
        </w:rPr>
      </w:pPr>
    </w:p>
    <w:p w:rsidR="00C91B8A" w:rsidRDefault="00C91B8A" w:rsidP="00C91B8A">
      <w:pPr>
        <w:pStyle w:val="MainParawithChapter"/>
        <w:numPr>
          <w:ilvl w:val="0"/>
          <w:numId w:val="0"/>
        </w:numPr>
        <w:jc w:val="both"/>
        <w:rPr>
          <w:sz w:val="22"/>
          <w:szCs w:val="22"/>
        </w:rPr>
      </w:pPr>
      <w:r w:rsidRPr="006F6430">
        <w:rPr>
          <w:sz w:val="22"/>
          <w:szCs w:val="22"/>
        </w:rPr>
        <w:t>•</w:t>
      </w:r>
      <w:r w:rsidRPr="006F6430">
        <w:rPr>
          <w:sz w:val="22"/>
          <w:szCs w:val="22"/>
        </w:rPr>
        <w:tab/>
        <w:t xml:space="preserve">Men’s health in Belarus is in crisis and greater efforts need to be made to reduce mortality of prime age men. The </w:t>
      </w:r>
      <w:r w:rsidR="00135B10">
        <w:rPr>
          <w:sz w:val="22"/>
          <w:szCs w:val="22"/>
        </w:rPr>
        <w:t>G</w:t>
      </w:r>
      <w:r w:rsidRPr="006F6430">
        <w:rPr>
          <w:sz w:val="22"/>
          <w:szCs w:val="22"/>
        </w:rPr>
        <w:t xml:space="preserve">overnment may wish to first </w:t>
      </w:r>
      <w:r w:rsidRPr="00781113">
        <w:rPr>
          <w:i/>
          <w:sz w:val="22"/>
          <w:szCs w:val="22"/>
        </w:rPr>
        <w:t>identify the leading causes of male mortality</w:t>
      </w:r>
      <w:r w:rsidRPr="006F6430">
        <w:rPr>
          <w:sz w:val="22"/>
          <w:szCs w:val="22"/>
        </w:rPr>
        <w:t xml:space="preserve"> and do a thorough analysis of demographic and regional trends. This could be followed by a menu </w:t>
      </w:r>
      <w:r>
        <w:rPr>
          <w:sz w:val="22"/>
          <w:szCs w:val="22"/>
        </w:rPr>
        <w:t>of</w:t>
      </w:r>
      <w:r w:rsidRPr="006F6430">
        <w:rPr>
          <w:sz w:val="22"/>
          <w:szCs w:val="22"/>
        </w:rPr>
        <w:t xml:space="preserve"> options to reduce prime age adult mortality th</w:t>
      </w:r>
      <w:r>
        <w:rPr>
          <w:sz w:val="22"/>
          <w:szCs w:val="22"/>
        </w:rPr>
        <w:t>ro</w:t>
      </w:r>
      <w:r w:rsidRPr="006F6430">
        <w:rPr>
          <w:sz w:val="22"/>
          <w:szCs w:val="22"/>
        </w:rPr>
        <w:t xml:space="preserve">ugh such means as </w:t>
      </w:r>
      <w:r w:rsidRPr="00781113">
        <w:rPr>
          <w:i/>
          <w:sz w:val="22"/>
          <w:szCs w:val="22"/>
        </w:rPr>
        <w:t xml:space="preserve">health campaigns </w:t>
      </w:r>
      <w:r w:rsidRPr="006F6430">
        <w:rPr>
          <w:sz w:val="22"/>
          <w:szCs w:val="22"/>
        </w:rPr>
        <w:t xml:space="preserve">against smoking and alcohol, </w:t>
      </w:r>
      <w:r w:rsidRPr="00781113">
        <w:rPr>
          <w:i/>
          <w:sz w:val="22"/>
          <w:szCs w:val="22"/>
        </w:rPr>
        <w:t>promotion of healthy lifestyle</w:t>
      </w:r>
      <w:r w:rsidRPr="006F6430">
        <w:rPr>
          <w:sz w:val="22"/>
          <w:szCs w:val="22"/>
        </w:rPr>
        <w:t xml:space="preserve"> to address non-communicable diseases (the main cause of higher mortality among men), and</w:t>
      </w:r>
      <w:r w:rsidRPr="00781113">
        <w:rPr>
          <w:i/>
          <w:sz w:val="22"/>
          <w:szCs w:val="22"/>
        </w:rPr>
        <w:t xml:space="preserve"> greater enforcement of road safety laws</w:t>
      </w:r>
      <w:r w:rsidRPr="006F6430">
        <w:rPr>
          <w:sz w:val="22"/>
          <w:szCs w:val="22"/>
        </w:rPr>
        <w:t>.</w:t>
      </w:r>
    </w:p>
    <w:p w:rsidR="00C91B8A" w:rsidRPr="006F6430" w:rsidRDefault="00C91B8A" w:rsidP="00C91B8A">
      <w:pPr>
        <w:pStyle w:val="MainParawithChapter"/>
        <w:numPr>
          <w:ilvl w:val="0"/>
          <w:numId w:val="0"/>
        </w:numPr>
        <w:jc w:val="both"/>
        <w:rPr>
          <w:sz w:val="22"/>
          <w:szCs w:val="22"/>
        </w:rPr>
      </w:pPr>
    </w:p>
    <w:p w:rsidR="00C91B8A" w:rsidRDefault="00C91B8A" w:rsidP="00C91B8A">
      <w:pPr>
        <w:pStyle w:val="MainParawithChapter"/>
        <w:numPr>
          <w:ilvl w:val="0"/>
          <w:numId w:val="0"/>
        </w:numPr>
        <w:jc w:val="both"/>
        <w:rPr>
          <w:sz w:val="22"/>
          <w:szCs w:val="22"/>
        </w:rPr>
      </w:pPr>
      <w:r w:rsidRPr="006F6430">
        <w:rPr>
          <w:sz w:val="22"/>
          <w:szCs w:val="22"/>
        </w:rPr>
        <w:t>•</w:t>
      </w:r>
      <w:r w:rsidRPr="006F6430">
        <w:rPr>
          <w:sz w:val="22"/>
          <w:szCs w:val="22"/>
        </w:rPr>
        <w:tab/>
        <w:t xml:space="preserve">More </w:t>
      </w:r>
      <w:r w:rsidRPr="00781113">
        <w:rPr>
          <w:i/>
          <w:sz w:val="22"/>
          <w:szCs w:val="22"/>
        </w:rPr>
        <w:t>research is needed</w:t>
      </w:r>
      <w:r w:rsidRPr="006F6430">
        <w:rPr>
          <w:sz w:val="22"/>
          <w:szCs w:val="22"/>
        </w:rPr>
        <w:t xml:space="preserve"> to identify the factors affecting the large gender gap in earnings and occupational segregation by sex. There is little information on why women earn less than men. Though qualitative studies demonstrate the presence of discrimination, other factors may be possible as well. For example, women may work fewer hours than men or</w:t>
      </w:r>
      <w:r>
        <w:rPr>
          <w:sz w:val="22"/>
          <w:szCs w:val="22"/>
        </w:rPr>
        <w:t xml:space="preserve"> have</w:t>
      </w:r>
      <w:r w:rsidRPr="006F6430">
        <w:rPr>
          <w:sz w:val="22"/>
          <w:szCs w:val="22"/>
        </w:rPr>
        <w:t xml:space="preserve"> less experience (due to taking extended child care leave) or women may be less willing to take jobs that require long commutes or are not compatible with household responsibilities. </w:t>
      </w:r>
    </w:p>
    <w:p w:rsidR="00C91B8A" w:rsidRPr="006F6430" w:rsidRDefault="00C91B8A" w:rsidP="00C91B8A">
      <w:pPr>
        <w:pStyle w:val="MainParawithChapter"/>
        <w:numPr>
          <w:ilvl w:val="0"/>
          <w:numId w:val="0"/>
        </w:numPr>
        <w:jc w:val="both"/>
        <w:rPr>
          <w:sz w:val="22"/>
          <w:szCs w:val="22"/>
        </w:rPr>
      </w:pPr>
    </w:p>
    <w:p w:rsidR="00C91B8A" w:rsidRDefault="00C91B8A" w:rsidP="00C91B8A">
      <w:pPr>
        <w:pStyle w:val="MainParawithChapter"/>
        <w:numPr>
          <w:ilvl w:val="0"/>
          <w:numId w:val="0"/>
        </w:numPr>
        <w:jc w:val="both"/>
        <w:rPr>
          <w:sz w:val="22"/>
          <w:szCs w:val="22"/>
        </w:rPr>
      </w:pPr>
      <w:r w:rsidRPr="006F6430">
        <w:rPr>
          <w:sz w:val="22"/>
          <w:szCs w:val="22"/>
        </w:rPr>
        <w:t>•</w:t>
      </w:r>
      <w:r w:rsidRPr="006F6430">
        <w:rPr>
          <w:sz w:val="22"/>
          <w:szCs w:val="22"/>
        </w:rPr>
        <w:tab/>
        <w:t xml:space="preserve">The </w:t>
      </w:r>
      <w:r w:rsidR="004C0836">
        <w:rPr>
          <w:sz w:val="22"/>
          <w:szCs w:val="22"/>
        </w:rPr>
        <w:t>G</w:t>
      </w:r>
      <w:r w:rsidRPr="006F6430">
        <w:rPr>
          <w:sz w:val="22"/>
          <w:szCs w:val="22"/>
        </w:rPr>
        <w:t xml:space="preserve">overnment may wish to </w:t>
      </w:r>
      <w:r w:rsidRPr="00781113">
        <w:rPr>
          <w:i/>
          <w:sz w:val="22"/>
          <w:szCs w:val="22"/>
        </w:rPr>
        <w:t>revisit the lower retirement age</w:t>
      </w:r>
      <w:r w:rsidRPr="006F6430">
        <w:rPr>
          <w:sz w:val="22"/>
          <w:szCs w:val="22"/>
        </w:rPr>
        <w:t xml:space="preserve"> for women and family benefits. The analysis of benefits should be viewed from the perspective of women’s total li</w:t>
      </w:r>
      <w:r>
        <w:rPr>
          <w:sz w:val="22"/>
          <w:szCs w:val="22"/>
        </w:rPr>
        <w:t>fespan</w:t>
      </w:r>
      <w:r w:rsidRPr="006F6430">
        <w:rPr>
          <w:sz w:val="22"/>
          <w:szCs w:val="22"/>
        </w:rPr>
        <w:t xml:space="preserve"> including their retirement years. Thus, some benefits may seem appealing (e.g., being able to take extensive time off to care for young children), but these may have an adverse long-term impact on women’s welfare by reducing wage progression and pensions in old age. </w:t>
      </w:r>
    </w:p>
    <w:p w:rsidR="00C91B8A" w:rsidRPr="006F6430" w:rsidRDefault="00C91B8A" w:rsidP="00C91B8A">
      <w:pPr>
        <w:pStyle w:val="MainParawithChapter"/>
        <w:numPr>
          <w:ilvl w:val="0"/>
          <w:numId w:val="0"/>
        </w:numPr>
        <w:jc w:val="both"/>
        <w:rPr>
          <w:sz w:val="22"/>
          <w:szCs w:val="22"/>
        </w:rPr>
      </w:pPr>
    </w:p>
    <w:p w:rsidR="00C91B8A" w:rsidRDefault="00C91B8A" w:rsidP="00C91B8A">
      <w:pPr>
        <w:pStyle w:val="MainParawithChapter"/>
        <w:numPr>
          <w:ilvl w:val="0"/>
          <w:numId w:val="0"/>
        </w:numPr>
        <w:jc w:val="both"/>
        <w:rPr>
          <w:sz w:val="22"/>
          <w:szCs w:val="22"/>
        </w:rPr>
      </w:pPr>
      <w:r w:rsidRPr="006F6430">
        <w:rPr>
          <w:sz w:val="22"/>
          <w:szCs w:val="22"/>
        </w:rPr>
        <w:t>•</w:t>
      </w:r>
      <w:r w:rsidRPr="006F6430">
        <w:rPr>
          <w:sz w:val="22"/>
          <w:szCs w:val="22"/>
        </w:rPr>
        <w:tab/>
        <w:t xml:space="preserve">Gender discrimination can be addressed through multiple means of which legislation is only one component.  In order to change social norms, some options are available:  </w:t>
      </w:r>
      <w:r w:rsidRPr="00781113">
        <w:rPr>
          <w:i/>
          <w:sz w:val="22"/>
          <w:szCs w:val="22"/>
        </w:rPr>
        <w:t>introducing gender studies</w:t>
      </w:r>
      <w:r w:rsidRPr="006F6430">
        <w:rPr>
          <w:sz w:val="22"/>
          <w:szCs w:val="22"/>
        </w:rPr>
        <w:t xml:space="preserve"> in secondary schools and higher education institutions, developing </w:t>
      </w:r>
      <w:r w:rsidRPr="00781113">
        <w:rPr>
          <w:i/>
          <w:sz w:val="22"/>
          <w:szCs w:val="22"/>
        </w:rPr>
        <w:t>special courses on gender equality</w:t>
      </w:r>
      <w:r w:rsidRPr="006F6430">
        <w:rPr>
          <w:sz w:val="22"/>
          <w:szCs w:val="22"/>
        </w:rPr>
        <w:t xml:space="preserve"> for future journalists, and </w:t>
      </w:r>
      <w:r w:rsidRPr="00781113">
        <w:rPr>
          <w:i/>
          <w:sz w:val="22"/>
          <w:szCs w:val="22"/>
        </w:rPr>
        <w:t xml:space="preserve">positive representation of women in </w:t>
      </w:r>
      <w:r>
        <w:rPr>
          <w:i/>
          <w:sz w:val="22"/>
          <w:szCs w:val="22"/>
        </w:rPr>
        <w:t xml:space="preserve">the </w:t>
      </w:r>
      <w:r w:rsidRPr="00781113">
        <w:rPr>
          <w:i/>
          <w:sz w:val="22"/>
          <w:szCs w:val="22"/>
        </w:rPr>
        <w:t>mass media</w:t>
      </w:r>
      <w:r w:rsidRPr="006F6430">
        <w:rPr>
          <w:sz w:val="22"/>
          <w:szCs w:val="22"/>
        </w:rPr>
        <w:t xml:space="preserve"> are just a few options available to </w:t>
      </w:r>
      <w:r>
        <w:rPr>
          <w:sz w:val="22"/>
          <w:szCs w:val="22"/>
        </w:rPr>
        <w:t>help change gender stereotypes.</w:t>
      </w:r>
      <w:r w:rsidRPr="006F6430">
        <w:rPr>
          <w:sz w:val="22"/>
          <w:szCs w:val="22"/>
        </w:rPr>
        <w:t xml:space="preserve"> Women’s achievements in business and success stories could also be highlighted in </w:t>
      </w:r>
      <w:r>
        <w:rPr>
          <w:sz w:val="22"/>
          <w:szCs w:val="22"/>
        </w:rPr>
        <w:t xml:space="preserve">the </w:t>
      </w:r>
      <w:r w:rsidRPr="006F6430">
        <w:rPr>
          <w:sz w:val="22"/>
          <w:szCs w:val="22"/>
        </w:rPr>
        <w:t xml:space="preserve">media to be a positive example for women aspiring </w:t>
      </w:r>
      <w:r>
        <w:rPr>
          <w:sz w:val="22"/>
          <w:szCs w:val="22"/>
        </w:rPr>
        <w:t>for</w:t>
      </w:r>
      <w:r w:rsidRPr="006F6430">
        <w:rPr>
          <w:sz w:val="22"/>
          <w:szCs w:val="22"/>
        </w:rPr>
        <w:t xml:space="preserve"> </w:t>
      </w:r>
      <w:r>
        <w:rPr>
          <w:sz w:val="22"/>
          <w:szCs w:val="22"/>
        </w:rPr>
        <w:t xml:space="preserve">the </w:t>
      </w:r>
      <w:r w:rsidRPr="006F6430">
        <w:rPr>
          <w:sz w:val="22"/>
          <w:szCs w:val="22"/>
        </w:rPr>
        <w:t xml:space="preserve">entrepreneurship.  </w:t>
      </w:r>
    </w:p>
    <w:p w:rsidR="00C91B8A" w:rsidRPr="006F6430" w:rsidRDefault="00C91B8A" w:rsidP="00C91B8A">
      <w:pPr>
        <w:pStyle w:val="MainParawithChapter"/>
        <w:numPr>
          <w:ilvl w:val="0"/>
          <w:numId w:val="0"/>
        </w:numPr>
        <w:jc w:val="both"/>
        <w:rPr>
          <w:sz w:val="22"/>
          <w:szCs w:val="22"/>
        </w:rPr>
      </w:pPr>
    </w:p>
    <w:p w:rsidR="00C91B8A" w:rsidRPr="00E95E30" w:rsidRDefault="00C91B8A" w:rsidP="00C91B8A">
      <w:pPr>
        <w:pStyle w:val="MainParawithChapter"/>
        <w:numPr>
          <w:ilvl w:val="0"/>
          <w:numId w:val="0"/>
        </w:numPr>
        <w:jc w:val="both"/>
        <w:rPr>
          <w:sz w:val="22"/>
          <w:szCs w:val="22"/>
        </w:rPr>
      </w:pPr>
      <w:r w:rsidRPr="006F6430">
        <w:rPr>
          <w:sz w:val="22"/>
          <w:szCs w:val="22"/>
        </w:rPr>
        <w:t>•</w:t>
      </w:r>
      <w:r w:rsidRPr="006F6430">
        <w:rPr>
          <w:sz w:val="22"/>
          <w:szCs w:val="22"/>
        </w:rPr>
        <w:tab/>
        <w:t xml:space="preserve">Greater </w:t>
      </w:r>
      <w:r w:rsidRPr="00781113">
        <w:rPr>
          <w:i/>
          <w:sz w:val="22"/>
          <w:szCs w:val="22"/>
        </w:rPr>
        <w:t>availability of gender disaggregated data</w:t>
      </w:r>
      <w:r w:rsidRPr="006F6430">
        <w:rPr>
          <w:sz w:val="22"/>
          <w:szCs w:val="22"/>
        </w:rPr>
        <w:t xml:space="preserve"> is needed. Success of gender related policies depend on data availability used both for identification of gender issues and monitoring the implementation of gender policies. International agencies could closely work and support the National Statistical Committee (NSC) in order to ensure availability of relevant and regularly updated gender disaggregated statistics in Belarus.</w:t>
      </w:r>
    </w:p>
    <w:p w:rsidR="006F6430" w:rsidRDefault="009A5EEB" w:rsidP="009A5EEB">
      <w:pPr>
        <w:pStyle w:val="MainParawithChapter"/>
        <w:numPr>
          <w:ilvl w:val="0"/>
          <w:numId w:val="0"/>
        </w:numPr>
        <w:jc w:val="both"/>
        <w:rPr>
          <w:sz w:val="22"/>
          <w:szCs w:val="22"/>
        </w:rPr>
      </w:pPr>
      <w:r w:rsidRPr="00E67189">
        <w:rPr>
          <w:sz w:val="22"/>
          <w:szCs w:val="22"/>
        </w:rPr>
        <w:t xml:space="preserve">  </w:t>
      </w:r>
    </w:p>
    <w:p w:rsidR="009A5EEB" w:rsidRDefault="006F6430" w:rsidP="009A5EEB">
      <w:pPr>
        <w:pStyle w:val="MainParawithChapter"/>
        <w:numPr>
          <w:ilvl w:val="0"/>
          <w:numId w:val="0"/>
        </w:numPr>
        <w:jc w:val="both"/>
        <w:rPr>
          <w:sz w:val="22"/>
          <w:szCs w:val="22"/>
        </w:rPr>
      </w:pPr>
      <w:r>
        <w:rPr>
          <w:sz w:val="22"/>
          <w:szCs w:val="22"/>
        </w:rPr>
        <w:br w:type="page"/>
      </w:r>
    </w:p>
    <w:p w:rsidR="0076410A" w:rsidRPr="0076410A" w:rsidRDefault="0076410A" w:rsidP="005B7A57">
      <w:pPr>
        <w:pStyle w:val="MainParawithChapter"/>
        <w:numPr>
          <w:ilvl w:val="0"/>
          <w:numId w:val="0"/>
        </w:numPr>
        <w:jc w:val="both"/>
        <w:rPr>
          <w:sz w:val="22"/>
          <w:szCs w:val="22"/>
        </w:rPr>
      </w:pPr>
    </w:p>
    <w:p w:rsidR="0076410A" w:rsidRDefault="0076410A" w:rsidP="005B7A57">
      <w:pPr>
        <w:pStyle w:val="MainParawithChapter"/>
        <w:numPr>
          <w:ilvl w:val="0"/>
          <w:numId w:val="0"/>
        </w:numPr>
        <w:spacing w:after="240"/>
        <w:jc w:val="both"/>
        <w:rPr>
          <w:rFonts w:ascii="Times New Roman Bold" w:hAnsi="Times New Roman Bold"/>
          <w:b/>
          <w:bCs/>
          <w:iCs/>
          <w:caps/>
          <w:kern w:val="32"/>
        </w:rPr>
      </w:pPr>
      <w:r w:rsidRPr="005B7A57">
        <w:rPr>
          <w:rFonts w:ascii="Times New Roman Bold" w:hAnsi="Times New Roman Bold"/>
          <w:b/>
          <w:bCs/>
          <w:iCs/>
          <w:caps/>
          <w:kern w:val="32"/>
        </w:rPr>
        <w:t>References</w:t>
      </w:r>
    </w:p>
    <w:p w:rsidR="0029520B" w:rsidRDefault="0029520B" w:rsidP="0029520B">
      <w:pPr>
        <w:rPr>
          <w:sz w:val="22"/>
          <w:szCs w:val="22"/>
        </w:rPr>
      </w:pPr>
      <w:r w:rsidRPr="0029520B">
        <w:rPr>
          <w:sz w:val="22"/>
          <w:szCs w:val="22"/>
        </w:rPr>
        <w:t xml:space="preserve">Amialchuk, A., Lisenkova, K., Salnykov, M., &amp; Yemelyanau, M. (2011). Economic determinants of fertility in Belarus: A micro-data analysis. Belorussian Economic Research and Outreach Center working paper No. 013.  </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Bodrug-Lungu, V. Plahotnik, O., Kuznecova, M. and Shurko, T. (2009). Gender discourse in post-Soviet secondary education. International research project supported by CASE (in Russian). Available from: </w:t>
      </w:r>
      <w:hyperlink r:id="rId59" w:history="1">
        <w:r w:rsidRPr="0029520B">
          <w:rPr>
            <w:rStyle w:val="Hyperlink"/>
            <w:sz w:val="22"/>
            <w:szCs w:val="22"/>
          </w:rPr>
          <w:t>http://nmnby.eu/news/analytics/4386.html</w:t>
        </w:r>
      </w:hyperlink>
      <w:r w:rsidRPr="0029520B">
        <w:rPr>
          <w:sz w:val="22"/>
          <w:szCs w:val="22"/>
        </w:rPr>
        <w:t xml:space="preserve"> </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CEDAW (2011). “Concluding observations of the Committee on the Elimination of Discrimination against Women”. Seventh periodic report of States parties Belarus’, CEDAW/C/BLR/7, CEDAW, New York.</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Center of Sociological and Political Research of the Belarusian State University (2008). “Research of domestic violence ” (in Russian). </w:t>
      </w:r>
      <w:r>
        <w:rPr>
          <w:sz w:val="22"/>
          <w:szCs w:val="22"/>
        </w:rPr>
        <w:t>Minsk.Belarus.</w:t>
      </w:r>
      <w:r w:rsidRPr="0029520B">
        <w:rPr>
          <w:sz w:val="22"/>
          <w:szCs w:val="22"/>
        </w:rPr>
        <w:t xml:space="preserve">.  </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Demirguc-Kunt, A and Klapper, L. (2012). “Measuring Financial Inclusion: The Global Findex Database.” World Bank Policy Research Working Paper 6025.</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Denisov, B., Sakevich, V. and Jasilioniene, A. (2012). Divergent Trends in Abortion and Birth Control Practices in Belarus, Russia and Ukraine. </w:t>
      </w:r>
      <w:r w:rsidRPr="0029520B">
        <w:rPr>
          <w:i/>
          <w:sz w:val="22"/>
          <w:szCs w:val="22"/>
        </w:rPr>
        <w:t>PLoS ONE</w:t>
      </w:r>
      <w:r w:rsidRPr="0029520B">
        <w:rPr>
          <w:sz w:val="22"/>
          <w:szCs w:val="22"/>
        </w:rPr>
        <w:t xml:space="preserve"> 7(11): e49986. doi:10.1371/journal.pone.0049986. </w:t>
      </w:r>
    </w:p>
    <w:p w:rsidR="0029520B" w:rsidRPr="0029520B" w:rsidRDefault="0029520B" w:rsidP="0029520B">
      <w:pPr>
        <w:rPr>
          <w:i/>
          <w:sz w:val="22"/>
          <w:szCs w:val="22"/>
        </w:rPr>
      </w:pPr>
    </w:p>
    <w:p w:rsidR="0029520B" w:rsidRDefault="0029520B" w:rsidP="0029520B">
      <w:pPr>
        <w:rPr>
          <w:sz w:val="22"/>
          <w:szCs w:val="22"/>
        </w:rPr>
      </w:pPr>
      <w:r w:rsidRPr="0029520B">
        <w:rPr>
          <w:sz w:val="22"/>
          <w:szCs w:val="22"/>
        </w:rPr>
        <w:t xml:space="preserve">EBRD and World Bank (2009). EBRD-World Bank Business Environment and Enterprise Performance Survey (BEEPS). </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EBRD and World Bank (2018). The Life in Transition survey I.</w:t>
      </w:r>
    </w:p>
    <w:p w:rsidR="0029520B" w:rsidRPr="0029520B" w:rsidRDefault="0029520B" w:rsidP="0029520B">
      <w:pPr>
        <w:rPr>
          <w:sz w:val="22"/>
          <w:szCs w:val="22"/>
        </w:rPr>
      </w:pPr>
      <w:r w:rsidRPr="0029520B">
        <w:rPr>
          <w:sz w:val="22"/>
          <w:szCs w:val="22"/>
        </w:rPr>
        <w:t xml:space="preserve"> </w:t>
      </w:r>
    </w:p>
    <w:p w:rsidR="0029520B" w:rsidRDefault="0029520B" w:rsidP="0029520B">
      <w:pPr>
        <w:rPr>
          <w:sz w:val="22"/>
          <w:szCs w:val="22"/>
        </w:rPr>
      </w:pPr>
      <w:r w:rsidRPr="0029520B">
        <w:rPr>
          <w:sz w:val="22"/>
          <w:szCs w:val="22"/>
        </w:rPr>
        <w:t xml:space="preserve">EBRD and World Bank (2011). The Life in Transition survey II. </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EVS (2010). European Values Study 2008, 4th wave, Belarus. GESIS Data Archive, Cologne, Germany, ZA4782 Data File Version 1.1.0 (2010-11-30), doi:10.4232/1.10175.</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GfK Ukraine (2006). Human trafficking survey: Belarus, Bulgaria, Moldova, Romania, and Ukraine. Kiev, Ukraine.  </w:t>
      </w:r>
    </w:p>
    <w:p w:rsidR="0029520B" w:rsidRPr="0029520B" w:rsidRDefault="0029520B" w:rsidP="0029520B">
      <w:pPr>
        <w:rPr>
          <w:sz w:val="22"/>
          <w:szCs w:val="22"/>
        </w:rPr>
      </w:pPr>
    </w:p>
    <w:p w:rsidR="0029520B" w:rsidRPr="0029520B" w:rsidRDefault="0029520B" w:rsidP="0029520B">
      <w:pPr>
        <w:rPr>
          <w:sz w:val="22"/>
          <w:szCs w:val="22"/>
        </w:rPr>
      </w:pPr>
      <w:r w:rsidRPr="0029520B">
        <w:rPr>
          <w:sz w:val="22"/>
          <w:szCs w:val="22"/>
        </w:rPr>
        <w:t xml:space="preserve">Institute of Economic Research under the Ministry of Economy of Belarus (2010). Status of achieving the Millennium Development Goals. National report of the Republic of Belarus. Minsk.  </w:t>
      </w:r>
    </w:p>
    <w:p w:rsidR="0029520B" w:rsidRDefault="0029520B" w:rsidP="0029520B">
      <w:pPr>
        <w:rPr>
          <w:iCs/>
          <w:sz w:val="22"/>
          <w:szCs w:val="22"/>
        </w:rPr>
      </w:pPr>
      <w:r w:rsidRPr="0029520B">
        <w:rPr>
          <w:sz w:val="22"/>
          <w:szCs w:val="22"/>
        </w:rPr>
        <w:t xml:space="preserve">Kalinina, T. (2012). Gender dimensions of mortality among the population of the Republic of Belarus. </w:t>
      </w:r>
      <w:r w:rsidRPr="0029520B">
        <w:rPr>
          <w:i/>
          <w:iCs/>
          <w:sz w:val="22"/>
          <w:szCs w:val="22"/>
        </w:rPr>
        <w:t xml:space="preserve">Questions of Healthcare Organization and Information Support </w:t>
      </w:r>
      <w:r w:rsidRPr="0029520B">
        <w:rPr>
          <w:iCs/>
          <w:sz w:val="22"/>
          <w:szCs w:val="22"/>
        </w:rPr>
        <w:t xml:space="preserve">2 (in Russian). </w:t>
      </w:r>
    </w:p>
    <w:p w:rsidR="0029520B" w:rsidRDefault="0029520B" w:rsidP="0029520B">
      <w:pPr>
        <w:rPr>
          <w:iCs/>
          <w:sz w:val="22"/>
          <w:szCs w:val="22"/>
        </w:rPr>
      </w:pPr>
      <w:r w:rsidRPr="0029520B">
        <w:rPr>
          <w:iCs/>
          <w:sz w:val="22"/>
          <w:szCs w:val="22"/>
        </w:rPr>
        <w:t xml:space="preserve">Available from: </w:t>
      </w:r>
      <w:hyperlink r:id="rId60" w:history="1">
        <w:r w:rsidRPr="0029520B">
          <w:rPr>
            <w:rStyle w:val="Hyperlink"/>
            <w:iCs/>
            <w:sz w:val="22"/>
            <w:szCs w:val="22"/>
          </w:rPr>
          <w:t>http://minzdrav.gov.by/dadvfiles/000723_427042_Probl_1_N2_12.pdf</w:t>
        </w:r>
      </w:hyperlink>
      <w:r w:rsidRPr="0029520B">
        <w:rPr>
          <w:iCs/>
          <w:sz w:val="22"/>
          <w:szCs w:val="22"/>
        </w:rPr>
        <w:t xml:space="preserve"> </w:t>
      </w:r>
    </w:p>
    <w:p w:rsidR="006677F7" w:rsidRDefault="006677F7" w:rsidP="0029520B">
      <w:pPr>
        <w:rPr>
          <w:iCs/>
          <w:sz w:val="22"/>
          <w:szCs w:val="22"/>
        </w:rPr>
      </w:pPr>
    </w:p>
    <w:p w:rsidR="006677F7" w:rsidRDefault="006677F7" w:rsidP="0029520B">
      <w:pPr>
        <w:rPr>
          <w:iCs/>
          <w:sz w:val="22"/>
          <w:szCs w:val="22"/>
        </w:rPr>
      </w:pPr>
      <w:r>
        <w:rPr>
          <w:iCs/>
          <w:sz w:val="22"/>
          <w:szCs w:val="22"/>
        </w:rPr>
        <w:t xml:space="preserve">INNOCENTI (2000). Domestic Violence against Women and Girls. INNOCENTI digest 6. Available from </w:t>
      </w:r>
      <w:hyperlink r:id="rId61" w:history="1">
        <w:r w:rsidRPr="00016E9B">
          <w:rPr>
            <w:rStyle w:val="Hyperlink"/>
            <w:iCs/>
            <w:sz w:val="22"/>
            <w:szCs w:val="22"/>
          </w:rPr>
          <w:t>http://www.unicef-irc.org/publications/pdf/digest6e.pdf</w:t>
        </w:r>
      </w:hyperlink>
      <w:r>
        <w:rPr>
          <w:iCs/>
          <w:sz w:val="22"/>
          <w:szCs w:val="22"/>
        </w:rPr>
        <w:t xml:space="preserve"> </w:t>
      </w:r>
    </w:p>
    <w:p w:rsidR="006677F7" w:rsidRPr="0029520B" w:rsidRDefault="006677F7" w:rsidP="0029520B">
      <w:pPr>
        <w:rPr>
          <w:i/>
          <w:iCs/>
          <w:sz w:val="22"/>
          <w:szCs w:val="22"/>
        </w:rPr>
      </w:pPr>
    </w:p>
    <w:p w:rsidR="0029520B" w:rsidRDefault="0029520B" w:rsidP="0029520B">
      <w:pPr>
        <w:rPr>
          <w:sz w:val="22"/>
          <w:szCs w:val="22"/>
        </w:rPr>
      </w:pPr>
      <w:r w:rsidRPr="0029520B">
        <w:rPr>
          <w:sz w:val="22"/>
          <w:szCs w:val="22"/>
        </w:rPr>
        <w:t xml:space="preserve">Karazei, O. and Kashevskaya, O. (2012). The system of collection, processing and transferring the statistics on domestic violence: the current situation and the outlook (in Russian). Minsk </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lastRenderedPageBreak/>
        <w:t xml:space="preserve">Jann, B. (2008). The Blinder-Oaxaca decomposition of linear regression models. </w:t>
      </w:r>
      <w:r w:rsidRPr="0029520B">
        <w:rPr>
          <w:i/>
          <w:sz w:val="22"/>
          <w:szCs w:val="22"/>
        </w:rPr>
        <w:t>The Stata Journal,</w:t>
      </w:r>
      <w:r w:rsidRPr="0029520B">
        <w:rPr>
          <w:sz w:val="22"/>
          <w:szCs w:val="22"/>
        </w:rPr>
        <w:t xml:space="preserve"> 8(4): 453-479</w:t>
      </w:r>
      <w:r>
        <w:rPr>
          <w:sz w:val="22"/>
          <w:szCs w:val="22"/>
        </w:rPr>
        <w:t>.</w:t>
      </w:r>
    </w:p>
    <w:p w:rsidR="0029520B" w:rsidRPr="0029520B" w:rsidRDefault="0029520B" w:rsidP="0029520B">
      <w:pPr>
        <w:rPr>
          <w:b/>
          <w:sz w:val="22"/>
          <w:szCs w:val="22"/>
        </w:rPr>
      </w:pPr>
    </w:p>
    <w:p w:rsidR="0029520B" w:rsidRDefault="0029520B" w:rsidP="0029520B">
      <w:pPr>
        <w:rPr>
          <w:sz w:val="22"/>
          <w:szCs w:val="22"/>
        </w:rPr>
      </w:pPr>
      <w:r w:rsidRPr="0029520B">
        <w:rPr>
          <w:sz w:val="22"/>
          <w:szCs w:val="22"/>
        </w:rPr>
        <w:t>National Statistical Committee (2010). Women and Men in the Republic of Belarus. Minsk.</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National Statistical Committee (2011a). Population of the Republic of Belarus. Minsk.</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National Statistical Committee (2011b). Population Health in the Republic of Belarus. Minsk.</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National Statistical Committee (2012a). Labour and Employment in the Republic of Belarus. Minsk.</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National Statistical Committee (2012b). Children and Youth in the Republic of Belarus. Minsk.</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National Statistical Committee (2012c). Social conditions and living standards in the Republic of Belarus. Minsk.</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OECD. Social institutions and gender index. Available from: </w:t>
      </w:r>
      <w:hyperlink r:id="rId62" w:history="1">
        <w:r w:rsidRPr="0029520B">
          <w:rPr>
            <w:rStyle w:val="Hyperlink"/>
            <w:sz w:val="22"/>
            <w:szCs w:val="22"/>
          </w:rPr>
          <w:t>http://genderindex.org/</w:t>
        </w:r>
      </w:hyperlink>
      <w:r w:rsidRPr="0029520B">
        <w:rPr>
          <w:sz w:val="22"/>
          <w:szCs w:val="22"/>
        </w:rPr>
        <w:t xml:space="preserve"> </w:t>
      </w:r>
    </w:p>
    <w:p w:rsidR="004C1085" w:rsidRPr="0029520B" w:rsidRDefault="004C1085" w:rsidP="0029520B">
      <w:pPr>
        <w:rPr>
          <w:sz w:val="22"/>
          <w:szCs w:val="22"/>
        </w:rPr>
      </w:pPr>
    </w:p>
    <w:p w:rsidR="0029520B" w:rsidRDefault="0029520B" w:rsidP="0029520B">
      <w:pPr>
        <w:rPr>
          <w:sz w:val="22"/>
          <w:szCs w:val="22"/>
        </w:rPr>
      </w:pPr>
      <w:r w:rsidRPr="0029520B">
        <w:rPr>
          <w:sz w:val="22"/>
          <w:szCs w:val="22"/>
        </w:rPr>
        <w:t xml:space="preserve">Pastore, F. &amp; Verashchagina, A. (2006). “Private Returns to Human Capital over Transition. A Case Study of Belarus”, </w:t>
      </w:r>
      <w:r w:rsidRPr="0029520B">
        <w:rPr>
          <w:i/>
          <w:sz w:val="22"/>
          <w:szCs w:val="22"/>
        </w:rPr>
        <w:t>Economics of Education Review</w:t>
      </w:r>
      <w:r w:rsidRPr="0029520B">
        <w:rPr>
          <w:sz w:val="22"/>
          <w:szCs w:val="22"/>
        </w:rPr>
        <w:t>, 25(1): 91-107.</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Pastore, F. &amp; Verashchagina, A. (2007). When Does Transition Increase the Gender Wage Gap? An Application to Belarus. IZA Discussion Paper No. 2796. Bonn, Germany.</w:t>
      </w:r>
    </w:p>
    <w:p w:rsidR="0029520B" w:rsidRPr="0029520B" w:rsidRDefault="0029520B" w:rsidP="0029520B">
      <w:pPr>
        <w:rPr>
          <w:sz w:val="22"/>
          <w:szCs w:val="22"/>
        </w:rPr>
      </w:pPr>
    </w:p>
    <w:p w:rsidR="0029520B" w:rsidRDefault="0029520B" w:rsidP="0029520B">
      <w:pPr>
        <w:rPr>
          <w:sz w:val="22"/>
          <w:szCs w:val="22"/>
        </w:rPr>
      </w:pPr>
      <w:r w:rsidRPr="008716BB">
        <w:rPr>
          <w:sz w:val="22"/>
          <w:szCs w:val="22"/>
          <w:lang w:val="pt-PT"/>
        </w:rPr>
        <w:t xml:space="preserve">Petina, L., Tonkachva, E. Smolyanko, O., Serzhan, T., Efimova, N., Eskova, E. (2010). </w:t>
      </w:r>
      <w:r w:rsidRPr="0029520B">
        <w:rPr>
          <w:sz w:val="22"/>
          <w:szCs w:val="22"/>
        </w:rPr>
        <w:t>Shadow Report the Republic of Belarus. On the Implementation of the Convention on the Elimination of All Forms of Discrimination against Women.</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Research Center of the Institute for Privatization and Management. (2012). Poverty and social exclusion in Belarus (in Russian). Minsk.  Available from: </w:t>
      </w:r>
      <w:hyperlink r:id="rId63" w:history="1">
        <w:r w:rsidRPr="0029520B">
          <w:rPr>
            <w:rStyle w:val="Hyperlink"/>
            <w:sz w:val="22"/>
            <w:szCs w:val="22"/>
          </w:rPr>
          <w:t>http://www.research.by/webroot/delivery/files/poverty2012r.pdf</w:t>
        </w:r>
      </w:hyperlink>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Salomatina, I. (2011). «The gender bias in Belarus or how women are discriminated” (in Russian). Center for European Studies.  </w:t>
      </w:r>
    </w:p>
    <w:p w:rsidR="0029520B" w:rsidRPr="0029520B" w:rsidRDefault="0029520B" w:rsidP="0029520B">
      <w:pPr>
        <w:rPr>
          <w:sz w:val="22"/>
          <w:szCs w:val="22"/>
        </w:rPr>
      </w:pPr>
    </w:p>
    <w:p w:rsidR="0029520B" w:rsidRDefault="0029520B" w:rsidP="0029520B">
      <w:pPr>
        <w:rPr>
          <w:rStyle w:val="Hyperlink"/>
          <w:sz w:val="22"/>
          <w:szCs w:val="22"/>
        </w:rPr>
      </w:pPr>
      <w:r w:rsidRPr="0029520B">
        <w:rPr>
          <w:sz w:val="22"/>
          <w:szCs w:val="22"/>
        </w:rPr>
        <w:t xml:space="preserve">Sattar, S. (2012). Opportunities for Men and Women: Emerging Europe and Central Asia. Washington. Available from:  </w:t>
      </w:r>
      <w:hyperlink r:id="rId64" w:history="1">
        <w:r w:rsidRPr="0029520B">
          <w:rPr>
            <w:rStyle w:val="Hyperlink"/>
            <w:sz w:val="22"/>
            <w:szCs w:val="22"/>
          </w:rPr>
          <w:t>http://siteresources.worldbank.org/ECAEXT/Resources/258598-1322580725430/WB_genderReportFINAL.pdf</w:t>
        </w:r>
      </w:hyperlink>
    </w:p>
    <w:p w:rsidR="0029520B" w:rsidRPr="0029520B" w:rsidRDefault="0029520B" w:rsidP="0029520B">
      <w:pPr>
        <w:rPr>
          <w:sz w:val="22"/>
          <w:szCs w:val="22"/>
        </w:rPr>
      </w:pPr>
    </w:p>
    <w:p w:rsidR="0029520B" w:rsidRPr="0029520B" w:rsidRDefault="0029520B" w:rsidP="0029520B">
      <w:pPr>
        <w:rPr>
          <w:sz w:val="22"/>
          <w:szCs w:val="22"/>
        </w:rPr>
      </w:pPr>
      <w:r w:rsidRPr="0029520B">
        <w:rPr>
          <w:sz w:val="22"/>
          <w:szCs w:val="22"/>
        </w:rPr>
        <w:t xml:space="preserve">Save the Children. (2012). Nutrition in the first 1000 days. State of the Worlds’  Mothers report. </w:t>
      </w:r>
    </w:p>
    <w:p w:rsidR="0029520B" w:rsidRDefault="0029520B" w:rsidP="0029520B">
      <w:pPr>
        <w:rPr>
          <w:rStyle w:val="Hyperlink"/>
          <w:sz w:val="22"/>
          <w:szCs w:val="22"/>
        </w:rPr>
      </w:pPr>
      <w:r w:rsidRPr="0029520B">
        <w:rPr>
          <w:sz w:val="22"/>
          <w:szCs w:val="22"/>
        </w:rPr>
        <w:t xml:space="preserve">UNECE. Statistical database. Available from: </w:t>
      </w:r>
      <w:hyperlink r:id="rId65" w:history="1">
        <w:r w:rsidRPr="0029520B">
          <w:rPr>
            <w:rStyle w:val="Hyperlink"/>
            <w:sz w:val="22"/>
            <w:szCs w:val="22"/>
          </w:rPr>
          <w:t>http://w3.unece.org/pxweb/database/STAT/30-GE/05-PublicAnddecision/?lang=1</w:t>
        </w:r>
      </w:hyperlink>
    </w:p>
    <w:p w:rsidR="006677F7" w:rsidRDefault="006677F7" w:rsidP="0029520B">
      <w:pPr>
        <w:rPr>
          <w:rStyle w:val="Hyperlink"/>
          <w:sz w:val="22"/>
          <w:szCs w:val="22"/>
        </w:rPr>
      </w:pPr>
    </w:p>
    <w:p w:rsidR="006677F7" w:rsidRPr="006677F7" w:rsidRDefault="006677F7" w:rsidP="0029520B">
      <w:r>
        <w:t>United N</w:t>
      </w:r>
      <w:r w:rsidRPr="006677F7">
        <w:t>ations</w:t>
      </w:r>
      <w:r>
        <w:t xml:space="preserve">. (1993). </w:t>
      </w:r>
      <w:r w:rsidRPr="006677F7">
        <w:t>Declaration on the Elimination of Violence against Women</w:t>
      </w:r>
      <w:r>
        <w:t xml:space="preserve">. </w:t>
      </w:r>
      <w:r w:rsidRPr="006677F7">
        <w:t xml:space="preserve">  General Assembly Resolution 48/104 of 20 December 1993.</w:t>
      </w:r>
      <w:r>
        <w:t xml:space="preserve"> Available from: </w:t>
      </w:r>
      <w:hyperlink r:id="rId66" w:history="1">
        <w:r w:rsidRPr="00016E9B">
          <w:rPr>
            <w:rStyle w:val="Hyperlink"/>
          </w:rPr>
          <w:t>http://www.un.org/documents/ga/res/48/a48r104.htm</w:t>
        </w:r>
      </w:hyperlink>
      <w:r>
        <w:t xml:space="preserve"> </w:t>
      </w:r>
    </w:p>
    <w:p w:rsidR="0029520B" w:rsidRPr="0029520B" w:rsidRDefault="0029520B" w:rsidP="0029520B">
      <w:pPr>
        <w:rPr>
          <w:sz w:val="22"/>
          <w:szCs w:val="22"/>
        </w:rPr>
      </w:pPr>
    </w:p>
    <w:p w:rsidR="0029520B" w:rsidRPr="0029520B" w:rsidRDefault="0029520B" w:rsidP="0029520B">
      <w:pPr>
        <w:rPr>
          <w:sz w:val="22"/>
          <w:szCs w:val="22"/>
        </w:rPr>
      </w:pPr>
      <w:r w:rsidRPr="0029520B">
        <w:rPr>
          <w:sz w:val="22"/>
          <w:szCs w:val="22"/>
        </w:rPr>
        <w:t xml:space="preserve">UNICEF. </w:t>
      </w:r>
      <w:hyperlink r:id="rId67" w:history="1">
        <w:r w:rsidRPr="0029520B">
          <w:rPr>
            <w:rStyle w:val="Hyperlink"/>
            <w:sz w:val="22"/>
            <w:szCs w:val="22"/>
          </w:rPr>
          <w:t>http://www.unicef.org/statistics/index_countrystats.html</w:t>
        </w:r>
      </w:hyperlink>
      <w:r w:rsidRPr="0029520B">
        <w:rPr>
          <w:sz w:val="22"/>
          <w:szCs w:val="22"/>
        </w:rPr>
        <w:t xml:space="preserve">  </w:t>
      </w:r>
    </w:p>
    <w:p w:rsidR="0029520B" w:rsidRDefault="0029520B" w:rsidP="0029520B">
      <w:pPr>
        <w:rPr>
          <w:sz w:val="22"/>
          <w:szCs w:val="22"/>
        </w:rPr>
      </w:pPr>
      <w:r w:rsidRPr="0029520B">
        <w:rPr>
          <w:sz w:val="22"/>
          <w:szCs w:val="22"/>
        </w:rPr>
        <w:lastRenderedPageBreak/>
        <w:t xml:space="preserve">UNFPA (2013). Researchers made a social portrait of the victims of domestic violence (in Russian). Resource center for journalists. </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United States Department of States (2012). Trafficking in persons report 2012. Available from: </w:t>
      </w:r>
      <w:hyperlink r:id="rId68" w:history="1">
        <w:r w:rsidRPr="0029520B">
          <w:rPr>
            <w:rStyle w:val="Hyperlink"/>
            <w:sz w:val="22"/>
            <w:szCs w:val="22"/>
          </w:rPr>
          <w:t>http://www.state.gov/j/tip/rls/tiprpt/2012/192366.htm</w:t>
        </w:r>
      </w:hyperlink>
      <w:r w:rsidRPr="0029520B">
        <w:rPr>
          <w:sz w:val="22"/>
          <w:szCs w:val="22"/>
        </w:rPr>
        <w:t xml:space="preserve"> </w:t>
      </w:r>
    </w:p>
    <w:p w:rsidR="0029520B" w:rsidRPr="0029520B" w:rsidRDefault="0029520B" w:rsidP="0029520B">
      <w:pPr>
        <w:rPr>
          <w:sz w:val="22"/>
          <w:szCs w:val="22"/>
        </w:rPr>
      </w:pPr>
    </w:p>
    <w:p w:rsidR="0029520B" w:rsidRPr="0029520B" w:rsidRDefault="0029520B" w:rsidP="0029520B">
      <w:pPr>
        <w:rPr>
          <w:sz w:val="22"/>
          <w:szCs w:val="22"/>
        </w:rPr>
      </w:pPr>
      <w:r w:rsidRPr="0029520B">
        <w:rPr>
          <w:sz w:val="22"/>
          <w:szCs w:val="22"/>
        </w:rPr>
        <w:t xml:space="preserve">WHO (2012). Mortality attributable to tobacco. WHO global report. World Health Organization. </w:t>
      </w:r>
    </w:p>
    <w:p w:rsidR="0029520B" w:rsidRDefault="0029520B" w:rsidP="0029520B">
      <w:pPr>
        <w:rPr>
          <w:sz w:val="22"/>
          <w:szCs w:val="22"/>
        </w:rPr>
      </w:pPr>
      <w:r w:rsidRPr="0029520B">
        <w:rPr>
          <w:sz w:val="22"/>
          <w:szCs w:val="22"/>
        </w:rPr>
        <w:t xml:space="preserve">World Bank. (2011a). Belarus Public Expenditure Review. Fiscal Reforms for a Sustainable Economic Recovery. Washington. </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World Bank. (2011b). Social Assistance Policy Note: Improving Targeting Accuracy of Social Assistance Programs in Belarus. Washington. </w:t>
      </w:r>
    </w:p>
    <w:p w:rsidR="0029520B" w:rsidRPr="0029520B" w:rsidRDefault="0029520B" w:rsidP="0029520B">
      <w:pPr>
        <w:rPr>
          <w:sz w:val="22"/>
          <w:szCs w:val="22"/>
        </w:rPr>
      </w:pPr>
    </w:p>
    <w:p w:rsidR="0029520B" w:rsidRDefault="0029520B" w:rsidP="0029520B">
      <w:pPr>
        <w:rPr>
          <w:sz w:val="22"/>
          <w:szCs w:val="22"/>
        </w:rPr>
      </w:pPr>
      <w:r w:rsidRPr="0029520B">
        <w:rPr>
          <w:sz w:val="22"/>
          <w:szCs w:val="22"/>
        </w:rPr>
        <w:t xml:space="preserve">World Bank, (2012a). World Development report 2012: Gender equality and development.  </w:t>
      </w:r>
    </w:p>
    <w:p w:rsidR="004C1085" w:rsidRPr="0029520B" w:rsidRDefault="004C1085" w:rsidP="0029520B">
      <w:pPr>
        <w:rPr>
          <w:sz w:val="22"/>
          <w:szCs w:val="22"/>
        </w:rPr>
      </w:pPr>
    </w:p>
    <w:p w:rsidR="00773693" w:rsidRDefault="0029520B" w:rsidP="0029520B">
      <w:pPr>
        <w:rPr>
          <w:sz w:val="22"/>
          <w:szCs w:val="22"/>
        </w:rPr>
      </w:pPr>
      <w:r w:rsidRPr="0029520B">
        <w:rPr>
          <w:sz w:val="22"/>
          <w:szCs w:val="22"/>
        </w:rPr>
        <w:t xml:space="preserve">World Bank, (2012b). Belarus Country Economic Memorandum: Economic Transformation for Growth. Washington, DC.  </w:t>
      </w:r>
    </w:p>
    <w:p w:rsidR="00326FE5" w:rsidRDefault="00326FE5" w:rsidP="0029520B">
      <w:pPr>
        <w:rPr>
          <w:sz w:val="22"/>
          <w:szCs w:val="22"/>
        </w:rPr>
      </w:pPr>
    </w:p>
    <w:p w:rsidR="00326FE5" w:rsidRDefault="00326FE5" w:rsidP="00431F0E">
      <w:pPr>
        <w:rPr>
          <w:sz w:val="22"/>
          <w:szCs w:val="22"/>
        </w:rPr>
      </w:pPr>
      <w:r>
        <w:rPr>
          <w:sz w:val="22"/>
          <w:szCs w:val="22"/>
        </w:rPr>
        <w:t xml:space="preserve">World Bank, (2013). </w:t>
      </w:r>
      <w:r w:rsidR="00431F0E">
        <w:rPr>
          <w:sz w:val="22"/>
          <w:szCs w:val="22"/>
        </w:rPr>
        <w:t xml:space="preserve"> C</w:t>
      </w:r>
      <w:r w:rsidR="00431F0E" w:rsidRPr="00431F0E">
        <w:rPr>
          <w:sz w:val="22"/>
          <w:szCs w:val="22"/>
        </w:rPr>
        <w:t>ountry partnership strategy</w:t>
      </w:r>
      <w:r w:rsidR="00431F0E">
        <w:rPr>
          <w:sz w:val="22"/>
          <w:szCs w:val="22"/>
        </w:rPr>
        <w:t xml:space="preserve"> </w:t>
      </w:r>
      <w:r w:rsidR="00431F0E" w:rsidRPr="00431F0E">
        <w:rPr>
          <w:sz w:val="22"/>
          <w:szCs w:val="22"/>
        </w:rPr>
        <w:t>for</w:t>
      </w:r>
      <w:r w:rsidR="00431F0E">
        <w:rPr>
          <w:sz w:val="22"/>
          <w:szCs w:val="22"/>
        </w:rPr>
        <w:t xml:space="preserve"> the Republic of B</w:t>
      </w:r>
      <w:r w:rsidR="00431F0E" w:rsidRPr="00431F0E">
        <w:rPr>
          <w:sz w:val="22"/>
          <w:szCs w:val="22"/>
        </w:rPr>
        <w:t>elarus</w:t>
      </w:r>
      <w:r w:rsidR="00431F0E">
        <w:rPr>
          <w:sz w:val="22"/>
          <w:szCs w:val="22"/>
        </w:rPr>
        <w:t xml:space="preserve"> for the period FY14-FY</w:t>
      </w:r>
      <w:r w:rsidR="00431F0E" w:rsidRPr="00431F0E">
        <w:rPr>
          <w:sz w:val="22"/>
          <w:szCs w:val="22"/>
        </w:rPr>
        <w:t>17</w:t>
      </w:r>
      <w:r w:rsidR="00431F0E">
        <w:rPr>
          <w:sz w:val="22"/>
          <w:szCs w:val="22"/>
        </w:rPr>
        <w:t xml:space="preserve">. Washington, DC. </w:t>
      </w:r>
    </w:p>
    <w:p w:rsidR="0029520B" w:rsidRPr="0029520B" w:rsidRDefault="0029520B" w:rsidP="0029520B">
      <w:pPr>
        <w:rPr>
          <w:sz w:val="22"/>
          <w:szCs w:val="22"/>
        </w:rPr>
      </w:pPr>
    </w:p>
    <w:p w:rsidR="0029520B" w:rsidRDefault="0029520B" w:rsidP="0029520B">
      <w:pPr>
        <w:rPr>
          <w:sz w:val="22"/>
          <w:szCs w:val="22"/>
          <w:lang w:val="fr-FR"/>
        </w:rPr>
      </w:pPr>
      <w:r w:rsidRPr="0029520B">
        <w:rPr>
          <w:sz w:val="22"/>
          <w:szCs w:val="22"/>
        </w:rPr>
        <w:t xml:space="preserve">World Bank and IFC. Women, Business and the Law. Creating economic opportunities for women.  </w:t>
      </w:r>
      <w:hyperlink r:id="rId69" w:anchor="accessing-institutions" w:history="1">
        <w:r w:rsidRPr="0029520B">
          <w:rPr>
            <w:rStyle w:val="Hyperlink"/>
            <w:sz w:val="22"/>
            <w:szCs w:val="22"/>
            <w:lang w:val="fr-FR"/>
          </w:rPr>
          <w:t>http://wbl.worldbank.org/data/exploreeconomies/belarus/2011#accessing-institutions</w:t>
        </w:r>
      </w:hyperlink>
      <w:r w:rsidRPr="0029520B">
        <w:rPr>
          <w:sz w:val="22"/>
          <w:szCs w:val="22"/>
          <w:lang w:val="fr-FR"/>
        </w:rPr>
        <w:t xml:space="preserve"> </w:t>
      </w:r>
    </w:p>
    <w:p w:rsidR="0029520B" w:rsidRPr="0029520B" w:rsidRDefault="0029520B" w:rsidP="0029520B">
      <w:pPr>
        <w:rPr>
          <w:sz w:val="22"/>
          <w:szCs w:val="22"/>
          <w:lang w:val="fr-FR"/>
        </w:rPr>
      </w:pPr>
    </w:p>
    <w:p w:rsidR="0029520B" w:rsidRPr="0029520B" w:rsidRDefault="0029520B" w:rsidP="0029520B">
      <w:pPr>
        <w:rPr>
          <w:sz w:val="22"/>
          <w:szCs w:val="22"/>
        </w:rPr>
      </w:pPr>
      <w:r w:rsidRPr="0029520B">
        <w:rPr>
          <w:sz w:val="22"/>
          <w:szCs w:val="22"/>
        </w:rPr>
        <w:t>Yanchuk, O. (2011). Concerns and needs of the modern girls and young women in Belarus: results of the qualitative survey (in Russian). Association of Belarusian Guides:</w:t>
      </w:r>
      <w:r w:rsidRPr="0029520B">
        <w:rPr>
          <w:sz w:val="22"/>
          <w:szCs w:val="22"/>
          <w:lang w:val="ru-RU"/>
        </w:rPr>
        <w:t xml:space="preserve"> </w:t>
      </w:r>
      <w:r w:rsidRPr="0029520B">
        <w:rPr>
          <w:sz w:val="22"/>
          <w:szCs w:val="22"/>
        </w:rPr>
        <w:t>Minsk</w:t>
      </w:r>
      <w:r w:rsidRPr="0029520B">
        <w:rPr>
          <w:sz w:val="22"/>
          <w:szCs w:val="22"/>
          <w:lang w:val="ru-RU"/>
        </w:rPr>
        <w:t>.</w:t>
      </w:r>
    </w:p>
    <w:p w:rsidR="0029520B" w:rsidRPr="009E707B" w:rsidRDefault="0029520B" w:rsidP="0029520B">
      <w:pPr>
        <w:rPr>
          <w:lang w:val="ru-RU"/>
        </w:rPr>
      </w:pPr>
    </w:p>
    <w:p w:rsidR="00816973" w:rsidRPr="008E58CE" w:rsidRDefault="00816973" w:rsidP="00816973">
      <w:pPr>
        <w:rPr>
          <w:sz w:val="22"/>
          <w:szCs w:val="22"/>
        </w:rPr>
      </w:pPr>
    </w:p>
    <w:p w:rsidR="00816973" w:rsidRDefault="00816973" w:rsidP="00816973">
      <w:pPr>
        <w:rPr>
          <w:rFonts w:ascii="Cambria" w:hAnsi="Cambria"/>
          <w:b/>
          <w:bCs/>
          <w:color w:val="4F81BD"/>
          <w:sz w:val="26"/>
          <w:szCs w:val="26"/>
        </w:rPr>
      </w:pPr>
      <w:r>
        <w:br w:type="page"/>
      </w:r>
    </w:p>
    <w:p w:rsidR="00816973" w:rsidRPr="002D42E4" w:rsidRDefault="00816973" w:rsidP="00816973">
      <w:pPr>
        <w:pStyle w:val="Heading2"/>
        <w:spacing w:after="120" w:line="360" w:lineRule="auto"/>
        <w:rPr>
          <w:rFonts w:ascii="Times New Roman Bold" w:hAnsi="Times New Roman Bold"/>
          <w:smallCaps/>
        </w:rPr>
      </w:pPr>
      <w:bookmarkStart w:id="77" w:name="_Toc351104618"/>
      <w:bookmarkStart w:id="78" w:name="_Toc383011594"/>
      <w:r w:rsidRPr="002D42E4">
        <w:rPr>
          <w:rFonts w:ascii="Times New Roman Bold" w:hAnsi="Times New Roman Bold"/>
          <w:smallCaps/>
        </w:rPr>
        <w:lastRenderedPageBreak/>
        <w:t>Appendix</w:t>
      </w:r>
      <w:bookmarkEnd w:id="77"/>
      <w:bookmarkEnd w:id="78"/>
    </w:p>
    <w:tbl>
      <w:tblPr>
        <w:tblW w:w="6619" w:type="dxa"/>
        <w:tblInd w:w="108" w:type="dxa"/>
        <w:tblLook w:val="0000" w:firstRow="0" w:lastRow="0" w:firstColumn="0" w:lastColumn="0" w:noHBand="0" w:noVBand="0"/>
      </w:tblPr>
      <w:tblGrid>
        <w:gridCol w:w="2223"/>
        <w:gridCol w:w="1100"/>
        <w:gridCol w:w="1100"/>
        <w:gridCol w:w="1100"/>
        <w:gridCol w:w="1100"/>
      </w:tblGrid>
      <w:tr w:rsidR="00816973" w:rsidRPr="00E92F87" w:rsidTr="008F24ED">
        <w:trPr>
          <w:trHeight w:val="255"/>
        </w:trPr>
        <w:tc>
          <w:tcPr>
            <w:tcW w:w="6619" w:type="dxa"/>
            <w:gridSpan w:val="5"/>
            <w:tcBorders>
              <w:top w:val="single" w:sz="4" w:space="0" w:color="4F81BD"/>
              <w:left w:val="nil"/>
              <w:bottom w:val="single" w:sz="4" w:space="0" w:color="4F81BD"/>
              <w:right w:val="nil"/>
            </w:tcBorders>
            <w:noWrap/>
            <w:vAlign w:val="bottom"/>
          </w:tcPr>
          <w:p w:rsidR="00816973" w:rsidRPr="00997957" w:rsidRDefault="00816973" w:rsidP="008F24ED">
            <w:pPr>
              <w:pStyle w:val="Caption"/>
              <w:keepNext/>
              <w:rPr>
                <w:sz w:val="20"/>
                <w:szCs w:val="20"/>
                <w:lang w:eastAsia="ru-RU"/>
              </w:rPr>
            </w:pPr>
            <w:bookmarkStart w:id="79" w:name="_Toc352690486"/>
            <w:r w:rsidRPr="00997957">
              <w:rPr>
                <w:szCs w:val="22"/>
              </w:rPr>
              <w:t>Table A1. Ordered probability model for life satisfaction, 2008</w:t>
            </w:r>
            <w:bookmarkEnd w:id="79"/>
          </w:p>
        </w:tc>
      </w:tr>
      <w:tr w:rsidR="00816973" w:rsidRPr="00E92F87" w:rsidTr="008F24ED">
        <w:trPr>
          <w:trHeight w:val="255"/>
        </w:trPr>
        <w:tc>
          <w:tcPr>
            <w:tcW w:w="2223" w:type="dxa"/>
            <w:tcBorders>
              <w:top w:val="single" w:sz="4" w:space="0" w:color="4F81BD"/>
              <w:left w:val="nil"/>
              <w:bottom w:val="nil"/>
              <w:right w:val="nil"/>
            </w:tcBorders>
            <w:noWrap/>
            <w:vAlign w:val="bottom"/>
          </w:tcPr>
          <w:p w:rsidR="00816973" w:rsidRPr="00E92F87" w:rsidRDefault="00816973" w:rsidP="008F24ED">
            <w:pPr>
              <w:rPr>
                <w:sz w:val="20"/>
                <w:szCs w:val="20"/>
                <w:lang w:eastAsia="ru-RU"/>
              </w:rPr>
            </w:pPr>
          </w:p>
        </w:tc>
        <w:tc>
          <w:tcPr>
            <w:tcW w:w="1099" w:type="dxa"/>
            <w:tcBorders>
              <w:top w:val="single" w:sz="4" w:space="0" w:color="4F81BD"/>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1</w:t>
            </w:r>
          </w:p>
        </w:tc>
        <w:tc>
          <w:tcPr>
            <w:tcW w:w="1099" w:type="dxa"/>
            <w:tcBorders>
              <w:top w:val="single" w:sz="4" w:space="0" w:color="4F81BD"/>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2</w:t>
            </w:r>
          </w:p>
        </w:tc>
        <w:tc>
          <w:tcPr>
            <w:tcW w:w="1099" w:type="dxa"/>
            <w:tcBorders>
              <w:top w:val="single" w:sz="4" w:space="0" w:color="4F81BD"/>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3</w:t>
            </w:r>
          </w:p>
        </w:tc>
        <w:tc>
          <w:tcPr>
            <w:tcW w:w="1099" w:type="dxa"/>
            <w:tcBorders>
              <w:top w:val="single" w:sz="4" w:space="0" w:color="4F81BD"/>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4</w:t>
            </w:r>
          </w:p>
        </w:tc>
      </w:tr>
      <w:tr w:rsidR="00816973" w:rsidRPr="00E92F87" w:rsidTr="008F24ED">
        <w:trPr>
          <w:trHeight w:val="255"/>
        </w:trPr>
        <w:tc>
          <w:tcPr>
            <w:tcW w:w="2223" w:type="dxa"/>
            <w:vMerge w:val="restart"/>
            <w:tcBorders>
              <w:top w:val="nil"/>
              <w:left w:val="nil"/>
              <w:bottom w:val="nil"/>
              <w:right w:val="nil"/>
            </w:tcBorders>
            <w:noWrap/>
          </w:tcPr>
          <w:p w:rsidR="00816973" w:rsidRPr="00E92F87" w:rsidRDefault="00816973" w:rsidP="008F24ED">
            <w:pPr>
              <w:rPr>
                <w:sz w:val="20"/>
                <w:szCs w:val="20"/>
                <w:lang w:eastAsia="ru-RU"/>
              </w:rPr>
            </w:pPr>
            <w:r w:rsidRPr="00E92F87">
              <w:rPr>
                <w:sz w:val="20"/>
                <w:szCs w:val="20"/>
                <w:lang w:eastAsia="ru-RU"/>
              </w:rPr>
              <w:t>Female</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0.00671</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0.0129</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0.2</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0.213</w:t>
            </w:r>
          </w:p>
        </w:tc>
      </w:tr>
      <w:tr w:rsidR="00816973" w:rsidRPr="00E92F87" w:rsidTr="008F24ED">
        <w:trPr>
          <w:trHeight w:val="255"/>
        </w:trPr>
        <w:tc>
          <w:tcPr>
            <w:tcW w:w="2223" w:type="dxa"/>
            <w:vMerge/>
            <w:tcBorders>
              <w:top w:val="nil"/>
              <w:left w:val="nil"/>
              <w:bottom w:val="nil"/>
              <w:right w:val="nil"/>
            </w:tcBorders>
          </w:tcPr>
          <w:p w:rsidR="00816973" w:rsidRPr="00E92F87" w:rsidRDefault="00816973" w:rsidP="008F24ED">
            <w:pP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[0.0958]</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[0.0962]</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[0.204]</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[0.204]</w:t>
            </w:r>
          </w:p>
        </w:tc>
      </w:tr>
      <w:tr w:rsidR="00816973" w:rsidRPr="00E92F87" w:rsidTr="008F24ED">
        <w:trPr>
          <w:trHeight w:val="255"/>
        </w:trPr>
        <w:tc>
          <w:tcPr>
            <w:tcW w:w="2223" w:type="dxa"/>
            <w:vMerge w:val="restart"/>
            <w:tcBorders>
              <w:top w:val="nil"/>
              <w:left w:val="nil"/>
              <w:bottom w:val="nil"/>
              <w:right w:val="nil"/>
            </w:tcBorders>
            <w:noWrap/>
          </w:tcPr>
          <w:p w:rsidR="00816973" w:rsidRPr="00E92F87" w:rsidRDefault="00816973" w:rsidP="008F24ED">
            <w:pPr>
              <w:rPr>
                <w:sz w:val="20"/>
                <w:szCs w:val="20"/>
                <w:lang w:eastAsia="ru-RU"/>
              </w:rPr>
            </w:pPr>
            <w:r w:rsidRPr="00E92F87">
              <w:rPr>
                <w:sz w:val="20"/>
                <w:szCs w:val="20"/>
                <w:lang w:eastAsia="ru-RU"/>
              </w:rPr>
              <w:t>Age</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-0.0368*</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-0.0275</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-0.0344</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-0.0252</w:t>
            </w:r>
          </w:p>
        </w:tc>
      </w:tr>
      <w:tr w:rsidR="00816973" w:rsidRPr="00E92F87" w:rsidTr="008F24ED">
        <w:trPr>
          <w:trHeight w:val="255"/>
        </w:trPr>
        <w:tc>
          <w:tcPr>
            <w:tcW w:w="2223" w:type="dxa"/>
            <w:vMerge/>
            <w:tcBorders>
              <w:top w:val="nil"/>
              <w:left w:val="nil"/>
              <w:bottom w:val="nil"/>
              <w:right w:val="nil"/>
            </w:tcBorders>
          </w:tcPr>
          <w:p w:rsidR="00816973" w:rsidRPr="00E92F87" w:rsidRDefault="00816973" w:rsidP="008F24ED">
            <w:pP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[0.0209]</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[0.0211]</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[0.0209]</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[0.0212]</w:t>
            </w:r>
          </w:p>
        </w:tc>
      </w:tr>
      <w:tr w:rsidR="00816973" w:rsidRPr="00E92F87" w:rsidTr="008F24ED">
        <w:trPr>
          <w:trHeight w:val="255"/>
        </w:trPr>
        <w:tc>
          <w:tcPr>
            <w:tcW w:w="2223" w:type="dxa"/>
            <w:vMerge w:val="restart"/>
            <w:tcBorders>
              <w:top w:val="nil"/>
              <w:left w:val="nil"/>
              <w:bottom w:val="nil"/>
              <w:right w:val="nil"/>
            </w:tcBorders>
            <w:noWrap/>
          </w:tcPr>
          <w:p w:rsidR="00816973" w:rsidRPr="00E92F87" w:rsidRDefault="00816973" w:rsidP="008F24ED">
            <w:pPr>
              <w:rPr>
                <w:sz w:val="20"/>
                <w:szCs w:val="20"/>
                <w:lang w:eastAsia="ru-RU"/>
              </w:rPr>
            </w:pPr>
            <w:r w:rsidRPr="00E92F87">
              <w:rPr>
                <w:sz w:val="20"/>
                <w:szCs w:val="20"/>
                <w:lang w:eastAsia="ru-RU"/>
              </w:rPr>
              <w:t>Age squared</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0.000235</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0.00011</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0.000219</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9.57E-05</w:t>
            </w:r>
          </w:p>
        </w:tc>
      </w:tr>
      <w:tr w:rsidR="00816973" w:rsidRPr="00E92F87" w:rsidTr="008F24ED">
        <w:trPr>
          <w:trHeight w:val="255"/>
        </w:trPr>
        <w:tc>
          <w:tcPr>
            <w:tcW w:w="2223" w:type="dxa"/>
            <w:vMerge/>
            <w:tcBorders>
              <w:top w:val="nil"/>
              <w:left w:val="nil"/>
              <w:bottom w:val="nil"/>
              <w:right w:val="nil"/>
            </w:tcBorders>
          </w:tcPr>
          <w:p w:rsidR="00816973" w:rsidRPr="00E92F87" w:rsidRDefault="00816973" w:rsidP="008F24ED">
            <w:pP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[0.000224]</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[0.000228]</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[0.000225]</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[0.000229]</w:t>
            </w:r>
          </w:p>
        </w:tc>
      </w:tr>
      <w:tr w:rsidR="00816973" w:rsidRPr="00E92F87" w:rsidTr="008F24ED">
        <w:trPr>
          <w:trHeight w:val="80"/>
        </w:trPr>
        <w:tc>
          <w:tcPr>
            <w:tcW w:w="2223" w:type="dxa"/>
            <w:vMerge w:val="restart"/>
            <w:tcBorders>
              <w:top w:val="nil"/>
              <w:left w:val="nil"/>
              <w:bottom w:val="nil"/>
              <w:right w:val="nil"/>
            </w:tcBorders>
            <w:noWrap/>
          </w:tcPr>
          <w:p w:rsidR="00816973" w:rsidRPr="00E92F87" w:rsidRDefault="00816973" w:rsidP="008F24ED">
            <w:pPr>
              <w:rPr>
                <w:sz w:val="20"/>
                <w:szCs w:val="20"/>
                <w:lang w:eastAsia="ru-RU"/>
              </w:rPr>
            </w:pPr>
            <w:r w:rsidRPr="00E92F87">
              <w:rPr>
                <w:sz w:val="20"/>
                <w:szCs w:val="20"/>
                <w:lang w:eastAsia="ru-RU"/>
              </w:rPr>
              <w:t>Married</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0.464***</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0.447***</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0.171</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0.147</w:t>
            </w:r>
          </w:p>
        </w:tc>
      </w:tr>
      <w:tr w:rsidR="00816973" w:rsidRPr="00E92F87" w:rsidTr="008F24ED">
        <w:trPr>
          <w:trHeight w:val="255"/>
        </w:trPr>
        <w:tc>
          <w:tcPr>
            <w:tcW w:w="2223" w:type="dxa"/>
            <w:vMerge/>
            <w:tcBorders>
              <w:top w:val="nil"/>
              <w:left w:val="nil"/>
              <w:bottom w:val="nil"/>
              <w:right w:val="nil"/>
            </w:tcBorders>
          </w:tcPr>
          <w:p w:rsidR="00816973" w:rsidRPr="00E92F87" w:rsidRDefault="00816973" w:rsidP="008F24ED">
            <w:pP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[0.111]</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[0.111]</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[0.181]</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[0.179]</w:t>
            </w:r>
          </w:p>
        </w:tc>
      </w:tr>
      <w:tr w:rsidR="00816973" w:rsidRPr="00E92F87" w:rsidTr="008F24ED">
        <w:trPr>
          <w:trHeight w:val="255"/>
        </w:trPr>
        <w:tc>
          <w:tcPr>
            <w:tcW w:w="2223" w:type="dxa"/>
            <w:vMerge w:val="restart"/>
            <w:tcBorders>
              <w:top w:val="nil"/>
              <w:left w:val="nil"/>
              <w:bottom w:val="nil"/>
              <w:right w:val="nil"/>
            </w:tcBorders>
            <w:noWrap/>
          </w:tcPr>
          <w:p w:rsidR="00816973" w:rsidRPr="00E92F87" w:rsidRDefault="00816973" w:rsidP="008F24ED">
            <w:pPr>
              <w:rPr>
                <w:sz w:val="20"/>
                <w:szCs w:val="20"/>
                <w:lang w:eastAsia="ru-RU"/>
              </w:rPr>
            </w:pPr>
            <w:r w:rsidRPr="00E92F87">
              <w:rPr>
                <w:sz w:val="20"/>
                <w:szCs w:val="20"/>
                <w:lang w:eastAsia="ru-RU"/>
              </w:rPr>
              <w:t>Married Female</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0.491**</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0.500**</w:t>
            </w:r>
          </w:p>
        </w:tc>
      </w:tr>
      <w:tr w:rsidR="00816973" w:rsidRPr="00E92F87" w:rsidTr="008F24ED">
        <w:trPr>
          <w:trHeight w:val="255"/>
        </w:trPr>
        <w:tc>
          <w:tcPr>
            <w:tcW w:w="2223" w:type="dxa"/>
            <w:vMerge/>
            <w:tcBorders>
              <w:top w:val="nil"/>
              <w:left w:val="nil"/>
              <w:bottom w:val="nil"/>
              <w:right w:val="nil"/>
            </w:tcBorders>
          </w:tcPr>
          <w:p w:rsidR="00816973" w:rsidRPr="00E92F87" w:rsidRDefault="00816973" w:rsidP="008F24ED">
            <w:pP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[0.232]</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[0.229]</w:t>
            </w:r>
          </w:p>
        </w:tc>
      </w:tr>
      <w:tr w:rsidR="00816973" w:rsidRPr="00E92F87" w:rsidTr="008F24ED">
        <w:trPr>
          <w:trHeight w:val="255"/>
        </w:trPr>
        <w:tc>
          <w:tcPr>
            <w:tcW w:w="2223" w:type="dxa"/>
            <w:vMerge w:val="restart"/>
            <w:tcBorders>
              <w:top w:val="nil"/>
              <w:left w:val="nil"/>
              <w:bottom w:val="nil"/>
              <w:right w:val="nil"/>
            </w:tcBorders>
            <w:noWrap/>
          </w:tcPr>
          <w:p w:rsidR="00816973" w:rsidRPr="00E92F87" w:rsidRDefault="00816973" w:rsidP="008F24ED">
            <w:pPr>
              <w:rPr>
                <w:sz w:val="20"/>
                <w:szCs w:val="20"/>
                <w:lang w:eastAsia="ru-RU"/>
              </w:rPr>
            </w:pPr>
            <w:r w:rsidRPr="00E92F87">
              <w:rPr>
                <w:sz w:val="20"/>
                <w:szCs w:val="20"/>
                <w:lang w:eastAsia="ru-RU"/>
              </w:rPr>
              <w:t>Number of children</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0.0236</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0.0221</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0.0667</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0.063</w:t>
            </w:r>
          </w:p>
        </w:tc>
      </w:tr>
      <w:tr w:rsidR="00816973" w:rsidRPr="00E92F87" w:rsidTr="008F24ED">
        <w:trPr>
          <w:trHeight w:val="255"/>
        </w:trPr>
        <w:tc>
          <w:tcPr>
            <w:tcW w:w="2223" w:type="dxa"/>
            <w:vMerge/>
            <w:tcBorders>
              <w:top w:val="nil"/>
              <w:left w:val="nil"/>
              <w:bottom w:val="nil"/>
              <w:right w:val="nil"/>
            </w:tcBorders>
          </w:tcPr>
          <w:p w:rsidR="00816973" w:rsidRPr="00E92F87" w:rsidRDefault="00816973" w:rsidP="008F24ED">
            <w:pP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[0.0654]</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[0.0657]</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[0.0953]</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[0.0941]</w:t>
            </w:r>
          </w:p>
        </w:tc>
      </w:tr>
      <w:tr w:rsidR="00816973" w:rsidRPr="00E92F87" w:rsidTr="008F24ED">
        <w:trPr>
          <w:trHeight w:val="255"/>
        </w:trPr>
        <w:tc>
          <w:tcPr>
            <w:tcW w:w="2223" w:type="dxa"/>
            <w:vMerge w:val="restart"/>
            <w:tcBorders>
              <w:top w:val="nil"/>
              <w:left w:val="nil"/>
              <w:bottom w:val="nil"/>
              <w:right w:val="nil"/>
            </w:tcBorders>
            <w:noWrap/>
          </w:tcPr>
          <w:p w:rsidR="00816973" w:rsidRPr="00E92F87" w:rsidRDefault="00816973" w:rsidP="008F24ED">
            <w:pPr>
              <w:rPr>
                <w:sz w:val="20"/>
                <w:szCs w:val="20"/>
                <w:lang w:eastAsia="ru-RU"/>
              </w:rPr>
            </w:pPr>
            <w:r w:rsidRPr="00E92F87">
              <w:rPr>
                <w:sz w:val="20"/>
                <w:szCs w:val="20"/>
                <w:lang w:eastAsia="ru-RU"/>
              </w:rPr>
              <w:t>Children Female</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-0.0694</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-0.0646</w:t>
            </w:r>
          </w:p>
        </w:tc>
      </w:tr>
      <w:tr w:rsidR="00816973" w:rsidRPr="00E92F87" w:rsidTr="008F24ED">
        <w:trPr>
          <w:trHeight w:val="255"/>
        </w:trPr>
        <w:tc>
          <w:tcPr>
            <w:tcW w:w="2223" w:type="dxa"/>
            <w:vMerge/>
            <w:tcBorders>
              <w:top w:val="nil"/>
              <w:left w:val="nil"/>
              <w:bottom w:val="nil"/>
              <w:right w:val="nil"/>
            </w:tcBorders>
          </w:tcPr>
          <w:p w:rsidR="00816973" w:rsidRPr="00E92F87" w:rsidRDefault="00816973" w:rsidP="008F24ED">
            <w:pP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[0.107]</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[0.106]</w:t>
            </w:r>
          </w:p>
        </w:tc>
      </w:tr>
      <w:tr w:rsidR="00816973" w:rsidRPr="00E92F87" w:rsidTr="008F24ED">
        <w:trPr>
          <w:trHeight w:val="255"/>
        </w:trPr>
        <w:tc>
          <w:tcPr>
            <w:tcW w:w="2223" w:type="dxa"/>
            <w:vMerge w:val="restart"/>
            <w:tcBorders>
              <w:top w:val="nil"/>
              <w:left w:val="nil"/>
              <w:bottom w:val="nil"/>
              <w:right w:val="nil"/>
            </w:tcBorders>
            <w:noWrap/>
          </w:tcPr>
          <w:p w:rsidR="00816973" w:rsidRPr="00E92F87" w:rsidRDefault="00816973" w:rsidP="008F24ED">
            <w:pPr>
              <w:rPr>
                <w:sz w:val="20"/>
                <w:szCs w:val="20"/>
                <w:lang w:eastAsia="ru-RU"/>
              </w:rPr>
            </w:pPr>
            <w:r w:rsidRPr="00E92F87">
              <w:rPr>
                <w:sz w:val="20"/>
                <w:szCs w:val="20"/>
                <w:lang w:eastAsia="ru-RU"/>
              </w:rPr>
              <w:t>Employed</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0.0277</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-0.0339</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0.347*</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0.295</w:t>
            </w:r>
          </w:p>
        </w:tc>
      </w:tr>
      <w:tr w:rsidR="00816973" w:rsidRPr="00E92F87" w:rsidTr="008F24ED">
        <w:trPr>
          <w:trHeight w:val="255"/>
        </w:trPr>
        <w:tc>
          <w:tcPr>
            <w:tcW w:w="2223" w:type="dxa"/>
            <w:vMerge/>
            <w:tcBorders>
              <w:top w:val="nil"/>
              <w:left w:val="nil"/>
              <w:bottom w:val="nil"/>
              <w:right w:val="nil"/>
            </w:tcBorders>
          </w:tcPr>
          <w:p w:rsidR="00816973" w:rsidRPr="00E92F87" w:rsidRDefault="00816973" w:rsidP="008F24ED">
            <w:pP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[0.132]</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[0.135]</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[0.185]</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[0.188]</w:t>
            </w:r>
          </w:p>
        </w:tc>
      </w:tr>
      <w:tr w:rsidR="00816973" w:rsidRPr="00E92F87" w:rsidTr="008F24ED">
        <w:trPr>
          <w:trHeight w:val="255"/>
        </w:trPr>
        <w:tc>
          <w:tcPr>
            <w:tcW w:w="2223" w:type="dxa"/>
            <w:vMerge w:val="restart"/>
            <w:tcBorders>
              <w:top w:val="nil"/>
              <w:left w:val="nil"/>
              <w:bottom w:val="nil"/>
              <w:right w:val="nil"/>
            </w:tcBorders>
            <w:noWrap/>
          </w:tcPr>
          <w:p w:rsidR="00816973" w:rsidRPr="00E92F87" w:rsidRDefault="00816973" w:rsidP="008F24ED">
            <w:pPr>
              <w:rPr>
                <w:sz w:val="20"/>
                <w:szCs w:val="20"/>
                <w:lang w:eastAsia="ru-RU"/>
              </w:rPr>
            </w:pPr>
            <w:r w:rsidRPr="00E92F87">
              <w:rPr>
                <w:sz w:val="20"/>
                <w:szCs w:val="20"/>
                <w:lang w:eastAsia="ru-RU"/>
              </w:rPr>
              <w:t>Employed Female</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-0.530**</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-0.556**</w:t>
            </w:r>
          </w:p>
        </w:tc>
      </w:tr>
      <w:tr w:rsidR="00816973" w:rsidRPr="00E92F87" w:rsidTr="008F24ED">
        <w:trPr>
          <w:trHeight w:val="255"/>
        </w:trPr>
        <w:tc>
          <w:tcPr>
            <w:tcW w:w="2223" w:type="dxa"/>
            <w:vMerge/>
            <w:tcBorders>
              <w:top w:val="nil"/>
              <w:left w:val="nil"/>
              <w:bottom w:val="nil"/>
              <w:right w:val="nil"/>
            </w:tcBorders>
            <w:vAlign w:val="center"/>
          </w:tcPr>
          <w:p w:rsidR="00816973" w:rsidRPr="00E92F87" w:rsidRDefault="00816973" w:rsidP="008F24ED">
            <w:pP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[0.223]</w:t>
            </w:r>
          </w:p>
        </w:tc>
        <w:tc>
          <w:tcPr>
            <w:tcW w:w="1099" w:type="dxa"/>
            <w:tcBorders>
              <w:top w:val="nil"/>
              <w:left w:val="nil"/>
              <w:bottom w:val="nil"/>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[0.221]</w:t>
            </w:r>
          </w:p>
        </w:tc>
      </w:tr>
      <w:tr w:rsidR="00816973" w:rsidRPr="00E92F87" w:rsidTr="008F24ED">
        <w:trPr>
          <w:trHeight w:val="255"/>
        </w:trPr>
        <w:tc>
          <w:tcPr>
            <w:tcW w:w="2223" w:type="dxa"/>
            <w:tcBorders>
              <w:top w:val="nil"/>
              <w:left w:val="nil"/>
              <w:bottom w:val="single" w:sz="4" w:space="0" w:color="4F81BD"/>
              <w:right w:val="nil"/>
            </w:tcBorders>
            <w:noWrap/>
            <w:vAlign w:val="bottom"/>
          </w:tcPr>
          <w:p w:rsidR="00816973" w:rsidRPr="00E92F87" w:rsidRDefault="00816973" w:rsidP="008F24ED">
            <w:pPr>
              <w:rPr>
                <w:sz w:val="20"/>
                <w:szCs w:val="20"/>
                <w:lang w:eastAsia="ru-RU"/>
              </w:rPr>
            </w:pPr>
            <w:r w:rsidRPr="00E92F87">
              <w:rPr>
                <w:sz w:val="20"/>
                <w:szCs w:val="20"/>
                <w:lang w:eastAsia="ru-RU"/>
              </w:rPr>
              <w:t>Education level dummies</w:t>
            </w:r>
          </w:p>
        </w:tc>
        <w:tc>
          <w:tcPr>
            <w:tcW w:w="1099" w:type="dxa"/>
            <w:tcBorders>
              <w:top w:val="nil"/>
              <w:left w:val="nil"/>
              <w:bottom w:val="single" w:sz="4" w:space="0" w:color="4F81BD"/>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No</w:t>
            </w:r>
          </w:p>
        </w:tc>
        <w:tc>
          <w:tcPr>
            <w:tcW w:w="1099" w:type="dxa"/>
            <w:tcBorders>
              <w:top w:val="nil"/>
              <w:left w:val="nil"/>
              <w:bottom w:val="single" w:sz="4" w:space="0" w:color="4F81BD"/>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Yes</w:t>
            </w:r>
          </w:p>
        </w:tc>
        <w:tc>
          <w:tcPr>
            <w:tcW w:w="1099" w:type="dxa"/>
            <w:tcBorders>
              <w:top w:val="nil"/>
              <w:left w:val="nil"/>
              <w:bottom w:val="single" w:sz="4" w:space="0" w:color="4F81BD"/>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No</w:t>
            </w:r>
          </w:p>
        </w:tc>
        <w:tc>
          <w:tcPr>
            <w:tcW w:w="1099" w:type="dxa"/>
            <w:tcBorders>
              <w:top w:val="nil"/>
              <w:left w:val="nil"/>
              <w:bottom w:val="single" w:sz="4" w:space="0" w:color="4F81BD"/>
              <w:right w:val="nil"/>
            </w:tcBorders>
            <w:noWrap/>
            <w:vAlign w:val="bottom"/>
          </w:tcPr>
          <w:p w:rsidR="00816973" w:rsidRPr="00E92F87" w:rsidRDefault="00816973" w:rsidP="008F24ED">
            <w:pPr>
              <w:jc w:val="center"/>
              <w:rPr>
                <w:sz w:val="20"/>
                <w:szCs w:val="20"/>
                <w:lang w:eastAsia="ru-RU"/>
              </w:rPr>
            </w:pPr>
            <w:r w:rsidRPr="00E92F87">
              <w:rPr>
                <w:sz w:val="20"/>
                <w:szCs w:val="20"/>
                <w:lang w:eastAsia="ru-RU"/>
              </w:rPr>
              <w:t>Yes</w:t>
            </w:r>
          </w:p>
        </w:tc>
      </w:tr>
      <w:tr w:rsidR="00816973" w:rsidRPr="00E92F87" w:rsidTr="008F24ED">
        <w:trPr>
          <w:trHeight w:val="289"/>
        </w:trPr>
        <w:tc>
          <w:tcPr>
            <w:tcW w:w="6619" w:type="dxa"/>
            <w:gridSpan w:val="5"/>
            <w:tcBorders>
              <w:top w:val="single" w:sz="4" w:space="0" w:color="4F81BD"/>
              <w:left w:val="nil"/>
              <w:bottom w:val="single" w:sz="4" w:space="0" w:color="4F81BD"/>
              <w:right w:val="nil"/>
            </w:tcBorders>
            <w:noWrap/>
            <w:vAlign w:val="bottom"/>
          </w:tcPr>
          <w:p w:rsidR="00816973" w:rsidRDefault="00816973" w:rsidP="008F24ED">
            <w:pPr>
              <w:rPr>
                <w:sz w:val="18"/>
              </w:rPr>
            </w:pPr>
            <w:r w:rsidRPr="00E92F87">
              <w:rPr>
                <w:i/>
                <w:sz w:val="20"/>
                <w:szCs w:val="20"/>
                <w:lang w:eastAsia="ru-RU"/>
              </w:rPr>
              <w:t>Source:</w:t>
            </w:r>
            <w:r>
              <w:rPr>
                <w:sz w:val="20"/>
                <w:szCs w:val="20"/>
                <w:lang w:eastAsia="ru-RU"/>
              </w:rPr>
              <w:t xml:space="preserve"> </w:t>
            </w:r>
            <w:r w:rsidRPr="001520FF">
              <w:rPr>
                <w:sz w:val="18"/>
              </w:rPr>
              <w:t xml:space="preserve"> EVS </w:t>
            </w:r>
            <w:r>
              <w:rPr>
                <w:sz w:val="18"/>
              </w:rPr>
              <w:t>(2010)</w:t>
            </w:r>
            <w:r w:rsidRPr="001520FF">
              <w:rPr>
                <w:sz w:val="18"/>
              </w:rPr>
              <w:t xml:space="preserve">. </w:t>
            </w:r>
          </w:p>
          <w:p w:rsidR="00816973" w:rsidRPr="00E92F87" w:rsidRDefault="00816973" w:rsidP="008F24ED">
            <w:pPr>
              <w:rPr>
                <w:sz w:val="20"/>
                <w:szCs w:val="20"/>
                <w:lang w:eastAsia="ru-RU"/>
              </w:rPr>
            </w:pPr>
            <w:r w:rsidRPr="001520FF">
              <w:rPr>
                <w:i/>
                <w:sz w:val="18"/>
              </w:rPr>
              <w:t>Notes</w:t>
            </w:r>
            <w:r w:rsidRPr="001520FF">
              <w:rPr>
                <w:sz w:val="18"/>
              </w:rPr>
              <w:t xml:space="preserve">: </w:t>
            </w:r>
            <w:r>
              <w:rPr>
                <w:sz w:val="18"/>
              </w:rPr>
              <w:t xml:space="preserve">*** significant at 1%, </w:t>
            </w:r>
            <w:r w:rsidRPr="001520FF">
              <w:rPr>
                <w:sz w:val="18"/>
              </w:rPr>
              <w:t xml:space="preserve">** </w:t>
            </w:r>
            <w:r>
              <w:rPr>
                <w:sz w:val="18"/>
              </w:rPr>
              <w:t xml:space="preserve">significant at 5%, </w:t>
            </w:r>
            <w:r w:rsidRPr="001520FF">
              <w:rPr>
                <w:sz w:val="18"/>
              </w:rPr>
              <w:t>significant at 10%.</w:t>
            </w:r>
            <w:r>
              <w:rPr>
                <w:sz w:val="18"/>
              </w:rPr>
              <w:t xml:space="preserve"> </w:t>
            </w:r>
            <w:r w:rsidRPr="001520FF">
              <w:rPr>
                <w:sz w:val="18"/>
              </w:rPr>
              <w:t>The</w:t>
            </w:r>
            <w:r>
              <w:rPr>
                <w:sz w:val="18"/>
              </w:rPr>
              <w:t xml:space="preserve"> dependent variables is measured by</w:t>
            </w:r>
            <w:r w:rsidRPr="001520FF">
              <w:rPr>
                <w:sz w:val="18"/>
              </w:rPr>
              <w:t xml:space="preserve"> question: “How satisfied are you with your life in scale from 1 to 10, 1 being dissatisfied and 10 being satisfied</w:t>
            </w:r>
            <w:r>
              <w:rPr>
                <w:sz w:val="18"/>
              </w:rPr>
              <w:t>.</w:t>
            </w:r>
          </w:p>
        </w:tc>
      </w:tr>
    </w:tbl>
    <w:p w:rsidR="00816973" w:rsidRDefault="00816973" w:rsidP="00816973"/>
    <w:tbl>
      <w:tblPr>
        <w:tblW w:w="5000" w:type="pct"/>
        <w:tblBorders>
          <w:top w:val="single" w:sz="8" w:space="0" w:color="4F81BD"/>
        </w:tblBorders>
        <w:tblLook w:val="00A0" w:firstRow="1" w:lastRow="0" w:firstColumn="1" w:lastColumn="0" w:noHBand="0" w:noVBand="0"/>
      </w:tblPr>
      <w:tblGrid>
        <w:gridCol w:w="4428"/>
        <w:gridCol w:w="4428"/>
      </w:tblGrid>
      <w:tr w:rsidR="00816973" w:rsidRPr="001520FF" w:rsidTr="00FB714A">
        <w:tc>
          <w:tcPr>
            <w:tcW w:w="5000" w:type="pct"/>
            <w:gridSpan w:val="2"/>
            <w:tcBorders>
              <w:top w:val="single" w:sz="8" w:space="0" w:color="4F81BD"/>
              <w:bottom w:val="single" w:sz="8" w:space="0" w:color="4F81BD"/>
            </w:tcBorders>
          </w:tcPr>
          <w:p w:rsidR="00816973" w:rsidRPr="00FB714A" w:rsidRDefault="00816973" w:rsidP="00FB714A">
            <w:pPr>
              <w:pStyle w:val="Figure1"/>
              <w:rPr>
                <w:color w:val="1F497D"/>
              </w:rPr>
            </w:pPr>
            <w:bookmarkStart w:id="80" w:name="_Toc351104652"/>
            <w:r w:rsidRPr="00FB714A">
              <w:t xml:space="preserve">Figure A1. Coefficients and </w:t>
            </w:r>
            <w:r w:rsidR="00FB714A" w:rsidRPr="00FB714A">
              <w:t>C</w:t>
            </w:r>
            <w:r w:rsidRPr="00FB714A">
              <w:t>onfidence</w:t>
            </w:r>
            <w:r w:rsidR="00FB714A" w:rsidRPr="00FB714A">
              <w:t xml:space="preserve"> I</w:t>
            </w:r>
            <w:r w:rsidRPr="00FB714A">
              <w:t xml:space="preserve">ntervals for </w:t>
            </w:r>
            <w:r w:rsidR="00FB714A" w:rsidRPr="00FB714A">
              <w:t>G</w:t>
            </w:r>
            <w:r w:rsidRPr="00FB714A">
              <w:t xml:space="preserve">ender </w:t>
            </w:r>
            <w:r w:rsidR="00FB714A" w:rsidRPr="00FB714A">
              <w:t>D</w:t>
            </w:r>
            <w:r w:rsidRPr="00FB714A">
              <w:t xml:space="preserve">ummy from </w:t>
            </w:r>
            <w:r w:rsidR="00FB714A" w:rsidRPr="00FB714A">
              <w:t>O</w:t>
            </w:r>
            <w:r w:rsidRPr="00FB714A">
              <w:t xml:space="preserve">rdered </w:t>
            </w:r>
            <w:r w:rsidR="00FB714A" w:rsidRPr="00FB714A">
              <w:t>P</w:t>
            </w:r>
            <w:r w:rsidRPr="00FB714A">
              <w:t>robit, 2008</w:t>
            </w:r>
            <w:bookmarkEnd w:id="80"/>
          </w:p>
        </w:tc>
      </w:tr>
      <w:tr w:rsidR="00816973" w:rsidRPr="001520FF" w:rsidTr="00FB714A">
        <w:tc>
          <w:tcPr>
            <w:tcW w:w="2500" w:type="pct"/>
            <w:tcBorders>
              <w:bottom w:val="nil"/>
            </w:tcBorders>
          </w:tcPr>
          <w:p w:rsidR="00816973" w:rsidRPr="001520FF" w:rsidRDefault="00816973" w:rsidP="008F24ED">
            <w:pPr>
              <w:rPr>
                <w:i/>
                <w:noProof/>
                <w:sz w:val="20"/>
              </w:rPr>
            </w:pPr>
            <w:r>
              <w:rPr>
                <w:noProof/>
                <w:sz w:val="20"/>
              </w:rPr>
              <w:t>a) Ordered probit regression without controls</w:t>
            </w:r>
          </w:p>
        </w:tc>
        <w:tc>
          <w:tcPr>
            <w:tcW w:w="2500" w:type="pct"/>
            <w:tcBorders>
              <w:bottom w:val="nil"/>
            </w:tcBorders>
          </w:tcPr>
          <w:p w:rsidR="00816973" w:rsidRPr="001520FF" w:rsidRDefault="00816973" w:rsidP="008F24ED">
            <w:pPr>
              <w:rPr>
                <w:i/>
                <w:noProof/>
                <w:sz w:val="20"/>
              </w:rPr>
            </w:pPr>
            <w:r w:rsidRPr="008455EE">
              <w:rPr>
                <w:noProof/>
                <w:sz w:val="20"/>
              </w:rPr>
              <w:t>b</w:t>
            </w:r>
            <w:r>
              <w:rPr>
                <w:noProof/>
                <w:sz w:val="20"/>
              </w:rPr>
              <w:t>) Ordered probit regression with controls</w:t>
            </w:r>
          </w:p>
        </w:tc>
      </w:tr>
      <w:tr w:rsidR="00816973" w:rsidRPr="001520FF" w:rsidTr="00FB714A">
        <w:tc>
          <w:tcPr>
            <w:tcW w:w="2500" w:type="pct"/>
            <w:tcBorders>
              <w:top w:val="nil"/>
              <w:bottom w:val="single" w:sz="4" w:space="0" w:color="4F81BD"/>
            </w:tcBorders>
          </w:tcPr>
          <w:p w:rsidR="00816973" w:rsidRPr="00BB21BD" w:rsidRDefault="005A6047" w:rsidP="008F24ED">
            <w:r>
              <w:rPr>
                <w:noProof/>
              </w:rPr>
              <w:drawing>
                <wp:inline distT="0" distB="0" distL="0" distR="0" wp14:anchorId="432BD835" wp14:editId="0412524F">
                  <wp:extent cx="2257425" cy="178117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2500" w:type="pct"/>
            <w:tcBorders>
              <w:top w:val="nil"/>
              <w:bottom w:val="single" w:sz="4" w:space="0" w:color="4F81BD"/>
            </w:tcBorders>
          </w:tcPr>
          <w:p w:rsidR="00816973" w:rsidRPr="00BB21BD" w:rsidRDefault="005A6047" w:rsidP="008F24ED">
            <w:pPr>
              <w:rPr>
                <w:i/>
                <w:sz w:val="18"/>
              </w:rPr>
            </w:pPr>
            <w:r>
              <w:rPr>
                <w:i/>
                <w:noProof/>
                <w:sz w:val="18"/>
              </w:rPr>
              <w:drawing>
                <wp:inline distT="0" distB="0" distL="0" distR="0" wp14:anchorId="4DEC4723" wp14:editId="7C71EA85">
                  <wp:extent cx="2352675" cy="1819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l="-539" t="-3546" r="-10585" b="-7831"/>
                          <a:stretch>
                            <a:fillRect/>
                          </a:stretch>
                        </pic:blipFill>
                        <pic:spPr bwMode="auto">
                          <a:xfrm>
                            <a:off x="0" y="0"/>
                            <a:ext cx="2352675" cy="1819275"/>
                          </a:xfrm>
                          <a:prstGeom prst="rect">
                            <a:avLst/>
                          </a:prstGeom>
                          <a:noFill/>
                          <a:ln>
                            <a:noFill/>
                          </a:ln>
                        </pic:spPr>
                      </pic:pic>
                    </a:graphicData>
                  </a:graphic>
                </wp:inline>
              </w:drawing>
            </w:r>
          </w:p>
        </w:tc>
      </w:tr>
      <w:tr w:rsidR="00816973" w:rsidRPr="001520FF" w:rsidTr="00FB714A">
        <w:tc>
          <w:tcPr>
            <w:tcW w:w="2500" w:type="pct"/>
            <w:tcBorders>
              <w:top w:val="single" w:sz="4" w:space="0" w:color="4F81BD"/>
              <w:bottom w:val="single" w:sz="4" w:space="0" w:color="4F81BD"/>
            </w:tcBorders>
          </w:tcPr>
          <w:p w:rsidR="00816973" w:rsidRDefault="00816973" w:rsidP="008F24ED">
            <w:pPr>
              <w:rPr>
                <w:sz w:val="18"/>
              </w:rPr>
            </w:pPr>
            <w:r>
              <w:rPr>
                <w:i/>
                <w:sz w:val="18"/>
              </w:rPr>
              <w:t>Source</w:t>
            </w:r>
            <w:r w:rsidRPr="001520FF">
              <w:rPr>
                <w:sz w:val="18"/>
              </w:rPr>
              <w:t xml:space="preserve">: EVS </w:t>
            </w:r>
            <w:r>
              <w:rPr>
                <w:sz w:val="18"/>
              </w:rPr>
              <w:t>(2010)</w:t>
            </w:r>
            <w:r w:rsidRPr="001520FF">
              <w:rPr>
                <w:sz w:val="18"/>
              </w:rPr>
              <w:t xml:space="preserve">. </w:t>
            </w:r>
            <w:r>
              <w:rPr>
                <w:sz w:val="18"/>
              </w:rPr>
              <w:t>World Bank staff calculations.</w:t>
            </w:r>
          </w:p>
          <w:p w:rsidR="00816973" w:rsidRPr="001520FF" w:rsidRDefault="00816973" w:rsidP="008F24ED">
            <w:pPr>
              <w:rPr>
                <w:noProof/>
              </w:rPr>
            </w:pPr>
            <w:r w:rsidRPr="001520FF">
              <w:rPr>
                <w:i/>
                <w:sz w:val="18"/>
              </w:rPr>
              <w:t>Notes</w:t>
            </w:r>
            <w:r w:rsidRPr="001520FF">
              <w:rPr>
                <w:sz w:val="18"/>
              </w:rPr>
              <w:t xml:space="preserve">: </w:t>
            </w:r>
            <w:r>
              <w:rPr>
                <w:sz w:val="18"/>
              </w:rPr>
              <w:t xml:space="preserve">Dummy takes one for female and zero for men. </w:t>
            </w:r>
            <w:r w:rsidRPr="001520FF">
              <w:rPr>
                <w:sz w:val="18"/>
              </w:rPr>
              <w:t xml:space="preserve">The question states: “How </w:t>
            </w:r>
            <w:r>
              <w:rPr>
                <w:sz w:val="18"/>
              </w:rPr>
              <w:t>important in your life the following</w:t>
            </w:r>
            <w:r w:rsidRPr="001520FF">
              <w:rPr>
                <w:sz w:val="18"/>
              </w:rPr>
              <w:t xml:space="preserve"> wit</w:t>
            </w:r>
            <w:r>
              <w:rPr>
                <w:sz w:val="18"/>
              </w:rPr>
              <w:t>h your life in scale from 1 to 4</w:t>
            </w:r>
            <w:r w:rsidRPr="001520FF">
              <w:rPr>
                <w:sz w:val="18"/>
              </w:rPr>
              <w:t xml:space="preserve">, 1 being </w:t>
            </w:r>
            <w:r>
              <w:rPr>
                <w:sz w:val="18"/>
              </w:rPr>
              <w:t>very important</w:t>
            </w:r>
            <w:r w:rsidRPr="001520FF">
              <w:rPr>
                <w:sz w:val="18"/>
              </w:rPr>
              <w:t xml:space="preserve"> and</w:t>
            </w:r>
            <w:r>
              <w:rPr>
                <w:sz w:val="18"/>
              </w:rPr>
              <w:t xml:space="preserve"> 4 </w:t>
            </w:r>
            <w:r w:rsidRPr="001520FF">
              <w:rPr>
                <w:sz w:val="18"/>
              </w:rPr>
              <w:t>being</w:t>
            </w:r>
            <w:r>
              <w:rPr>
                <w:sz w:val="18"/>
              </w:rPr>
              <w:t xml:space="preserve"> least important. Positive coefficient indicates less importance of a particular category for women than men. </w:t>
            </w:r>
          </w:p>
        </w:tc>
        <w:tc>
          <w:tcPr>
            <w:tcW w:w="2500" w:type="pct"/>
            <w:tcBorders>
              <w:top w:val="single" w:sz="4" w:space="0" w:color="4F81BD"/>
              <w:bottom w:val="single" w:sz="4" w:space="0" w:color="4F81BD"/>
            </w:tcBorders>
          </w:tcPr>
          <w:p w:rsidR="00816973" w:rsidRPr="008455EE" w:rsidRDefault="00816973" w:rsidP="008F24ED">
            <w:pPr>
              <w:rPr>
                <w:sz w:val="18"/>
              </w:rPr>
            </w:pPr>
            <w:r>
              <w:rPr>
                <w:i/>
                <w:sz w:val="18"/>
              </w:rPr>
              <w:t>Source</w:t>
            </w:r>
            <w:r w:rsidRPr="001520FF">
              <w:rPr>
                <w:sz w:val="18"/>
              </w:rPr>
              <w:t xml:space="preserve">: EVS </w:t>
            </w:r>
            <w:r>
              <w:rPr>
                <w:sz w:val="18"/>
              </w:rPr>
              <w:t>(2010)</w:t>
            </w:r>
            <w:r w:rsidRPr="001520FF">
              <w:rPr>
                <w:sz w:val="18"/>
              </w:rPr>
              <w:t xml:space="preserve">. </w:t>
            </w:r>
            <w:r>
              <w:rPr>
                <w:sz w:val="18"/>
              </w:rPr>
              <w:t>World Bank staff calculations.</w:t>
            </w:r>
          </w:p>
          <w:p w:rsidR="00816973" w:rsidRPr="001520FF" w:rsidRDefault="00816973" w:rsidP="008F24ED">
            <w:pPr>
              <w:rPr>
                <w:i/>
                <w:noProof/>
                <w:sz w:val="18"/>
              </w:rPr>
            </w:pPr>
            <w:r w:rsidRPr="001520FF">
              <w:rPr>
                <w:i/>
                <w:sz w:val="18"/>
              </w:rPr>
              <w:t>Note</w:t>
            </w:r>
            <w:r w:rsidRPr="001520FF">
              <w:rPr>
                <w:sz w:val="18"/>
              </w:rPr>
              <w:t xml:space="preserve">: Controls include number of children, marital status, employment dummy, and education. </w:t>
            </w:r>
            <w:r>
              <w:rPr>
                <w:sz w:val="18"/>
              </w:rPr>
              <w:t xml:space="preserve">All </w:t>
            </w:r>
            <w:r w:rsidRPr="001520FF">
              <w:rPr>
                <w:sz w:val="18"/>
              </w:rPr>
              <w:t xml:space="preserve">variables </w:t>
            </w:r>
            <w:r>
              <w:rPr>
                <w:sz w:val="18"/>
              </w:rPr>
              <w:t xml:space="preserve">except education categories </w:t>
            </w:r>
            <w:r w:rsidRPr="001520FF">
              <w:rPr>
                <w:sz w:val="18"/>
              </w:rPr>
              <w:t>are interacted with female dummy.</w:t>
            </w:r>
            <w:r>
              <w:rPr>
                <w:sz w:val="18"/>
              </w:rPr>
              <w:t xml:space="preserve"> </w:t>
            </w:r>
            <w:r w:rsidRPr="001520FF">
              <w:rPr>
                <w:sz w:val="18"/>
              </w:rPr>
              <w:t xml:space="preserve"> </w:t>
            </w:r>
            <w:r w:rsidRPr="00F55002">
              <w:rPr>
                <w:sz w:val="18"/>
              </w:rPr>
              <w:t xml:space="preserve">Positive coefficient indicates less importance of a particular category for women than men. </w:t>
            </w:r>
          </w:p>
        </w:tc>
      </w:tr>
    </w:tbl>
    <w:p w:rsidR="00816973" w:rsidRPr="0007143A" w:rsidRDefault="00816973" w:rsidP="00816973"/>
    <w:tbl>
      <w:tblPr>
        <w:tblW w:w="7605" w:type="dxa"/>
        <w:tblInd w:w="108" w:type="dxa"/>
        <w:tblBorders>
          <w:top w:val="single" w:sz="4" w:space="0" w:color="4F81BD"/>
          <w:bottom w:val="single" w:sz="4" w:space="0" w:color="4F81BD"/>
        </w:tblBorders>
        <w:tblLook w:val="0000" w:firstRow="0" w:lastRow="0" w:firstColumn="0" w:lastColumn="0" w:noHBand="0" w:noVBand="0"/>
      </w:tblPr>
      <w:tblGrid>
        <w:gridCol w:w="2373"/>
        <w:gridCol w:w="1280"/>
        <w:gridCol w:w="1391"/>
        <w:gridCol w:w="1280"/>
        <w:gridCol w:w="1281"/>
      </w:tblGrid>
      <w:tr w:rsidR="00816973" w:rsidRPr="0030285B" w:rsidTr="008F24ED">
        <w:trPr>
          <w:trHeight w:val="249"/>
        </w:trPr>
        <w:tc>
          <w:tcPr>
            <w:tcW w:w="7605" w:type="dxa"/>
            <w:gridSpan w:val="5"/>
            <w:tcBorders>
              <w:top w:val="single" w:sz="4" w:space="0" w:color="4F81BD"/>
              <w:bottom w:val="single" w:sz="4" w:space="0" w:color="4F81BD"/>
            </w:tcBorders>
            <w:noWrap/>
            <w:vAlign w:val="bottom"/>
          </w:tcPr>
          <w:p w:rsidR="00816973" w:rsidRPr="00997957" w:rsidRDefault="00816973" w:rsidP="008F24ED">
            <w:pPr>
              <w:pStyle w:val="Caption"/>
              <w:keepNext/>
              <w:rPr>
                <w:sz w:val="20"/>
                <w:szCs w:val="20"/>
                <w:lang w:eastAsia="ru-RU"/>
              </w:rPr>
            </w:pPr>
            <w:bookmarkStart w:id="81" w:name="_Toc352690487"/>
            <w:r w:rsidRPr="00997957">
              <w:rPr>
                <w:szCs w:val="22"/>
              </w:rPr>
              <w:lastRenderedPageBreak/>
              <w:t>Table A2. Returns to education and experience, 2010</w:t>
            </w:r>
            <w:bookmarkEnd w:id="81"/>
          </w:p>
        </w:tc>
      </w:tr>
      <w:tr w:rsidR="00816973" w:rsidRPr="0030285B" w:rsidTr="008F24ED">
        <w:trPr>
          <w:trHeight w:val="249"/>
        </w:trPr>
        <w:tc>
          <w:tcPr>
            <w:tcW w:w="2373" w:type="dxa"/>
            <w:tcBorders>
              <w:top w:val="single" w:sz="4" w:space="0" w:color="4F81BD"/>
              <w:bottom w:val="single" w:sz="4" w:space="0" w:color="4F81BD"/>
            </w:tcBorders>
            <w:noWrap/>
            <w:vAlign w:val="bottom"/>
          </w:tcPr>
          <w:p w:rsidR="00816973" w:rsidRPr="0030285B" w:rsidRDefault="00816973" w:rsidP="008F24ED">
            <w:pPr>
              <w:rPr>
                <w:sz w:val="20"/>
                <w:szCs w:val="20"/>
                <w:lang w:eastAsia="ru-RU"/>
              </w:rPr>
            </w:pPr>
          </w:p>
        </w:tc>
        <w:tc>
          <w:tcPr>
            <w:tcW w:w="5232" w:type="dxa"/>
            <w:gridSpan w:val="4"/>
            <w:tcBorders>
              <w:top w:val="single" w:sz="4" w:space="0" w:color="4F81BD"/>
              <w:bottom w:val="single" w:sz="4" w:space="0" w:color="4F81BD"/>
            </w:tcBorders>
            <w:noWrap/>
            <w:vAlign w:val="bottom"/>
          </w:tcPr>
          <w:p w:rsidR="00816973" w:rsidRPr="0030285B" w:rsidRDefault="00816973" w:rsidP="008F24ED">
            <w:pPr>
              <w:jc w:val="center"/>
              <w:rPr>
                <w:sz w:val="20"/>
                <w:szCs w:val="20"/>
                <w:lang w:eastAsia="ru-RU"/>
              </w:rPr>
            </w:pPr>
            <w:r>
              <w:rPr>
                <w:sz w:val="20"/>
                <w:szCs w:val="20"/>
                <w:lang w:eastAsia="ru-RU"/>
              </w:rPr>
              <w:t>Dependent variable log of monthly average wage from the main job in 2010</w:t>
            </w:r>
          </w:p>
        </w:tc>
      </w:tr>
      <w:tr w:rsidR="00816973" w:rsidRPr="0030285B" w:rsidTr="008F24ED">
        <w:trPr>
          <w:trHeight w:val="249"/>
        </w:trPr>
        <w:tc>
          <w:tcPr>
            <w:tcW w:w="2373" w:type="dxa"/>
            <w:tcBorders>
              <w:top w:val="single" w:sz="4" w:space="0" w:color="4F81BD"/>
              <w:bottom w:val="single" w:sz="4" w:space="0" w:color="4F81BD"/>
            </w:tcBorders>
            <w:noWrap/>
            <w:vAlign w:val="bottom"/>
          </w:tcPr>
          <w:p w:rsidR="00816973" w:rsidRPr="0030285B" w:rsidRDefault="00816973" w:rsidP="008F24ED">
            <w:pPr>
              <w:rPr>
                <w:sz w:val="20"/>
                <w:szCs w:val="20"/>
                <w:lang w:eastAsia="ru-RU"/>
              </w:rPr>
            </w:pPr>
          </w:p>
        </w:tc>
        <w:tc>
          <w:tcPr>
            <w:tcW w:w="2671" w:type="dxa"/>
            <w:gridSpan w:val="2"/>
            <w:tcBorders>
              <w:top w:val="single" w:sz="4" w:space="0" w:color="4F81BD"/>
              <w:bottom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Men</w:t>
            </w:r>
          </w:p>
        </w:tc>
        <w:tc>
          <w:tcPr>
            <w:tcW w:w="2561" w:type="dxa"/>
            <w:gridSpan w:val="2"/>
            <w:tcBorders>
              <w:top w:val="single" w:sz="4" w:space="0" w:color="4F81BD"/>
              <w:bottom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Women</w:t>
            </w:r>
          </w:p>
        </w:tc>
      </w:tr>
      <w:tr w:rsidR="00816973" w:rsidRPr="0030285B" w:rsidTr="008F24ED">
        <w:trPr>
          <w:trHeight w:val="249"/>
        </w:trPr>
        <w:tc>
          <w:tcPr>
            <w:tcW w:w="2373" w:type="dxa"/>
            <w:tcBorders>
              <w:top w:val="single" w:sz="4" w:space="0" w:color="4F81BD"/>
              <w:bottom w:val="single" w:sz="4" w:space="0" w:color="4F81BD"/>
            </w:tcBorders>
            <w:noWrap/>
            <w:vAlign w:val="bottom"/>
          </w:tcPr>
          <w:p w:rsidR="00816973" w:rsidRPr="0030285B" w:rsidRDefault="00816973" w:rsidP="008F24ED">
            <w:pPr>
              <w:rPr>
                <w:sz w:val="20"/>
                <w:szCs w:val="20"/>
                <w:lang w:eastAsia="ru-RU"/>
              </w:rPr>
            </w:pPr>
            <w:r>
              <w:rPr>
                <w:sz w:val="20"/>
                <w:szCs w:val="20"/>
                <w:lang w:eastAsia="ru-RU"/>
              </w:rPr>
              <w:t>Variables</w:t>
            </w:r>
          </w:p>
        </w:tc>
        <w:tc>
          <w:tcPr>
            <w:tcW w:w="1280" w:type="dxa"/>
            <w:tcBorders>
              <w:top w:val="single" w:sz="4" w:space="0" w:color="4F81BD"/>
              <w:bottom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OLS</w:t>
            </w:r>
          </w:p>
        </w:tc>
        <w:tc>
          <w:tcPr>
            <w:tcW w:w="1391" w:type="dxa"/>
            <w:tcBorders>
              <w:top w:val="single" w:sz="4" w:space="0" w:color="4F81BD"/>
              <w:bottom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Heckman</w:t>
            </w:r>
          </w:p>
        </w:tc>
        <w:tc>
          <w:tcPr>
            <w:tcW w:w="1280" w:type="dxa"/>
            <w:tcBorders>
              <w:top w:val="single" w:sz="4" w:space="0" w:color="4F81BD"/>
              <w:bottom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OLS</w:t>
            </w:r>
          </w:p>
        </w:tc>
        <w:tc>
          <w:tcPr>
            <w:tcW w:w="1281" w:type="dxa"/>
            <w:tcBorders>
              <w:top w:val="single" w:sz="4" w:space="0" w:color="4F81BD"/>
              <w:bottom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Heckman</w:t>
            </w:r>
          </w:p>
        </w:tc>
      </w:tr>
      <w:tr w:rsidR="00816973" w:rsidRPr="0030285B" w:rsidTr="008F24ED">
        <w:trPr>
          <w:trHeight w:val="249"/>
        </w:trPr>
        <w:tc>
          <w:tcPr>
            <w:tcW w:w="2373" w:type="dxa"/>
            <w:vMerge w:val="restart"/>
            <w:tcBorders>
              <w:top w:val="single" w:sz="4" w:space="0" w:color="4F81BD"/>
            </w:tcBorders>
            <w:noWrap/>
          </w:tcPr>
          <w:p w:rsidR="00816973" w:rsidRPr="0030285B" w:rsidRDefault="00816973" w:rsidP="008F24ED">
            <w:pPr>
              <w:rPr>
                <w:sz w:val="20"/>
                <w:szCs w:val="20"/>
                <w:lang w:eastAsia="ru-RU"/>
              </w:rPr>
            </w:pPr>
            <w:r w:rsidRPr="0030285B">
              <w:rPr>
                <w:sz w:val="20"/>
                <w:szCs w:val="20"/>
                <w:lang w:eastAsia="ru-RU"/>
              </w:rPr>
              <w:t xml:space="preserve">Age </w:t>
            </w:r>
          </w:p>
        </w:tc>
        <w:tc>
          <w:tcPr>
            <w:tcW w:w="1280" w:type="dxa"/>
            <w:tcBorders>
              <w:top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0.127***</w:t>
            </w:r>
          </w:p>
        </w:tc>
        <w:tc>
          <w:tcPr>
            <w:tcW w:w="1391" w:type="dxa"/>
            <w:tcBorders>
              <w:top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0.0840***</w:t>
            </w:r>
          </w:p>
        </w:tc>
        <w:tc>
          <w:tcPr>
            <w:tcW w:w="1280" w:type="dxa"/>
            <w:tcBorders>
              <w:top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0.151***</w:t>
            </w:r>
          </w:p>
        </w:tc>
        <w:tc>
          <w:tcPr>
            <w:tcW w:w="1281" w:type="dxa"/>
            <w:tcBorders>
              <w:top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0.116***</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[0.00865]</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[0.00951]</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[0.00843]</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[0.00923]</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Age squared</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-0.00149***</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-0.000973***</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-0.00169***</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-0.00131***</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[0.000101]</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[0.000114]</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[9.85e-05]</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[0.000113]</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Year of education</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0.106***</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0.0967***</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0.101***</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0.103***</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[0.00742]</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[0.00838]</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[0.00764]</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[0.00672]</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Brest</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-0.136***</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-0.245***</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-0.250***</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-0.267***</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[0.0491]</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[0.0456]</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[0.0441]</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[0.0408]</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Vitebsk</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-0.125**</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-0.216***</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-0.286***</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-0.279***</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[0.0487]</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[0.0436]</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[0.0458]</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[0.0442]</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Gomel</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-0.287***</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-0.367***</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-0.430***</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-0.396***</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[0.0520]</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[0.0445]</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[0.0508]</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[0.0413]</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Grodno</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-0.163***</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-0.277***</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-0.272***</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-0.273***</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[0.0506]</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[0.0459]</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[0.0469]</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[0.0428]</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Minsk region</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-0.124**</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-0.171***</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-0.191***</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-0.192***</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[0.0499]</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[0.0445]</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[0.0478]</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[0.0424]</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 xml:space="preserve">Mogilev </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-0.252***</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-0.307***</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-0.276***</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-0.277***</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[0.0523]</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[0.0484]</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[0.0461]</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[0.0412]</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Rural</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-0.245***</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-0.232***</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-0.0771***</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-0.0665***</w:t>
            </w:r>
          </w:p>
        </w:tc>
      </w:tr>
      <w:tr w:rsidR="00816973" w:rsidRPr="0030285B" w:rsidTr="008F24ED">
        <w:trPr>
          <w:trHeight w:val="249"/>
        </w:trPr>
        <w:tc>
          <w:tcPr>
            <w:tcW w:w="2373" w:type="dxa"/>
            <w:vMerge/>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[0.0283]</w:t>
            </w:r>
          </w:p>
        </w:tc>
        <w:tc>
          <w:tcPr>
            <w:tcW w:w="1391" w:type="dxa"/>
            <w:noWrap/>
            <w:vAlign w:val="bottom"/>
          </w:tcPr>
          <w:p w:rsidR="00816973" w:rsidRPr="0030285B" w:rsidRDefault="00816973" w:rsidP="008F24ED">
            <w:pPr>
              <w:jc w:val="center"/>
              <w:rPr>
                <w:sz w:val="20"/>
                <w:szCs w:val="20"/>
                <w:lang w:eastAsia="ru-RU"/>
              </w:rPr>
            </w:pPr>
            <w:r w:rsidRPr="0030285B">
              <w:rPr>
                <w:sz w:val="20"/>
                <w:szCs w:val="20"/>
                <w:lang w:eastAsia="ru-RU"/>
              </w:rPr>
              <w:t>[0.0257]</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[0.0287]</w:t>
            </w:r>
          </w:p>
        </w:tc>
        <w:tc>
          <w:tcPr>
            <w:tcW w:w="1281" w:type="dxa"/>
            <w:noWrap/>
            <w:vAlign w:val="bottom"/>
          </w:tcPr>
          <w:p w:rsidR="00816973" w:rsidRPr="0030285B" w:rsidRDefault="00816973" w:rsidP="008F24ED">
            <w:pPr>
              <w:jc w:val="center"/>
              <w:rPr>
                <w:sz w:val="20"/>
                <w:szCs w:val="20"/>
                <w:lang w:eastAsia="ru-RU"/>
              </w:rPr>
            </w:pPr>
            <w:r w:rsidRPr="0030285B">
              <w:rPr>
                <w:sz w:val="20"/>
                <w:szCs w:val="20"/>
                <w:lang w:eastAsia="ru-RU"/>
              </w:rPr>
              <w:t>[0.0255]</w:t>
            </w:r>
          </w:p>
        </w:tc>
      </w:tr>
      <w:tr w:rsidR="00816973" w:rsidRPr="0030285B" w:rsidTr="008F24ED">
        <w:trPr>
          <w:trHeight w:val="249"/>
        </w:trPr>
        <w:tc>
          <w:tcPr>
            <w:tcW w:w="2373" w:type="dxa"/>
            <w:vMerge w:val="restart"/>
            <w:noWrap/>
          </w:tcPr>
          <w:p w:rsidR="00816973" w:rsidRPr="0030285B" w:rsidRDefault="00816973" w:rsidP="008F24ED">
            <w:pPr>
              <w:rPr>
                <w:sz w:val="20"/>
                <w:szCs w:val="20"/>
                <w:lang w:eastAsia="ru-RU"/>
              </w:rPr>
            </w:pPr>
            <w:r w:rsidRPr="0030285B">
              <w:rPr>
                <w:sz w:val="20"/>
                <w:szCs w:val="20"/>
                <w:lang w:eastAsia="ru-RU"/>
              </w:rPr>
              <w:t>Constant</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9.884***</w:t>
            </w:r>
          </w:p>
        </w:tc>
        <w:tc>
          <w:tcPr>
            <w:tcW w:w="1391" w:type="dxa"/>
            <w:noWrap/>
            <w:vAlign w:val="bottom"/>
          </w:tcPr>
          <w:p w:rsidR="00816973" w:rsidRPr="0030285B" w:rsidRDefault="00816973" w:rsidP="008F24ED">
            <w:pPr>
              <w:jc w:val="center"/>
              <w:rPr>
                <w:sz w:val="20"/>
                <w:szCs w:val="20"/>
                <w:lang w:eastAsia="ru-RU"/>
              </w:rPr>
            </w:pPr>
          </w:p>
        </w:tc>
        <w:tc>
          <w:tcPr>
            <w:tcW w:w="1280" w:type="dxa"/>
            <w:noWrap/>
            <w:vAlign w:val="bottom"/>
          </w:tcPr>
          <w:p w:rsidR="00816973" w:rsidRPr="0030285B" w:rsidRDefault="00816973" w:rsidP="008F24ED">
            <w:pPr>
              <w:rPr>
                <w:sz w:val="20"/>
                <w:szCs w:val="20"/>
                <w:lang w:eastAsia="ru-RU"/>
              </w:rPr>
            </w:pPr>
            <w:r w:rsidRPr="0030285B">
              <w:rPr>
                <w:sz w:val="20"/>
                <w:szCs w:val="20"/>
                <w:lang w:eastAsia="ru-RU"/>
              </w:rPr>
              <w:t>8.976***</w:t>
            </w:r>
          </w:p>
        </w:tc>
        <w:tc>
          <w:tcPr>
            <w:tcW w:w="1281" w:type="dxa"/>
            <w:noWrap/>
            <w:vAlign w:val="bottom"/>
          </w:tcPr>
          <w:p w:rsidR="00816973" w:rsidRPr="0030285B" w:rsidRDefault="00816973" w:rsidP="008F24ED">
            <w:pPr>
              <w:jc w:val="center"/>
              <w:rPr>
                <w:sz w:val="20"/>
                <w:szCs w:val="20"/>
                <w:lang w:eastAsia="ru-RU"/>
              </w:rPr>
            </w:pPr>
          </w:p>
        </w:tc>
      </w:tr>
      <w:tr w:rsidR="00816973" w:rsidRPr="0030285B" w:rsidTr="008F24ED">
        <w:trPr>
          <w:trHeight w:val="249"/>
        </w:trPr>
        <w:tc>
          <w:tcPr>
            <w:tcW w:w="2373" w:type="dxa"/>
            <w:vMerge/>
            <w:vAlign w:val="center"/>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rPr>
                <w:sz w:val="20"/>
                <w:szCs w:val="20"/>
                <w:lang w:eastAsia="ru-RU"/>
              </w:rPr>
            </w:pPr>
            <w:r w:rsidRPr="0030285B">
              <w:rPr>
                <w:sz w:val="20"/>
                <w:szCs w:val="20"/>
                <w:lang w:eastAsia="ru-RU"/>
              </w:rPr>
              <w:t>[0.212]</w:t>
            </w:r>
          </w:p>
        </w:tc>
        <w:tc>
          <w:tcPr>
            <w:tcW w:w="1391" w:type="dxa"/>
            <w:noWrap/>
            <w:vAlign w:val="bottom"/>
          </w:tcPr>
          <w:p w:rsidR="00816973" w:rsidRPr="0030285B" w:rsidRDefault="00816973" w:rsidP="008F24ED">
            <w:pPr>
              <w:rPr>
                <w:sz w:val="20"/>
                <w:szCs w:val="20"/>
                <w:lang w:eastAsia="ru-RU"/>
              </w:rPr>
            </w:pPr>
          </w:p>
        </w:tc>
        <w:tc>
          <w:tcPr>
            <w:tcW w:w="1280" w:type="dxa"/>
            <w:noWrap/>
            <w:vAlign w:val="bottom"/>
          </w:tcPr>
          <w:p w:rsidR="00816973" w:rsidRPr="0030285B" w:rsidRDefault="00816973" w:rsidP="008F24ED">
            <w:pPr>
              <w:rPr>
                <w:sz w:val="20"/>
                <w:szCs w:val="20"/>
                <w:lang w:eastAsia="ru-RU"/>
              </w:rPr>
            </w:pPr>
            <w:r w:rsidRPr="0030285B">
              <w:rPr>
                <w:sz w:val="20"/>
                <w:szCs w:val="20"/>
                <w:lang w:eastAsia="ru-RU"/>
              </w:rPr>
              <w:t>[0.205]</w:t>
            </w:r>
          </w:p>
        </w:tc>
        <w:tc>
          <w:tcPr>
            <w:tcW w:w="1281" w:type="dxa"/>
            <w:noWrap/>
            <w:vAlign w:val="bottom"/>
          </w:tcPr>
          <w:p w:rsidR="00816973" w:rsidRPr="0030285B" w:rsidRDefault="00816973" w:rsidP="008F24ED">
            <w:pPr>
              <w:rPr>
                <w:sz w:val="20"/>
                <w:szCs w:val="20"/>
                <w:lang w:eastAsia="ru-RU"/>
              </w:rPr>
            </w:pPr>
          </w:p>
        </w:tc>
      </w:tr>
      <w:tr w:rsidR="00816973" w:rsidRPr="0030285B" w:rsidTr="008F24ED">
        <w:trPr>
          <w:trHeight w:val="249"/>
        </w:trPr>
        <w:tc>
          <w:tcPr>
            <w:tcW w:w="2373" w:type="dxa"/>
            <w:noWrap/>
            <w:vAlign w:val="bottom"/>
          </w:tcPr>
          <w:p w:rsidR="00816973" w:rsidRPr="0030285B" w:rsidRDefault="00816973" w:rsidP="008F24ED">
            <w:pPr>
              <w:rPr>
                <w:sz w:val="20"/>
                <w:szCs w:val="20"/>
                <w:lang w:eastAsia="ru-RU"/>
              </w:rPr>
            </w:pPr>
            <w:r w:rsidRPr="0030285B">
              <w:rPr>
                <w:sz w:val="20"/>
                <w:szCs w:val="20"/>
                <w:lang w:eastAsia="ru-RU"/>
              </w:rPr>
              <w:t>R-squared</w:t>
            </w: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0.22</w:t>
            </w:r>
          </w:p>
        </w:tc>
        <w:tc>
          <w:tcPr>
            <w:tcW w:w="1391" w:type="dxa"/>
            <w:noWrap/>
            <w:vAlign w:val="bottom"/>
          </w:tcPr>
          <w:p w:rsidR="00816973" w:rsidRPr="0030285B" w:rsidRDefault="00816973" w:rsidP="008F24ED">
            <w:pPr>
              <w:jc w:val="center"/>
              <w:rPr>
                <w:sz w:val="20"/>
                <w:szCs w:val="20"/>
                <w:lang w:eastAsia="ru-RU"/>
              </w:rPr>
            </w:pPr>
          </w:p>
        </w:tc>
        <w:tc>
          <w:tcPr>
            <w:tcW w:w="1280" w:type="dxa"/>
            <w:noWrap/>
            <w:vAlign w:val="bottom"/>
          </w:tcPr>
          <w:p w:rsidR="00816973" w:rsidRPr="0030285B" w:rsidRDefault="00816973" w:rsidP="008F24ED">
            <w:pPr>
              <w:jc w:val="center"/>
              <w:rPr>
                <w:sz w:val="20"/>
                <w:szCs w:val="20"/>
                <w:lang w:eastAsia="ru-RU"/>
              </w:rPr>
            </w:pPr>
            <w:r w:rsidRPr="0030285B">
              <w:rPr>
                <w:sz w:val="20"/>
                <w:szCs w:val="20"/>
                <w:lang w:eastAsia="ru-RU"/>
              </w:rPr>
              <w:t>0.21</w:t>
            </w:r>
          </w:p>
        </w:tc>
        <w:tc>
          <w:tcPr>
            <w:tcW w:w="1281" w:type="dxa"/>
            <w:noWrap/>
            <w:vAlign w:val="bottom"/>
          </w:tcPr>
          <w:p w:rsidR="00816973" w:rsidRPr="0030285B" w:rsidRDefault="00816973" w:rsidP="008F24ED">
            <w:pPr>
              <w:jc w:val="center"/>
              <w:rPr>
                <w:sz w:val="20"/>
                <w:szCs w:val="20"/>
                <w:lang w:eastAsia="ru-RU"/>
              </w:rPr>
            </w:pPr>
          </w:p>
        </w:tc>
      </w:tr>
      <w:tr w:rsidR="00816973" w:rsidRPr="0030285B" w:rsidTr="008F24ED">
        <w:trPr>
          <w:trHeight w:val="249"/>
        </w:trPr>
        <w:tc>
          <w:tcPr>
            <w:tcW w:w="2373" w:type="dxa"/>
            <w:tcBorders>
              <w:bottom w:val="single" w:sz="4" w:space="0" w:color="4F81BD"/>
            </w:tcBorders>
            <w:noWrap/>
            <w:vAlign w:val="bottom"/>
          </w:tcPr>
          <w:p w:rsidR="00816973" w:rsidRPr="0030285B" w:rsidRDefault="00816973" w:rsidP="008F24ED">
            <w:pPr>
              <w:rPr>
                <w:sz w:val="20"/>
                <w:szCs w:val="20"/>
                <w:lang w:eastAsia="ru-RU"/>
              </w:rPr>
            </w:pPr>
            <w:r w:rsidRPr="0030285B">
              <w:rPr>
                <w:sz w:val="20"/>
                <w:szCs w:val="20"/>
                <w:lang w:eastAsia="ru-RU"/>
              </w:rPr>
              <w:t>N</w:t>
            </w:r>
          </w:p>
        </w:tc>
        <w:tc>
          <w:tcPr>
            <w:tcW w:w="2671" w:type="dxa"/>
            <w:gridSpan w:val="2"/>
            <w:tcBorders>
              <w:bottom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3303</w:t>
            </w:r>
          </w:p>
        </w:tc>
        <w:tc>
          <w:tcPr>
            <w:tcW w:w="2561" w:type="dxa"/>
            <w:gridSpan w:val="2"/>
            <w:tcBorders>
              <w:bottom w:val="single" w:sz="4" w:space="0" w:color="4F81BD"/>
            </w:tcBorders>
            <w:noWrap/>
            <w:vAlign w:val="bottom"/>
          </w:tcPr>
          <w:p w:rsidR="00816973" w:rsidRPr="0030285B" w:rsidRDefault="00816973" w:rsidP="008F24ED">
            <w:pPr>
              <w:jc w:val="center"/>
              <w:rPr>
                <w:sz w:val="20"/>
                <w:szCs w:val="20"/>
                <w:lang w:eastAsia="ru-RU"/>
              </w:rPr>
            </w:pPr>
            <w:r w:rsidRPr="0030285B">
              <w:rPr>
                <w:sz w:val="20"/>
                <w:szCs w:val="20"/>
                <w:lang w:eastAsia="ru-RU"/>
              </w:rPr>
              <w:t>3,837</w:t>
            </w:r>
          </w:p>
        </w:tc>
      </w:tr>
      <w:tr w:rsidR="00816973" w:rsidRPr="0030285B" w:rsidTr="008F24ED">
        <w:trPr>
          <w:trHeight w:val="249"/>
        </w:trPr>
        <w:tc>
          <w:tcPr>
            <w:tcW w:w="7605" w:type="dxa"/>
            <w:gridSpan w:val="5"/>
            <w:tcBorders>
              <w:top w:val="single" w:sz="4" w:space="0" w:color="4F81BD"/>
              <w:bottom w:val="single" w:sz="4" w:space="0" w:color="4F81BD"/>
            </w:tcBorders>
            <w:noWrap/>
            <w:vAlign w:val="bottom"/>
          </w:tcPr>
          <w:p w:rsidR="00816973" w:rsidRDefault="00816973" w:rsidP="008F24ED">
            <w:pPr>
              <w:rPr>
                <w:sz w:val="18"/>
              </w:rPr>
            </w:pPr>
            <w:r w:rsidRPr="00E92F87">
              <w:rPr>
                <w:i/>
                <w:sz w:val="20"/>
                <w:szCs w:val="20"/>
                <w:lang w:eastAsia="ru-RU"/>
              </w:rPr>
              <w:t>Source:</w:t>
            </w:r>
            <w:r>
              <w:rPr>
                <w:sz w:val="20"/>
                <w:szCs w:val="20"/>
                <w:lang w:eastAsia="ru-RU"/>
              </w:rPr>
              <w:t xml:space="preserve"> </w:t>
            </w:r>
            <w:r w:rsidRPr="001520FF">
              <w:rPr>
                <w:sz w:val="18"/>
              </w:rPr>
              <w:t xml:space="preserve"> </w:t>
            </w:r>
            <w:r>
              <w:rPr>
                <w:sz w:val="18"/>
              </w:rPr>
              <w:t>HLSS</w:t>
            </w:r>
            <w:r w:rsidRPr="001520FF">
              <w:rPr>
                <w:sz w:val="18"/>
              </w:rPr>
              <w:t xml:space="preserve">. </w:t>
            </w:r>
          </w:p>
          <w:p w:rsidR="00816973" w:rsidRPr="0030285B" w:rsidRDefault="00816973" w:rsidP="008F24ED">
            <w:pPr>
              <w:rPr>
                <w:sz w:val="20"/>
                <w:szCs w:val="20"/>
                <w:lang w:eastAsia="ru-RU"/>
              </w:rPr>
            </w:pPr>
            <w:r w:rsidRPr="001520FF">
              <w:rPr>
                <w:i/>
                <w:sz w:val="18"/>
              </w:rPr>
              <w:t>Notes</w:t>
            </w:r>
            <w:r w:rsidRPr="001520FF">
              <w:rPr>
                <w:sz w:val="18"/>
              </w:rPr>
              <w:t xml:space="preserve">: </w:t>
            </w:r>
            <w:r>
              <w:rPr>
                <w:sz w:val="18"/>
              </w:rPr>
              <w:t xml:space="preserve">*** significant at 1%, </w:t>
            </w:r>
            <w:r w:rsidRPr="001520FF">
              <w:rPr>
                <w:sz w:val="18"/>
              </w:rPr>
              <w:t xml:space="preserve">** </w:t>
            </w:r>
            <w:r>
              <w:rPr>
                <w:sz w:val="18"/>
              </w:rPr>
              <w:t xml:space="preserve">significant at 5%, </w:t>
            </w:r>
            <w:r w:rsidRPr="001520FF">
              <w:rPr>
                <w:sz w:val="18"/>
              </w:rPr>
              <w:t>significant at 10%.</w:t>
            </w:r>
            <w:r>
              <w:rPr>
                <w:sz w:val="18"/>
              </w:rPr>
              <w:t xml:space="preserve"> Marginal conditional effects are presented for the Heckman model.  </w:t>
            </w:r>
          </w:p>
        </w:tc>
      </w:tr>
    </w:tbl>
    <w:p w:rsidR="00816973" w:rsidRDefault="00816973" w:rsidP="00816973"/>
    <w:tbl>
      <w:tblPr>
        <w:tblW w:w="5400" w:type="dxa"/>
        <w:tblInd w:w="108" w:type="dxa"/>
        <w:tblBorders>
          <w:top w:val="single" w:sz="4" w:space="0" w:color="4F81BD"/>
          <w:bottom w:val="single" w:sz="4" w:space="0" w:color="4F81BD"/>
        </w:tblBorders>
        <w:tblLook w:val="0000" w:firstRow="0" w:lastRow="0" w:firstColumn="0" w:lastColumn="0" w:noHBand="0" w:noVBand="0"/>
      </w:tblPr>
      <w:tblGrid>
        <w:gridCol w:w="1760"/>
        <w:gridCol w:w="1446"/>
        <w:gridCol w:w="2194"/>
      </w:tblGrid>
      <w:tr w:rsidR="00816973" w:rsidRPr="00DE290D" w:rsidTr="001A446C">
        <w:trPr>
          <w:trHeight w:val="255"/>
        </w:trPr>
        <w:tc>
          <w:tcPr>
            <w:tcW w:w="5400" w:type="dxa"/>
            <w:gridSpan w:val="3"/>
            <w:tcBorders>
              <w:top w:val="single" w:sz="4" w:space="0" w:color="4F81BD"/>
              <w:bottom w:val="single" w:sz="4" w:space="0" w:color="4F81BD"/>
            </w:tcBorders>
            <w:noWrap/>
            <w:vAlign w:val="bottom"/>
          </w:tcPr>
          <w:p w:rsidR="00816973" w:rsidRPr="00997957" w:rsidRDefault="00816973" w:rsidP="008F24ED">
            <w:pPr>
              <w:pStyle w:val="Caption"/>
              <w:keepNext/>
              <w:rPr>
                <w:b w:val="0"/>
                <w:sz w:val="20"/>
                <w:szCs w:val="20"/>
                <w:lang w:eastAsia="ru-RU"/>
              </w:rPr>
            </w:pPr>
            <w:bookmarkStart w:id="82" w:name="_Toc352690488"/>
            <w:r w:rsidRPr="00997957">
              <w:rPr>
                <w:szCs w:val="22"/>
              </w:rPr>
              <w:t>Table A3. Oaxaca Blinder decomposition, log of monthly wage, 2010</w:t>
            </w:r>
            <w:bookmarkEnd w:id="82"/>
          </w:p>
        </w:tc>
      </w:tr>
      <w:tr w:rsidR="00816973" w:rsidRPr="00DE290D" w:rsidTr="001A446C">
        <w:trPr>
          <w:trHeight w:val="207"/>
        </w:trPr>
        <w:tc>
          <w:tcPr>
            <w:tcW w:w="1760" w:type="dxa"/>
            <w:tcBorders>
              <w:top w:val="single" w:sz="4" w:space="0" w:color="4F81BD"/>
              <w:bottom w:val="single" w:sz="4" w:space="0" w:color="4F81BD"/>
            </w:tcBorders>
            <w:noWrap/>
            <w:vAlign w:val="bottom"/>
          </w:tcPr>
          <w:p w:rsidR="00816973" w:rsidRPr="00DE290D" w:rsidRDefault="00816973" w:rsidP="008F24ED">
            <w:pPr>
              <w:rPr>
                <w:sz w:val="20"/>
                <w:szCs w:val="20"/>
                <w:lang w:eastAsia="ru-RU"/>
              </w:rPr>
            </w:pPr>
          </w:p>
        </w:tc>
        <w:tc>
          <w:tcPr>
            <w:tcW w:w="1446" w:type="dxa"/>
            <w:tcBorders>
              <w:top w:val="single" w:sz="4" w:space="0" w:color="4F81BD"/>
              <w:bottom w:val="single" w:sz="4" w:space="0" w:color="4F81BD"/>
            </w:tcBorders>
            <w:noWrap/>
            <w:vAlign w:val="bottom"/>
          </w:tcPr>
          <w:p w:rsidR="00816973" w:rsidRPr="00DE290D" w:rsidRDefault="00816973" w:rsidP="008F24ED">
            <w:pPr>
              <w:rPr>
                <w:b/>
                <w:sz w:val="20"/>
                <w:szCs w:val="20"/>
                <w:lang w:eastAsia="ru-RU"/>
              </w:rPr>
            </w:pPr>
            <w:r w:rsidRPr="00DE290D">
              <w:rPr>
                <w:b/>
                <w:sz w:val="20"/>
                <w:szCs w:val="20"/>
                <w:lang w:eastAsia="ru-RU"/>
              </w:rPr>
              <w:t>Explained</w:t>
            </w:r>
          </w:p>
        </w:tc>
        <w:tc>
          <w:tcPr>
            <w:tcW w:w="2194" w:type="dxa"/>
            <w:tcBorders>
              <w:top w:val="single" w:sz="4" w:space="0" w:color="4F81BD"/>
              <w:bottom w:val="single" w:sz="4" w:space="0" w:color="4F81BD"/>
            </w:tcBorders>
            <w:noWrap/>
            <w:vAlign w:val="bottom"/>
          </w:tcPr>
          <w:p w:rsidR="00816973" w:rsidRPr="00DE290D" w:rsidRDefault="0019762A" w:rsidP="008F24ED">
            <w:pPr>
              <w:rPr>
                <w:b/>
                <w:sz w:val="20"/>
                <w:szCs w:val="20"/>
                <w:lang w:eastAsia="ru-RU"/>
              </w:rPr>
            </w:pPr>
            <w:r>
              <w:rPr>
                <w:b/>
                <w:sz w:val="20"/>
                <w:szCs w:val="20"/>
                <w:lang w:eastAsia="ru-RU"/>
              </w:rPr>
              <w:t xml:space="preserve">     </w:t>
            </w:r>
            <w:r w:rsidR="00816973" w:rsidRPr="00DE290D">
              <w:rPr>
                <w:b/>
                <w:sz w:val="20"/>
                <w:szCs w:val="20"/>
                <w:lang w:eastAsia="ru-RU"/>
              </w:rPr>
              <w:t>Unexplained</w:t>
            </w:r>
          </w:p>
        </w:tc>
      </w:tr>
      <w:tr w:rsidR="00816973" w:rsidRPr="00DE290D" w:rsidTr="001A446C">
        <w:trPr>
          <w:trHeight w:val="255"/>
        </w:trPr>
        <w:tc>
          <w:tcPr>
            <w:tcW w:w="1760" w:type="dxa"/>
            <w:vMerge w:val="restart"/>
            <w:tcBorders>
              <w:top w:val="single" w:sz="4" w:space="0" w:color="4F81BD"/>
            </w:tcBorders>
          </w:tcPr>
          <w:p w:rsidR="00816973" w:rsidRPr="00DE290D" w:rsidRDefault="00816973" w:rsidP="008F24ED">
            <w:pPr>
              <w:rPr>
                <w:sz w:val="20"/>
                <w:szCs w:val="20"/>
                <w:lang w:eastAsia="ru-RU"/>
              </w:rPr>
            </w:pPr>
            <w:r w:rsidRPr="00DE290D">
              <w:rPr>
                <w:sz w:val="20"/>
                <w:szCs w:val="20"/>
                <w:lang w:eastAsia="ru-RU"/>
              </w:rPr>
              <w:t>Experience</w:t>
            </w:r>
          </w:p>
        </w:tc>
        <w:tc>
          <w:tcPr>
            <w:tcW w:w="1446" w:type="dxa"/>
            <w:tcBorders>
              <w:top w:val="single" w:sz="4" w:space="0" w:color="4F81BD"/>
            </w:tcBorders>
            <w:noWrap/>
            <w:vAlign w:val="bottom"/>
          </w:tcPr>
          <w:p w:rsidR="00816973" w:rsidRPr="00DE290D" w:rsidRDefault="00816973" w:rsidP="008F24ED">
            <w:pPr>
              <w:jc w:val="center"/>
              <w:rPr>
                <w:sz w:val="20"/>
                <w:szCs w:val="20"/>
                <w:lang w:eastAsia="ru-RU"/>
              </w:rPr>
            </w:pPr>
            <w:r w:rsidRPr="00DE290D">
              <w:rPr>
                <w:sz w:val="20"/>
                <w:szCs w:val="20"/>
                <w:lang w:eastAsia="ru-RU"/>
              </w:rPr>
              <w:t>-0.0185***</w:t>
            </w:r>
          </w:p>
        </w:tc>
        <w:tc>
          <w:tcPr>
            <w:tcW w:w="2194" w:type="dxa"/>
            <w:tcBorders>
              <w:top w:val="single" w:sz="4" w:space="0" w:color="4F81BD"/>
            </w:tcBorders>
            <w:noWrap/>
            <w:vAlign w:val="bottom"/>
          </w:tcPr>
          <w:p w:rsidR="00816973" w:rsidRPr="00DE290D" w:rsidRDefault="00816973" w:rsidP="008F24ED">
            <w:pPr>
              <w:jc w:val="center"/>
              <w:rPr>
                <w:sz w:val="20"/>
                <w:szCs w:val="20"/>
                <w:lang w:eastAsia="ru-RU"/>
              </w:rPr>
            </w:pPr>
            <w:r w:rsidRPr="00DE290D">
              <w:rPr>
                <w:sz w:val="20"/>
                <w:szCs w:val="20"/>
                <w:lang w:eastAsia="ru-RU"/>
              </w:rPr>
              <w:t>-0.0171</w:t>
            </w:r>
          </w:p>
        </w:tc>
      </w:tr>
      <w:tr w:rsidR="00816973" w:rsidRPr="00DE290D" w:rsidTr="001A446C">
        <w:trPr>
          <w:trHeight w:val="255"/>
        </w:trPr>
        <w:tc>
          <w:tcPr>
            <w:tcW w:w="1760" w:type="dxa"/>
            <w:vMerge/>
          </w:tcPr>
          <w:p w:rsidR="00816973" w:rsidRPr="00DE290D" w:rsidRDefault="00816973" w:rsidP="008F24ED">
            <w:pPr>
              <w:rPr>
                <w:sz w:val="20"/>
                <w:szCs w:val="20"/>
                <w:lang w:eastAsia="ru-RU"/>
              </w:rPr>
            </w:pPr>
          </w:p>
        </w:tc>
        <w:tc>
          <w:tcPr>
            <w:tcW w:w="1446" w:type="dxa"/>
            <w:noWrap/>
            <w:vAlign w:val="bottom"/>
          </w:tcPr>
          <w:p w:rsidR="00816973" w:rsidRPr="00DE290D" w:rsidRDefault="00816973" w:rsidP="008F24ED">
            <w:pPr>
              <w:jc w:val="center"/>
              <w:rPr>
                <w:sz w:val="20"/>
                <w:szCs w:val="20"/>
                <w:lang w:eastAsia="ru-RU"/>
              </w:rPr>
            </w:pPr>
            <w:r w:rsidRPr="00DE290D">
              <w:rPr>
                <w:sz w:val="20"/>
                <w:szCs w:val="20"/>
                <w:lang w:eastAsia="ru-RU"/>
              </w:rPr>
              <w:t>[0.00346]</w:t>
            </w:r>
          </w:p>
        </w:tc>
        <w:tc>
          <w:tcPr>
            <w:tcW w:w="2194" w:type="dxa"/>
            <w:noWrap/>
            <w:vAlign w:val="bottom"/>
          </w:tcPr>
          <w:p w:rsidR="00816973" w:rsidRPr="00DE290D" w:rsidRDefault="00816973" w:rsidP="008F24ED">
            <w:pPr>
              <w:jc w:val="center"/>
              <w:rPr>
                <w:sz w:val="20"/>
                <w:szCs w:val="20"/>
                <w:lang w:eastAsia="ru-RU"/>
              </w:rPr>
            </w:pPr>
            <w:r w:rsidRPr="00DE290D">
              <w:rPr>
                <w:sz w:val="20"/>
                <w:szCs w:val="20"/>
                <w:lang w:eastAsia="ru-RU"/>
              </w:rPr>
              <w:t>[0.176]</w:t>
            </w:r>
          </w:p>
        </w:tc>
      </w:tr>
      <w:tr w:rsidR="00816973" w:rsidRPr="00DE290D" w:rsidTr="001A446C">
        <w:trPr>
          <w:trHeight w:val="255"/>
        </w:trPr>
        <w:tc>
          <w:tcPr>
            <w:tcW w:w="1760" w:type="dxa"/>
            <w:vMerge w:val="restart"/>
          </w:tcPr>
          <w:p w:rsidR="00816973" w:rsidRPr="00DE290D" w:rsidRDefault="00816973" w:rsidP="008F24ED">
            <w:pPr>
              <w:rPr>
                <w:sz w:val="20"/>
                <w:szCs w:val="20"/>
                <w:lang w:eastAsia="ru-RU"/>
              </w:rPr>
            </w:pPr>
            <w:r w:rsidRPr="00DE290D">
              <w:rPr>
                <w:sz w:val="20"/>
                <w:szCs w:val="20"/>
                <w:lang w:eastAsia="ru-RU"/>
              </w:rPr>
              <w:t>Years of education</w:t>
            </w:r>
          </w:p>
        </w:tc>
        <w:tc>
          <w:tcPr>
            <w:tcW w:w="1446" w:type="dxa"/>
            <w:noWrap/>
            <w:vAlign w:val="bottom"/>
          </w:tcPr>
          <w:p w:rsidR="00816973" w:rsidRPr="00DE290D" w:rsidRDefault="00816973" w:rsidP="008F24ED">
            <w:pPr>
              <w:jc w:val="center"/>
              <w:rPr>
                <w:sz w:val="20"/>
                <w:szCs w:val="20"/>
                <w:lang w:eastAsia="ru-RU"/>
              </w:rPr>
            </w:pPr>
            <w:r w:rsidRPr="00DE290D">
              <w:rPr>
                <w:sz w:val="20"/>
                <w:szCs w:val="20"/>
                <w:lang w:eastAsia="ru-RU"/>
              </w:rPr>
              <w:t>-0.0390***</w:t>
            </w:r>
          </w:p>
        </w:tc>
        <w:tc>
          <w:tcPr>
            <w:tcW w:w="2194" w:type="dxa"/>
            <w:noWrap/>
            <w:vAlign w:val="bottom"/>
          </w:tcPr>
          <w:p w:rsidR="00816973" w:rsidRPr="00DE290D" w:rsidRDefault="00816973" w:rsidP="008F24ED">
            <w:pPr>
              <w:jc w:val="center"/>
              <w:rPr>
                <w:sz w:val="20"/>
                <w:szCs w:val="20"/>
                <w:lang w:eastAsia="ru-RU"/>
              </w:rPr>
            </w:pPr>
            <w:r w:rsidRPr="00DE290D">
              <w:rPr>
                <w:sz w:val="20"/>
                <w:szCs w:val="20"/>
                <w:lang w:eastAsia="ru-RU"/>
              </w:rPr>
              <w:t>-0.175</w:t>
            </w:r>
          </w:p>
        </w:tc>
      </w:tr>
      <w:tr w:rsidR="00816973" w:rsidRPr="00DE290D" w:rsidTr="001A446C">
        <w:trPr>
          <w:trHeight w:val="255"/>
        </w:trPr>
        <w:tc>
          <w:tcPr>
            <w:tcW w:w="1760" w:type="dxa"/>
            <w:vMerge/>
          </w:tcPr>
          <w:p w:rsidR="00816973" w:rsidRPr="00DE290D" w:rsidRDefault="00816973" w:rsidP="008F24ED">
            <w:pPr>
              <w:rPr>
                <w:sz w:val="20"/>
                <w:szCs w:val="20"/>
                <w:lang w:eastAsia="ru-RU"/>
              </w:rPr>
            </w:pPr>
          </w:p>
        </w:tc>
        <w:tc>
          <w:tcPr>
            <w:tcW w:w="1446" w:type="dxa"/>
            <w:noWrap/>
            <w:vAlign w:val="bottom"/>
          </w:tcPr>
          <w:p w:rsidR="00816973" w:rsidRPr="00DE290D" w:rsidRDefault="00816973" w:rsidP="008F24ED">
            <w:pPr>
              <w:jc w:val="center"/>
              <w:rPr>
                <w:sz w:val="20"/>
                <w:szCs w:val="20"/>
                <w:lang w:eastAsia="ru-RU"/>
              </w:rPr>
            </w:pPr>
            <w:r w:rsidRPr="00DE290D">
              <w:rPr>
                <w:sz w:val="20"/>
                <w:szCs w:val="20"/>
                <w:lang w:eastAsia="ru-RU"/>
              </w:rPr>
              <w:t>[0.00501]</w:t>
            </w:r>
          </w:p>
        </w:tc>
        <w:tc>
          <w:tcPr>
            <w:tcW w:w="2194" w:type="dxa"/>
            <w:noWrap/>
            <w:vAlign w:val="bottom"/>
          </w:tcPr>
          <w:p w:rsidR="00816973" w:rsidRPr="00DE290D" w:rsidRDefault="00816973" w:rsidP="008F24ED">
            <w:pPr>
              <w:jc w:val="center"/>
              <w:rPr>
                <w:sz w:val="20"/>
                <w:szCs w:val="20"/>
                <w:lang w:eastAsia="ru-RU"/>
              </w:rPr>
            </w:pPr>
            <w:r w:rsidRPr="00DE290D">
              <w:rPr>
                <w:sz w:val="20"/>
                <w:szCs w:val="20"/>
                <w:lang w:eastAsia="ru-RU"/>
              </w:rPr>
              <w:t>[0.107]</w:t>
            </w:r>
          </w:p>
        </w:tc>
      </w:tr>
      <w:tr w:rsidR="00816973" w:rsidRPr="00DE290D" w:rsidTr="001A446C">
        <w:trPr>
          <w:trHeight w:val="255"/>
        </w:trPr>
        <w:tc>
          <w:tcPr>
            <w:tcW w:w="1760" w:type="dxa"/>
            <w:vMerge w:val="restart"/>
          </w:tcPr>
          <w:p w:rsidR="00816973" w:rsidRPr="00DE290D" w:rsidRDefault="00816973" w:rsidP="008F24ED">
            <w:pPr>
              <w:rPr>
                <w:sz w:val="20"/>
                <w:szCs w:val="20"/>
                <w:lang w:eastAsia="ru-RU"/>
              </w:rPr>
            </w:pPr>
            <w:r w:rsidRPr="00DE290D">
              <w:rPr>
                <w:sz w:val="20"/>
                <w:szCs w:val="20"/>
                <w:lang w:eastAsia="ru-RU"/>
              </w:rPr>
              <w:t>Region</w:t>
            </w:r>
          </w:p>
        </w:tc>
        <w:tc>
          <w:tcPr>
            <w:tcW w:w="1446" w:type="dxa"/>
            <w:noWrap/>
            <w:vAlign w:val="bottom"/>
          </w:tcPr>
          <w:p w:rsidR="00816973" w:rsidRPr="00DE290D" w:rsidRDefault="00816973" w:rsidP="008F24ED">
            <w:pPr>
              <w:jc w:val="center"/>
              <w:rPr>
                <w:sz w:val="20"/>
                <w:szCs w:val="20"/>
                <w:lang w:eastAsia="ru-RU"/>
              </w:rPr>
            </w:pPr>
            <w:r w:rsidRPr="00DE290D">
              <w:rPr>
                <w:sz w:val="20"/>
                <w:szCs w:val="20"/>
                <w:lang w:eastAsia="ru-RU"/>
              </w:rPr>
              <w:t>-0.00551</w:t>
            </w:r>
          </w:p>
        </w:tc>
        <w:tc>
          <w:tcPr>
            <w:tcW w:w="2194" w:type="dxa"/>
            <w:noWrap/>
            <w:vAlign w:val="bottom"/>
          </w:tcPr>
          <w:p w:rsidR="00816973" w:rsidRPr="00DE290D" w:rsidRDefault="00816973" w:rsidP="008F24ED">
            <w:pPr>
              <w:jc w:val="center"/>
              <w:rPr>
                <w:sz w:val="20"/>
                <w:szCs w:val="20"/>
                <w:lang w:eastAsia="ru-RU"/>
              </w:rPr>
            </w:pPr>
            <w:r w:rsidRPr="00DE290D">
              <w:rPr>
                <w:sz w:val="20"/>
                <w:szCs w:val="20"/>
                <w:lang w:eastAsia="ru-RU"/>
              </w:rPr>
              <w:t>0.0254***</w:t>
            </w:r>
          </w:p>
        </w:tc>
      </w:tr>
      <w:tr w:rsidR="00816973" w:rsidRPr="00DE290D" w:rsidTr="001A446C">
        <w:trPr>
          <w:trHeight w:val="255"/>
        </w:trPr>
        <w:tc>
          <w:tcPr>
            <w:tcW w:w="1760" w:type="dxa"/>
            <w:vMerge/>
          </w:tcPr>
          <w:p w:rsidR="00816973" w:rsidRPr="00DE290D" w:rsidRDefault="00816973" w:rsidP="008F24ED">
            <w:pPr>
              <w:rPr>
                <w:sz w:val="20"/>
                <w:szCs w:val="20"/>
                <w:lang w:eastAsia="ru-RU"/>
              </w:rPr>
            </w:pPr>
          </w:p>
        </w:tc>
        <w:tc>
          <w:tcPr>
            <w:tcW w:w="1446" w:type="dxa"/>
            <w:noWrap/>
            <w:vAlign w:val="bottom"/>
          </w:tcPr>
          <w:p w:rsidR="00816973" w:rsidRPr="00DE290D" w:rsidRDefault="00816973" w:rsidP="008F24ED">
            <w:pPr>
              <w:jc w:val="center"/>
              <w:rPr>
                <w:sz w:val="20"/>
                <w:szCs w:val="20"/>
                <w:lang w:eastAsia="ru-RU"/>
              </w:rPr>
            </w:pPr>
            <w:r w:rsidRPr="00DE290D">
              <w:rPr>
                <w:sz w:val="20"/>
                <w:szCs w:val="20"/>
                <w:lang w:eastAsia="ru-RU"/>
              </w:rPr>
              <w:t>[0.00360]</w:t>
            </w:r>
          </w:p>
        </w:tc>
        <w:tc>
          <w:tcPr>
            <w:tcW w:w="2194" w:type="dxa"/>
            <w:noWrap/>
            <w:vAlign w:val="bottom"/>
          </w:tcPr>
          <w:p w:rsidR="00816973" w:rsidRPr="00DE290D" w:rsidRDefault="00816973" w:rsidP="008F24ED">
            <w:pPr>
              <w:jc w:val="center"/>
              <w:rPr>
                <w:sz w:val="20"/>
                <w:szCs w:val="20"/>
                <w:lang w:eastAsia="ru-RU"/>
              </w:rPr>
            </w:pPr>
            <w:r w:rsidRPr="00DE290D">
              <w:rPr>
                <w:sz w:val="20"/>
                <w:szCs w:val="20"/>
                <w:lang w:eastAsia="ru-RU"/>
              </w:rPr>
              <w:t>[0.00891]</w:t>
            </w:r>
          </w:p>
        </w:tc>
      </w:tr>
      <w:tr w:rsidR="00816973" w:rsidRPr="00DE290D" w:rsidTr="001A446C">
        <w:trPr>
          <w:trHeight w:val="255"/>
        </w:trPr>
        <w:tc>
          <w:tcPr>
            <w:tcW w:w="1760" w:type="dxa"/>
            <w:vMerge w:val="restart"/>
          </w:tcPr>
          <w:p w:rsidR="00816973" w:rsidRPr="00DE290D" w:rsidRDefault="00816973" w:rsidP="008F24ED">
            <w:pPr>
              <w:rPr>
                <w:sz w:val="20"/>
                <w:szCs w:val="20"/>
                <w:lang w:eastAsia="ru-RU"/>
              </w:rPr>
            </w:pPr>
            <w:r w:rsidRPr="00DE290D">
              <w:rPr>
                <w:sz w:val="20"/>
                <w:szCs w:val="20"/>
                <w:lang w:eastAsia="ru-RU"/>
              </w:rPr>
              <w:t>Sector</w:t>
            </w:r>
          </w:p>
        </w:tc>
        <w:tc>
          <w:tcPr>
            <w:tcW w:w="1446" w:type="dxa"/>
            <w:noWrap/>
            <w:vAlign w:val="bottom"/>
          </w:tcPr>
          <w:p w:rsidR="00816973" w:rsidRPr="00DE290D" w:rsidRDefault="00816973" w:rsidP="008F24ED">
            <w:pPr>
              <w:jc w:val="center"/>
              <w:rPr>
                <w:sz w:val="20"/>
                <w:szCs w:val="20"/>
                <w:lang w:eastAsia="ru-RU"/>
              </w:rPr>
            </w:pPr>
            <w:r w:rsidRPr="00DE290D">
              <w:rPr>
                <w:sz w:val="20"/>
                <w:szCs w:val="20"/>
                <w:lang w:eastAsia="ru-RU"/>
              </w:rPr>
              <w:t>0.0717***</w:t>
            </w:r>
          </w:p>
        </w:tc>
        <w:tc>
          <w:tcPr>
            <w:tcW w:w="2194" w:type="dxa"/>
            <w:noWrap/>
            <w:vAlign w:val="bottom"/>
          </w:tcPr>
          <w:p w:rsidR="00816973" w:rsidRPr="00DE290D" w:rsidRDefault="00816973" w:rsidP="008F24ED">
            <w:pPr>
              <w:jc w:val="center"/>
              <w:rPr>
                <w:sz w:val="20"/>
                <w:szCs w:val="20"/>
                <w:lang w:eastAsia="ru-RU"/>
              </w:rPr>
            </w:pPr>
            <w:r w:rsidRPr="00DE290D">
              <w:rPr>
                <w:sz w:val="20"/>
                <w:szCs w:val="20"/>
                <w:lang w:eastAsia="ru-RU"/>
              </w:rPr>
              <w:t>0.0239</w:t>
            </w:r>
          </w:p>
        </w:tc>
      </w:tr>
      <w:tr w:rsidR="00816973" w:rsidRPr="00DE290D" w:rsidTr="001A446C">
        <w:trPr>
          <w:trHeight w:val="255"/>
        </w:trPr>
        <w:tc>
          <w:tcPr>
            <w:tcW w:w="1760" w:type="dxa"/>
            <w:vMerge/>
          </w:tcPr>
          <w:p w:rsidR="00816973" w:rsidRPr="00DE290D" w:rsidRDefault="00816973" w:rsidP="008F24ED">
            <w:pPr>
              <w:rPr>
                <w:sz w:val="20"/>
                <w:szCs w:val="20"/>
                <w:lang w:eastAsia="ru-RU"/>
              </w:rPr>
            </w:pPr>
          </w:p>
        </w:tc>
        <w:tc>
          <w:tcPr>
            <w:tcW w:w="1446" w:type="dxa"/>
            <w:noWrap/>
            <w:vAlign w:val="bottom"/>
          </w:tcPr>
          <w:p w:rsidR="00816973" w:rsidRPr="00DE290D" w:rsidRDefault="00816973" w:rsidP="008F24ED">
            <w:pPr>
              <w:jc w:val="center"/>
              <w:rPr>
                <w:sz w:val="20"/>
                <w:szCs w:val="20"/>
                <w:lang w:eastAsia="ru-RU"/>
              </w:rPr>
            </w:pPr>
            <w:r w:rsidRPr="00DE290D">
              <w:rPr>
                <w:sz w:val="20"/>
                <w:szCs w:val="20"/>
                <w:lang w:eastAsia="ru-RU"/>
              </w:rPr>
              <w:t>[0.00694]</w:t>
            </w:r>
          </w:p>
        </w:tc>
        <w:tc>
          <w:tcPr>
            <w:tcW w:w="2194" w:type="dxa"/>
            <w:noWrap/>
            <w:vAlign w:val="bottom"/>
          </w:tcPr>
          <w:p w:rsidR="00816973" w:rsidRPr="00DE290D" w:rsidRDefault="00816973" w:rsidP="008F24ED">
            <w:pPr>
              <w:jc w:val="center"/>
              <w:rPr>
                <w:sz w:val="20"/>
                <w:szCs w:val="20"/>
                <w:lang w:eastAsia="ru-RU"/>
              </w:rPr>
            </w:pPr>
            <w:r w:rsidRPr="00DE290D">
              <w:rPr>
                <w:sz w:val="20"/>
                <w:szCs w:val="20"/>
                <w:lang w:eastAsia="ru-RU"/>
              </w:rPr>
              <w:t>[0.0197]</w:t>
            </w:r>
          </w:p>
        </w:tc>
      </w:tr>
      <w:tr w:rsidR="00816973" w:rsidRPr="00DE290D" w:rsidTr="001A446C">
        <w:trPr>
          <w:trHeight w:val="255"/>
        </w:trPr>
        <w:tc>
          <w:tcPr>
            <w:tcW w:w="1760" w:type="dxa"/>
            <w:vMerge w:val="restart"/>
          </w:tcPr>
          <w:p w:rsidR="00816973" w:rsidRPr="00DE290D" w:rsidRDefault="00816973" w:rsidP="008F24ED">
            <w:pPr>
              <w:rPr>
                <w:sz w:val="20"/>
                <w:szCs w:val="20"/>
                <w:lang w:eastAsia="ru-RU"/>
              </w:rPr>
            </w:pPr>
            <w:r w:rsidRPr="00DE290D">
              <w:rPr>
                <w:sz w:val="20"/>
                <w:szCs w:val="20"/>
                <w:lang w:eastAsia="ru-RU"/>
              </w:rPr>
              <w:t>Constant</w:t>
            </w:r>
          </w:p>
        </w:tc>
        <w:tc>
          <w:tcPr>
            <w:tcW w:w="1446" w:type="dxa"/>
            <w:noWrap/>
            <w:vAlign w:val="bottom"/>
          </w:tcPr>
          <w:p w:rsidR="00816973" w:rsidRPr="00DE290D" w:rsidRDefault="00816973" w:rsidP="008F24ED">
            <w:pPr>
              <w:jc w:val="center"/>
              <w:rPr>
                <w:sz w:val="20"/>
                <w:szCs w:val="20"/>
                <w:lang w:eastAsia="ru-RU"/>
              </w:rPr>
            </w:pPr>
          </w:p>
        </w:tc>
        <w:tc>
          <w:tcPr>
            <w:tcW w:w="2194" w:type="dxa"/>
            <w:noWrap/>
            <w:vAlign w:val="bottom"/>
          </w:tcPr>
          <w:p w:rsidR="00816973" w:rsidRPr="00DE290D" w:rsidRDefault="00816973" w:rsidP="008F24ED">
            <w:pPr>
              <w:jc w:val="center"/>
              <w:rPr>
                <w:sz w:val="20"/>
                <w:szCs w:val="20"/>
                <w:lang w:eastAsia="ru-RU"/>
              </w:rPr>
            </w:pPr>
            <w:r w:rsidRPr="00DE290D">
              <w:rPr>
                <w:sz w:val="20"/>
                <w:szCs w:val="20"/>
                <w:lang w:eastAsia="ru-RU"/>
              </w:rPr>
              <w:t>0.403**</w:t>
            </w:r>
          </w:p>
        </w:tc>
      </w:tr>
      <w:tr w:rsidR="00816973" w:rsidRPr="00DE290D" w:rsidTr="001A446C">
        <w:trPr>
          <w:trHeight w:val="255"/>
        </w:trPr>
        <w:tc>
          <w:tcPr>
            <w:tcW w:w="1760" w:type="dxa"/>
            <w:vMerge/>
            <w:vAlign w:val="center"/>
          </w:tcPr>
          <w:p w:rsidR="00816973" w:rsidRPr="00DE290D" w:rsidRDefault="00816973" w:rsidP="008F24ED">
            <w:pPr>
              <w:rPr>
                <w:sz w:val="20"/>
                <w:szCs w:val="20"/>
                <w:lang w:eastAsia="ru-RU"/>
              </w:rPr>
            </w:pPr>
          </w:p>
        </w:tc>
        <w:tc>
          <w:tcPr>
            <w:tcW w:w="1446" w:type="dxa"/>
            <w:noWrap/>
            <w:vAlign w:val="bottom"/>
          </w:tcPr>
          <w:p w:rsidR="00816973" w:rsidRPr="00DE290D" w:rsidRDefault="00816973" w:rsidP="008F24ED">
            <w:pPr>
              <w:jc w:val="center"/>
              <w:rPr>
                <w:sz w:val="20"/>
                <w:szCs w:val="20"/>
                <w:lang w:eastAsia="ru-RU"/>
              </w:rPr>
            </w:pPr>
          </w:p>
        </w:tc>
        <w:tc>
          <w:tcPr>
            <w:tcW w:w="2194" w:type="dxa"/>
            <w:noWrap/>
            <w:vAlign w:val="bottom"/>
          </w:tcPr>
          <w:p w:rsidR="00816973" w:rsidRPr="00DE290D" w:rsidRDefault="00816973" w:rsidP="008F24ED">
            <w:pPr>
              <w:jc w:val="center"/>
              <w:rPr>
                <w:sz w:val="20"/>
                <w:szCs w:val="20"/>
                <w:lang w:eastAsia="ru-RU"/>
              </w:rPr>
            </w:pPr>
            <w:r w:rsidRPr="00DE290D">
              <w:rPr>
                <w:sz w:val="20"/>
                <w:szCs w:val="20"/>
                <w:lang w:eastAsia="ru-RU"/>
              </w:rPr>
              <w:t>[0.203]</w:t>
            </w:r>
          </w:p>
        </w:tc>
      </w:tr>
      <w:tr w:rsidR="00816973" w:rsidRPr="00DE290D" w:rsidTr="001A446C">
        <w:trPr>
          <w:trHeight w:val="255"/>
        </w:trPr>
        <w:tc>
          <w:tcPr>
            <w:tcW w:w="5400" w:type="dxa"/>
            <w:gridSpan w:val="3"/>
            <w:tcBorders>
              <w:bottom w:val="single" w:sz="4" w:space="0" w:color="4F81BD"/>
            </w:tcBorders>
            <w:noWrap/>
            <w:vAlign w:val="bottom"/>
          </w:tcPr>
          <w:p w:rsidR="00816973" w:rsidRPr="00DE290D" w:rsidRDefault="00816973" w:rsidP="008F24ED">
            <w:pPr>
              <w:rPr>
                <w:rFonts w:ascii="Arial CYR" w:hAnsi="Arial CYR" w:cs="Arial CYR"/>
                <w:sz w:val="20"/>
                <w:szCs w:val="20"/>
                <w:lang w:val="ru-RU" w:eastAsia="ru-RU"/>
              </w:rPr>
            </w:pPr>
            <w:r w:rsidRPr="00DE290D">
              <w:rPr>
                <w:sz w:val="20"/>
                <w:szCs w:val="20"/>
                <w:lang w:eastAsia="ru-RU"/>
              </w:rPr>
              <w:t>N=6517</w:t>
            </w:r>
          </w:p>
        </w:tc>
      </w:tr>
      <w:tr w:rsidR="00816973" w:rsidRPr="00DE290D" w:rsidTr="001A446C">
        <w:trPr>
          <w:trHeight w:val="255"/>
        </w:trPr>
        <w:tc>
          <w:tcPr>
            <w:tcW w:w="5400" w:type="dxa"/>
            <w:gridSpan w:val="3"/>
            <w:tcBorders>
              <w:top w:val="single" w:sz="4" w:space="0" w:color="4F81BD"/>
              <w:bottom w:val="single" w:sz="4" w:space="0" w:color="4F81BD"/>
            </w:tcBorders>
            <w:noWrap/>
            <w:vAlign w:val="bottom"/>
          </w:tcPr>
          <w:p w:rsidR="00816973" w:rsidRDefault="00816973" w:rsidP="008F24ED">
            <w:pPr>
              <w:rPr>
                <w:sz w:val="18"/>
              </w:rPr>
            </w:pPr>
            <w:r w:rsidRPr="00E92F87">
              <w:rPr>
                <w:i/>
                <w:sz w:val="20"/>
                <w:szCs w:val="20"/>
                <w:lang w:eastAsia="ru-RU"/>
              </w:rPr>
              <w:t>Source:</w:t>
            </w:r>
            <w:r>
              <w:rPr>
                <w:sz w:val="20"/>
                <w:szCs w:val="20"/>
                <w:lang w:eastAsia="ru-RU"/>
              </w:rPr>
              <w:t xml:space="preserve"> </w:t>
            </w:r>
            <w:r w:rsidRPr="001520FF">
              <w:rPr>
                <w:sz w:val="18"/>
              </w:rPr>
              <w:t xml:space="preserve"> </w:t>
            </w:r>
            <w:r>
              <w:rPr>
                <w:sz w:val="18"/>
              </w:rPr>
              <w:t>HLSS</w:t>
            </w:r>
            <w:r w:rsidRPr="001520FF">
              <w:rPr>
                <w:sz w:val="18"/>
              </w:rPr>
              <w:t xml:space="preserve">. </w:t>
            </w:r>
          </w:p>
          <w:p w:rsidR="00816973" w:rsidRDefault="00816973" w:rsidP="008F24ED">
            <w:pPr>
              <w:rPr>
                <w:rFonts w:ascii="Arial CYR" w:hAnsi="Arial CYR" w:cs="Arial CYR"/>
                <w:sz w:val="20"/>
                <w:szCs w:val="20"/>
                <w:lang w:eastAsia="ru-RU"/>
              </w:rPr>
            </w:pPr>
            <w:r w:rsidRPr="001520FF">
              <w:rPr>
                <w:i/>
                <w:sz w:val="18"/>
              </w:rPr>
              <w:t>Notes</w:t>
            </w:r>
            <w:r w:rsidRPr="001520FF">
              <w:rPr>
                <w:sz w:val="18"/>
              </w:rPr>
              <w:t xml:space="preserve">: </w:t>
            </w:r>
            <w:r>
              <w:rPr>
                <w:sz w:val="18"/>
              </w:rPr>
              <w:t xml:space="preserve">*** significant at 1%, </w:t>
            </w:r>
            <w:r w:rsidRPr="001520FF">
              <w:rPr>
                <w:sz w:val="18"/>
              </w:rPr>
              <w:t xml:space="preserve">** </w:t>
            </w:r>
            <w:r>
              <w:rPr>
                <w:sz w:val="18"/>
              </w:rPr>
              <w:t xml:space="preserve">significant at 5%, </w:t>
            </w:r>
            <w:r w:rsidRPr="001520FF">
              <w:rPr>
                <w:sz w:val="18"/>
              </w:rPr>
              <w:t>significant at 10%.</w:t>
            </w:r>
            <w:r>
              <w:rPr>
                <w:sz w:val="18"/>
              </w:rPr>
              <w:t xml:space="preserve"> Twofold decomposition. Age and age squared are included in experience category. Region category includes oblast and residence dummies. Sector category includes 16 economic sectors. </w:t>
            </w:r>
          </w:p>
        </w:tc>
      </w:tr>
    </w:tbl>
    <w:p w:rsidR="00816973" w:rsidRPr="00155BF7" w:rsidRDefault="00816973" w:rsidP="00816973">
      <w:pPr>
        <w:rPr>
          <w:sz w:val="20"/>
          <w:szCs w:val="20"/>
        </w:rPr>
      </w:pPr>
    </w:p>
    <w:tbl>
      <w:tblPr>
        <w:tblpPr w:leftFromText="180" w:rightFromText="180" w:vertAnchor="text" w:horzAnchor="margin" w:tblpY="351"/>
        <w:tblW w:w="8462" w:type="dxa"/>
        <w:tblBorders>
          <w:top w:val="single" w:sz="4" w:space="0" w:color="4F81BD"/>
          <w:bottom w:val="single" w:sz="4" w:space="0" w:color="4F81BD"/>
        </w:tblBorders>
        <w:tblLook w:val="0000" w:firstRow="0" w:lastRow="0" w:firstColumn="0" w:lastColumn="0" w:noHBand="0" w:noVBand="0"/>
      </w:tblPr>
      <w:tblGrid>
        <w:gridCol w:w="2869"/>
        <w:gridCol w:w="1398"/>
        <w:gridCol w:w="1398"/>
        <w:gridCol w:w="1398"/>
        <w:gridCol w:w="1399"/>
      </w:tblGrid>
      <w:tr w:rsidR="00816973" w:rsidRPr="00155BF7" w:rsidTr="008F24ED">
        <w:trPr>
          <w:trHeight w:val="80"/>
        </w:trPr>
        <w:tc>
          <w:tcPr>
            <w:tcW w:w="8462" w:type="dxa"/>
            <w:gridSpan w:val="5"/>
            <w:tcBorders>
              <w:top w:val="single" w:sz="4" w:space="0" w:color="4F81BD"/>
              <w:bottom w:val="single" w:sz="4" w:space="0" w:color="4F81BD"/>
            </w:tcBorders>
            <w:noWrap/>
            <w:tcMar>
              <w:left w:w="57" w:type="dxa"/>
              <w:right w:w="57" w:type="dxa"/>
            </w:tcMar>
            <w:vAlign w:val="bottom"/>
          </w:tcPr>
          <w:p w:rsidR="00816973" w:rsidRPr="00997957" w:rsidRDefault="00816973" w:rsidP="008F24ED">
            <w:pPr>
              <w:pStyle w:val="Caption"/>
              <w:keepNext/>
            </w:pPr>
            <w:bookmarkStart w:id="83" w:name="_Toc352690489"/>
            <w:r w:rsidRPr="00997957">
              <w:rPr>
                <w:szCs w:val="22"/>
              </w:rPr>
              <w:t>Table A4. Returns to education and experience, 4th quarter 2010</w:t>
            </w:r>
            <w:bookmarkEnd w:id="83"/>
          </w:p>
        </w:tc>
      </w:tr>
      <w:tr w:rsidR="00816973" w:rsidRPr="00155BF7" w:rsidTr="008F24ED">
        <w:trPr>
          <w:trHeight w:val="290"/>
        </w:trPr>
        <w:tc>
          <w:tcPr>
            <w:tcW w:w="2869" w:type="dxa"/>
            <w:tcBorders>
              <w:top w:val="single" w:sz="4" w:space="0" w:color="4F81BD"/>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p>
        </w:tc>
        <w:tc>
          <w:tcPr>
            <w:tcW w:w="5593" w:type="dxa"/>
            <w:gridSpan w:val="4"/>
            <w:tcBorders>
              <w:top w:val="single" w:sz="4" w:space="0" w:color="4F81BD"/>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Dependent variable log of monthly average wage from 4th quarter of 2010</w:t>
            </w:r>
          </w:p>
        </w:tc>
      </w:tr>
      <w:tr w:rsidR="00816973" w:rsidRPr="00155BF7" w:rsidTr="008F24ED">
        <w:trPr>
          <w:trHeight w:val="70"/>
        </w:trPr>
        <w:tc>
          <w:tcPr>
            <w:tcW w:w="2869" w:type="dxa"/>
            <w:tcBorders>
              <w:top w:val="single" w:sz="4" w:space="0" w:color="4F81BD"/>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p>
        </w:tc>
        <w:tc>
          <w:tcPr>
            <w:tcW w:w="1398" w:type="dxa"/>
            <w:tcBorders>
              <w:top w:val="single" w:sz="4" w:space="0" w:color="4F81BD"/>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Men</w:t>
            </w:r>
          </w:p>
        </w:tc>
        <w:tc>
          <w:tcPr>
            <w:tcW w:w="1398" w:type="dxa"/>
            <w:tcBorders>
              <w:top w:val="single" w:sz="4" w:space="0" w:color="4F81BD"/>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Women</w:t>
            </w:r>
          </w:p>
        </w:tc>
        <w:tc>
          <w:tcPr>
            <w:tcW w:w="1398" w:type="dxa"/>
            <w:tcBorders>
              <w:top w:val="single" w:sz="4" w:space="0" w:color="4F81BD"/>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Men</w:t>
            </w:r>
          </w:p>
        </w:tc>
        <w:tc>
          <w:tcPr>
            <w:tcW w:w="1398" w:type="dxa"/>
            <w:tcBorders>
              <w:top w:val="single" w:sz="4" w:space="0" w:color="4F81BD"/>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Women</w:t>
            </w:r>
          </w:p>
        </w:tc>
      </w:tr>
      <w:tr w:rsidR="00816973" w:rsidRPr="00155BF7" w:rsidTr="008F24ED">
        <w:trPr>
          <w:trHeight w:val="253"/>
        </w:trPr>
        <w:tc>
          <w:tcPr>
            <w:tcW w:w="2869" w:type="dxa"/>
            <w:vMerge w:val="restart"/>
            <w:tcBorders>
              <w:top w:val="single" w:sz="4" w:space="0" w:color="4F81BD"/>
            </w:tcBorders>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 xml:space="preserve">Age </w:t>
            </w:r>
          </w:p>
        </w:tc>
        <w:tc>
          <w:tcPr>
            <w:tcW w:w="1398" w:type="dxa"/>
            <w:tcBorders>
              <w:top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0.0692***</w:t>
            </w:r>
          </w:p>
        </w:tc>
        <w:tc>
          <w:tcPr>
            <w:tcW w:w="1398" w:type="dxa"/>
            <w:tcBorders>
              <w:top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0.0677***</w:t>
            </w:r>
          </w:p>
        </w:tc>
        <w:tc>
          <w:tcPr>
            <w:tcW w:w="1398" w:type="dxa"/>
            <w:tcBorders>
              <w:top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0.0656***</w:t>
            </w:r>
          </w:p>
        </w:tc>
        <w:tc>
          <w:tcPr>
            <w:tcW w:w="1398" w:type="dxa"/>
            <w:tcBorders>
              <w:top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0.0636***</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[0.00614]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[0.00639]</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[0.00619]</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[0.00635]</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Age squared</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-0.000860***</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-0.000803***</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-0.000815***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-0.000761***</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[7.27e-05]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[7.65e-05]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[7.35e-05]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[7.57e-05]</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Year of education</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0.0795***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0.100***</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0.0875***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0.105***</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[0.00582]</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[0.00557]</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[0.00602]</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[0.00569]</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Brest</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-0.192***</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-0.248***</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-0.218***</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-0.250***</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[0.0372]</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[0.0342]</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[0.0375]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[0.0335]</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Vitebsk</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-0.181***</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-0.233***</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-0.193***</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-0.239***</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[0.0384]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[0.0354]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[0.0383]</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[0.0348]</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Gomel</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-0.298***</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-0.328***</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-0.307***</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-0.334***</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[0.0367]</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[0.0360]</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[0.0364]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[0.0356]</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Grodno</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-0.224***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-0.219***</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-0.236***</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-0.220***</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[0.0394]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[0.0340]</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[0.0397]</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[0.0332]</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Minsk region</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-0.155***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-0.161***</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-0.176***</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-0.176***</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[0.0374]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[0.0364]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[0.0371]</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[0.0351]</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 xml:space="preserve">Mogilev </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-0.315***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-0.289***</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-0.333***</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-0.286***</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[0.0403]</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[0.0358]</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[0.0399]</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[0.0352]</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Rural</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-0.255***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-0.114***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-0.236***</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-0.103***</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[0.0230]</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[0.0214]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[0.0235]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[0.0223]</w:t>
            </w: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Dummies for sectors included</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p>
        </w:tc>
        <w:tc>
          <w:tcPr>
            <w:tcW w:w="1398" w:type="dxa"/>
            <w:vMerge w:val="restart"/>
            <w:noWrap/>
            <w:tcMar>
              <w:left w:w="57" w:type="dxa"/>
              <w:right w:w="57" w:type="dxa"/>
            </w:tcMar>
          </w:tcPr>
          <w:p w:rsidR="00816973" w:rsidRPr="00155BF7" w:rsidRDefault="00816973" w:rsidP="008F24ED">
            <w:pPr>
              <w:jc w:val="center"/>
              <w:rPr>
                <w:sz w:val="20"/>
                <w:szCs w:val="20"/>
                <w:lang w:eastAsia="ru-RU"/>
              </w:rPr>
            </w:pPr>
            <w:r w:rsidRPr="00155BF7">
              <w:rPr>
                <w:sz w:val="20"/>
                <w:szCs w:val="20"/>
                <w:lang w:eastAsia="ru-RU"/>
              </w:rPr>
              <w:t>yes</w:t>
            </w:r>
          </w:p>
        </w:tc>
        <w:tc>
          <w:tcPr>
            <w:tcW w:w="1398" w:type="dxa"/>
            <w:vMerge w:val="restart"/>
            <w:noWrap/>
            <w:tcMar>
              <w:left w:w="57" w:type="dxa"/>
              <w:right w:w="57" w:type="dxa"/>
            </w:tcMar>
          </w:tcPr>
          <w:p w:rsidR="00816973" w:rsidRPr="00155BF7" w:rsidRDefault="00816973" w:rsidP="008F24ED">
            <w:pPr>
              <w:jc w:val="center"/>
              <w:rPr>
                <w:sz w:val="20"/>
                <w:szCs w:val="20"/>
                <w:lang w:eastAsia="ru-RU"/>
              </w:rPr>
            </w:pPr>
            <w:r w:rsidRPr="00155BF7">
              <w:rPr>
                <w:sz w:val="20"/>
                <w:szCs w:val="20"/>
                <w:lang w:eastAsia="ru-RU"/>
              </w:rPr>
              <w:t>yes</w:t>
            </w:r>
          </w:p>
        </w:tc>
      </w:tr>
      <w:tr w:rsidR="00816973" w:rsidRPr="00155BF7" w:rsidTr="008F24ED">
        <w:trPr>
          <w:trHeight w:val="253"/>
        </w:trPr>
        <w:tc>
          <w:tcPr>
            <w:tcW w:w="2869" w:type="dxa"/>
            <w:vMerge/>
            <w:tcMar>
              <w:left w:w="57" w:type="dxa"/>
              <w:right w:w="57" w:type="dxa"/>
            </w:tcMa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p>
        </w:tc>
        <w:tc>
          <w:tcPr>
            <w:tcW w:w="1398" w:type="dxa"/>
            <w:vMerge/>
            <w:tcMar>
              <w:left w:w="57" w:type="dxa"/>
              <w:right w:w="57" w:type="dxa"/>
            </w:tcMar>
            <w:vAlign w:val="center"/>
          </w:tcPr>
          <w:p w:rsidR="00816973" w:rsidRPr="00155BF7" w:rsidRDefault="00816973" w:rsidP="008F24ED">
            <w:pPr>
              <w:jc w:val="center"/>
              <w:rPr>
                <w:sz w:val="20"/>
                <w:szCs w:val="20"/>
                <w:lang w:eastAsia="ru-RU"/>
              </w:rPr>
            </w:pPr>
          </w:p>
        </w:tc>
        <w:tc>
          <w:tcPr>
            <w:tcW w:w="1398" w:type="dxa"/>
            <w:vMerge/>
            <w:tcMar>
              <w:left w:w="57" w:type="dxa"/>
              <w:right w:w="57" w:type="dxa"/>
            </w:tcMar>
            <w:vAlign w:val="center"/>
          </w:tcPr>
          <w:p w:rsidR="00816973" w:rsidRPr="00155BF7" w:rsidRDefault="00816973" w:rsidP="008F24ED">
            <w:pPr>
              <w:jc w:val="center"/>
              <w:rPr>
                <w:sz w:val="20"/>
                <w:szCs w:val="20"/>
                <w:lang w:eastAsia="ru-RU"/>
              </w:rPr>
            </w:pPr>
          </w:p>
        </w:tc>
      </w:tr>
      <w:tr w:rsidR="00816973" w:rsidRPr="00155BF7" w:rsidTr="008F24ED">
        <w:trPr>
          <w:trHeight w:val="253"/>
        </w:trPr>
        <w:tc>
          <w:tcPr>
            <w:tcW w:w="2869" w:type="dxa"/>
            <w:vMerge w:val="restart"/>
            <w:noWrap/>
            <w:tcMar>
              <w:left w:w="57" w:type="dxa"/>
              <w:right w:w="57" w:type="dxa"/>
            </w:tcMar>
          </w:tcPr>
          <w:p w:rsidR="00816973" w:rsidRPr="00155BF7" w:rsidRDefault="00816973" w:rsidP="008F24ED">
            <w:pPr>
              <w:rPr>
                <w:sz w:val="20"/>
                <w:szCs w:val="20"/>
                <w:lang w:eastAsia="ru-RU"/>
              </w:rPr>
            </w:pPr>
            <w:r w:rsidRPr="00155BF7">
              <w:rPr>
                <w:sz w:val="20"/>
                <w:szCs w:val="20"/>
                <w:lang w:eastAsia="ru-RU"/>
              </w:rPr>
              <w:t>Constant</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11.78***</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11.11***</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11.74***</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11.22***</w:t>
            </w:r>
          </w:p>
        </w:tc>
      </w:tr>
      <w:tr w:rsidR="00816973" w:rsidRPr="00155BF7" w:rsidTr="008F24ED">
        <w:trPr>
          <w:trHeight w:val="253"/>
        </w:trPr>
        <w:tc>
          <w:tcPr>
            <w:tcW w:w="2869" w:type="dxa"/>
            <w:vMerge/>
            <w:tcMar>
              <w:left w:w="57" w:type="dxa"/>
              <w:right w:w="57" w:type="dxa"/>
            </w:tcMar>
            <w:vAlign w:val="center"/>
          </w:tcPr>
          <w:p w:rsidR="00816973" w:rsidRPr="00155BF7" w:rsidRDefault="00816973" w:rsidP="008F24ED">
            <w:pPr>
              <w:rPr>
                <w:sz w:val="20"/>
                <w:szCs w:val="20"/>
                <w:lang w:eastAsia="ru-RU"/>
              </w:rPr>
            </w:pP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[0.145]</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[0.142]</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[0.150]</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[0.144]</w:t>
            </w:r>
          </w:p>
        </w:tc>
      </w:tr>
      <w:tr w:rsidR="00816973" w:rsidRPr="00155BF7" w:rsidTr="008F24ED">
        <w:trPr>
          <w:trHeight w:val="253"/>
        </w:trPr>
        <w:tc>
          <w:tcPr>
            <w:tcW w:w="2869" w:type="dxa"/>
            <w:noWrap/>
            <w:tcMar>
              <w:left w:w="57" w:type="dxa"/>
              <w:right w:w="57" w:type="dxa"/>
            </w:tcMar>
            <w:vAlign w:val="bottom"/>
          </w:tcPr>
          <w:p w:rsidR="00816973" w:rsidRPr="00155BF7" w:rsidRDefault="00816973" w:rsidP="008F24ED">
            <w:pPr>
              <w:rPr>
                <w:sz w:val="20"/>
                <w:szCs w:val="20"/>
                <w:lang w:eastAsia="ru-RU"/>
              </w:rPr>
            </w:pPr>
            <w:r w:rsidRPr="00155BF7">
              <w:rPr>
                <w:sz w:val="20"/>
                <w:szCs w:val="20"/>
                <w:lang w:eastAsia="ru-RU"/>
              </w:rPr>
              <w:t>R-squared</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0.22</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0.201</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2,997</w:t>
            </w:r>
          </w:p>
        </w:tc>
        <w:tc>
          <w:tcPr>
            <w:tcW w:w="1398" w:type="dxa"/>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3,520</w:t>
            </w:r>
          </w:p>
        </w:tc>
      </w:tr>
      <w:tr w:rsidR="00816973" w:rsidRPr="00155BF7" w:rsidTr="008F24ED">
        <w:trPr>
          <w:trHeight w:val="253"/>
        </w:trPr>
        <w:tc>
          <w:tcPr>
            <w:tcW w:w="2869" w:type="dxa"/>
            <w:tcBorders>
              <w:bottom w:val="single" w:sz="4" w:space="0" w:color="4F81BD"/>
            </w:tcBorders>
            <w:noWrap/>
            <w:tcMar>
              <w:left w:w="57" w:type="dxa"/>
              <w:right w:w="57" w:type="dxa"/>
            </w:tcMar>
            <w:vAlign w:val="bottom"/>
          </w:tcPr>
          <w:p w:rsidR="00816973" w:rsidRPr="00155BF7" w:rsidRDefault="00816973" w:rsidP="008F24ED">
            <w:pPr>
              <w:rPr>
                <w:sz w:val="20"/>
                <w:szCs w:val="20"/>
                <w:lang w:eastAsia="ru-RU"/>
              </w:rPr>
            </w:pPr>
            <w:r w:rsidRPr="00155BF7">
              <w:rPr>
                <w:sz w:val="20"/>
                <w:szCs w:val="20"/>
                <w:lang w:eastAsia="ru-RU"/>
              </w:rPr>
              <w:t>N</w:t>
            </w:r>
          </w:p>
        </w:tc>
        <w:tc>
          <w:tcPr>
            <w:tcW w:w="1398" w:type="dxa"/>
            <w:tcBorders>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2,997</w:t>
            </w:r>
          </w:p>
        </w:tc>
        <w:tc>
          <w:tcPr>
            <w:tcW w:w="1398" w:type="dxa"/>
            <w:tcBorders>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3,520</w:t>
            </w:r>
          </w:p>
        </w:tc>
        <w:tc>
          <w:tcPr>
            <w:tcW w:w="1398" w:type="dxa"/>
            <w:tcBorders>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0.263</w:t>
            </w:r>
          </w:p>
        </w:tc>
        <w:tc>
          <w:tcPr>
            <w:tcW w:w="1398" w:type="dxa"/>
            <w:tcBorders>
              <w:bottom w:val="single" w:sz="4" w:space="0" w:color="4F81BD"/>
            </w:tcBorders>
            <w:noWrap/>
            <w:tcMar>
              <w:left w:w="57" w:type="dxa"/>
              <w:right w:w="57" w:type="dxa"/>
            </w:tcMar>
            <w:vAlign w:val="bottom"/>
          </w:tcPr>
          <w:p w:rsidR="00816973" w:rsidRPr="00155BF7" w:rsidRDefault="00816973" w:rsidP="008F24ED">
            <w:pPr>
              <w:jc w:val="center"/>
              <w:rPr>
                <w:sz w:val="20"/>
                <w:szCs w:val="20"/>
                <w:lang w:eastAsia="ru-RU"/>
              </w:rPr>
            </w:pPr>
            <w:r w:rsidRPr="00155BF7">
              <w:rPr>
                <w:sz w:val="20"/>
                <w:szCs w:val="20"/>
                <w:lang w:eastAsia="ru-RU"/>
              </w:rPr>
              <w:t>0.234</w:t>
            </w:r>
          </w:p>
        </w:tc>
      </w:tr>
      <w:tr w:rsidR="00816973" w:rsidRPr="00155BF7" w:rsidTr="008F24ED">
        <w:trPr>
          <w:trHeight w:val="253"/>
        </w:trPr>
        <w:tc>
          <w:tcPr>
            <w:tcW w:w="8462" w:type="dxa"/>
            <w:gridSpan w:val="5"/>
            <w:tcBorders>
              <w:top w:val="single" w:sz="4" w:space="0" w:color="4F81BD"/>
              <w:bottom w:val="nil"/>
            </w:tcBorders>
            <w:noWrap/>
            <w:tcMar>
              <w:left w:w="57" w:type="dxa"/>
              <w:right w:w="57" w:type="dxa"/>
            </w:tcMar>
          </w:tcPr>
          <w:p w:rsidR="00816973" w:rsidRPr="00155BF7" w:rsidRDefault="00816973" w:rsidP="008F24ED">
            <w:pPr>
              <w:rPr>
                <w:sz w:val="18"/>
              </w:rPr>
            </w:pPr>
            <w:r w:rsidRPr="00155BF7">
              <w:rPr>
                <w:sz w:val="18"/>
              </w:rPr>
              <w:t xml:space="preserve">Source:  HLSS. </w:t>
            </w:r>
          </w:p>
        </w:tc>
      </w:tr>
      <w:tr w:rsidR="00816973" w:rsidRPr="00155BF7" w:rsidTr="008F24ED">
        <w:trPr>
          <w:trHeight w:val="253"/>
        </w:trPr>
        <w:tc>
          <w:tcPr>
            <w:tcW w:w="8462" w:type="dxa"/>
            <w:gridSpan w:val="5"/>
            <w:tcBorders>
              <w:top w:val="nil"/>
              <w:bottom w:val="single" w:sz="4" w:space="0" w:color="4F81BD"/>
            </w:tcBorders>
            <w:noWrap/>
            <w:tcMar>
              <w:left w:w="57" w:type="dxa"/>
              <w:right w:w="57" w:type="dxa"/>
            </w:tcMar>
          </w:tcPr>
          <w:p w:rsidR="00816973" w:rsidRPr="00155BF7" w:rsidRDefault="00816973" w:rsidP="008F24ED">
            <w:pPr>
              <w:rPr>
                <w:sz w:val="18"/>
              </w:rPr>
            </w:pPr>
            <w:r w:rsidRPr="00155BF7">
              <w:rPr>
                <w:sz w:val="18"/>
              </w:rPr>
              <w:t xml:space="preserve">Notes: *** significant at 1%, ** significant at 5%, significant at 10%. </w:t>
            </w:r>
          </w:p>
        </w:tc>
      </w:tr>
    </w:tbl>
    <w:p w:rsidR="00816973" w:rsidRPr="005B7A57" w:rsidRDefault="00816973" w:rsidP="005B7A57">
      <w:pPr>
        <w:pStyle w:val="MainParawithChapter"/>
        <w:numPr>
          <w:ilvl w:val="0"/>
          <w:numId w:val="0"/>
        </w:numPr>
        <w:spacing w:after="240"/>
        <w:jc w:val="both"/>
        <w:rPr>
          <w:rFonts w:ascii="Times New Roman Bold" w:hAnsi="Times New Roman Bold"/>
          <w:b/>
          <w:bCs/>
          <w:iCs/>
          <w:caps/>
          <w:kern w:val="32"/>
        </w:rPr>
      </w:pPr>
    </w:p>
    <w:p w:rsidR="0076410A" w:rsidRDefault="0076410A" w:rsidP="00A904F2">
      <w:pPr>
        <w:pStyle w:val="Heading1"/>
        <w:numPr>
          <w:ilvl w:val="0"/>
          <w:numId w:val="0"/>
        </w:numPr>
        <w:ind w:left="4474"/>
      </w:pPr>
    </w:p>
    <w:p w:rsidR="006B380C" w:rsidRPr="000437C1" w:rsidRDefault="006B380C" w:rsidP="00A904F2">
      <w:pPr>
        <w:pStyle w:val="Heading1"/>
        <w:numPr>
          <w:ilvl w:val="0"/>
          <w:numId w:val="0"/>
        </w:numPr>
      </w:pPr>
    </w:p>
    <w:sectPr w:rsidR="006B380C" w:rsidRPr="000437C1" w:rsidSect="0033211E">
      <w:type w:val="oddPage"/>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A93" w:rsidRDefault="00200A93">
      <w:r>
        <w:separator/>
      </w:r>
    </w:p>
  </w:endnote>
  <w:endnote w:type="continuationSeparator" w:id="0">
    <w:p w:rsidR="00200A93" w:rsidRDefault="0020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0"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deGothic Bold">
    <w:altName w:val="Courier New"/>
    <w:charset w:val="00"/>
    <w:family w:val="auto"/>
    <w:pitch w:val="variable"/>
    <w:sig w:usb0="00000003" w:usb1="00000000" w:usb2="00000000" w:usb3="00000000" w:csb0="00000001" w:csb1="00000000"/>
  </w:font>
  <w:font w:name="MapInfo Cartographic">
    <w:altName w:val="Symbol"/>
    <w:charset w:val="02"/>
    <w:family w:val="roman"/>
    <w:pitch w:val="variable"/>
    <w:sig w:usb0="00000000" w:usb1="10000000" w:usb2="00000000" w:usb3="00000000" w:csb0="80000000" w:csb1="00000000"/>
  </w:font>
  <w:font w:name="Arial CYR">
    <w:altName w:val="Arial"/>
    <w:charset w:val="00"/>
    <w:family w:val="swiss"/>
    <w:pitch w:val="variable"/>
    <w:sig w:usb0="E0002AFF" w:usb1="C0007843" w:usb2="00000009" w:usb3="00000000" w:csb0="000001FF" w:csb1="00000000"/>
  </w:font>
  <w:font w:name="NewtonC">
    <w:altName w:val="Courier New"/>
    <w:panose1 w:val="00000000000000000000"/>
    <w:charset w:val="00"/>
    <w:family w:val="decorative"/>
    <w:notTrueType/>
    <w:pitch w:val="variable"/>
    <w:sig w:usb0="00000203" w:usb1="00000000" w:usb2="00000000" w:usb3="00000000" w:csb0="00000005"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pPr>
      <w:pStyle w:val="Footer"/>
      <w:jc w:val="center"/>
    </w:pPr>
    <w:r>
      <w:fldChar w:fldCharType="begin"/>
    </w:r>
    <w:r>
      <w:instrText xml:space="preserve"> PAGE   \* MERGEFORMAT </w:instrText>
    </w:r>
    <w:r>
      <w:fldChar w:fldCharType="separate"/>
    </w:r>
    <w:r w:rsidR="008A55B1">
      <w:rPr>
        <w:noProof/>
      </w:rPr>
      <w:t>v</w:t>
    </w:r>
    <w:r>
      <w:rPr>
        <w:noProof/>
      </w:rPr>
      <w:fldChar w:fldCharType="end"/>
    </w:r>
  </w:p>
  <w:p w:rsidR="00ED791C" w:rsidRDefault="00ED791C" w:rsidP="00C96C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pPr>
      <w:pStyle w:val="Footer"/>
      <w:jc w:val="center"/>
    </w:pPr>
  </w:p>
  <w:p w:rsidR="00ED791C" w:rsidRDefault="00ED79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rsidP="00550ECE">
    <w:pPr>
      <w:pStyle w:val="Footer"/>
      <w:jc w:val="center"/>
    </w:pPr>
    <w:r>
      <w:t>iv</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615130"/>
      <w:docPartObj>
        <w:docPartGallery w:val="Page Numbers (Bottom of Page)"/>
        <w:docPartUnique/>
      </w:docPartObj>
    </w:sdtPr>
    <w:sdtEndPr>
      <w:rPr>
        <w:noProof/>
      </w:rPr>
    </w:sdtEndPr>
    <w:sdtContent>
      <w:p w:rsidR="00ED791C" w:rsidRDefault="00ED791C">
        <w:pPr>
          <w:pStyle w:val="Footer"/>
          <w:jc w:val="center"/>
        </w:pPr>
        <w:r>
          <w:fldChar w:fldCharType="begin"/>
        </w:r>
        <w:r>
          <w:instrText xml:space="preserve"> PAGE   \* MERGEFORMAT </w:instrText>
        </w:r>
        <w:r>
          <w:fldChar w:fldCharType="separate"/>
        </w:r>
        <w:r w:rsidR="008A55B1">
          <w:rPr>
            <w:noProof/>
          </w:rPr>
          <w:t>iii</w:t>
        </w:r>
        <w:r>
          <w:rPr>
            <w:noProof/>
          </w:rPr>
          <w:fldChar w:fldCharType="end"/>
        </w:r>
      </w:p>
    </w:sdtContent>
  </w:sdt>
  <w:p w:rsidR="00ED791C" w:rsidRDefault="00ED79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pPr>
      <w:pStyle w:val="Footer"/>
      <w:jc w:val="center"/>
    </w:pPr>
    <w:r>
      <w:fldChar w:fldCharType="begin"/>
    </w:r>
    <w:r>
      <w:instrText xml:space="preserve"> PAGE   \* MERGEFORMAT </w:instrText>
    </w:r>
    <w:r>
      <w:fldChar w:fldCharType="separate"/>
    </w:r>
    <w:r w:rsidR="008A55B1">
      <w:rPr>
        <w:noProof/>
      </w:rPr>
      <w:t>viii</w:t>
    </w:r>
    <w:r>
      <w:rPr>
        <w:noProof/>
      </w:rPr>
      <w:fldChar w:fldCharType="end"/>
    </w:r>
  </w:p>
  <w:p w:rsidR="00ED791C" w:rsidRDefault="00ED791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pPr>
      <w:pStyle w:val="Footer"/>
      <w:jc w:val="center"/>
    </w:pPr>
    <w:r>
      <w:fldChar w:fldCharType="begin"/>
    </w:r>
    <w:r>
      <w:instrText xml:space="preserve"> PAGE   \* MERGEFORMAT </w:instrText>
    </w:r>
    <w:r>
      <w:fldChar w:fldCharType="separate"/>
    </w:r>
    <w:r w:rsidR="008A55B1">
      <w:rPr>
        <w:noProof/>
      </w:rPr>
      <w:t>37</w:t>
    </w:r>
    <w:r>
      <w:rPr>
        <w:noProof/>
      </w:rPr>
      <w:fldChar w:fldCharType="end"/>
    </w:r>
  </w:p>
  <w:p w:rsidR="00ED791C" w:rsidRDefault="00ED791C" w:rsidP="00C96C0B">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pPr>
      <w:pStyle w:val="Footer"/>
      <w:jc w:val="center"/>
    </w:pPr>
    <w:r>
      <w:fldChar w:fldCharType="begin"/>
    </w:r>
    <w:r>
      <w:instrText xml:space="preserve"> PAGE   \* MERGEFORMAT </w:instrText>
    </w:r>
    <w:r>
      <w:fldChar w:fldCharType="separate"/>
    </w:r>
    <w:r w:rsidR="008A55B1">
      <w:rPr>
        <w:noProof/>
      </w:rPr>
      <w:t>6</w:t>
    </w:r>
    <w:r>
      <w:rPr>
        <w:noProof/>
      </w:rPr>
      <w:fldChar w:fldCharType="end"/>
    </w:r>
  </w:p>
  <w:p w:rsidR="00ED791C" w:rsidRDefault="00ED791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pPr>
      <w:pStyle w:val="Footer"/>
      <w:jc w:val="center"/>
    </w:pPr>
    <w:r>
      <w:fldChar w:fldCharType="begin"/>
    </w:r>
    <w:r>
      <w:instrText xml:space="preserve"> PAGE   \* MERGEFORMAT </w:instrText>
    </w:r>
    <w:r>
      <w:fldChar w:fldCharType="separate"/>
    </w:r>
    <w:r w:rsidR="008A55B1">
      <w:rPr>
        <w:noProof/>
      </w:rPr>
      <w:t>36</w:t>
    </w:r>
    <w:r>
      <w:rPr>
        <w:noProof/>
      </w:rPr>
      <w:fldChar w:fldCharType="end"/>
    </w:r>
  </w:p>
  <w:p w:rsidR="00ED791C" w:rsidRDefault="00ED791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A93" w:rsidRDefault="00200A93">
      <w:r>
        <w:separator/>
      </w:r>
    </w:p>
  </w:footnote>
  <w:footnote w:type="continuationSeparator" w:id="0">
    <w:p w:rsidR="00200A93" w:rsidRDefault="00200A93">
      <w:r>
        <w:continuationSeparator/>
      </w:r>
    </w:p>
  </w:footnote>
  <w:footnote w:id="1">
    <w:p w:rsidR="00ED791C" w:rsidRDefault="00ED791C">
      <w:pPr>
        <w:pStyle w:val="FootnoteText"/>
      </w:pPr>
      <w:r>
        <w:rPr>
          <w:rStyle w:val="FootnoteReference"/>
        </w:rPr>
        <w:footnoteRef/>
      </w:r>
      <w:r>
        <w:t xml:space="preserve"> </w:t>
      </w:r>
      <w:r w:rsidRPr="004826F6">
        <w:t xml:space="preserve">Due to the lack of </w:t>
      </w:r>
      <w:r>
        <w:t xml:space="preserve">sufficient </w:t>
      </w:r>
      <w:r w:rsidRPr="004826F6">
        <w:t xml:space="preserve">data, Belarus is not ranked in </w:t>
      </w:r>
      <w:r>
        <w:t>“</w:t>
      </w:r>
      <w:r w:rsidRPr="004826F6">
        <w:t>Gender Inequality Index</w:t>
      </w:r>
      <w:r>
        <w:t>”</w:t>
      </w:r>
      <w:r w:rsidRPr="004826F6">
        <w:t xml:space="preserve"> and the World Economic Forum Global Gender Gap Index</w:t>
      </w:r>
      <w:r>
        <w:t>.</w:t>
      </w:r>
    </w:p>
  </w:footnote>
  <w:footnote w:id="2">
    <w:p w:rsidR="00ED791C" w:rsidRDefault="00ED791C">
      <w:pPr>
        <w:pStyle w:val="FootnoteText"/>
      </w:pPr>
      <w:r>
        <w:rPr>
          <w:rStyle w:val="FootnoteReference"/>
        </w:rPr>
        <w:footnoteRef/>
      </w:r>
      <w:r>
        <w:t xml:space="preserve"> The list of factors is not exhaustive and may also include informal institutions, self-esteem, and peer-pressure. The choice of selected factors is mostly driven by information and data availability.  </w:t>
      </w:r>
    </w:p>
  </w:footnote>
  <w:footnote w:id="3">
    <w:p w:rsidR="00ED791C" w:rsidRDefault="00ED791C" w:rsidP="004C0836">
      <w:pPr>
        <w:pStyle w:val="FootnoteText"/>
        <w:jc w:val="both"/>
      </w:pPr>
      <w:r>
        <w:rPr>
          <w:rStyle w:val="FootnoteReference"/>
        </w:rPr>
        <w:footnoteRef/>
      </w:r>
      <w:r>
        <w:t xml:space="preserve"> Detailed analysis how the collection and processing of the statistics related to domestic violence is organized can be found in Karazei and Kashevskaya (2012).</w:t>
      </w:r>
    </w:p>
  </w:footnote>
  <w:footnote w:id="4">
    <w:p w:rsidR="00ED791C" w:rsidRDefault="00ED791C" w:rsidP="004C0836">
      <w:pPr>
        <w:pStyle w:val="FootnoteText"/>
        <w:jc w:val="both"/>
      </w:pPr>
      <w:r>
        <w:rPr>
          <w:rStyle w:val="FootnoteReference"/>
        </w:rPr>
        <w:footnoteRef/>
      </w:r>
      <w:r w:rsidRPr="006677F7">
        <w:t>The United Nations Declaration on the Elimination o</w:t>
      </w:r>
      <w:r>
        <w:t xml:space="preserve">f Violence against Women (1993) </w:t>
      </w:r>
      <w:r w:rsidRPr="006677F7">
        <w:t>defines violence against women as "any act of gender-based violence that results in, or is</w:t>
      </w:r>
      <w:r>
        <w:t xml:space="preserve"> </w:t>
      </w:r>
      <w:r w:rsidRPr="006677F7">
        <w:t>likely to result in, physical, sexual or psychological harm or suffering to women, including</w:t>
      </w:r>
      <w:r>
        <w:t xml:space="preserve"> </w:t>
      </w:r>
      <w:r w:rsidRPr="006677F7">
        <w:t>threats of such acts, coercion or arbitrary deprivation of liberty, whether occurring in public</w:t>
      </w:r>
      <w:r>
        <w:t xml:space="preserve"> </w:t>
      </w:r>
      <w:r w:rsidRPr="006677F7">
        <w:t>or in private life.</w:t>
      </w:r>
      <w:r>
        <w:t xml:space="preserve"> Detailed description of domestic violence and its types can be found in INNOCENTI digest on domestic violence available from </w:t>
      </w:r>
      <w:hyperlink r:id="rId1" w:history="1">
        <w:r w:rsidRPr="00016E9B">
          <w:rPr>
            <w:rStyle w:val="Hyperlink"/>
          </w:rPr>
          <w:t>http://www.unicef-irc.org/publications/pdf/digest6e.pdf</w:t>
        </w:r>
      </w:hyperlink>
      <w:r>
        <w:t xml:space="preserve">. </w:t>
      </w:r>
    </w:p>
  </w:footnote>
  <w:footnote w:id="5">
    <w:p w:rsidR="00ED791C" w:rsidRDefault="00ED791C" w:rsidP="004C0836">
      <w:pPr>
        <w:pStyle w:val="FootnoteText"/>
        <w:jc w:val="both"/>
      </w:pPr>
      <w:r>
        <w:rPr>
          <w:rStyle w:val="FootnoteReference"/>
        </w:rPr>
        <w:footnoteRef/>
      </w:r>
      <w:r>
        <w:t xml:space="preserve"> Nevertheless, according to Petina et al. (2010) there is no statutory requirement to set up such centres and, therefore, the existence of shelters depends totally on the interest and motivation of individual staff and on support from local authorities.</w:t>
      </w:r>
    </w:p>
  </w:footnote>
  <w:footnote w:id="6">
    <w:p w:rsidR="00ED791C" w:rsidRDefault="00ED791C" w:rsidP="004C0836">
      <w:pPr>
        <w:pStyle w:val="FootnoteText"/>
        <w:jc w:val="both"/>
      </w:pPr>
      <w:r>
        <w:rPr>
          <w:rStyle w:val="FootnoteReference"/>
        </w:rPr>
        <w:footnoteRef/>
      </w:r>
      <w:r>
        <w:t xml:space="preserve"> </w:t>
      </w:r>
      <w:r w:rsidRPr="00EA1E39">
        <w:t>Belarusian women and children are subjected to sex trafficking in Russia, Germany, Poland, Cyprus, Italy, Egypt, the Czech Republic, Lithuania, Spain, Greece, Belgium, Turkey, Israel, Lebanon, the United Arab Emirates, and within Belarus</w:t>
      </w:r>
      <w:r>
        <w:t>.</w:t>
      </w:r>
    </w:p>
  </w:footnote>
  <w:footnote w:id="7">
    <w:p w:rsidR="00ED791C" w:rsidRDefault="00ED791C" w:rsidP="001A446C">
      <w:pPr>
        <w:pStyle w:val="FootnoteText"/>
        <w:jc w:val="both"/>
      </w:pPr>
      <w:r>
        <w:rPr>
          <w:rStyle w:val="FootnoteReference"/>
        </w:rPr>
        <w:footnoteRef/>
      </w:r>
      <w:r>
        <w:t xml:space="preserve"> Preliminary results from the </w:t>
      </w:r>
      <w:r w:rsidRPr="008E0562">
        <w:t>Multiple Indicator Cluster Survey</w:t>
      </w:r>
      <w:r>
        <w:t xml:space="preserve"> became publicly available in March 2013 when this report had been completed. The revision of </w:t>
      </w:r>
      <w:r w:rsidRPr="00450F93">
        <w:t>the report “Women and Men in Belarus”</w:t>
      </w:r>
      <w:r>
        <w:t xml:space="preserve"> was planned by UNICEF and UNFPA to add more gender disaggregated statistics.</w:t>
      </w:r>
    </w:p>
  </w:footnote>
  <w:footnote w:id="8">
    <w:p w:rsidR="00ED791C" w:rsidRDefault="00ED791C">
      <w:pPr>
        <w:pStyle w:val="FootnoteText"/>
      </w:pPr>
      <w:r>
        <w:rPr>
          <w:rStyle w:val="FootnoteReference"/>
        </w:rPr>
        <w:footnoteRef/>
      </w:r>
      <w:r>
        <w:t xml:space="preserve"> C</w:t>
      </w:r>
      <w:r w:rsidRPr="000B049F">
        <w:t>onfidence intervals and coefficients are pres</w:t>
      </w:r>
      <w:r>
        <w:t>ented in Figure A.1 in Appendix.</w:t>
      </w:r>
    </w:p>
  </w:footnote>
  <w:footnote w:id="9">
    <w:p w:rsidR="00ED791C" w:rsidRDefault="00ED791C">
      <w:pPr>
        <w:pStyle w:val="FootnoteText"/>
      </w:pPr>
      <w:r>
        <w:rPr>
          <w:rStyle w:val="FootnoteReference"/>
        </w:rPr>
        <w:footnoteRef/>
      </w:r>
      <w:r>
        <w:t xml:space="preserve"> Age-standardized death rate is calculated using the direct method, i.e. represents what the crude rate would have been if the population had the same age distribution as the standard European population.</w:t>
      </w:r>
    </w:p>
  </w:footnote>
  <w:footnote w:id="10">
    <w:p w:rsidR="00ED791C" w:rsidRDefault="00ED791C">
      <w:pPr>
        <w:pStyle w:val="FootnoteText"/>
      </w:pPr>
      <w:r>
        <w:rPr>
          <w:rStyle w:val="FootnoteReference"/>
        </w:rPr>
        <w:footnoteRef/>
      </w:r>
      <w:r>
        <w:t xml:space="preserve"> Low a</w:t>
      </w:r>
      <w:r w:rsidRPr="00927E90">
        <w:t>dolescent fertility rate</w:t>
      </w:r>
      <w:r>
        <w:t xml:space="preserve">s may also contribute to low maternal mortality in Belarus. Thus, there were only 21 births per 1,000 women ages 15-19 in Belarus in 2011 compared to 32 births in ECA region and 31 in upper-middle income countries (WDI). </w:t>
      </w:r>
    </w:p>
  </w:footnote>
  <w:footnote w:id="11">
    <w:p w:rsidR="00ED791C" w:rsidRDefault="00ED791C" w:rsidP="00545C0F">
      <w:pPr>
        <w:pStyle w:val="FootnoteText"/>
      </w:pPr>
      <w:r>
        <w:rPr>
          <w:rStyle w:val="FootnoteReference"/>
        </w:rPr>
        <w:footnoteRef/>
      </w:r>
      <w:r>
        <w:t xml:space="preserve"> The picture does not change if we use labor force participation in population between 15-64 years. </w:t>
      </w:r>
    </w:p>
    <w:p w:rsidR="00ED791C" w:rsidRDefault="00ED791C">
      <w:pPr>
        <w:pStyle w:val="FootnoteText"/>
      </w:pPr>
    </w:p>
  </w:footnote>
  <w:footnote w:id="12">
    <w:p w:rsidR="00ED791C" w:rsidRDefault="00ED791C">
      <w:pPr>
        <w:pStyle w:val="FootnoteText"/>
      </w:pPr>
      <w:r>
        <w:rPr>
          <w:rStyle w:val="FootnoteReference"/>
        </w:rPr>
        <w:footnoteRef/>
      </w:r>
      <w:r>
        <w:t xml:space="preserve"> </w:t>
      </w:r>
      <w:r>
        <w:rPr>
          <w:sz w:val="18"/>
        </w:rPr>
        <w:t>Manual workers are equivalent to blue-collar and salaried worker to white-collar workers. Total wage employment does not include self-employment, employment on personal subsidiary plots and employment on small enterprises (less than 15 workers).</w:t>
      </w:r>
    </w:p>
  </w:footnote>
  <w:footnote w:id="13">
    <w:p w:rsidR="00ED791C" w:rsidRDefault="00ED791C">
      <w:pPr>
        <w:pStyle w:val="FootnoteText"/>
      </w:pPr>
      <w:r>
        <w:rPr>
          <w:rStyle w:val="FootnoteReference"/>
        </w:rPr>
        <w:footnoteRef/>
      </w:r>
      <w:r>
        <w:t xml:space="preserve"> </w:t>
      </w:r>
      <w:r w:rsidRPr="00522CB4">
        <w:rPr>
          <w:sz w:val="18"/>
        </w:rPr>
        <w:t>Many de</w:t>
      </w:r>
      <w:r>
        <w:rPr>
          <w:sz w:val="18"/>
        </w:rPr>
        <w:t xml:space="preserve">veloped countries, such as the United States, the United Kingdom, Germany are raising their retirement age because of changing demographic conditions and growing life expectancy (World Bank, 2011a).  </w:t>
      </w:r>
    </w:p>
  </w:footnote>
  <w:footnote w:id="14">
    <w:p w:rsidR="00ED791C" w:rsidRDefault="00ED791C">
      <w:pPr>
        <w:pStyle w:val="FootnoteText"/>
      </w:pPr>
      <w:r>
        <w:rPr>
          <w:rStyle w:val="FootnoteReference"/>
        </w:rPr>
        <w:footnoteRef/>
      </w:r>
      <w:r>
        <w:t xml:space="preserve"> In </w:t>
      </w:r>
      <w:r w:rsidRPr="004D21D5">
        <w:t>some post-Soviet countries firms are registered under relative’s names for tax evasion purposes</w:t>
      </w:r>
      <w:r>
        <w:t xml:space="preserve">, but the data do not allow us checking this. </w:t>
      </w:r>
    </w:p>
  </w:footnote>
  <w:footnote w:id="15">
    <w:p w:rsidR="00ED791C" w:rsidRDefault="00ED791C">
      <w:pPr>
        <w:pStyle w:val="FootnoteText"/>
      </w:pPr>
      <w:r>
        <w:rPr>
          <w:rStyle w:val="FootnoteReference"/>
        </w:rPr>
        <w:footnoteRef/>
      </w:r>
      <w:r>
        <w:t xml:space="preserve"> Years of education were imputed using the following scheme. 2 years for those without education, 4 for primary, 9 for basic, 11 for general secondary education, 12 for vocational education, 13 for secondary specialized education, and 16 for higher education.</w:t>
      </w:r>
    </w:p>
  </w:footnote>
  <w:footnote w:id="16">
    <w:p w:rsidR="00ED791C" w:rsidRDefault="00ED791C">
      <w:pPr>
        <w:pStyle w:val="FootnoteText"/>
      </w:pPr>
      <w:r>
        <w:rPr>
          <w:rStyle w:val="FootnoteReference"/>
        </w:rPr>
        <w:footnoteRef/>
      </w:r>
      <w:r>
        <w:t xml:space="preserve"> Running similar regressions for quarterly data (4</w:t>
      </w:r>
      <w:r w:rsidRPr="003B5CF4">
        <w:rPr>
          <w:vertAlign w:val="superscript"/>
        </w:rPr>
        <w:t>th</w:t>
      </w:r>
      <w:r>
        <w:t xml:space="preserve"> quarter selected) where we can control for the sector of employment yields slightly different results. Firstly, returns to experience are lower about 6 percent, while returns to education are slightly higher for women than men (10 versus 8 percent respectively). Results from OLS regressions are presented in Table A4 in Appendix.</w:t>
      </w:r>
    </w:p>
  </w:footnote>
  <w:footnote w:id="17">
    <w:p w:rsidR="00ED791C" w:rsidRDefault="00ED791C">
      <w:pPr>
        <w:pStyle w:val="FootnoteText"/>
      </w:pPr>
      <w:r>
        <w:rPr>
          <w:rStyle w:val="FootnoteReference"/>
        </w:rPr>
        <w:footnoteRef/>
      </w:r>
      <w:r>
        <w:t xml:space="preserve"> Detailed description of the Oaxaca-Blinder methodology and empirical application can be found in Jann (2008).  We had to use quarterly data for Oaxaca-Blinder decomposition because yearly data do not contain information about the sector of employment.</w:t>
      </w:r>
    </w:p>
  </w:footnote>
  <w:footnote w:id="18">
    <w:p w:rsidR="00ED791C" w:rsidRDefault="00ED791C">
      <w:pPr>
        <w:pStyle w:val="FootnoteText"/>
      </w:pPr>
      <w:r>
        <w:rPr>
          <w:rStyle w:val="FootnoteReference"/>
        </w:rPr>
        <w:footnoteRef/>
      </w:r>
      <w:r>
        <w:t xml:space="preserve"> </w:t>
      </w:r>
      <w:r w:rsidRPr="004F3BF6">
        <w:t xml:space="preserve">Nevertheless, the robustness of results in </w:t>
      </w:r>
      <w:r>
        <w:t>F</w:t>
      </w:r>
      <w:r w:rsidRPr="004F3BF6">
        <w:t xml:space="preserve">igure </w:t>
      </w:r>
      <w:r>
        <w:t>3.15</w:t>
      </w:r>
      <w:r w:rsidRPr="004F3BF6">
        <w:t xml:space="preserve"> </w:t>
      </w:r>
      <w:r>
        <w:t xml:space="preserve">were checked </w:t>
      </w:r>
      <w:r w:rsidRPr="004F3BF6">
        <w:t>by calculating income per capita using the following equivalence scale: 1 to the first adult, 0.6 to each additional adult, 0.5 to children between 6 and 18 years  and 0.4 to children below 6 years (Research Center of the Institute for Privatization and Management, 2012). The results do not change and the risk of poverty still increases with the number of children</w:t>
      </w:r>
      <w:r>
        <w:t>.</w:t>
      </w:r>
    </w:p>
  </w:footnote>
  <w:footnote w:id="19">
    <w:p w:rsidR="00ED791C" w:rsidRDefault="00ED791C" w:rsidP="00EF414D">
      <w:pPr>
        <w:pStyle w:val="FootnoteText"/>
      </w:pPr>
      <w:r>
        <w:rPr>
          <w:rStyle w:val="FootnoteReference"/>
        </w:rPr>
        <w:footnoteRef/>
      </w:r>
      <w:r>
        <w:t xml:space="preserve"> The relative poverty line is established below 60 percent of the median total disposable resources which is measured as a sum of cash income, subsidies, privileges, and net income from personal subsidiary plot.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rsidP="006E3858">
    <w:pPr>
      <w:pStyle w:val="Header"/>
      <w:framePr w:wrap="around" w:vAnchor="text" w:hAnchor="margin" w:xAlign="center" w:y="1"/>
      <w:rPr>
        <w:rStyle w:val="PageNumber"/>
      </w:rPr>
    </w:pPr>
  </w:p>
  <w:p w:rsidR="00ED791C" w:rsidRDefault="00ED79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1C" w:rsidRDefault="00ED79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5BB8"/>
    <w:multiLevelType w:val="hybridMultilevel"/>
    <w:tmpl w:val="F760E384"/>
    <w:lvl w:ilvl="0" w:tplc="04090001">
      <w:start w:val="1"/>
      <w:numFmt w:val="upperLetter"/>
      <w:pStyle w:val="Style12"/>
      <w:lvlText w:val="%1."/>
      <w:lvlJc w:val="left"/>
      <w:pPr>
        <w:tabs>
          <w:tab w:val="num" w:pos="720"/>
        </w:tabs>
        <w:ind w:left="720" w:hanging="360"/>
      </w:pPr>
      <w:rPr>
        <w:rFonts w:hint="default"/>
      </w:rPr>
    </w:lvl>
    <w:lvl w:ilvl="1" w:tplc="461C258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
    <w:nsid w:val="07817F0B"/>
    <w:multiLevelType w:val="hybridMultilevel"/>
    <w:tmpl w:val="47D4E1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3D7EE6"/>
    <w:multiLevelType w:val="hybridMultilevel"/>
    <w:tmpl w:val="205E297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2515B38"/>
    <w:multiLevelType w:val="multilevel"/>
    <w:tmpl w:val="75F245D6"/>
    <w:lvl w:ilvl="0">
      <w:start w:val="1"/>
      <w:numFmt w:val="upperLetter"/>
      <w:lvlText w:val="%1."/>
      <w:lvlJc w:val="center"/>
      <w:pPr>
        <w:tabs>
          <w:tab w:val="num" w:pos="432"/>
        </w:tabs>
        <w:ind w:left="432" w:hanging="432"/>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hint="default"/>
        <w:b w:val="0"/>
        <w:i w:val="0"/>
        <w:sz w:val="24"/>
        <w:szCs w:val="24"/>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4">
    <w:nsid w:val="14105CA9"/>
    <w:multiLevelType w:val="hybridMultilevel"/>
    <w:tmpl w:val="5BC877A4"/>
    <w:lvl w:ilvl="0" w:tplc="9CE46792">
      <w:start w:val="1"/>
      <w:numFmt w:val="decimal"/>
      <w:pStyle w:val="ParagraphNumbering"/>
      <w:lvlText w:val="%1.     "/>
      <w:lvlJc w:val="left"/>
      <w:pPr>
        <w:tabs>
          <w:tab w:val="num" w:pos="720"/>
        </w:tabs>
        <w:ind w:left="0" w:firstLine="0"/>
      </w:pPr>
      <w:rPr>
        <w:rFonts w:hint="default"/>
      </w:rPr>
    </w:lvl>
    <w:lvl w:ilvl="1" w:tplc="B17A4BF0" w:tentative="1">
      <w:start w:val="1"/>
      <w:numFmt w:val="lowerLetter"/>
      <w:lvlText w:val="%2."/>
      <w:lvlJc w:val="left"/>
      <w:pPr>
        <w:tabs>
          <w:tab w:val="num" w:pos="1440"/>
        </w:tabs>
        <w:ind w:left="1440" w:hanging="360"/>
      </w:pPr>
    </w:lvl>
    <w:lvl w:ilvl="2" w:tplc="C5C0CE3C" w:tentative="1">
      <w:start w:val="1"/>
      <w:numFmt w:val="lowerRoman"/>
      <w:lvlText w:val="%3."/>
      <w:lvlJc w:val="right"/>
      <w:pPr>
        <w:tabs>
          <w:tab w:val="num" w:pos="2160"/>
        </w:tabs>
        <w:ind w:left="2160" w:hanging="180"/>
      </w:pPr>
    </w:lvl>
    <w:lvl w:ilvl="3" w:tplc="91A62962" w:tentative="1">
      <w:start w:val="1"/>
      <w:numFmt w:val="decimal"/>
      <w:lvlText w:val="%4."/>
      <w:lvlJc w:val="left"/>
      <w:pPr>
        <w:tabs>
          <w:tab w:val="num" w:pos="2880"/>
        </w:tabs>
        <w:ind w:left="2880" w:hanging="360"/>
      </w:pPr>
    </w:lvl>
    <w:lvl w:ilvl="4" w:tplc="D8107560" w:tentative="1">
      <w:start w:val="1"/>
      <w:numFmt w:val="lowerLetter"/>
      <w:lvlText w:val="%5."/>
      <w:lvlJc w:val="left"/>
      <w:pPr>
        <w:tabs>
          <w:tab w:val="num" w:pos="3600"/>
        </w:tabs>
        <w:ind w:left="3600" w:hanging="360"/>
      </w:pPr>
    </w:lvl>
    <w:lvl w:ilvl="5" w:tplc="3DE87AAE" w:tentative="1">
      <w:start w:val="1"/>
      <w:numFmt w:val="lowerRoman"/>
      <w:lvlText w:val="%6."/>
      <w:lvlJc w:val="right"/>
      <w:pPr>
        <w:tabs>
          <w:tab w:val="num" w:pos="4320"/>
        </w:tabs>
        <w:ind w:left="4320" w:hanging="180"/>
      </w:pPr>
    </w:lvl>
    <w:lvl w:ilvl="6" w:tplc="EB98C880" w:tentative="1">
      <w:start w:val="1"/>
      <w:numFmt w:val="decimal"/>
      <w:lvlText w:val="%7."/>
      <w:lvlJc w:val="left"/>
      <w:pPr>
        <w:tabs>
          <w:tab w:val="num" w:pos="5040"/>
        </w:tabs>
        <w:ind w:left="5040" w:hanging="360"/>
      </w:pPr>
    </w:lvl>
    <w:lvl w:ilvl="7" w:tplc="4DEA8606" w:tentative="1">
      <w:start w:val="1"/>
      <w:numFmt w:val="lowerLetter"/>
      <w:lvlText w:val="%8."/>
      <w:lvlJc w:val="left"/>
      <w:pPr>
        <w:tabs>
          <w:tab w:val="num" w:pos="5760"/>
        </w:tabs>
        <w:ind w:left="5760" w:hanging="360"/>
      </w:pPr>
    </w:lvl>
    <w:lvl w:ilvl="8" w:tplc="3AFE8048" w:tentative="1">
      <w:start w:val="1"/>
      <w:numFmt w:val="lowerRoman"/>
      <w:lvlText w:val="%9."/>
      <w:lvlJc w:val="right"/>
      <w:pPr>
        <w:tabs>
          <w:tab w:val="num" w:pos="6480"/>
        </w:tabs>
        <w:ind w:left="6480" w:hanging="180"/>
      </w:pPr>
    </w:lvl>
  </w:abstractNum>
  <w:abstractNum w:abstractNumId="5">
    <w:nsid w:val="24C717A2"/>
    <w:multiLevelType w:val="hybridMultilevel"/>
    <w:tmpl w:val="C06C9804"/>
    <w:lvl w:ilvl="0" w:tplc="4516EE7A">
      <w:start w:val="1"/>
      <w:numFmt w:val="upperLetter"/>
      <w:lvlText w:val="%1."/>
      <w:lvlJc w:val="center"/>
      <w:pPr>
        <w:tabs>
          <w:tab w:val="num" w:pos="432"/>
        </w:tabs>
        <w:ind w:left="432" w:hanging="432"/>
      </w:pPr>
      <w:rPr>
        <w:rFonts w:ascii="Times New Roman Bold" w:hAnsi="Times New Roman Bold" w:cs="Times New Roman" w:hint="default"/>
        <w:b/>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AFF3B32"/>
    <w:multiLevelType w:val="hybridMultilevel"/>
    <w:tmpl w:val="92F2F8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DB70E52"/>
    <w:multiLevelType w:val="hybridMultilevel"/>
    <w:tmpl w:val="3A0A1AD0"/>
    <w:lvl w:ilvl="0" w:tplc="04090001">
      <w:start w:val="1"/>
      <w:numFmt w:val="bullet"/>
      <w:lvlText w:val=""/>
      <w:lvlJc w:val="left"/>
      <w:pPr>
        <w:tabs>
          <w:tab w:val="num" w:pos="930"/>
        </w:tabs>
        <w:ind w:left="930" w:hanging="360"/>
      </w:pPr>
      <w:rPr>
        <w:rFonts w:ascii="Symbol" w:hAnsi="Symbol"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8">
    <w:nsid w:val="30BC501E"/>
    <w:multiLevelType w:val="multilevel"/>
    <w:tmpl w:val="9EB89C8C"/>
    <w:lvl w:ilvl="0">
      <w:start w:val="1"/>
      <w:numFmt w:val="decimal"/>
      <w:lvlText w:val="%1."/>
      <w:lvlJc w:val="left"/>
      <w:pPr>
        <w:tabs>
          <w:tab w:val="num" w:pos="360"/>
        </w:tabs>
        <w:ind w:left="360" w:hanging="360"/>
      </w:pPr>
      <w:rPr>
        <w:rFonts w:hint="default"/>
      </w:rPr>
    </w:lvl>
    <w:lvl w:ilvl="1">
      <w:start w:val="1"/>
      <w:numFmt w:val="decimal"/>
      <w:pStyle w:val="1"/>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26B7286"/>
    <w:multiLevelType w:val="multilevel"/>
    <w:tmpl w:val="5906D0A0"/>
    <w:lvl w:ilvl="0">
      <w:start w:val="4"/>
      <w:numFmt w:val="decimal"/>
      <w:pStyle w:val="Heading9"/>
      <w:lvlText w:val="CHAPTER %1"/>
      <w:lvlJc w:val="left"/>
      <w:pPr>
        <w:tabs>
          <w:tab w:val="num" w:pos="3600"/>
        </w:tabs>
        <w:ind w:left="3960" w:hanging="36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NNEX %1.%2"/>
      <w:lvlJc w:val="left"/>
      <w:pPr>
        <w:tabs>
          <w:tab w:val="num" w:pos="720"/>
        </w:tabs>
        <w:ind w:left="0" w:firstLine="0"/>
      </w:pPr>
      <w:rPr>
        <w:rFonts w:ascii="Times New Roman Bold" w:hAnsi="Times New Roman Bold" w:hint="default"/>
        <w:b/>
        <w:i w:val="0"/>
        <w:sz w:val="24"/>
        <w:szCs w:val="24"/>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0">
    <w:nsid w:val="37667B15"/>
    <w:multiLevelType w:val="hybridMultilevel"/>
    <w:tmpl w:val="A56827A6"/>
    <w:lvl w:ilvl="0" w:tplc="DE9CA9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7250D3"/>
    <w:multiLevelType w:val="hybridMultilevel"/>
    <w:tmpl w:val="019AAEE4"/>
    <w:lvl w:ilvl="0" w:tplc="3F0CFD82">
      <w:start w:val="1"/>
      <w:numFmt w:val="upperLetter"/>
      <w:lvlText w:val="%1."/>
      <w:lvlJc w:val="center"/>
      <w:pPr>
        <w:tabs>
          <w:tab w:val="num" w:pos="432"/>
        </w:tabs>
        <w:ind w:left="432" w:hanging="432"/>
      </w:pPr>
      <w:rPr>
        <w:rFonts w:ascii="Times New Roman Bold" w:hAnsi="Times New Roman Bold" w:cs="Times New Roman" w:hint="default"/>
        <w:b/>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BA5876"/>
    <w:multiLevelType w:val="hybridMultilevel"/>
    <w:tmpl w:val="0C5ECD84"/>
    <w:lvl w:ilvl="0" w:tplc="3F0CFD82">
      <w:start w:val="1"/>
      <w:numFmt w:val="bullet"/>
      <w:pStyle w:val="Style9"/>
      <w:lvlText w:val=""/>
      <w:lvlJc w:val="left"/>
      <w:pPr>
        <w:tabs>
          <w:tab w:val="num" w:pos="720"/>
        </w:tabs>
        <w:ind w:left="720" w:hanging="360"/>
      </w:pPr>
      <w:rPr>
        <w:rFonts w:ascii="Symbol" w:hAnsi="Symbol" w:hint="default"/>
      </w:rPr>
    </w:lvl>
    <w:lvl w:ilvl="1" w:tplc="04090019">
      <w:start w:val="1"/>
      <w:numFmt w:val="upperLetter"/>
      <w:lvlText w:val="%2."/>
      <w:lvlJc w:val="center"/>
      <w:pPr>
        <w:tabs>
          <w:tab w:val="num" w:pos="1512"/>
        </w:tabs>
        <w:ind w:left="1512" w:hanging="432"/>
      </w:pPr>
      <w:rPr>
        <w:rFonts w:ascii="Times New Roman Bold" w:hAnsi="Times New Roman Bold" w:cs="Times New Roman" w:hint="default"/>
        <w:b/>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nsid w:val="50B20B2B"/>
    <w:multiLevelType w:val="multilevel"/>
    <w:tmpl w:val="2B1647C0"/>
    <w:lvl w:ilvl="0">
      <w:start w:val="1"/>
      <w:numFmt w:val="decimal"/>
      <w:suff w:val="nothing"/>
      <w:lvlText w:val="CHAPTER %1"/>
      <w:lvlJc w:val="left"/>
      <w:pPr>
        <w:ind w:left="4680" w:hanging="360"/>
      </w:pPr>
      <w:rPr>
        <w:rFonts w:ascii="Times New Roman Bold" w:hAnsi="Times New Roman Bold" w:cs="Times New Roman" w:hint="default"/>
        <w:b/>
        <w:bCs w:val="0"/>
        <w:i w:val="0"/>
        <w:iCs w:val="0"/>
        <w:caps w:val="0"/>
        <w:smallCaps/>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0" w:firstLine="0"/>
      </w:pPr>
      <w:rPr>
        <w:rFonts w:ascii="Times New Roman" w:hAnsi="Times New Roman" w:hint="default"/>
        <w:b w:val="0"/>
        <w:i w:val="0"/>
        <w:sz w:val="22"/>
        <w:szCs w:val="22"/>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4">
    <w:nsid w:val="52456004"/>
    <w:multiLevelType w:val="hybridMultilevel"/>
    <w:tmpl w:val="A250729E"/>
    <w:lvl w:ilvl="0" w:tplc="7C0AEB36">
      <w:start w:val="1"/>
      <w:numFmt w:val="decimal"/>
      <w:lvlText w:val="%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79F44F5"/>
    <w:multiLevelType w:val="hybridMultilevel"/>
    <w:tmpl w:val="019AAEE4"/>
    <w:lvl w:ilvl="0" w:tplc="3F0CFD82">
      <w:start w:val="1"/>
      <w:numFmt w:val="upperLetter"/>
      <w:lvlText w:val="%1."/>
      <w:lvlJc w:val="center"/>
      <w:pPr>
        <w:tabs>
          <w:tab w:val="num" w:pos="432"/>
        </w:tabs>
        <w:ind w:left="432" w:hanging="432"/>
      </w:pPr>
      <w:rPr>
        <w:rFonts w:ascii="Times New Roman Bold" w:hAnsi="Times New Roman Bold" w:cs="Times New Roman" w:hint="default"/>
        <w:b/>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8627F28"/>
    <w:multiLevelType w:val="hybridMultilevel"/>
    <w:tmpl w:val="192882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850FB9"/>
    <w:multiLevelType w:val="hybridMultilevel"/>
    <w:tmpl w:val="A5A895A8"/>
    <w:lvl w:ilvl="0" w:tplc="D9B2226C">
      <w:start w:val="1"/>
      <w:numFmt w:val="decimal"/>
      <w:lvlText w:val="%1."/>
      <w:lvlJc w:val="left"/>
      <w:pPr>
        <w:tabs>
          <w:tab w:val="num" w:pos="930"/>
        </w:tabs>
        <w:ind w:left="930" w:hanging="360"/>
      </w:p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8">
    <w:nsid w:val="5EE71D24"/>
    <w:multiLevelType w:val="hybridMultilevel"/>
    <w:tmpl w:val="8E4C86D6"/>
    <w:lvl w:ilvl="0" w:tplc="3F0CFD82">
      <w:start w:val="1"/>
      <w:numFmt w:val="upperLetter"/>
      <w:lvlText w:val="%1."/>
      <w:lvlJc w:val="center"/>
      <w:pPr>
        <w:tabs>
          <w:tab w:val="num" w:pos="2052"/>
        </w:tabs>
        <w:ind w:left="2052" w:hanging="432"/>
      </w:pPr>
      <w:rPr>
        <w:rFonts w:ascii="Times New Roman Bold" w:hAnsi="Times New Roman Bold" w:cs="Times New Roman" w:hint="default"/>
        <w:b/>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9">
    <w:nsid w:val="68183CBD"/>
    <w:multiLevelType w:val="multilevel"/>
    <w:tmpl w:val="BB20523C"/>
    <w:lvl w:ilvl="0">
      <w:start w:val="1"/>
      <w:numFmt w:val="upperLetter"/>
      <w:pStyle w:val="StyleHeading2CenteredLeft05"/>
      <w:lvlText w:val="%1."/>
      <w:lvlJc w:val="center"/>
      <w:pPr>
        <w:tabs>
          <w:tab w:val="num" w:pos="1152"/>
        </w:tabs>
        <w:ind w:left="1152" w:hanging="432"/>
      </w:pPr>
      <w:rPr>
        <w:rFonts w:ascii="Times New Roman Bold" w:hAnsi="Times New Roman Bold" w:cs="Times New Roman" w:hint="default"/>
        <w:b/>
        <w:bCs w:val="0"/>
        <w:i w:val="0"/>
        <w:iCs w:val="0"/>
        <w:caps/>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center"/>
      <w:pPr>
        <w:tabs>
          <w:tab w:val="num" w:pos="4032"/>
        </w:tabs>
        <w:ind w:left="4032" w:hanging="432"/>
      </w:pPr>
      <w:rPr>
        <w:rFonts w:ascii="Times New Roman Bold" w:hAnsi="Times New Roman Bold" w:cs="Times New Roman" w:hint="default"/>
        <w:b/>
        <w:bCs w:val="0"/>
        <w:i w:val="0"/>
        <w:iCs w:val="0"/>
        <w:caps/>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20">
    <w:nsid w:val="6CC35461"/>
    <w:multiLevelType w:val="hybridMultilevel"/>
    <w:tmpl w:val="C21643BC"/>
    <w:lvl w:ilvl="0" w:tplc="E26A7ECA">
      <w:start w:val="1"/>
      <w:numFmt w:val="bullet"/>
      <w:lvlText w:val=""/>
      <w:lvlJc w:val="left"/>
      <w:pPr>
        <w:tabs>
          <w:tab w:val="num" w:pos="720"/>
        </w:tabs>
        <w:ind w:left="720" w:hanging="360"/>
      </w:pPr>
      <w:rPr>
        <w:rFonts w:ascii="Symbol" w:hAnsi="Symbol" w:hint="default"/>
      </w:rPr>
    </w:lvl>
    <w:lvl w:ilvl="1" w:tplc="87E00074" w:tentative="1">
      <w:start w:val="1"/>
      <w:numFmt w:val="bullet"/>
      <w:lvlText w:val="o"/>
      <w:lvlJc w:val="left"/>
      <w:pPr>
        <w:tabs>
          <w:tab w:val="num" w:pos="1440"/>
        </w:tabs>
        <w:ind w:left="1440" w:hanging="360"/>
      </w:pPr>
      <w:rPr>
        <w:rFonts w:ascii="Courier New" w:hAnsi="Courier New" w:cs="Courier New" w:hint="default"/>
      </w:rPr>
    </w:lvl>
    <w:lvl w:ilvl="2" w:tplc="C71862CE" w:tentative="1">
      <w:start w:val="1"/>
      <w:numFmt w:val="bullet"/>
      <w:lvlText w:val=""/>
      <w:lvlJc w:val="left"/>
      <w:pPr>
        <w:tabs>
          <w:tab w:val="num" w:pos="2160"/>
        </w:tabs>
        <w:ind w:left="2160" w:hanging="360"/>
      </w:pPr>
      <w:rPr>
        <w:rFonts w:ascii="Wingdings" w:hAnsi="Wingdings" w:hint="default"/>
      </w:rPr>
    </w:lvl>
    <w:lvl w:ilvl="3" w:tplc="093CC6B8" w:tentative="1">
      <w:start w:val="1"/>
      <w:numFmt w:val="bullet"/>
      <w:lvlText w:val=""/>
      <w:lvlJc w:val="left"/>
      <w:pPr>
        <w:tabs>
          <w:tab w:val="num" w:pos="2880"/>
        </w:tabs>
        <w:ind w:left="2880" w:hanging="360"/>
      </w:pPr>
      <w:rPr>
        <w:rFonts w:ascii="Symbol" w:hAnsi="Symbol" w:hint="default"/>
      </w:rPr>
    </w:lvl>
    <w:lvl w:ilvl="4" w:tplc="2E7E0072" w:tentative="1">
      <w:start w:val="1"/>
      <w:numFmt w:val="bullet"/>
      <w:lvlText w:val="o"/>
      <w:lvlJc w:val="left"/>
      <w:pPr>
        <w:tabs>
          <w:tab w:val="num" w:pos="3600"/>
        </w:tabs>
        <w:ind w:left="3600" w:hanging="360"/>
      </w:pPr>
      <w:rPr>
        <w:rFonts w:ascii="Courier New" w:hAnsi="Courier New" w:cs="Courier New" w:hint="default"/>
      </w:rPr>
    </w:lvl>
    <w:lvl w:ilvl="5" w:tplc="887ECC76" w:tentative="1">
      <w:start w:val="1"/>
      <w:numFmt w:val="bullet"/>
      <w:lvlText w:val=""/>
      <w:lvlJc w:val="left"/>
      <w:pPr>
        <w:tabs>
          <w:tab w:val="num" w:pos="4320"/>
        </w:tabs>
        <w:ind w:left="4320" w:hanging="360"/>
      </w:pPr>
      <w:rPr>
        <w:rFonts w:ascii="Wingdings" w:hAnsi="Wingdings" w:hint="default"/>
      </w:rPr>
    </w:lvl>
    <w:lvl w:ilvl="6" w:tplc="86F4A29C" w:tentative="1">
      <w:start w:val="1"/>
      <w:numFmt w:val="bullet"/>
      <w:lvlText w:val=""/>
      <w:lvlJc w:val="left"/>
      <w:pPr>
        <w:tabs>
          <w:tab w:val="num" w:pos="5040"/>
        </w:tabs>
        <w:ind w:left="5040" w:hanging="360"/>
      </w:pPr>
      <w:rPr>
        <w:rFonts w:ascii="Symbol" w:hAnsi="Symbol" w:hint="default"/>
      </w:rPr>
    </w:lvl>
    <w:lvl w:ilvl="7" w:tplc="AB2C6842" w:tentative="1">
      <w:start w:val="1"/>
      <w:numFmt w:val="bullet"/>
      <w:lvlText w:val="o"/>
      <w:lvlJc w:val="left"/>
      <w:pPr>
        <w:tabs>
          <w:tab w:val="num" w:pos="5760"/>
        </w:tabs>
        <w:ind w:left="5760" w:hanging="360"/>
      </w:pPr>
      <w:rPr>
        <w:rFonts w:ascii="Courier New" w:hAnsi="Courier New" w:cs="Courier New" w:hint="default"/>
      </w:rPr>
    </w:lvl>
    <w:lvl w:ilvl="8" w:tplc="1DB04D6E" w:tentative="1">
      <w:start w:val="1"/>
      <w:numFmt w:val="bullet"/>
      <w:lvlText w:val=""/>
      <w:lvlJc w:val="left"/>
      <w:pPr>
        <w:tabs>
          <w:tab w:val="num" w:pos="6480"/>
        </w:tabs>
        <w:ind w:left="6480" w:hanging="360"/>
      </w:pPr>
      <w:rPr>
        <w:rFonts w:ascii="Wingdings" w:hAnsi="Wingdings" w:hint="default"/>
      </w:rPr>
    </w:lvl>
  </w:abstractNum>
  <w:abstractNum w:abstractNumId="21">
    <w:nsid w:val="733922B9"/>
    <w:multiLevelType w:val="hybridMultilevel"/>
    <w:tmpl w:val="FAFC3E94"/>
    <w:lvl w:ilvl="0" w:tplc="DC065A32">
      <w:start w:val="1"/>
      <w:numFmt w:val="upperLetter"/>
      <w:lvlText w:val="%1."/>
      <w:lvlJc w:val="center"/>
      <w:pPr>
        <w:tabs>
          <w:tab w:val="num" w:pos="1512"/>
        </w:tabs>
        <w:ind w:left="1512" w:hanging="432"/>
      </w:pPr>
      <w:rPr>
        <w:rFonts w:ascii="Times New Roman Bold" w:hAnsi="Times New Roman Bold" w:cs="Times New Roman" w:hint="default"/>
        <w:b/>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999EC6E0" w:tentative="1">
      <w:start w:val="1"/>
      <w:numFmt w:val="lowerLetter"/>
      <w:lvlText w:val="%2."/>
      <w:lvlJc w:val="left"/>
      <w:pPr>
        <w:tabs>
          <w:tab w:val="num" w:pos="1440"/>
        </w:tabs>
        <w:ind w:left="1440" w:hanging="360"/>
      </w:pPr>
    </w:lvl>
    <w:lvl w:ilvl="2" w:tplc="32B6F1D2" w:tentative="1">
      <w:start w:val="1"/>
      <w:numFmt w:val="lowerRoman"/>
      <w:lvlText w:val="%3."/>
      <w:lvlJc w:val="right"/>
      <w:pPr>
        <w:tabs>
          <w:tab w:val="num" w:pos="2160"/>
        </w:tabs>
        <w:ind w:left="2160" w:hanging="180"/>
      </w:pPr>
    </w:lvl>
    <w:lvl w:ilvl="3" w:tplc="BE5A1F38" w:tentative="1">
      <w:start w:val="1"/>
      <w:numFmt w:val="decimal"/>
      <w:lvlText w:val="%4."/>
      <w:lvlJc w:val="left"/>
      <w:pPr>
        <w:tabs>
          <w:tab w:val="num" w:pos="2880"/>
        </w:tabs>
        <w:ind w:left="2880" w:hanging="360"/>
      </w:pPr>
    </w:lvl>
    <w:lvl w:ilvl="4" w:tplc="131EB760" w:tentative="1">
      <w:start w:val="1"/>
      <w:numFmt w:val="lowerLetter"/>
      <w:lvlText w:val="%5."/>
      <w:lvlJc w:val="left"/>
      <w:pPr>
        <w:tabs>
          <w:tab w:val="num" w:pos="3600"/>
        </w:tabs>
        <w:ind w:left="3600" w:hanging="360"/>
      </w:pPr>
    </w:lvl>
    <w:lvl w:ilvl="5" w:tplc="5022A158" w:tentative="1">
      <w:start w:val="1"/>
      <w:numFmt w:val="lowerRoman"/>
      <w:lvlText w:val="%6."/>
      <w:lvlJc w:val="right"/>
      <w:pPr>
        <w:tabs>
          <w:tab w:val="num" w:pos="4320"/>
        </w:tabs>
        <w:ind w:left="4320" w:hanging="180"/>
      </w:pPr>
    </w:lvl>
    <w:lvl w:ilvl="6" w:tplc="35161356" w:tentative="1">
      <w:start w:val="1"/>
      <w:numFmt w:val="decimal"/>
      <w:lvlText w:val="%7."/>
      <w:lvlJc w:val="left"/>
      <w:pPr>
        <w:tabs>
          <w:tab w:val="num" w:pos="5040"/>
        </w:tabs>
        <w:ind w:left="5040" w:hanging="360"/>
      </w:pPr>
    </w:lvl>
    <w:lvl w:ilvl="7" w:tplc="0E74DC14" w:tentative="1">
      <w:start w:val="1"/>
      <w:numFmt w:val="lowerLetter"/>
      <w:lvlText w:val="%8."/>
      <w:lvlJc w:val="left"/>
      <w:pPr>
        <w:tabs>
          <w:tab w:val="num" w:pos="5760"/>
        </w:tabs>
        <w:ind w:left="5760" w:hanging="360"/>
      </w:pPr>
    </w:lvl>
    <w:lvl w:ilvl="8" w:tplc="729EA376" w:tentative="1">
      <w:start w:val="1"/>
      <w:numFmt w:val="lowerRoman"/>
      <w:lvlText w:val="%9."/>
      <w:lvlJc w:val="right"/>
      <w:pPr>
        <w:tabs>
          <w:tab w:val="num" w:pos="6480"/>
        </w:tabs>
        <w:ind w:left="6480" w:hanging="180"/>
      </w:pPr>
    </w:lvl>
  </w:abstractNum>
  <w:abstractNum w:abstractNumId="22">
    <w:nsid w:val="73C11663"/>
    <w:multiLevelType w:val="multilevel"/>
    <w:tmpl w:val="8228B1AE"/>
    <w:lvl w:ilvl="0">
      <w:start w:val="1"/>
      <w:numFmt w:val="decimal"/>
      <w:pStyle w:val="Heading1"/>
      <w:suff w:val="nothing"/>
      <w:lvlText w:val="CHAPTER %1"/>
      <w:lvlJc w:val="left"/>
      <w:pPr>
        <w:ind w:left="4680" w:hanging="360"/>
      </w:pPr>
      <w:rPr>
        <w:rFonts w:ascii="Times New Roman Bold" w:hAnsi="Times New Roman Bold" w:cs="Times New Roman" w:hint="default"/>
        <w:b/>
        <w:bCs w:val="0"/>
        <w:i w:val="0"/>
        <w:iCs w:val="0"/>
        <w:caps w:val="0"/>
        <w:smallCaps/>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ainParawithChapter"/>
      <w:lvlText w:val="%1.%2"/>
      <w:lvlJc w:val="left"/>
      <w:pPr>
        <w:tabs>
          <w:tab w:val="num" w:pos="720"/>
        </w:tabs>
        <w:ind w:left="0" w:firstLine="0"/>
      </w:pPr>
      <w:rPr>
        <w:rFonts w:ascii="Times New Roman" w:hAnsi="Times New Roman" w:hint="default"/>
        <w:b w:val="0"/>
        <w:i w:val="0"/>
        <w:sz w:val="22"/>
        <w:szCs w:val="22"/>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23">
    <w:nsid w:val="77C04F59"/>
    <w:multiLevelType w:val="hybridMultilevel"/>
    <w:tmpl w:val="CF6ACC60"/>
    <w:lvl w:ilvl="0" w:tplc="04090001">
      <w:start w:val="1"/>
      <w:numFmt w:val="upperLetter"/>
      <w:lvlText w:val="%1."/>
      <w:lvlJc w:val="center"/>
      <w:pPr>
        <w:tabs>
          <w:tab w:val="num" w:pos="2052"/>
        </w:tabs>
        <w:ind w:left="2052" w:hanging="432"/>
      </w:pPr>
      <w:rPr>
        <w:rFonts w:ascii="Times New Roman Bold" w:hAnsi="Times New Roman Bold" w:cs="Times New Roman" w:hint="default"/>
        <w:b/>
        <w:bCs w:val="0"/>
        <w:i w:val="0"/>
        <w:iCs w:val="0"/>
        <w:caps/>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
      <w:lvlJc w:val="left"/>
      <w:pPr>
        <w:tabs>
          <w:tab w:val="num" w:pos="1404"/>
        </w:tabs>
        <w:ind w:left="1404" w:hanging="360"/>
      </w:pPr>
      <w:rPr>
        <w:rFonts w:ascii="Symbol" w:hAnsi="Symbol"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lowerRoman"/>
      <w:lvlText w:val="%3."/>
      <w:lvlJc w:val="right"/>
      <w:pPr>
        <w:tabs>
          <w:tab w:val="num" w:pos="3060"/>
        </w:tabs>
        <w:ind w:left="3060" w:hanging="180"/>
      </w:pPr>
    </w:lvl>
    <w:lvl w:ilvl="3" w:tplc="04090001" w:tentative="1">
      <w:start w:val="1"/>
      <w:numFmt w:val="decimal"/>
      <w:lvlText w:val="%4."/>
      <w:lvlJc w:val="left"/>
      <w:pPr>
        <w:tabs>
          <w:tab w:val="num" w:pos="3780"/>
        </w:tabs>
        <w:ind w:left="3780" w:hanging="360"/>
      </w:pPr>
    </w:lvl>
    <w:lvl w:ilvl="4" w:tplc="04090003" w:tentative="1">
      <w:start w:val="1"/>
      <w:numFmt w:val="lowerLetter"/>
      <w:lvlText w:val="%5."/>
      <w:lvlJc w:val="left"/>
      <w:pPr>
        <w:tabs>
          <w:tab w:val="num" w:pos="4500"/>
        </w:tabs>
        <w:ind w:left="4500" w:hanging="360"/>
      </w:pPr>
    </w:lvl>
    <w:lvl w:ilvl="5" w:tplc="04090005" w:tentative="1">
      <w:start w:val="1"/>
      <w:numFmt w:val="lowerRoman"/>
      <w:lvlText w:val="%6."/>
      <w:lvlJc w:val="right"/>
      <w:pPr>
        <w:tabs>
          <w:tab w:val="num" w:pos="5220"/>
        </w:tabs>
        <w:ind w:left="5220" w:hanging="180"/>
      </w:pPr>
    </w:lvl>
    <w:lvl w:ilvl="6" w:tplc="04090001" w:tentative="1">
      <w:start w:val="1"/>
      <w:numFmt w:val="decimal"/>
      <w:lvlText w:val="%7."/>
      <w:lvlJc w:val="left"/>
      <w:pPr>
        <w:tabs>
          <w:tab w:val="num" w:pos="5940"/>
        </w:tabs>
        <w:ind w:left="5940" w:hanging="360"/>
      </w:pPr>
    </w:lvl>
    <w:lvl w:ilvl="7" w:tplc="04090003" w:tentative="1">
      <w:start w:val="1"/>
      <w:numFmt w:val="lowerLetter"/>
      <w:lvlText w:val="%8."/>
      <w:lvlJc w:val="left"/>
      <w:pPr>
        <w:tabs>
          <w:tab w:val="num" w:pos="6660"/>
        </w:tabs>
        <w:ind w:left="6660" w:hanging="360"/>
      </w:pPr>
    </w:lvl>
    <w:lvl w:ilvl="8" w:tplc="04090005" w:tentative="1">
      <w:start w:val="1"/>
      <w:numFmt w:val="lowerRoman"/>
      <w:lvlText w:val="%9."/>
      <w:lvlJc w:val="right"/>
      <w:pPr>
        <w:tabs>
          <w:tab w:val="num" w:pos="7380"/>
        </w:tabs>
        <w:ind w:left="7380" w:hanging="180"/>
      </w:pPr>
    </w:lvl>
  </w:abstractNum>
  <w:abstractNum w:abstractNumId="24">
    <w:nsid w:val="796A241F"/>
    <w:multiLevelType w:val="hybridMultilevel"/>
    <w:tmpl w:val="AF98FBF8"/>
    <w:lvl w:ilvl="0" w:tplc="04090001">
      <w:start w:val="1"/>
      <w:numFmt w:val="upperRoman"/>
      <w:lvlText w:val="%1."/>
      <w:lvlJc w:val="right"/>
      <w:pPr>
        <w:tabs>
          <w:tab w:val="num" w:pos="750"/>
        </w:tabs>
        <w:ind w:left="750" w:hanging="180"/>
      </w:pPr>
      <w:rPr>
        <w:rFonts w:hint="default"/>
      </w:rPr>
    </w:lvl>
    <w:lvl w:ilvl="1" w:tplc="04090003" w:tentative="1">
      <w:start w:val="1"/>
      <w:numFmt w:val="lowerLetter"/>
      <w:lvlText w:val="%2."/>
      <w:lvlJc w:val="left"/>
      <w:pPr>
        <w:tabs>
          <w:tab w:val="num" w:pos="1650"/>
        </w:tabs>
        <w:ind w:left="1650" w:hanging="360"/>
      </w:pPr>
    </w:lvl>
    <w:lvl w:ilvl="2" w:tplc="04090005" w:tentative="1">
      <w:start w:val="1"/>
      <w:numFmt w:val="lowerRoman"/>
      <w:lvlText w:val="%3."/>
      <w:lvlJc w:val="right"/>
      <w:pPr>
        <w:tabs>
          <w:tab w:val="num" w:pos="2370"/>
        </w:tabs>
        <w:ind w:left="2370" w:hanging="180"/>
      </w:pPr>
    </w:lvl>
    <w:lvl w:ilvl="3" w:tplc="04090001" w:tentative="1">
      <w:start w:val="1"/>
      <w:numFmt w:val="decimal"/>
      <w:lvlText w:val="%4."/>
      <w:lvlJc w:val="left"/>
      <w:pPr>
        <w:tabs>
          <w:tab w:val="num" w:pos="3090"/>
        </w:tabs>
        <w:ind w:left="3090" w:hanging="360"/>
      </w:pPr>
    </w:lvl>
    <w:lvl w:ilvl="4" w:tplc="04090003" w:tentative="1">
      <w:start w:val="1"/>
      <w:numFmt w:val="lowerLetter"/>
      <w:lvlText w:val="%5."/>
      <w:lvlJc w:val="left"/>
      <w:pPr>
        <w:tabs>
          <w:tab w:val="num" w:pos="3810"/>
        </w:tabs>
        <w:ind w:left="3810" w:hanging="360"/>
      </w:pPr>
    </w:lvl>
    <w:lvl w:ilvl="5" w:tplc="04090005" w:tentative="1">
      <w:start w:val="1"/>
      <w:numFmt w:val="lowerRoman"/>
      <w:lvlText w:val="%6."/>
      <w:lvlJc w:val="right"/>
      <w:pPr>
        <w:tabs>
          <w:tab w:val="num" w:pos="4530"/>
        </w:tabs>
        <w:ind w:left="4530" w:hanging="180"/>
      </w:pPr>
    </w:lvl>
    <w:lvl w:ilvl="6" w:tplc="04090001" w:tentative="1">
      <w:start w:val="1"/>
      <w:numFmt w:val="decimal"/>
      <w:lvlText w:val="%7."/>
      <w:lvlJc w:val="left"/>
      <w:pPr>
        <w:tabs>
          <w:tab w:val="num" w:pos="5250"/>
        </w:tabs>
        <w:ind w:left="5250" w:hanging="360"/>
      </w:pPr>
    </w:lvl>
    <w:lvl w:ilvl="7" w:tplc="04090003" w:tentative="1">
      <w:start w:val="1"/>
      <w:numFmt w:val="lowerLetter"/>
      <w:lvlText w:val="%8."/>
      <w:lvlJc w:val="left"/>
      <w:pPr>
        <w:tabs>
          <w:tab w:val="num" w:pos="5970"/>
        </w:tabs>
        <w:ind w:left="5970" w:hanging="360"/>
      </w:pPr>
    </w:lvl>
    <w:lvl w:ilvl="8" w:tplc="04090005" w:tentative="1">
      <w:start w:val="1"/>
      <w:numFmt w:val="lowerRoman"/>
      <w:lvlText w:val="%9."/>
      <w:lvlJc w:val="right"/>
      <w:pPr>
        <w:tabs>
          <w:tab w:val="num" w:pos="6690"/>
        </w:tabs>
        <w:ind w:left="6690" w:hanging="180"/>
      </w:pPr>
    </w:lvl>
  </w:abstractNum>
  <w:abstractNum w:abstractNumId="25">
    <w:nsid w:val="7FE30505"/>
    <w:multiLevelType w:val="hybridMultilevel"/>
    <w:tmpl w:val="BF00EA80"/>
    <w:lvl w:ilvl="0" w:tplc="23189CCE">
      <w:start w:val="1"/>
      <w:numFmt w:val="bullet"/>
      <w:pStyle w:val="Bullet"/>
      <w:lvlText w:val=""/>
      <w:lvlJc w:val="left"/>
      <w:pPr>
        <w:tabs>
          <w:tab w:val="num" w:pos="1440"/>
        </w:tabs>
        <w:ind w:left="1440" w:hanging="720"/>
      </w:pPr>
      <w:rPr>
        <w:rFonts w:ascii="Symbol" w:hAnsi="Symbol" w:hint="default"/>
      </w:rPr>
    </w:lvl>
    <w:lvl w:ilvl="1" w:tplc="FC1C6988" w:tentative="1">
      <w:start w:val="1"/>
      <w:numFmt w:val="bullet"/>
      <w:lvlText w:val="o"/>
      <w:lvlJc w:val="left"/>
      <w:pPr>
        <w:tabs>
          <w:tab w:val="num" w:pos="1440"/>
        </w:tabs>
        <w:ind w:left="1440" w:hanging="360"/>
      </w:pPr>
      <w:rPr>
        <w:rFonts w:ascii="Courier New" w:hAnsi="Courier New" w:hint="default"/>
      </w:rPr>
    </w:lvl>
    <w:lvl w:ilvl="2" w:tplc="E5AA351C" w:tentative="1">
      <w:start w:val="1"/>
      <w:numFmt w:val="bullet"/>
      <w:lvlText w:val=""/>
      <w:lvlJc w:val="left"/>
      <w:pPr>
        <w:tabs>
          <w:tab w:val="num" w:pos="2160"/>
        </w:tabs>
        <w:ind w:left="2160" w:hanging="360"/>
      </w:pPr>
      <w:rPr>
        <w:rFonts w:ascii="Wingdings" w:hAnsi="Wingdings" w:hint="default"/>
      </w:rPr>
    </w:lvl>
    <w:lvl w:ilvl="3" w:tplc="035C1C7E" w:tentative="1">
      <w:start w:val="1"/>
      <w:numFmt w:val="bullet"/>
      <w:lvlText w:val=""/>
      <w:lvlJc w:val="left"/>
      <w:pPr>
        <w:tabs>
          <w:tab w:val="num" w:pos="2880"/>
        </w:tabs>
        <w:ind w:left="2880" w:hanging="360"/>
      </w:pPr>
      <w:rPr>
        <w:rFonts w:ascii="Symbol" w:hAnsi="Symbol" w:hint="default"/>
      </w:rPr>
    </w:lvl>
    <w:lvl w:ilvl="4" w:tplc="7F72BA42" w:tentative="1">
      <w:start w:val="1"/>
      <w:numFmt w:val="bullet"/>
      <w:lvlText w:val="o"/>
      <w:lvlJc w:val="left"/>
      <w:pPr>
        <w:tabs>
          <w:tab w:val="num" w:pos="3600"/>
        </w:tabs>
        <w:ind w:left="3600" w:hanging="360"/>
      </w:pPr>
      <w:rPr>
        <w:rFonts w:ascii="Courier New" w:hAnsi="Courier New" w:hint="default"/>
      </w:rPr>
    </w:lvl>
    <w:lvl w:ilvl="5" w:tplc="E842D3F4" w:tentative="1">
      <w:start w:val="1"/>
      <w:numFmt w:val="bullet"/>
      <w:lvlText w:val=""/>
      <w:lvlJc w:val="left"/>
      <w:pPr>
        <w:tabs>
          <w:tab w:val="num" w:pos="4320"/>
        </w:tabs>
        <w:ind w:left="4320" w:hanging="360"/>
      </w:pPr>
      <w:rPr>
        <w:rFonts w:ascii="Wingdings" w:hAnsi="Wingdings" w:hint="default"/>
      </w:rPr>
    </w:lvl>
    <w:lvl w:ilvl="6" w:tplc="C0EA5E22" w:tentative="1">
      <w:start w:val="1"/>
      <w:numFmt w:val="bullet"/>
      <w:lvlText w:val=""/>
      <w:lvlJc w:val="left"/>
      <w:pPr>
        <w:tabs>
          <w:tab w:val="num" w:pos="5040"/>
        </w:tabs>
        <w:ind w:left="5040" w:hanging="360"/>
      </w:pPr>
      <w:rPr>
        <w:rFonts w:ascii="Symbol" w:hAnsi="Symbol" w:hint="default"/>
      </w:rPr>
    </w:lvl>
    <w:lvl w:ilvl="7" w:tplc="AAD8AEFA" w:tentative="1">
      <w:start w:val="1"/>
      <w:numFmt w:val="bullet"/>
      <w:lvlText w:val="o"/>
      <w:lvlJc w:val="left"/>
      <w:pPr>
        <w:tabs>
          <w:tab w:val="num" w:pos="5760"/>
        </w:tabs>
        <w:ind w:left="5760" w:hanging="360"/>
      </w:pPr>
      <w:rPr>
        <w:rFonts w:ascii="Courier New" w:hAnsi="Courier New" w:hint="default"/>
      </w:rPr>
    </w:lvl>
    <w:lvl w:ilvl="8" w:tplc="2F3A3FDA"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
  </w:num>
  <w:num w:numId="3">
    <w:abstractNumId w:val="4"/>
  </w:num>
  <w:num w:numId="4">
    <w:abstractNumId w:val="25"/>
  </w:num>
  <w:num w:numId="5">
    <w:abstractNumId w:val="8"/>
  </w:num>
  <w:num w:numId="6">
    <w:abstractNumId w:val="23"/>
  </w:num>
  <w:num w:numId="7">
    <w:abstractNumId w:val="3"/>
  </w:num>
  <w:num w:numId="8">
    <w:abstractNumId w:val="9"/>
  </w:num>
  <w:num w:numId="9">
    <w:abstractNumId w:val="19"/>
  </w:num>
  <w:num w:numId="10">
    <w:abstractNumId w:val="22"/>
  </w:num>
  <w:num w:numId="11">
    <w:abstractNumId w:val="21"/>
  </w:num>
  <w:num w:numId="12">
    <w:abstractNumId w:val="18"/>
  </w:num>
  <w:num w:numId="13">
    <w:abstractNumId w:val="11"/>
  </w:num>
  <w:num w:numId="14">
    <w:abstractNumId w:val="0"/>
  </w:num>
  <w:num w:numId="15">
    <w:abstractNumId w:val="5"/>
  </w:num>
  <w:num w:numId="16">
    <w:abstractNumId w:val="24"/>
  </w:num>
  <w:num w:numId="17">
    <w:abstractNumId w:val="7"/>
  </w:num>
  <w:num w:numId="18">
    <w:abstractNumId w:val="20"/>
  </w:num>
  <w:num w:numId="19">
    <w:abstractNumId w:val="2"/>
  </w:num>
  <w:num w:numId="20">
    <w:abstractNumId w:val="17"/>
  </w:num>
  <w:num w:numId="21">
    <w:abstractNumId w:val="22"/>
  </w:num>
  <w:num w:numId="22">
    <w:abstractNumId w:val="22"/>
  </w:num>
  <w:num w:numId="23">
    <w:abstractNumId w:val="22"/>
  </w:num>
  <w:num w:numId="24">
    <w:abstractNumId w:val="22"/>
  </w:num>
  <w:num w:numId="25">
    <w:abstractNumId w:val="22"/>
  </w:num>
  <w:num w:numId="26">
    <w:abstractNumId w:val="6"/>
  </w:num>
  <w:num w:numId="27">
    <w:abstractNumId w:val="22"/>
  </w:num>
  <w:num w:numId="28">
    <w:abstractNumId w:val="22"/>
  </w:num>
  <w:num w:numId="29">
    <w:abstractNumId w:val="14"/>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22"/>
  </w:num>
  <w:num w:numId="46">
    <w:abstractNumId w:val="16"/>
  </w:num>
  <w:num w:numId="47">
    <w:abstractNumId w:val="13"/>
  </w:num>
  <w:num w:numId="48">
    <w:abstractNumId w:val="15"/>
  </w:num>
  <w:num w:numId="49">
    <w:abstractNumId w:val="10"/>
  </w:num>
  <w:num w:numId="50">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32"/>
  <w:evenAndOddHeaders/>
  <w:drawingGridHorizontalSpacing w:val="187"/>
  <w:drawingGridVerticalSpacing w:val="187"/>
  <w:noPunctuationKerning/>
  <w:characterSpacingControl w:val="doNotCompress"/>
  <w:hdrShapeDefaults>
    <o:shapedefaults v:ext="edit" spidmax="4097">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33"/>
    <w:rsid w:val="0000105A"/>
    <w:rsid w:val="00001761"/>
    <w:rsid w:val="00001DD9"/>
    <w:rsid w:val="00002957"/>
    <w:rsid w:val="00004393"/>
    <w:rsid w:val="00007E8B"/>
    <w:rsid w:val="00010D5D"/>
    <w:rsid w:val="00011716"/>
    <w:rsid w:val="00011BD4"/>
    <w:rsid w:val="000121DE"/>
    <w:rsid w:val="00013213"/>
    <w:rsid w:val="00013C34"/>
    <w:rsid w:val="00014D2D"/>
    <w:rsid w:val="0001579F"/>
    <w:rsid w:val="00016693"/>
    <w:rsid w:val="000172DD"/>
    <w:rsid w:val="00017EF5"/>
    <w:rsid w:val="00020592"/>
    <w:rsid w:val="00020DCC"/>
    <w:rsid w:val="00020F6D"/>
    <w:rsid w:val="00022253"/>
    <w:rsid w:val="0002320F"/>
    <w:rsid w:val="00024D7F"/>
    <w:rsid w:val="00026FE8"/>
    <w:rsid w:val="00031DB8"/>
    <w:rsid w:val="00035D66"/>
    <w:rsid w:val="000376B0"/>
    <w:rsid w:val="00037A24"/>
    <w:rsid w:val="000400D0"/>
    <w:rsid w:val="00041567"/>
    <w:rsid w:val="000437C1"/>
    <w:rsid w:val="00045246"/>
    <w:rsid w:val="0004637C"/>
    <w:rsid w:val="000464E7"/>
    <w:rsid w:val="000467CD"/>
    <w:rsid w:val="00046CCD"/>
    <w:rsid w:val="00050178"/>
    <w:rsid w:val="00050651"/>
    <w:rsid w:val="000543E3"/>
    <w:rsid w:val="0005551B"/>
    <w:rsid w:val="00055905"/>
    <w:rsid w:val="00057590"/>
    <w:rsid w:val="00060820"/>
    <w:rsid w:val="00063A44"/>
    <w:rsid w:val="00063B8B"/>
    <w:rsid w:val="0006693B"/>
    <w:rsid w:val="00066AC5"/>
    <w:rsid w:val="00073CD7"/>
    <w:rsid w:val="00073E16"/>
    <w:rsid w:val="00074257"/>
    <w:rsid w:val="0007460C"/>
    <w:rsid w:val="00074D31"/>
    <w:rsid w:val="00075A88"/>
    <w:rsid w:val="00077D41"/>
    <w:rsid w:val="00081015"/>
    <w:rsid w:val="00082202"/>
    <w:rsid w:val="00082DE8"/>
    <w:rsid w:val="00083E00"/>
    <w:rsid w:val="00084B52"/>
    <w:rsid w:val="00086876"/>
    <w:rsid w:val="0009013C"/>
    <w:rsid w:val="00090260"/>
    <w:rsid w:val="000908C8"/>
    <w:rsid w:val="00090AB1"/>
    <w:rsid w:val="00090C74"/>
    <w:rsid w:val="00090E3F"/>
    <w:rsid w:val="0009395C"/>
    <w:rsid w:val="00095064"/>
    <w:rsid w:val="00095115"/>
    <w:rsid w:val="00095DD5"/>
    <w:rsid w:val="00096806"/>
    <w:rsid w:val="000A0551"/>
    <w:rsid w:val="000A0DDF"/>
    <w:rsid w:val="000A323E"/>
    <w:rsid w:val="000A38EC"/>
    <w:rsid w:val="000A3D22"/>
    <w:rsid w:val="000A5FD3"/>
    <w:rsid w:val="000B02A2"/>
    <w:rsid w:val="000B3415"/>
    <w:rsid w:val="000B3EAF"/>
    <w:rsid w:val="000B4C5E"/>
    <w:rsid w:val="000B4CB8"/>
    <w:rsid w:val="000B53DD"/>
    <w:rsid w:val="000B688E"/>
    <w:rsid w:val="000B6F31"/>
    <w:rsid w:val="000B7AC9"/>
    <w:rsid w:val="000B7D9B"/>
    <w:rsid w:val="000C0C4D"/>
    <w:rsid w:val="000C113F"/>
    <w:rsid w:val="000C2D72"/>
    <w:rsid w:val="000C33DC"/>
    <w:rsid w:val="000C4BB5"/>
    <w:rsid w:val="000C711C"/>
    <w:rsid w:val="000C7868"/>
    <w:rsid w:val="000D35EF"/>
    <w:rsid w:val="000D42B6"/>
    <w:rsid w:val="000D64FB"/>
    <w:rsid w:val="000E1088"/>
    <w:rsid w:val="000E10FE"/>
    <w:rsid w:val="000E2F5F"/>
    <w:rsid w:val="000E3144"/>
    <w:rsid w:val="000E38BD"/>
    <w:rsid w:val="000E4075"/>
    <w:rsid w:val="000E4472"/>
    <w:rsid w:val="000E68E1"/>
    <w:rsid w:val="000E79B8"/>
    <w:rsid w:val="000F14B7"/>
    <w:rsid w:val="000F2B26"/>
    <w:rsid w:val="000F311F"/>
    <w:rsid w:val="000F3517"/>
    <w:rsid w:val="000F3965"/>
    <w:rsid w:val="000F4E4E"/>
    <w:rsid w:val="000F5170"/>
    <w:rsid w:val="00102571"/>
    <w:rsid w:val="001035FA"/>
    <w:rsid w:val="00103E2E"/>
    <w:rsid w:val="00104AA6"/>
    <w:rsid w:val="0010617B"/>
    <w:rsid w:val="001063A4"/>
    <w:rsid w:val="00107018"/>
    <w:rsid w:val="0010724C"/>
    <w:rsid w:val="00107B85"/>
    <w:rsid w:val="00116269"/>
    <w:rsid w:val="0011713B"/>
    <w:rsid w:val="00117D6E"/>
    <w:rsid w:val="001213A8"/>
    <w:rsid w:val="00122884"/>
    <w:rsid w:val="00122989"/>
    <w:rsid w:val="001237E3"/>
    <w:rsid w:val="00123B82"/>
    <w:rsid w:val="00126A89"/>
    <w:rsid w:val="00130078"/>
    <w:rsid w:val="00131597"/>
    <w:rsid w:val="0013165C"/>
    <w:rsid w:val="00131A50"/>
    <w:rsid w:val="00134E19"/>
    <w:rsid w:val="001354F1"/>
    <w:rsid w:val="00135B10"/>
    <w:rsid w:val="001400F3"/>
    <w:rsid w:val="00140C4D"/>
    <w:rsid w:val="00142942"/>
    <w:rsid w:val="00143918"/>
    <w:rsid w:val="00145DC9"/>
    <w:rsid w:val="001462BD"/>
    <w:rsid w:val="001464A4"/>
    <w:rsid w:val="0014672D"/>
    <w:rsid w:val="00146FC6"/>
    <w:rsid w:val="001477F0"/>
    <w:rsid w:val="00150D72"/>
    <w:rsid w:val="00152AD2"/>
    <w:rsid w:val="00152C9D"/>
    <w:rsid w:val="0015449F"/>
    <w:rsid w:val="001561F5"/>
    <w:rsid w:val="00156C3D"/>
    <w:rsid w:val="0015718A"/>
    <w:rsid w:val="001574A9"/>
    <w:rsid w:val="00157669"/>
    <w:rsid w:val="001614FE"/>
    <w:rsid w:val="00161CEF"/>
    <w:rsid w:val="001623CE"/>
    <w:rsid w:val="00162972"/>
    <w:rsid w:val="00164B09"/>
    <w:rsid w:val="0017037B"/>
    <w:rsid w:val="00170557"/>
    <w:rsid w:val="00172204"/>
    <w:rsid w:val="00173BA7"/>
    <w:rsid w:val="00174DCF"/>
    <w:rsid w:val="00174FD3"/>
    <w:rsid w:val="00175525"/>
    <w:rsid w:val="00175660"/>
    <w:rsid w:val="00177185"/>
    <w:rsid w:val="00177705"/>
    <w:rsid w:val="00183066"/>
    <w:rsid w:val="00184B26"/>
    <w:rsid w:val="001850FF"/>
    <w:rsid w:val="00186885"/>
    <w:rsid w:val="0018764E"/>
    <w:rsid w:val="001906A3"/>
    <w:rsid w:val="00190BDF"/>
    <w:rsid w:val="00190CCA"/>
    <w:rsid w:val="00192BEC"/>
    <w:rsid w:val="0019762A"/>
    <w:rsid w:val="001A446C"/>
    <w:rsid w:val="001A496F"/>
    <w:rsid w:val="001A4F49"/>
    <w:rsid w:val="001A7C7D"/>
    <w:rsid w:val="001A7E93"/>
    <w:rsid w:val="001B20B5"/>
    <w:rsid w:val="001B2AD5"/>
    <w:rsid w:val="001B2D62"/>
    <w:rsid w:val="001B3EA2"/>
    <w:rsid w:val="001B4D18"/>
    <w:rsid w:val="001C05D5"/>
    <w:rsid w:val="001C3037"/>
    <w:rsid w:val="001C389A"/>
    <w:rsid w:val="001C467C"/>
    <w:rsid w:val="001C46ED"/>
    <w:rsid w:val="001C4FAB"/>
    <w:rsid w:val="001C7241"/>
    <w:rsid w:val="001D0C5A"/>
    <w:rsid w:val="001D0CFF"/>
    <w:rsid w:val="001D178F"/>
    <w:rsid w:val="001D227E"/>
    <w:rsid w:val="001D31F4"/>
    <w:rsid w:val="001D3961"/>
    <w:rsid w:val="001D5054"/>
    <w:rsid w:val="001D67E7"/>
    <w:rsid w:val="001D752E"/>
    <w:rsid w:val="001E19CA"/>
    <w:rsid w:val="001E1EA0"/>
    <w:rsid w:val="001E1ED2"/>
    <w:rsid w:val="001E2B47"/>
    <w:rsid w:val="001E3ABF"/>
    <w:rsid w:val="001E3D42"/>
    <w:rsid w:val="001E486A"/>
    <w:rsid w:val="001E4FAD"/>
    <w:rsid w:val="001E59AE"/>
    <w:rsid w:val="001E6B30"/>
    <w:rsid w:val="001F0A7C"/>
    <w:rsid w:val="001F1905"/>
    <w:rsid w:val="001F2D5D"/>
    <w:rsid w:val="001F4C64"/>
    <w:rsid w:val="001F50D2"/>
    <w:rsid w:val="001F542D"/>
    <w:rsid w:val="001F6932"/>
    <w:rsid w:val="00200A63"/>
    <w:rsid w:val="00200A93"/>
    <w:rsid w:val="00201FD0"/>
    <w:rsid w:val="002052AA"/>
    <w:rsid w:val="002109CA"/>
    <w:rsid w:val="00210CC9"/>
    <w:rsid w:val="00212530"/>
    <w:rsid w:val="00212872"/>
    <w:rsid w:val="0021333B"/>
    <w:rsid w:val="00213BB6"/>
    <w:rsid w:val="00215176"/>
    <w:rsid w:val="00221849"/>
    <w:rsid w:val="0022301D"/>
    <w:rsid w:val="00224AE6"/>
    <w:rsid w:val="00225C01"/>
    <w:rsid w:val="002313EA"/>
    <w:rsid w:val="002330C4"/>
    <w:rsid w:val="002377D0"/>
    <w:rsid w:val="00240275"/>
    <w:rsid w:val="00241336"/>
    <w:rsid w:val="002414C1"/>
    <w:rsid w:val="00244EE3"/>
    <w:rsid w:val="00245692"/>
    <w:rsid w:val="0025077A"/>
    <w:rsid w:val="00253F55"/>
    <w:rsid w:val="00257E5F"/>
    <w:rsid w:val="00260565"/>
    <w:rsid w:val="00260BA8"/>
    <w:rsid w:val="00264460"/>
    <w:rsid w:val="002652A1"/>
    <w:rsid w:val="002656F6"/>
    <w:rsid w:val="00266A6C"/>
    <w:rsid w:val="00266A9D"/>
    <w:rsid w:val="00266E3F"/>
    <w:rsid w:val="0026790B"/>
    <w:rsid w:val="00274F1D"/>
    <w:rsid w:val="0027671B"/>
    <w:rsid w:val="002775F8"/>
    <w:rsid w:val="0027767A"/>
    <w:rsid w:val="00282A27"/>
    <w:rsid w:val="0028441E"/>
    <w:rsid w:val="00285A9B"/>
    <w:rsid w:val="002920E5"/>
    <w:rsid w:val="00293A9C"/>
    <w:rsid w:val="0029520B"/>
    <w:rsid w:val="00295ECD"/>
    <w:rsid w:val="002977D4"/>
    <w:rsid w:val="002A186E"/>
    <w:rsid w:val="002A18BB"/>
    <w:rsid w:val="002A2CC5"/>
    <w:rsid w:val="002A3F3E"/>
    <w:rsid w:val="002A4DD7"/>
    <w:rsid w:val="002B17D7"/>
    <w:rsid w:val="002B1992"/>
    <w:rsid w:val="002B298A"/>
    <w:rsid w:val="002B3179"/>
    <w:rsid w:val="002B512F"/>
    <w:rsid w:val="002B6056"/>
    <w:rsid w:val="002B7A86"/>
    <w:rsid w:val="002C0B53"/>
    <w:rsid w:val="002C1BCA"/>
    <w:rsid w:val="002C259A"/>
    <w:rsid w:val="002C3AA0"/>
    <w:rsid w:val="002C41E7"/>
    <w:rsid w:val="002C518A"/>
    <w:rsid w:val="002C55A9"/>
    <w:rsid w:val="002C6385"/>
    <w:rsid w:val="002C68E4"/>
    <w:rsid w:val="002C6A7B"/>
    <w:rsid w:val="002D0868"/>
    <w:rsid w:val="002D0E36"/>
    <w:rsid w:val="002D1DC0"/>
    <w:rsid w:val="002D3FAA"/>
    <w:rsid w:val="002D42E4"/>
    <w:rsid w:val="002D7639"/>
    <w:rsid w:val="002E0BD1"/>
    <w:rsid w:val="002E2633"/>
    <w:rsid w:val="002E3A5C"/>
    <w:rsid w:val="002E3BCD"/>
    <w:rsid w:val="002E430A"/>
    <w:rsid w:val="002E4B58"/>
    <w:rsid w:val="002E541F"/>
    <w:rsid w:val="002E6718"/>
    <w:rsid w:val="002E7EE9"/>
    <w:rsid w:val="002F01DC"/>
    <w:rsid w:val="002F0DF2"/>
    <w:rsid w:val="002F3184"/>
    <w:rsid w:val="002F796B"/>
    <w:rsid w:val="00302969"/>
    <w:rsid w:val="00307C12"/>
    <w:rsid w:val="003115AC"/>
    <w:rsid w:val="003115CF"/>
    <w:rsid w:val="00313F86"/>
    <w:rsid w:val="00314987"/>
    <w:rsid w:val="00314CA5"/>
    <w:rsid w:val="00315450"/>
    <w:rsid w:val="00315B50"/>
    <w:rsid w:val="00316222"/>
    <w:rsid w:val="0032084B"/>
    <w:rsid w:val="00321568"/>
    <w:rsid w:val="003254D6"/>
    <w:rsid w:val="0032567E"/>
    <w:rsid w:val="0032572D"/>
    <w:rsid w:val="00326947"/>
    <w:rsid w:val="00326FE5"/>
    <w:rsid w:val="0033130A"/>
    <w:rsid w:val="00331737"/>
    <w:rsid w:val="0033211E"/>
    <w:rsid w:val="003357CB"/>
    <w:rsid w:val="003362A0"/>
    <w:rsid w:val="003364F7"/>
    <w:rsid w:val="003369A5"/>
    <w:rsid w:val="00340F09"/>
    <w:rsid w:val="00341326"/>
    <w:rsid w:val="00342724"/>
    <w:rsid w:val="00342EA3"/>
    <w:rsid w:val="00344F9A"/>
    <w:rsid w:val="003450CB"/>
    <w:rsid w:val="00345411"/>
    <w:rsid w:val="00345A94"/>
    <w:rsid w:val="003468FD"/>
    <w:rsid w:val="00346B78"/>
    <w:rsid w:val="00347375"/>
    <w:rsid w:val="00347404"/>
    <w:rsid w:val="00350C1B"/>
    <w:rsid w:val="003511FB"/>
    <w:rsid w:val="00351340"/>
    <w:rsid w:val="00351D27"/>
    <w:rsid w:val="00352278"/>
    <w:rsid w:val="00352FDA"/>
    <w:rsid w:val="00354CDB"/>
    <w:rsid w:val="00355166"/>
    <w:rsid w:val="003616E2"/>
    <w:rsid w:val="00361F61"/>
    <w:rsid w:val="00362212"/>
    <w:rsid w:val="00365521"/>
    <w:rsid w:val="003661EF"/>
    <w:rsid w:val="00366FBA"/>
    <w:rsid w:val="003712A2"/>
    <w:rsid w:val="00371A13"/>
    <w:rsid w:val="00372347"/>
    <w:rsid w:val="00375FBC"/>
    <w:rsid w:val="00376417"/>
    <w:rsid w:val="00377F35"/>
    <w:rsid w:val="00381516"/>
    <w:rsid w:val="00384415"/>
    <w:rsid w:val="00385D98"/>
    <w:rsid w:val="00385E05"/>
    <w:rsid w:val="00386110"/>
    <w:rsid w:val="003867E3"/>
    <w:rsid w:val="00390251"/>
    <w:rsid w:val="0039394E"/>
    <w:rsid w:val="0039424F"/>
    <w:rsid w:val="003960CA"/>
    <w:rsid w:val="00396456"/>
    <w:rsid w:val="003A1503"/>
    <w:rsid w:val="003A4F40"/>
    <w:rsid w:val="003A5D55"/>
    <w:rsid w:val="003B12FD"/>
    <w:rsid w:val="003B2D90"/>
    <w:rsid w:val="003B3EAC"/>
    <w:rsid w:val="003B4048"/>
    <w:rsid w:val="003B529E"/>
    <w:rsid w:val="003B6B7A"/>
    <w:rsid w:val="003C17E6"/>
    <w:rsid w:val="003C1952"/>
    <w:rsid w:val="003C479F"/>
    <w:rsid w:val="003C4E68"/>
    <w:rsid w:val="003C4F53"/>
    <w:rsid w:val="003C53BC"/>
    <w:rsid w:val="003D1425"/>
    <w:rsid w:val="003D1DA0"/>
    <w:rsid w:val="003D30AC"/>
    <w:rsid w:val="003D44FB"/>
    <w:rsid w:val="003D4B4C"/>
    <w:rsid w:val="003D57F5"/>
    <w:rsid w:val="003D5F93"/>
    <w:rsid w:val="003D6B85"/>
    <w:rsid w:val="003D73C9"/>
    <w:rsid w:val="003D7498"/>
    <w:rsid w:val="003E0DD1"/>
    <w:rsid w:val="003E281F"/>
    <w:rsid w:val="003E32CC"/>
    <w:rsid w:val="003E3B77"/>
    <w:rsid w:val="003E58D4"/>
    <w:rsid w:val="003E6C5B"/>
    <w:rsid w:val="003E71D3"/>
    <w:rsid w:val="003F0A93"/>
    <w:rsid w:val="003F0B79"/>
    <w:rsid w:val="003F116A"/>
    <w:rsid w:val="003F179D"/>
    <w:rsid w:val="003F2921"/>
    <w:rsid w:val="003F30A0"/>
    <w:rsid w:val="003F40A2"/>
    <w:rsid w:val="003F437B"/>
    <w:rsid w:val="003F5BD5"/>
    <w:rsid w:val="0040071B"/>
    <w:rsid w:val="00400BC4"/>
    <w:rsid w:val="00402367"/>
    <w:rsid w:val="004032D0"/>
    <w:rsid w:val="004033AC"/>
    <w:rsid w:val="00404AF5"/>
    <w:rsid w:val="00405C56"/>
    <w:rsid w:val="004069E8"/>
    <w:rsid w:val="00407CBA"/>
    <w:rsid w:val="00410443"/>
    <w:rsid w:val="00410C28"/>
    <w:rsid w:val="004114C6"/>
    <w:rsid w:val="004117AA"/>
    <w:rsid w:val="00413114"/>
    <w:rsid w:val="00415A78"/>
    <w:rsid w:val="00417FF8"/>
    <w:rsid w:val="00420196"/>
    <w:rsid w:val="00420481"/>
    <w:rsid w:val="004205D7"/>
    <w:rsid w:val="00420F15"/>
    <w:rsid w:val="00421263"/>
    <w:rsid w:val="004218F6"/>
    <w:rsid w:val="00422A0F"/>
    <w:rsid w:val="004238A0"/>
    <w:rsid w:val="00424CC8"/>
    <w:rsid w:val="00425B77"/>
    <w:rsid w:val="004260DA"/>
    <w:rsid w:val="004278FF"/>
    <w:rsid w:val="00431F0E"/>
    <w:rsid w:val="004351FD"/>
    <w:rsid w:val="004356CB"/>
    <w:rsid w:val="004356FE"/>
    <w:rsid w:val="004376CA"/>
    <w:rsid w:val="00437E7E"/>
    <w:rsid w:val="00440DC5"/>
    <w:rsid w:val="00441E6D"/>
    <w:rsid w:val="00442137"/>
    <w:rsid w:val="00444572"/>
    <w:rsid w:val="0044761B"/>
    <w:rsid w:val="0045088C"/>
    <w:rsid w:val="00452D5C"/>
    <w:rsid w:val="00453754"/>
    <w:rsid w:val="00454659"/>
    <w:rsid w:val="0045539F"/>
    <w:rsid w:val="00460DED"/>
    <w:rsid w:val="004622B6"/>
    <w:rsid w:val="0046305F"/>
    <w:rsid w:val="004643C2"/>
    <w:rsid w:val="00466BAA"/>
    <w:rsid w:val="004679A9"/>
    <w:rsid w:val="004748D2"/>
    <w:rsid w:val="00476433"/>
    <w:rsid w:val="00476526"/>
    <w:rsid w:val="004778E1"/>
    <w:rsid w:val="004803AD"/>
    <w:rsid w:val="00480997"/>
    <w:rsid w:val="00482736"/>
    <w:rsid w:val="00484EFC"/>
    <w:rsid w:val="00485049"/>
    <w:rsid w:val="0049284E"/>
    <w:rsid w:val="00492883"/>
    <w:rsid w:val="0049491B"/>
    <w:rsid w:val="0049693E"/>
    <w:rsid w:val="00496B78"/>
    <w:rsid w:val="004A25F0"/>
    <w:rsid w:val="004A2BBA"/>
    <w:rsid w:val="004A3119"/>
    <w:rsid w:val="004A584E"/>
    <w:rsid w:val="004A60FA"/>
    <w:rsid w:val="004A67E3"/>
    <w:rsid w:val="004A6D53"/>
    <w:rsid w:val="004A70A4"/>
    <w:rsid w:val="004A7C4D"/>
    <w:rsid w:val="004B03FF"/>
    <w:rsid w:val="004B0445"/>
    <w:rsid w:val="004B0701"/>
    <w:rsid w:val="004B10DD"/>
    <w:rsid w:val="004B2F6B"/>
    <w:rsid w:val="004B3754"/>
    <w:rsid w:val="004B3A7A"/>
    <w:rsid w:val="004B3CD6"/>
    <w:rsid w:val="004B7217"/>
    <w:rsid w:val="004B72E5"/>
    <w:rsid w:val="004B7C40"/>
    <w:rsid w:val="004B7D67"/>
    <w:rsid w:val="004C0243"/>
    <w:rsid w:val="004C04C4"/>
    <w:rsid w:val="004C0836"/>
    <w:rsid w:val="004C1085"/>
    <w:rsid w:val="004C1251"/>
    <w:rsid w:val="004C18F3"/>
    <w:rsid w:val="004C2D9F"/>
    <w:rsid w:val="004C2FED"/>
    <w:rsid w:val="004C4251"/>
    <w:rsid w:val="004C4482"/>
    <w:rsid w:val="004C51ED"/>
    <w:rsid w:val="004D13FC"/>
    <w:rsid w:val="004D15C0"/>
    <w:rsid w:val="004D1C23"/>
    <w:rsid w:val="004D21D5"/>
    <w:rsid w:val="004D2ECF"/>
    <w:rsid w:val="004D3087"/>
    <w:rsid w:val="004D3F58"/>
    <w:rsid w:val="004D5042"/>
    <w:rsid w:val="004D5F0F"/>
    <w:rsid w:val="004D6C03"/>
    <w:rsid w:val="004D709D"/>
    <w:rsid w:val="004D7BCC"/>
    <w:rsid w:val="004E0F57"/>
    <w:rsid w:val="004E229E"/>
    <w:rsid w:val="004E2476"/>
    <w:rsid w:val="004E34E4"/>
    <w:rsid w:val="004E380A"/>
    <w:rsid w:val="004E41F8"/>
    <w:rsid w:val="004E4C78"/>
    <w:rsid w:val="004E6783"/>
    <w:rsid w:val="004E67B2"/>
    <w:rsid w:val="004E70D0"/>
    <w:rsid w:val="004E7874"/>
    <w:rsid w:val="004F3FCB"/>
    <w:rsid w:val="004F4F96"/>
    <w:rsid w:val="004F5A4F"/>
    <w:rsid w:val="004F5CF2"/>
    <w:rsid w:val="004F5F16"/>
    <w:rsid w:val="004F6A26"/>
    <w:rsid w:val="004F7545"/>
    <w:rsid w:val="004F75FE"/>
    <w:rsid w:val="004F7B8D"/>
    <w:rsid w:val="0050029A"/>
    <w:rsid w:val="0050144B"/>
    <w:rsid w:val="00503690"/>
    <w:rsid w:val="00504293"/>
    <w:rsid w:val="00504F97"/>
    <w:rsid w:val="0050630F"/>
    <w:rsid w:val="00513B76"/>
    <w:rsid w:val="0051417E"/>
    <w:rsid w:val="0051448F"/>
    <w:rsid w:val="00514F0E"/>
    <w:rsid w:val="00516FA5"/>
    <w:rsid w:val="00517977"/>
    <w:rsid w:val="00520C6F"/>
    <w:rsid w:val="00520E1D"/>
    <w:rsid w:val="00522291"/>
    <w:rsid w:val="005227A1"/>
    <w:rsid w:val="00523908"/>
    <w:rsid w:val="00523BBA"/>
    <w:rsid w:val="005270DA"/>
    <w:rsid w:val="005273E6"/>
    <w:rsid w:val="00530E03"/>
    <w:rsid w:val="00530FE1"/>
    <w:rsid w:val="0053269D"/>
    <w:rsid w:val="00533041"/>
    <w:rsid w:val="005330D3"/>
    <w:rsid w:val="00536482"/>
    <w:rsid w:val="00536B74"/>
    <w:rsid w:val="00536C20"/>
    <w:rsid w:val="00536D36"/>
    <w:rsid w:val="005404C2"/>
    <w:rsid w:val="00541185"/>
    <w:rsid w:val="00542FCC"/>
    <w:rsid w:val="005430FB"/>
    <w:rsid w:val="0054421F"/>
    <w:rsid w:val="005453CF"/>
    <w:rsid w:val="00545C0F"/>
    <w:rsid w:val="00550ECE"/>
    <w:rsid w:val="005538A4"/>
    <w:rsid w:val="005605ED"/>
    <w:rsid w:val="005613AF"/>
    <w:rsid w:val="005624F0"/>
    <w:rsid w:val="005628E0"/>
    <w:rsid w:val="00563D9B"/>
    <w:rsid w:val="005650EB"/>
    <w:rsid w:val="0056539B"/>
    <w:rsid w:val="00565B7C"/>
    <w:rsid w:val="00566AC4"/>
    <w:rsid w:val="00570DCF"/>
    <w:rsid w:val="00572E9B"/>
    <w:rsid w:val="00572EE5"/>
    <w:rsid w:val="005734C3"/>
    <w:rsid w:val="00580558"/>
    <w:rsid w:val="0058279C"/>
    <w:rsid w:val="0058303C"/>
    <w:rsid w:val="00584331"/>
    <w:rsid w:val="005843FC"/>
    <w:rsid w:val="005851F1"/>
    <w:rsid w:val="005866AB"/>
    <w:rsid w:val="00590DE2"/>
    <w:rsid w:val="00591E00"/>
    <w:rsid w:val="00596AE0"/>
    <w:rsid w:val="00596CE5"/>
    <w:rsid w:val="00596F7D"/>
    <w:rsid w:val="005A0065"/>
    <w:rsid w:val="005A2AAE"/>
    <w:rsid w:val="005A42B7"/>
    <w:rsid w:val="005A519E"/>
    <w:rsid w:val="005A5A3E"/>
    <w:rsid w:val="005A5B7E"/>
    <w:rsid w:val="005A6047"/>
    <w:rsid w:val="005A7014"/>
    <w:rsid w:val="005A7E1A"/>
    <w:rsid w:val="005B0696"/>
    <w:rsid w:val="005B0D7B"/>
    <w:rsid w:val="005B1DB1"/>
    <w:rsid w:val="005B26DC"/>
    <w:rsid w:val="005B2785"/>
    <w:rsid w:val="005B2D91"/>
    <w:rsid w:val="005B4E2D"/>
    <w:rsid w:val="005B5141"/>
    <w:rsid w:val="005B6385"/>
    <w:rsid w:val="005B7A57"/>
    <w:rsid w:val="005C0013"/>
    <w:rsid w:val="005C00F3"/>
    <w:rsid w:val="005C1B4D"/>
    <w:rsid w:val="005C1F54"/>
    <w:rsid w:val="005C40B3"/>
    <w:rsid w:val="005C5D98"/>
    <w:rsid w:val="005C7EED"/>
    <w:rsid w:val="005D07BD"/>
    <w:rsid w:val="005D2C30"/>
    <w:rsid w:val="005D4167"/>
    <w:rsid w:val="005D4AE0"/>
    <w:rsid w:val="005D56F0"/>
    <w:rsid w:val="005D6D39"/>
    <w:rsid w:val="005D789F"/>
    <w:rsid w:val="005E1975"/>
    <w:rsid w:val="005E42BE"/>
    <w:rsid w:val="005F0A63"/>
    <w:rsid w:val="005F0BCD"/>
    <w:rsid w:val="005F1EA4"/>
    <w:rsid w:val="005F2B4D"/>
    <w:rsid w:val="005F3130"/>
    <w:rsid w:val="005F3E1E"/>
    <w:rsid w:val="005F3E97"/>
    <w:rsid w:val="005F3ED0"/>
    <w:rsid w:val="005F5D8C"/>
    <w:rsid w:val="005F725C"/>
    <w:rsid w:val="005F733D"/>
    <w:rsid w:val="005F7AD3"/>
    <w:rsid w:val="00600F14"/>
    <w:rsid w:val="00600FB0"/>
    <w:rsid w:val="006015AF"/>
    <w:rsid w:val="00601813"/>
    <w:rsid w:val="006039CB"/>
    <w:rsid w:val="00605FC9"/>
    <w:rsid w:val="00611280"/>
    <w:rsid w:val="00612574"/>
    <w:rsid w:val="0061321D"/>
    <w:rsid w:val="00613837"/>
    <w:rsid w:val="0061716A"/>
    <w:rsid w:val="00617FF9"/>
    <w:rsid w:val="006202F3"/>
    <w:rsid w:val="00620B24"/>
    <w:rsid w:val="00621C93"/>
    <w:rsid w:val="00622300"/>
    <w:rsid w:val="006245FA"/>
    <w:rsid w:val="006260FC"/>
    <w:rsid w:val="00626380"/>
    <w:rsid w:val="006271C9"/>
    <w:rsid w:val="00627256"/>
    <w:rsid w:val="00627559"/>
    <w:rsid w:val="00630C39"/>
    <w:rsid w:val="00632468"/>
    <w:rsid w:val="00632AB4"/>
    <w:rsid w:val="00632AB6"/>
    <w:rsid w:val="00632F16"/>
    <w:rsid w:val="00633126"/>
    <w:rsid w:val="00634324"/>
    <w:rsid w:val="00634843"/>
    <w:rsid w:val="00635A4F"/>
    <w:rsid w:val="00637DA4"/>
    <w:rsid w:val="00641620"/>
    <w:rsid w:val="00643551"/>
    <w:rsid w:val="00646AA4"/>
    <w:rsid w:val="0065479A"/>
    <w:rsid w:val="006547B0"/>
    <w:rsid w:val="00654CF6"/>
    <w:rsid w:val="00656AA1"/>
    <w:rsid w:val="00656B10"/>
    <w:rsid w:val="006579FD"/>
    <w:rsid w:val="006605FB"/>
    <w:rsid w:val="0066435D"/>
    <w:rsid w:val="006673DF"/>
    <w:rsid w:val="006677F7"/>
    <w:rsid w:val="00667B9D"/>
    <w:rsid w:val="00670D68"/>
    <w:rsid w:val="00671D97"/>
    <w:rsid w:val="006723B6"/>
    <w:rsid w:val="00672AA9"/>
    <w:rsid w:val="00673167"/>
    <w:rsid w:val="00673D90"/>
    <w:rsid w:val="00674BCE"/>
    <w:rsid w:val="00675222"/>
    <w:rsid w:val="0067622A"/>
    <w:rsid w:val="00677E23"/>
    <w:rsid w:val="00680027"/>
    <w:rsid w:val="00681572"/>
    <w:rsid w:val="006819BD"/>
    <w:rsid w:val="0068264D"/>
    <w:rsid w:val="006838FB"/>
    <w:rsid w:val="006847A5"/>
    <w:rsid w:val="006848B2"/>
    <w:rsid w:val="00684AC4"/>
    <w:rsid w:val="0068509C"/>
    <w:rsid w:val="00690A2A"/>
    <w:rsid w:val="00691989"/>
    <w:rsid w:val="00691FDB"/>
    <w:rsid w:val="00693C4E"/>
    <w:rsid w:val="00694AEC"/>
    <w:rsid w:val="00694F4C"/>
    <w:rsid w:val="006A0A06"/>
    <w:rsid w:val="006A10C1"/>
    <w:rsid w:val="006A184A"/>
    <w:rsid w:val="006A2207"/>
    <w:rsid w:val="006A2E40"/>
    <w:rsid w:val="006A32E3"/>
    <w:rsid w:val="006A797F"/>
    <w:rsid w:val="006B017C"/>
    <w:rsid w:val="006B380C"/>
    <w:rsid w:val="006C0495"/>
    <w:rsid w:val="006C17AE"/>
    <w:rsid w:val="006C1ED6"/>
    <w:rsid w:val="006C2D69"/>
    <w:rsid w:val="006C4FB9"/>
    <w:rsid w:val="006C6782"/>
    <w:rsid w:val="006C6D3D"/>
    <w:rsid w:val="006D2EE0"/>
    <w:rsid w:val="006E04B0"/>
    <w:rsid w:val="006E0899"/>
    <w:rsid w:val="006E1EFD"/>
    <w:rsid w:val="006E2F06"/>
    <w:rsid w:val="006E3858"/>
    <w:rsid w:val="006E52FC"/>
    <w:rsid w:val="006E60CB"/>
    <w:rsid w:val="006E79CB"/>
    <w:rsid w:val="006F24F7"/>
    <w:rsid w:val="006F2D98"/>
    <w:rsid w:val="006F4B94"/>
    <w:rsid w:val="006F6430"/>
    <w:rsid w:val="006F7787"/>
    <w:rsid w:val="006F781F"/>
    <w:rsid w:val="0070245D"/>
    <w:rsid w:val="0070375F"/>
    <w:rsid w:val="00703793"/>
    <w:rsid w:val="007053E3"/>
    <w:rsid w:val="007128EC"/>
    <w:rsid w:val="0071389C"/>
    <w:rsid w:val="00715CBE"/>
    <w:rsid w:val="00716A7B"/>
    <w:rsid w:val="00716F01"/>
    <w:rsid w:val="007171CE"/>
    <w:rsid w:val="007175A5"/>
    <w:rsid w:val="0072221F"/>
    <w:rsid w:val="007247DA"/>
    <w:rsid w:val="007263D7"/>
    <w:rsid w:val="0072680B"/>
    <w:rsid w:val="00726983"/>
    <w:rsid w:val="00727471"/>
    <w:rsid w:val="007278DE"/>
    <w:rsid w:val="00727C2B"/>
    <w:rsid w:val="00731847"/>
    <w:rsid w:val="00731DD6"/>
    <w:rsid w:val="00732A74"/>
    <w:rsid w:val="007330F2"/>
    <w:rsid w:val="00733BBA"/>
    <w:rsid w:val="00734868"/>
    <w:rsid w:val="007352D2"/>
    <w:rsid w:val="00736C53"/>
    <w:rsid w:val="00737EDE"/>
    <w:rsid w:val="00740225"/>
    <w:rsid w:val="007405EA"/>
    <w:rsid w:val="00742348"/>
    <w:rsid w:val="00745DD0"/>
    <w:rsid w:val="00747C8E"/>
    <w:rsid w:val="0075027B"/>
    <w:rsid w:val="00751EF9"/>
    <w:rsid w:val="00752FA9"/>
    <w:rsid w:val="00753BB9"/>
    <w:rsid w:val="00753D75"/>
    <w:rsid w:val="0075493F"/>
    <w:rsid w:val="00755FFB"/>
    <w:rsid w:val="00756BC7"/>
    <w:rsid w:val="007602AB"/>
    <w:rsid w:val="00760A5F"/>
    <w:rsid w:val="00760C23"/>
    <w:rsid w:val="0076410A"/>
    <w:rsid w:val="00765DFE"/>
    <w:rsid w:val="00766321"/>
    <w:rsid w:val="00766420"/>
    <w:rsid w:val="00766B8D"/>
    <w:rsid w:val="00767796"/>
    <w:rsid w:val="00770B79"/>
    <w:rsid w:val="00770FA2"/>
    <w:rsid w:val="007712C4"/>
    <w:rsid w:val="007717D2"/>
    <w:rsid w:val="00771B38"/>
    <w:rsid w:val="00773248"/>
    <w:rsid w:val="00773693"/>
    <w:rsid w:val="00774345"/>
    <w:rsid w:val="007744C7"/>
    <w:rsid w:val="00776D29"/>
    <w:rsid w:val="00777336"/>
    <w:rsid w:val="00782398"/>
    <w:rsid w:val="007827BA"/>
    <w:rsid w:val="007830F3"/>
    <w:rsid w:val="007843AC"/>
    <w:rsid w:val="0079063B"/>
    <w:rsid w:val="007909A5"/>
    <w:rsid w:val="007915C8"/>
    <w:rsid w:val="007923C2"/>
    <w:rsid w:val="00793291"/>
    <w:rsid w:val="00794CC7"/>
    <w:rsid w:val="00794EF7"/>
    <w:rsid w:val="00795301"/>
    <w:rsid w:val="007959AD"/>
    <w:rsid w:val="007959DB"/>
    <w:rsid w:val="00796F70"/>
    <w:rsid w:val="007A04AA"/>
    <w:rsid w:val="007A2B4A"/>
    <w:rsid w:val="007A3A8B"/>
    <w:rsid w:val="007B05FA"/>
    <w:rsid w:val="007B380D"/>
    <w:rsid w:val="007B3E63"/>
    <w:rsid w:val="007B3ECC"/>
    <w:rsid w:val="007B5F73"/>
    <w:rsid w:val="007B6E9D"/>
    <w:rsid w:val="007B6FB2"/>
    <w:rsid w:val="007C172B"/>
    <w:rsid w:val="007C1750"/>
    <w:rsid w:val="007C1799"/>
    <w:rsid w:val="007C18AA"/>
    <w:rsid w:val="007C1DB1"/>
    <w:rsid w:val="007C2378"/>
    <w:rsid w:val="007C41AA"/>
    <w:rsid w:val="007C4C65"/>
    <w:rsid w:val="007C5382"/>
    <w:rsid w:val="007C6CE9"/>
    <w:rsid w:val="007D1546"/>
    <w:rsid w:val="007D42D8"/>
    <w:rsid w:val="007D5AD8"/>
    <w:rsid w:val="007E1390"/>
    <w:rsid w:val="007E29F3"/>
    <w:rsid w:val="007E327E"/>
    <w:rsid w:val="007E470C"/>
    <w:rsid w:val="007E65CD"/>
    <w:rsid w:val="007E6B4F"/>
    <w:rsid w:val="007E7F02"/>
    <w:rsid w:val="007F0D99"/>
    <w:rsid w:val="007F3520"/>
    <w:rsid w:val="007F42A7"/>
    <w:rsid w:val="007F659F"/>
    <w:rsid w:val="008001A0"/>
    <w:rsid w:val="00801527"/>
    <w:rsid w:val="0080271F"/>
    <w:rsid w:val="00804335"/>
    <w:rsid w:val="00804F20"/>
    <w:rsid w:val="00805DC7"/>
    <w:rsid w:val="00807344"/>
    <w:rsid w:val="008074F1"/>
    <w:rsid w:val="00807FD9"/>
    <w:rsid w:val="00811215"/>
    <w:rsid w:val="00811836"/>
    <w:rsid w:val="00812112"/>
    <w:rsid w:val="0081219B"/>
    <w:rsid w:val="00812282"/>
    <w:rsid w:val="00815540"/>
    <w:rsid w:val="00815EB3"/>
    <w:rsid w:val="00816973"/>
    <w:rsid w:val="00816E39"/>
    <w:rsid w:val="00817C09"/>
    <w:rsid w:val="00821923"/>
    <w:rsid w:val="008241E6"/>
    <w:rsid w:val="0082490D"/>
    <w:rsid w:val="00827EB9"/>
    <w:rsid w:val="0083321A"/>
    <w:rsid w:val="0083404E"/>
    <w:rsid w:val="00834471"/>
    <w:rsid w:val="0083540E"/>
    <w:rsid w:val="00836435"/>
    <w:rsid w:val="00836FEF"/>
    <w:rsid w:val="00840762"/>
    <w:rsid w:val="00841B03"/>
    <w:rsid w:val="00841F47"/>
    <w:rsid w:val="0084496F"/>
    <w:rsid w:val="00844C38"/>
    <w:rsid w:val="00847867"/>
    <w:rsid w:val="00850F20"/>
    <w:rsid w:val="00851297"/>
    <w:rsid w:val="0085162B"/>
    <w:rsid w:val="00852CBC"/>
    <w:rsid w:val="008545F3"/>
    <w:rsid w:val="0086318B"/>
    <w:rsid w:val="008632E1"/>
    <w:rsid w:val="00863B92"/>
    <w:rsid w:val="00864622"/>
    <w:rsid w:val="00866A5D"/>
    <w:rsid w:val="0086771F"/>
    <w:rsid w:val="008716BB"/>
    <w:rsid w:val="00872350"/>
    <w:rsid w:val="0087395F"/>
    <w:rsid w:val="00875029"/>
    <w:rsid w:val="00877DE7"/>
    <w:rsid w:val="00880984"/>
    <w:rsid w:val="00880BE1"/>
    <w:rsid w:val="00881103"/>
    <w:rsid w:val="00881395"/>
    <w:rsid w:val="00881483"/>
    <w:rsid w:val="00883C56"/>
    <w:rsid w:val="00885BAC"/>
    <w:rsid w:val="00885F2C"/>
    <w:rsid w:val="00886C43"/>
    <w:rsid w:val="0088707C"/>
    <w:rsid w:val="00890EC7"/>
    <w:rsid w:val="00895D15"/>
    <w:rsid w:val="00895FB9"/>
    <w:rsid w:val="008A2FED"/>
    <w:rsid w:val="008A346D"/>
    <w:rsid w:val="008A445E"/>
    <w:rsid w:val="008A55B1"/>
    <w:rsid w:val="008A6B6A"/>
    <w:rsid w:val="008A7601"/>
    <w:rsid w:val="008B3894"/>
    <w:rsid w:val="008B43F6"/>
    <w:rsid w:val="008B510D"/>
    <w:rsid w:val="008B5570"/>
    <w:rsid w:val="008B58F1"/>
    <w:rsid w:val="008B7770"/>
    <w:rsid w:val="008C054E"/>
    <w:rsid w:val="008C080A"/>
    <w:rsid w:val="008C0B05"/>
    <w:rsid w:val="008C4103"/>
    <w:rsid w:val="008C493E"/>
    <w:rsid w:val="008C6720"/>
    <w:rsid w:val="008C68DA"/>
    <w:rsid w:val="008D23A2"/>
    <w:rsid w:val="008D399C"/>
    <w:rsid w:val="008D5B88"/>
    <w:rsid w:val="008D6EF4"/>
    <w:rsid w:val="008D7D12"/>
    <w:rsid w:val="008E024D"/>
    <w:rsid w:val="008E0E4D"/>
    <w:rsid w:val="008E1003"/>
    <w:rsid w:val="008E1232"/>
    <w:rsid w:val="008E2857"/>
    <w:rsid w:val="008E31E0"/>
    <w:rsid w:val="008E3DC1"/>
    <w:rsid w:val="008E3E17"/>
    <w:rsid w:val="008E58CE"/>
    <w:rsid w:val="008E7681"/>
    <w:rsid w:val="008E79E3"/>
    <w:rsid w:val="008F06F2"/>
    <w:rsid w:val="008F0CF9"/>
    <w:rsid w:val="008F24ED"/>
    <w:rsid w:val="008F59C4"/>
    <w:rsid w:val="008F78B7"/>
    <w:rsid w:val="008F790E"/>
    <w:rsid w:val="0090005A"/>
    <w:rsid w:val="00900C0C"/>
    <w:rsid w:val="00902214"/>
    <w:rsid w:val="00903B03"/>
    <w:rsid w:val="00903E92"/>
    <w:rsid w:val="00904AF1"/>
    <w:rsid w:val="00904CC5"/>
    <w:rsid w:val="00907E30"/>
    <w:rsid w:val="0091079F"/>
    <w:rsid w:val="00911CE3"/>
    <w:rsid w:val="00913FCB"/>
    <w:rsid w:val="00915B7E"/>
    <w:rsid w:val="00915DA4"/>
    <w:rsid w:val="00916D12"/>
    <w:rsid w:val="00917388"/>
    <w:rsid w:val="009175AC"/>
    <w:rsid w:val="009221D7"/>
    <w:rsid w:val="00923D6A"/>
    <w:rsid w:val="009261B4"/>
    <w:rsid w:val="00927E90"/>
    <w:rsid w:val="009301FB"/>
    <w:rsid w:val="00930298"/>
    <w:rsid w:val="009302E9"/>
    <w:rsid w:val="00931F12"/>
    <w:rsid w:val="00932966"/>
    <w:rsid w:val="00932EB4"/>
    <w:rsid w:val="00935F2E"/>
    <w:rsid w:val="009362D1"/>
    <w:rsid w:val="009374C2"/>
    <w:rsid w:val="009401B2"/>
    <w:rsid w:val="00940F90"/>
    <w:rsid w:val="009417F0"/>
    <w:rsid w:val="009422AF"/>
    <w:rsid w:val="00943794"/>
    <w:rsid w:val="00943B2E"/>
    <w:rsid w:val="009449AD"/>
    <w:rsid w:val="00944B04"/>
    <w:rsid w:val="009456C3"/>
    <w:rsid w:val="00946264"/>
    <w:rsid w:val="00946ED3"/>
    <w:rsid w:val="0095270E"/>
    <w:rsid w:val="00953127"/>
    <w:rsid w:val="00953661"/>
    <w:rsid w:val="0095554E"/>
    <w:rsid w:val="009557FF"/>
    <w:rsid w:val="00956A23"/>
    <w:rsid w:val="009575E7"/>
    <w:rsid w:val="009606E3"/>
    <w:rsid w:val="009613DA"/>
    <w:rsid w:val="0096144D"/>
    <w:rsid w:val="009621C3"/>
    <w:rsid w:val="00962B0A"/>
    <w:rsid w:val="009639FC"/>
    <w:rsid w:val="009642CB"/>
    <w:rsid w:val="00964A75"/>
    <w:rsid w:val="009652DA"/>
    <w:rsid w:val="009714EE"/>
    <w:rsid w:val="0097178E"/>
    <w:rsid w:val="009728B1"/>
    <w:rsid w:val="009738C4"/>
    <w:rsid w:val="00974105"/>
    <w:rsid w:val="00974934"/>
    <w:rsid w:val="00975F0B"/>
    <w:rsid w:val="00980B99"/>
    <w:rsid w:val="00980C98"/>
    <w:rsid w:val="00984320"/>
    <w:rsid w:val="0098544E"/>
    <w:rsid w:val="009860D7"/>
    <w:rsid w:val="00987A37"/>
    <w:rsid w:val="0099222D"/>
    <w:rsid w:val="0099236C"/>
    <w:rsid w:val="00994704"/>
    <w:rsid w:val="009A0A1E"/>
    <w:rsid w:val="009A102D"/>
    <w:rsid w:val="009A1EEB"/>
    <w:rsid w:val="009A2339"/>
    <w:rsid w:val="009A5B05"/>
    <w:rsid w:val="009A5EEB"/>
    <w:rsid w:val="009B0555"/>
    <w:rsid w:val="009B070F"/>
    <w:rsid w:val="009C093E"/>
    <w:rsid w:val="009C267C"/>
    <w:rsid w:val="009C3D09"/>
    <w:rsid w:val="009C4B73"/>
    <w:rsid w:val="009C5C91"/>
    <w:rsid w:val="009C62A3"/>
    <w:rsid w:val="009D149F"/>
    <w:rsid w:val="009D2639"/>
    <w:rsid w:val="009D2CA1"/>
    <w:rsid w:val="009D36B2"/>
    <w:rsid w:val="009D41FD"/>
    <w:rsid w:val="009D4A87"/>
    <w:rsid w:val="009D597E"/>
    <w:rsid w:val="009D7352"/>
    <w:rsid w:val="009E0768"/>
    <w:rsid w:val="009E163B"/>
    <w:rsid w:val="009E1F40"/>
    <w:rsid w:val="009E2DD8"/>
    <w:rsid w:val="009E4BA4"/>
    <w:rsid w:val="009E6402"/>
    <w:rsid w:val="009F1B27"/>
    <w:rsid w:val="009F1B61"/>
    <w:rsid w:val="009F432F"/>
    <w:rsid w:val="009F4C1D"/>
    <w:rsid w:val="009F4E1B"/>
    <w:rsid w:val="009F5B52"/>
    <w:rsid w:val="009F64D9"/>
    <w:rsid w:val="009F70C3"/>
    <w:rsid w:val="00A00E2A"/>
    <w:rsid w:val="00A02379"/>
    <w:rsid w:val="00A058EF"/>
    <w:rsid w:val="00A063C8"/>
    <w:rsid w:val="00A0695E"/>
    <w:rsid w:val="00A06BF8"/>
    <w:rsid w:val="00A07AB6"/>
    <w:rsid w:val="00A10BCD"/>
    <w:rsid w:val="00A10D87"/>
    <w:rsid w:val="00A148D0"/>
    <w:rsid w:val="00A155D7"/>
    <w:rsid w:val="00A163F5"/>
    <w:rsid w:val="00A164AD"/>
    <w:rsid w:val="00A17009"/>
    <w:rsid w:val="00A20980"/>
    <w:rsid w:val="00A21170"/>
    <w:rsid w:val="00A2165E"/>
    <w:rsid w:val="00A223C3"/>
    <w:rsid w:val="00A25F64"/>
    <w:rsid w:val="00A317BD"/>
    <w:rsid w:val="00A3460D"/>
    <w:rsid w:val="00A347A9"/>
    <w:rsid w:val="00A353C6"/>
    <w:rsid w:val="00A35B9D"/>
    <w:rsid w:val="00A35BF4"/>
    <w:rsid w:val="00A41BD6"/>
    <w:rsid w:val="00A4286A"/>
    <w:rsid w:val="00A42A00"/>
    <w:rsid w:val="00A455E5"/>
    <w:rsid w:val="00A46AD3"/>
    <w:rsid w:val="00A50142"/>
    <w:rsid w:val="00A50962"/>
    <w:rsid w:val="00A50C55"/>
    <w:rsid w:val="00A50CFF"/>
    <w:rsid w:val="00A50F6C"/>
    <w:rsid w:val="00A51E5B"/>
    <w:rsid w:val="00A53E39"/>
    <w:rsid w:val="00A5453A"/>
    <w:rsid w:val="00A57E9C"/>
    <w:rsid w:val="00A57F9E"/>
    <w:rsid w:val="00A57FE5"/>
    <w:rsid w:val="00A625E4"/>
    <w:rsid w:val="00A63FBF"/>
    <w:rsid w:val="00A646E2"/>
    <w:rsid w:val="00A64757"/>
    <w:rsid w:val="00A64902"/>
    <w:rsid w:val="00A64FB7"/>
    <w:rsid w:val="00A66893"/>
    <w:rsid w:val="00A66B4A"/>
    <w:rsid w:val="00A67613"/>
    <w:rsid w:val="00A728BD"/>
    <w:rsid w:val="00A741A9"/>
    <w:rsid w:val="00A742DD"/>
    <w:rsid w:val="00A75B9C"/>
    <w:rsid w:val="00A7661A"/>
    <w:rsid w:val="00A82CB1"/>
    <w:rsid w:val="00A8302D"/>
    <w:rsid w:val="00A837F7"/>
    <w:rsid w:val="00A841BC"/>
    <w:rsid w:val="00A86B4A"/>
    <w:rsid w:val="00A904F2"/>
    <w:rsid w:val="00A92434"/>
    <w:rsid w:val="00A93A55"/>
    <w:rsid w:val="00A95AAB"/>
    <w:rsid w:val="00A9763F"/>
    <w:rsid w:val="00A97E66"/>
    <w:rsid w:val="00AA0E43"/>
    <w:rsid w:val="00AA1E94"/>
    <w:rsid w:val="00AA2B75"/>
    <w:rsid w:val="00AA2F26"/>
    <w:rsid w:val="00AA5459"/>
    <w:rsid w:val="00AA5F46"/>
    <w:rsid w:val="00AB1076"/>
    <w:rsid w:val="00AB2204"/>
    <w:rsid w:val="00AB3BFC"/>
    <w:rsid w:val="00AB4473"/>
    <w:rsid w:val="00AB4705"/>
    <w:rsid w:val="00AB5960"/>
    <w:rsid w:val="00AB6783"/>
    <w:rsid w:val="00AB79E8"/>
    <w:rsid w:val="00AC09C6"/>
    <w:rsid w:val="00AC3E72"/>
    <w:rsid w:val="00AC3FB4"/>
    <w:rsid w:val="00AC58A9"/>
    <w:rsid w:val="00AC767F"/>
    <w:rsid w:val="00AD0394"/>
    <w:rsid w:val="00AD16D1"/>
    <w:rsid w:val="00AD1C54"/>
    <w:rsid w:val="00AD2283"/>
    <w:rsid w:val="00AD271B"/>
    <w:rsid w:val="00AD3610"/>
    <w:rsid w:val="00AD4C61"/>
    <w:rsid w:val="00AD6163"/>
    <w:rsid w:val="00AD6F23"/>
    <w:rsid w:val="00AE1B3E"/>
    <w:rsid w:val="00AE1EFA"/>
    <w:rsid w:val="00AE294F"/>
    <w:rsid w:val="00AE3352"/>
    <w:rsid w:val="00AE6516"/>
    <w:rsid w:val="00AE7564"/>
    <w:rsid w:val="00AF17A5"/>
    <w:rsid w:val="00AF2AB9"/>
    <w:rsid w:val="00AF3B2F"/>
    <w:rsid w:val="00AF5121"/>
    <w:rsid w:val="00AF6125"/>
    <w:rsid w:val="00AF7405"/>
    <w:rsid w:val="00B0240C"/>
    <w:rsid w:val="00B03487"/>
    <w:rsid w:val="00B066E1"/>
    <w:rsid w:val="00B078CF"/>
    <w:rsid w:val="00B07A84"/>
    <w:rsid w:val="00B07B8A"/>
    <w:rsid w:val="00B10FD8"/>
    <w:rsid w:val="00B10FF8"/>
    <w:rsid w:val="00B126A0"/>
    <w:rsid w:val="00B137BD"/>
    <w:rsid w:val="00B1794F"/>
    <w:rsid w:val="00B20EAB"/>
    <w:rsid w:val="00B210D2"/>
    <w:rsid w:val="00B2122E"/>
    <w:rsid w:val="00B2258B"/>
    <w:rsid w:val="00B26B32"/>
    <w:rsid w:val="00B27748"/>
    <w:rsid w:val="00B27A3E"/>
    <w:rsid w:val="00B27D33"/>
    <w:rsid w:val="00B3334B"/>
    <w:rsid w:val="00B33377"/>
    <w:rsid w:val="00B34A5A"/>
    <w:rsid w:val="00B34D36"/>
    <w:rsid w:val="00B355B8"/>
    <w:rsid w:val="00B3631B"/>
    <w:rsid w:val="00B40D1C"/>
    <w:rsid w:val="00B41DDD"/>
    <w:rsid w:val="00B42EC5"/>
    <w:rsid w:val="00B4626F"/>
    <w:rsid w:val="00B4718D"/>
    <w:rsid w:val="00B47D45"/>
    <w:rsid w:val="00B5120E"/>
    <w:rsid w:val="00B52925"/>
    <w:rsid w:val="00B54A14"/>
    <w:rsid w:val="00B6015C"/>
    <w:rsid w:val="00B60442"/>
    <w:rsid w:val="00B620B7"/>
    <w:rsid w:val="00B641E8"/>
    <w:rsid w:val="00B65CDE"/>
    <w:rsid w:val="00B6632A"/>
    <w:rsid w:val="00B70FE0"/>
    <w:rsid w:val="00B71505"/>
    <w:rsid w:val="00B72BCF"/>
    <w:rsid w:val="00B73B33"/>
    <w:rsid w:val="00B7730B"/>
    <w:rsid w:val="00B80817"/>
    <w:rsid w:val="00B81AB6"/>
    <w:rsid w:val="00B824C3"/>
    <w:rsid w:val="00B82FCE"/>
    <w:rsid w:val="00B83C13"/>
    <w:rsid w:val="00B83F71"/>
    <w:rsid w:val="00B84D66"/>
    <w:rsid w:val="00B85B9E"/>
    <w:rsid w:val="00B85C15"/>
    <w:rsid w:val="00B87EB5"/>
    <w:rsid w:val="00B90C41"/>
    <w:rsid w:val="00B92BE1"/>
    <w:rsid w:val="00B945D1"/>
    <w:rsid w:val="00B94839"/>
    <w:rsid w:val="00B97967"/>
    <w:rsid w:val="00BA27C1"/>
    <w:rsid w:val="00BA2CEB"/>
    <w:rsid w:val="00BA68DF"/>
    <w:rsid w:val="00BB290F"/>
    <w:rsid w:val="00BB3702"/>
    <w:rsid w:val="00BB3A69"/>
    <w:rsid w:val="00BB413C"/>
    <w:rsid w:val="00BB4A1D"/>
    <w:rsid w:val="00BC158E"/>
    <w:rsid w:val="00BC1B15"/>
    <w:rsid w:val="00BC1BEF"/>
    <w:rsid w:val="00BC2650"/>
    <w:rsid w:val="00BC297F"/>
    <w:rsid w:val="00BC64E2"/>
    <w:rsid w:val="00BC6B3C"/>
    <w:rsid w:val="00BC6DF3"/>
    <w:rsid w:val="00BC75C6"/>
    <w:rsid w:val="00BD0D92"/>
    <w:rsid w:val="00BD10F7"/>
    <w:rsid w:val="00BD46BB"/>
    <w:rsid w:val="00BD5677"/>
    <w:rsid w:val="00BD5F59"/>
    <w:rsid w:val="00BE1E8C"/>
    <w:rsid w:val="00BE25B6"/>
    <w:rsid w:val="00BE2701"/>
    <w:rsid w:val="00BE387A"/>
    <w:rsid w:val="00BE4957"/>
    <w:rsid w:val="00BE5583"/>
    <w:rsid w:val="00BE5BAA"/>
    <w:rsid w:val="00BE63D1"/>
    <w:rsid w:val="00BE6959"/>
    <w:rsid w:val="00BE69EB"/>
    <w:rsid w:val="00BE7498"/>
    <w:rsid w:val="00BE74B0"/>
    <w:rsid w:val="00BE7B04"/>
    <w:rsid w:val="00BF04A8"/>
    <w:rsid w:val="00BF0A29"/>
    <w:rsid w:val="00BF2D8D"/>
    <w:rsid w:val="00BF353F"/>
    <w:rsid w:val="00BF4C1E"/>
    <w:rsid w:val="00BF4DC9"/>
    <w:rsid w:val="00C00738"/>
    <w:rsid w:val="00C00A72"/>
    <w:rsid w:val="00C05A74"/>
    <w:rsid w:val="00C05BC1"/>
    <w:rsid w:val="00C07FA9"/>
    <w:rsid w:val="00C110AF"/>
    <w:rsid w:val="00C117E7"/>
    <w:rsid w:val="00C131F7"/>
    <w:rsid w:val="00C1527A"/>
    <w:rsid w:val="00C15419"/>
    <w:rsid w:val="00C154B0"/>
    <w:rsid w:val="00C15BB0"/>
    <w:rsid w:val="00C15EF4"/>
    <w:rsid w:val="00C17B0F"/>
    <w:rsid w:val="00C17DF6"/>
    <w:rsid w:val="00C2043F"/>
    <w:rsid w:val="00C23B58"/>
    <w:rsid w:val="00C2484B"/>
    <w:rsid w:val="00C2486A"/>
    <w:rsid w:val="00C24F44"/>
    <w:rsid w:val="00C26748"/>
    <w:rsid w:val="00C26E07"/>
    <w:rsid w:val="00C26FA4"/>
    <w:rsid w:val="00C27221"/>
    <w:rsid w:val="00C303CC"/>
    <w:rsid w:val="00C31DB5"/>
    <w:rsid w:val="00C31FC3"/>
    <w:rsid w:val="00C32BA7"/>
    <w:rsid w:val="00C3538B"/>
    <w:rsid w:val="00C364A7"/>
    <w:rsid w:val="00C366AF"/>
    <w:rsid w:val="00C36AE0"/>
    <w:rsid w:val="00C370FB"/>
    <w:rsid w:val="00C40074"/>
    <w:rsid w:val="00C4087E"/>
    <w:rsid w:val="00C42FE9"/>
    <w:rsid w:val="00C45921"/>
    <w:rsid w:val="00C45BC0"/>
    <w:rsid w:val="00C47877"/>
    <w:rsid w:val="00C501AD"/>
    <w:rsid w:val="00C50BA6"/>
    <w:rsid w:val="00C53817"/>
    <w:rsid w:val="00C540B8"/>
    <w:rsid w:val="00C55162"/>
    <w:rsid w:val="00C567FA"/>
    <w:rsid w:val="00C61E3C"/>
    <w:rsid w:val="00C64E4F"/>
    <w:rsid w:val="00C653BD"/>
    <w:rsid w:val="00C65882"/>
    <w:rsid w:val="00C66527"/>
    <w:rsid w:val="00C715B4"/>
    <w:rsid w:val="00C73F09"/>
    <w:rsid w:val="00C762AC"/>
    <w:rsid w:val="00C80CBE"/>
    <w:rsid w:val="00C81466"/>
    <w:rsid w:val="00C83C13"/>
    <w:rsid w:val="00C84BD5"/>
    <w:rsid w:val="00C860C9"/>
    <w:rsid w:val="00C86D68"/>
    <w:rsid w:val="00C87421"/>
    <w:rsid w:val="00C906AA"/>
    <w:rsid w:val="00C918EF"/>
    <w:rsid w:val="00C91B8A"/>
    <w:rsid w:val="00C9201E"/>
    <w:rsid w:val="00C93948"/>
    <w:rsid w:val="00C93BC8"/>
    <w:rsid w:val="00C94183"/>
    <w:rsid w:val="00C9480A"/>
    <w:rsid w:val="00C955B6"/>
    <w:rsid w:val="00C95A5E"/>
    <w:rsid w:val="00C96C0B"/>
    <w:rsid w:val="00CA03A9"/>
    <w:rsid w:val="00CA2565"/>
    <w:rsid w:val="00CA2D80"/>
    <w:rsid w:val="00CA33F0"/>
    <w:rsid w:val="00CA664F"/>
    <w:rsid w:val="00CA69D6"/>
    <w:rsid w:val="00CB1F1C"/>
    <w:rsid w:val="00CB3246"/>
    <w:rsid w:val="00CB3A55"/>
    <w:rsid w:val="00CB589F"/>
    <w:rsid w:val="00CB5B70"/>
    <w:rsid w:val="00CC07B5"/>
    <w:rsid w:val="00CC0FB8"/>
    <w:rsid w:val="00CC110B"/>
    <w:rsid w:val="00CC1230"/>
    <w:rsid w:val="00CC14EE"/>
    <w:rsid w:val="00CC1B8F"/>
    <w:rsid w:val="00CC1FEC"/>
    <w:rsid w:val="00CC2994"/>
    <w:rsid w:val="00CC35C2"/>
    <w:rsid w:val="00CC6F7E"/>
    <w:rsid w:val="00CC7E86"/>
    <w:rsid w:val="00CD07C8"/>
    <w:rsid w:val="00CD25A5"/>
    <w:rsid w:val="00CD3670"/>
    <w:rsid w:val="00CD6611"/>
    <w:rsid w:val="00CD7CF4"/>
    <w:rsid w:val="00CE148D"/>
    <w:rsid w:val="00CE160F"/>
    <w:rsid w:val="00CE1A2D"/>
    <w:rsid w:val="00CE44FA"/>
    <w:rsid w:val="00CE48A6"/>
    <w:rsid w:val="00CE4B5F"/>
    <w:rsid w:val="00CE4DD5"/>
    <w:rsid w:val="00CE771C"/>
    <w:rsid w:val="00CF0383"/>
    <w:rsid w:val="00CF0C43"/>
    <w:rsid w:val="00CF1FA0"/>
    <w:rsid w:val="00CF3D5E"/>
    <w:rsid w:val="00CF4798"/>
    <w:rsid w:val="00CF6FBC"/>
    <w:rsid w:val="00D011A9"/>
    <w:rsid w:val="00D048A5"/>
    <w:rsid w:val="00D05AB1"/>
    <w:rsid w:val="00D06DEB"/>
    <w:rsid w:val="00D103D0"/>
    <w:rsid w:val="00D12FC3"/>
    <w:rsid w:val="00D13959"/>
    <w:rsid w:val="00D14EDD"/>
    <w:rsid w:val="00D150E1"/>
    <w:rsid w:val="00D15DA4"/>
    <w:rsid w:val="00D16930"/>
    <w:rsid w:val="00D22639"/>
    <w:rsid w:val="00D23099"/>
    <w:rsid w:val="00D23214"/>
    <w:rsid w:val="00D23BAD"/>
    <w:rsid w:val="00D23F67"/>
    <w:rsid w:val="00D24677"/>
    <w:rsid w:val="00D2528E"/>
    <w:rsid w:val="00D260B6"/>
    <w:rsid w:val="00D270F0"/>
    <w:rsid w:val="00D27A0A"/>
    <w:rsid w:val="00D30441"/>
    <w:rsid w:val="00D329D3"/>
    <w:rsid w:val="00D33835"/>
    <w:rsid w:val="00D34056"/>
    <w:rsid w:val="00D36ECB"/>
    <w:rsid w:val="00D41440"/>
    <w:rsid w:val="00D4360D"/>
    <w:rsid w:val="00D4399F"/>
    <w:rsid w:val="00D43AF1"/>
    <w:rsid w:val="00D46ADD"/>
    <w:rsid w:val="00D474E6"/>
    <w:rsid w:val="00D50203"/>
    <w:rsid w:val="00D51620"/>
    <w:rsid w:val="00D51FEA"/>
    <w:rsid w:val="00D52183"/>
    <w:rsid w:val="00D52732"/>
    <w:rsid w:val="00D5364B"/>
    <w:rsid w:val="00D555AC"/>
    <w:rsid w:val="00D57449"/>
    <w:rsid w:val="00D60B5F"/>
    <w:rsid w:val="00D6147C"/>
    <w:rsid w:val="00D61D9B"/>
    <w:rsid w:val="00D6226A"/>
    <w:rsid w:val="00D6272F"/>
    <w:rsid w:val="00D63AAC"/>
    <w:rsid w:val="00D63AF2"/>
    <w:rsid w:val="00D66B2F"/>
    <w:rsid w:val="00D67317"/>
    <w:rsid w:val="00D67483"/>
    <w:rsid w:val="00D679DF"/>
    <w:rsid w:val="00D67EE0"/>
    <w:rsid w:val="00D70901"/>
    <w:rsid w:val="00D7299A"/>
    <w:rsid w:val="00D7342D"/>
    <w:rsid w:val="00D74C0A"/>
    <w:rsid w:val="00D8052F"/>
    <w:rsid w:val="00D81684"/>
    <w:rsid w:val="00D82E66"/>
    <w:rsid w:val="00D8421F"/>
    <w:rsid w:val="00D84516"/>
    <w:rsid w:val="00D8627C"/>
    <w:rsid w:val="00D863C5"/>
    <w:rsid w:val="00D86BA6"/>
    <w:rsid w:val="00D9221D"/>
    <w:rsid w:val="00D93337"/>
    <w:rsid w:val="00D93E7F"/>
    <w:rsid w:val="00D940DB"/>
    <w:rsid w:val="00D9561B"/>
    <w:rsid w:val="00D95B04"/>
    <w:rsid w:val="00D97265"/>
    <w:rsid w:val="00DA33EB"/>
    <w:rsid w:val="00DA3A52"/>
    <w:rsid w:val="00DA527D"/>
    <w:rsid w:val="00DA5642"/>
    <w:rsid w:val="00DA5790"/>
    <w:rsid w:val="00DB09A4"/>
    <w:rsid w:val="00DB1801"/>
    <w:rsid w:val="00DB4CC3"/>
    <w:rsid w:val="00DB7237"/>
    <w:rsid w:val="00DB7F61"/>
    <w:rsid w:val="00DC0A53"/>
    <w:rsid w:val="00DC529D"/>
    <w:rsid w:val="00DC6772"/>
    <w:rsid w:val="00DC717C"/>
    <w:rsid w:val="00DD12F0"/>
    <w:rsid w:val="00DD2726"/>
    <w:rsid w:val="00DD373B"/>
    <w:rsid w:val="00DD7BE1"/>
    <w:rsid w:val="00DE0D70"/>
    <w:rsid w:val="00DE1146"/>
    <w:rsid w:val="00DE3067"/>
    <w:rsid w:val="00DE3095"/>
    <w:rsid w:val="00DE386D"/>
    <w:rsid w:val="00DE7790"/>
    <w:rsid w:val="00DF0864"/>
    <w:rsid w:val="00DF0ECF"/>
    <w:rsid w:val="00DF45B9"/>
    <w:rsid w:val="00DF46D9"/>
    <w:rsid w:val="00DF5194"/>
    <w:rsid w:val="00DF5613"/>
    <w:rsid w:val="00DF748A"/>
    <w:rsid w:val="00DF78F1"/>
    <w:rsid w:val="00DF7985"/>
    <w:rsid w:val="00DF7C04"/>
    <w:rsid w:val="00E0049B"/>
    <w:rsid w:val="00E02DDE"/>
    <w:rsid w:val="00E03232"/>
    <w:rsid w:val="00E049BC"/>
    <w:rsid w:val="00E059A0"/>
    <w:rsid w:val="00E06EAD"/>
    <w:rsid w:val="00E078D1"/>
    <w:rsid w:val="00E07D7A"/>
    <w:rsid w:val="00E10DAF"/>
    <w:rsid w:val="00E16F6A"/>
    <w:rsid w:val="00E206AF"/>
    <w:rsid w:val="00E20954"/>
    <w:rsid w:val="00E22AB9"/>
    <w:rsid w:val="00E25323"/>
    <w:rsid w:val="00E257A7"/>
    <w:rsid w:val="00E3008A"/>
    <w:rsid w:val="00E30C2E"/>
    <w:rsid w:val="00E3103D"/>
    <w:rsid w:val="00E315CA"/>
    <w:rsid w:val="00E321C6"/>
    <w:rsid w:val="00E329BB"/>
    <w:rsid w:val="00E32F38"/>
    <w:rsid w:val="00E34D88"/>
    <w:rsid w:val="00E3626C"/>
    <w:rsid w:val="00E366AE"/>
    <w:rsid w:val="00E40859"/>
    <w:rsid w:val="00E42779"/>
    <w:rsid w:val="00E43792"/>
    <w:rsid w:val="00E43926"/>
    <w:rsid w:val="00E4477E"/>
    <w:rsid w:val="00E47681"/>
    <w:rsid w:val="00E50BAA"/>
    <w:rsid w:val="00E514B9"/>
    <w:rsid w:val="00E519A9"/>
    <w:rsid w:val="00E51D72"/>
    <w:rsid w:val="00E527C8"/>
    <w:rsid w:val="00E53139"/>
    <w:rsid w:val="00E545B6"/>
    <w:rsid w:val="00E57981"/>
    <w:rsid w:val="00E57AD7"/>
    <w:rsid w:val="00E60044"/>
    <w:rsid w:val="00E60166"/>
    <w:rsid w:val="00E63056"/>
    <w:rsid w:val="00E63725"/>
    <w:rsid w:val="00E66B33"/>
    <w:rsid w:val="00E67189"/>
    <w:rsid w:val="00E673BB"/>
    <w:rsid w:val="00E70285"/>
    <w:rsid w:val="00E70618"/>
    <w:rsid w:val="00E70C69"/>
    <w:rsid w:val="00E7100C"/>
    <w:rsid w:val="00E723D7"/>
    <w:rsid w:val="00E74522"/>
    <w:rsid w:val="00E75C8F"/>
    <w:rsid w:val="00E76A13"/>
    <w:rsid w:val="00E76B90"/>
    <w:rsid w:val="00E76EB9"/>
    <w:rsid w:val="00E7713E"/>
    <w:rsid w:val="00E77EF4"/>
    <w:rsid w:val="00E80D66"/>
    <w:rsid w:val="00E822EA"/>
    <w:rsid w:val="00E82498"/>
    <w:rsid w:val="00E82A8F"/>
    <w:rsid w:val="00E8511E"/>
    <w:rsid w:val="00E85FE6"/>
    <w:rsid w:val="00E87B86"/>
    <w:rsid w:val="00E904ED"/>
    <w:rsid w:val="00E913AA"/>
    <w:rsid w:val="00E914ED"/>
    <w:rsid w:val="00E92922"/>
    <w:rsid w:val="00E94B3B"/>
    <w:rsid w:val="00E94DE0"/>
    <w:rsid w:val="00E95658"/>
    <w:rsid w:val="00E95E30"/>
    <w:rsid w:val="00E96D40"/>
    <w:rsid w:val="00EA13F7"/>
    <w:rsid w:val="00EA304F"/>
    <w:rsid w:val="00EA31DD"/>
    <w:rsid w:val="00EA46D6"/>
    <w:rsid w:val="00EA4A72"/>
    <w:rsid w:val="00EA4C2D"/>
    <w:rsid w:val="00EA4EF4"/>
    <w:rsid w:val="00EA633C"/>
    <w:rsid w:val="00EB0642"/>
    <w:rsid w:val="00EB0A8C"/>
    <w:rsid w:val="00EB0F9E"/>
    <w:rsid w:val="00EB1C15"/>
    <w:rsid w:val="00EB25D2"/>
    <w:rsid w:val="00EB2686"/>
    <w:rsid w:val="00EB408E"/>
    <w:rsid w:val="00EB4ACE"/>
    <w:rsid w:val="00EB5412"/>
    <w:rsid w:val="00EB6A81"/>
    <w:rsid w:val="00EB6B7E"/>
    <w:rsid w:val="00EC1F51"/>
    <w:rsid w:val="00EC3AEB"/>
    <w:rsid w:val="00EC7ED3"/>
    <w:rsid w:val="00ED0B37"/>
    <w:rsid w:val="00ED2F8A"/>
    <w:rsid w:val="00ED6C08"/>
    <w:rsid w:val="00ED791C"/>
    <w:rsid w:val="00EE0ECF"/>
    <w:rsid w:val="00EE143B"/>
    <w:rsid w:val="00EE3470"/>
    <w:rsid w:val="00EE5FA9"/>
    <w:rsid w:val="00EE7552"/>
    <w:rsid w:val="00EF0117"/>
    <w:rsid w:val="00EF0716"/>
    <w:rsid w:val="00EF3695"/>
    <w:rsid w:val="00EF3A6B"/>
    <w:rsid w:val="00EF414D"/>
    <w:rsid w:val="00EF4387"/>
    <w:rsid w:val="00EF5FAE"/>
    <w:rsid w:val="00EF6AE9"/>
    <w:rsid w:val="00EF7132"/>
    <w:rsid w:val="00EF752F"/>
    <w:rsid w:val="00EF77C2"/>
    <w:rsid w:val="00EF7885"/>
    <w:rsid w:val="00F00523"/>
    <w:rsid w:val="00F01B59"/>
    <w:rsid w:val="00F030B9"/>
    <w:rsid w:val="00F038C1"/>
    <w:rsid w:val="00F1046C"/>
    <w:rsid w:val="00F12BDA"/>
    <w:rsid w:val="00F13E7D"/>
    <w:rsid w:val="00F14110"/>
    <w:rsid w:val="00F15DC2"/>
    <w:rsid w:val="00F1674C"/>
    <w:rsid w:val="00F1698C"/>
    <w:rsid w:val="00F203D0"/>
    <w:rsid w:val="00F20733"/>
    <w:rsid w:val="00F20EB1"/>
    <w:rsid w:val="00F22C58"/>
    <w:rsid w:val="00F2442D"/>
    <w:rsid w:val="00F3022D"/>
    <w:rsid w:val="00F30909"/>
    <w:rsid w:val="00F32786"/>
    <w:rsid w:val="00F32D4D"/>
    <w:rsid w:val="00F32F32"/>
    <w:rsid w:val="00F36409"/>
    <w:rsid w:val="00F367EB"/>
    <w:rsid w:val="00F36DCC"/>
    <w:rsid w:val="00F37828"/>
    <w:rsid w:val="00F37C60"/>
    <w:rsid w:val="00F41105"/>
    <w:rsid w:val="00F419E2"/>
    <w:rsid w:val="00F43F69"/>
    <w:rsid w:val="00F47708"/>
    <w:rsid w:val="00F478D5"/>
    <w:rsid w:val="00F514FE"/>
    <w:rsid w:val="00F547B2"/>
    <w:rsid w:val="00F54A82"/>
    <w:rsid w:val="00F54A8A"/>
    <w:rsid w:val="00F55236"/>
    <w:rsid w:val="00F55C4C"/>
    <w:rsid w:val="00F56251"/>
    <w:rsid w:val="00F61344"/>
    <w:rsid w:val="00F61484"/>
    <w:rsid w:val="00F62EC1"/>
    <w:rsid w:val="00F63271"/>
    <w:rsid w:val="00F64DFC"/>
    <w:rsid w:val="00F668AE"/>
    <w:rsid w:val="00F66BCE"/>
    <w:rsid w:val="00F66CA5"/>
    <w:rsid w:val="00F67308"/>
    <w:rsid w:val="00F67B8D"/>
    <w:rsid w:val="00F70263"/>
    <w:rsid w:val="00F70992"/>
    <w:rsid w:val="00F73746"/>
    <w:rsid w:val="00F74D4B"/>
    <w:rsid w:val="00F74D96"/>
    <w:rsid w:val="00F76F01"/>
    <w:rsid w:val="00F815D7"/>
    <w:rsid w:val="00F81B57"/>
    <w:rsid w:val="00F81FA1"/>
    <w:rsid w:val="00F82CED"/>
    <w:rsid w:val="00F837BA"/>
    <w:rsid w:val="00F840C5"/>
    <w:rsid w:val="00F87365"/>
    <w:rsid w:val="00F90843"/>
    <w:rsid w:val="00F91517"/>
    <w:rsid w:val="00F91FC1"/>
    <w:rsid w:val="00F920D9"/>
    <w:rsid w:val="00F93407"/>
    <w:rsid w:val="00F944B8"/>
    <w:rsid w:val="00F953F5"/>
    <w:rsid w:val="00F9583B"/>
    <w:rsid w:val="00F96417"/>
    <w:rsid w:val="00F96431"/>
    <w:rsid w:val="00F96A34"/>
    <w:rsid w:val="00FA22AE"/>
    <w:rsid w:val="00FA3BEC"/>
    <w:rsid w:val="00FA5B8F"/>
    <w:rsid w:val="00FA78BF"/>
    <w:rsid w:val="00FB01C1"/>
    <w:rsid w:val="00FB0A98"/>
    <w:rsid w:val="00FB2031"/>
    <w:rsid w:val="00FB5BA0"/>
    <w:rsid w:val="00FB714A"/>
    <w:rsid w:val="00FB7B97"/>
    <w:rsid w:val="00FC1474"/>
    <w:rsid w:val="00FC1970"/>
    <w:rsid w:val="00FC3B8F"/>
    <w:rsid w:val="00FC5404"/>
    <w:rsid w:val="00FC67FB"/>
    <w:rsid w:val="00FC716C"/>
    <w:rsid w:val="00FC72CC"/>
    <w:rsid w:val="00FD0B4F"/>
    <w:rsid w:val="00FD1898"/>
    <w:rsid w:val="00FD1CC2"/>
    <w:rsid w:val="00FD1DF7"/>
    <w:rsid w:val="00FD5B21"/>
    <w:rsid w:val="00FD5BFE"/>
    <w:rsid w:val="00FE32E5"/>
    <w:rsid w:val="00FE374A"/>
    <w:rsid w:val="00FE4443"/>
    <w:rsid w:val="00FE5934"/>
    <w:rsid w:val="00FE5E76"/>
    <w:rsid w:val="00FE6650"/>
    <w:rsid w:val="00FF10F9"/>
    <w:rsid w:val="00FF13C1"/>
    <w:rsid w:val="00FF1A18"/>
    <w:rsid w:val="00FF2FB6"/>
    <w:rsid w:val="00FF32CD"/>
    <w:rsid w:val="00FF3E85"/>
    <w:rsid w:val="00FF52E1"/>
    <w:rsid w:val="00FF5950"/>
    <w:rsid w:val="00FF60DF"/>
    <w:rsid w:val="00FF76CA"/>
    <w:rsid w:val="00FF77F2"/>
    <w:rsid w:val="00FF7B3A"/>
    <w:rsid w:val="00FF7ED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uiPriority="99"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7981"/>
    <w:rPr>
      <w:sz w:val="24"/>
      <w:szCs w:val="24"/>
    </w:rPr>
  </w:style>
  <w:style w:type="paragraph" w:styleId="Heading1">
    <w:name w:val="heading 1"/>
    <w:basedOn w:val="Normal"/>
    <w:next w:val="Normal"/>
    <w:autoRedefine/>
    <w:qFormat/>
    <w:rsid w:val="00A904F2"/>
    <w:pPr>
      <w:keepNext/>
      <w:numPr>
        <w:numId w:val="10"/>
      </w:numPr>
      <w:spacing w:before="720" w:after="240"/>
      <w:ind w:left="0" w:firstLine="0"/>
      <w:jc w:val="center"/>
      <w:outlineLvl w:val="0"/>
    </w:pPr>
    <w:rPr>
      <w:rFonts w:ascii="Times New Roman Bold" w:hAnsi="Times New Roman Bold"/>
      <w:b/>
      <w:iCs/>
      <w:smallCaps/>
    </w:rPr>
  </w:style>
  <w:style w:type="paragraph" w:styleId="Heading2">
    <w:name w:val="heading 2"/>
    <w:basedOn w:val="Normal"/>
    <w:next w:val="Normal"/>
    <w:link w:val="Heading2Char"/>
    <w:qFormat/>
    <w:pPr>
      <w:keepNext/>
      <w:outlineLvl w:val="1"/>
    </w:pPr>
    <w:rPr>
      <w:b/>
      <w:bCs/>
    </w:rPr>
  </w:style>
  <w:style w:type="paragraph" w:styleId="Heading3">
    <w:name w:val="heading 3"/>
    <w:basedOn w:val="Normal"/>
    <w:next w:val="Normal"/>
    <w:qFormat/>
    <w:pPr>
      <w:keepNext/>
      <w:outlineLvl w:val="2"/>
    </w:pPr>
    <w:rPr>
      <w:b/>
      <w:bCs/>
      <w:i/>
      <w:iCs/>
    </w:rPr>
  </w:style>
  <w:style w:type="paragraph" w:styleId="Heading4">
    <w:name w:val="heading 4"/>
    <w:basedOn w:val="Normal"/>
    <w:next w:val="Normal"/>
    <w:qFormat/>
    <w:pPr>
      <w:keepNext/>
      <w:spacing w:before="120" w:after="120"/>
      <w:jc w:val="both"/>
      <w:outlineLvl w:val="3"/>
    </w:pPr>
    <w:rPr>
      <w:b/>
      <w:bCs/>
      <w:sz w:val="22"/>
    </w:rPr>
  </w:style>
  <w:style w:type="paragraph" w:styleId="Heading5">
    <w:name w:val="heading 5"/>
    <w:aliases w:val="Table"/>
    <w:basedOn w:val="Normal"/>
    <w:next w:val="Normal"/>
    <w:qFormat/>
    <w:pPr>
      <w:keepNext/>
      <w:tabs>
        <w:tab w:val="left" w:pos="1134"/>
      </w:tabs>
      <w:spacing w:before="240"/>
      <w:ind w:left="1296" w:hanging="1296"/>
      <w:outlineLvl w:val="4"/>
    </w:pPr>
    <w:rPr>
      <w:b/>
      <w:snapToGrid w:val="0"/>
      <w:szCs w:val="20"/>
      <w:lang w:val="uk-UA"/>
    </w:rPr>
  </w:style>
  <w:style w:type="paragraph" w:styleId="Heading6">
    <w:name w:val="heading 6"/>
    <w:basedOn w:val="Normal"/>
    <w:next w:val="Normal"/>
    <w:qFormat/>
    <w:pPr>
      <w:keepNext/>
      <w:jc w:val="both"/>
      <w:outlineLvl w:val="5"/>
    </w:pPr>
    <w:rPr>
      <w:b/>
      <w:sz w:val="20"/>
    </w:rPr>
  </w:style>
  <w:style w:type="paragraph" w:styleId="Heading7">
    <w:name w:val="heading 7"/>
    <w:basedOn w:val="Normal"/>
    <w:next w:val="Normal"/>
    <w:qFormat/>
    <w:pPr>
      <w:spacing w:before="240" w:after="60"/>
      <w:jc w:val="both"/>
      <w:outlineLvl w:val="6"/>
    </w:pPr>
    <w:rPr>
      <w:sz w:val="22"/>
    </w:rPr>
  </w:style>
  <w:style w:type="paragraph" w:styleId="Heading8">
    <w:name w:val="heading 8"/>
    <w:basedOn w:val="Normal"/>
    <w:next w:val="Normal"/>
    <w:qFormat/>
    <w:pPr>
      <w:spacing w:before="240" w:after="60"/>
      <w:jc w:val="both"/>
      <w:outlineLvl w:val="7"/>
    </w:pPr>
    <w:rPr>
      <w:i/>
      <w:iCs/>
      <w:sz w:val="22"/>
    </w:rPr>
  </w:style>
  <w:style w:type="paragraph" w:styleId="Heading9">
    <w:name w:val="heading 9"/>
    <w:basedOn w:val="Normal"/>
    <w:next w:val="Normal"/>
    <w:qFormat/>
    <w:pPr>
      <w:numPr>
        <w:numId w:val="8"/>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76D29"/>
    <w:rPr>
      <w:b/>
      <w:bCs/>
      <w:sz w:val="24"/>
      <w:szCs w:val="24"/>
      <w:lang w:val="en-US" w:eastAsia="en-US" w:bidi="ar-SA"/>
    </w:rPr>
  </w:style>
  <w:style w:type="paragraph" w:customStyle="1" w:styleId="Bankbody">
    <w:name w:val="Bank body"/>
    <w:basedOn w:val="Normal"/>
    <w:autoRedefine/>
    <w:rsid w:val="00D67483"/>
    <w:pPr>
      <w:spacing w:after="240"/>
      <w:jc w:val="both"/>
    </w:pPr>
    <w:rPr>
      <w:b/>
      <w:bCs/>
    </w:rPr>
  </w:style>
  <w:style w:type="paragraph" w:styleId="FootnoteText">
    <w:name w:val="footnote text"/>
    <w:aliases w:val="fn,Footnote Text Char Char Char Char Char Char,Footnote Text Char,single space,footnote text,FOOTNOTES,WB-Fußnotentext,Footnote,Fußnote"/>
    <w:basedOn w:val="Normal"/>
    <w:uiPriority w:val="99"/>
    <w:semiHidden/>
    <w:rPr>
      <w:sz w:val="20"/>
      <w:szCs w:val="20"/>
    </w:rPr>
  </w:style>
  <w:style w:type="character" w:styleId="FootnoteReference">
    <w:name w:val="footnote reference"/>
    <w:uiPriority w:val="99"/>
    <w:semiHidden/>
    <w:rPr>
      <w:vertAlign w:val="superscript"/>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pPr>
      <w:jc w:val="both"/>
    </w:pPr>
    <w:rPr>
      <w:lang w:eastAsia="ru-RU"/>
    </w:rPr>
  </w:style>
  <w:style w:type="paragraph" w:styleId="BodyTextIndent">
    <w:name w:val="Body Text Indent"/>
    <w:basedOn w:val="Normal"/>
    <w:pPr>
      <w:spacing w:after="120"/>
      <w:ind w:firstLine="720"/>
      <w:jc w:val="both"/>
    </w:pPr>
  </w:style>
  <w:style w:type="paragraph" w:customStyle="1" w:styleId="in-tabletext">
    <w:name w:val="in-table text"/>
    <w:basedOn w:val="Normal"/>
    <w:pPr>
      <w:keepNext/>
      <w:keepLines/>
      <w:spacing w:before="60" w:after="60"/>
    </w:pPr>
    <w:rPr>
      <w:snapToGrid w:val="0"/>
      <w:sz w:val="20"/>
      <w:szCs w:val="20"/>
      <w:lang w:val="fr-FR"/>
    </w:rPr>
  </w:style>
  <w:style w:type="paragraph" w:styleId="BodyText">
    <w:name w:val="Body Text"/>
    <w:basedOn w:val="Normal"/>
    <w:link w:val="BodyTextChar"/>
    <w:pPr>
      <w:jc w:val="both"/>
    </w:pPr>
  </w:style>
  <w:style w:type="paragraph" w:styleId="BodyTextIndent3">
    <w:name w:val="Body Text Indent 3"/>
    <w:basedOn w:val="Normal"/>
    <w:pPr>
      <w:spacing w:after="120"/>
      <w:ind w:firstLine="360"/>
      <w:jc w:val="both"/>
    </w:pPr>
  </w:style>
  <w:style w:type="paragraph" w:customStyle="1" w:styleId="BankHead2">
    <w:name w:val="Bank Head 2"/>
    <w:basedOn w:val="Title"/>
    <w:autoRedefine/>
    <w:rsid w:val="00C81466"/>
    <w:pPr>
      <w:spacing w:before="0" w:after="0"/>
      <w:jc w:val="right"/>
      <w:outlineLvl w:val="9"/>
    </w:pPr>
    <w:rPr>
      <w:rFonts w:ascii="Times New Roman" w:hAnsi="Times New Roman" w:cs="Times New Roman"/>
      <w:kern w:val="0"/>
      <w:sz w:val="22"/>
      <w:szCs w:val="22"/>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aliases w:val="Table title,Figure Head"/>
    <w:basedOn w:val="Normal"/>
    <w:next w:val="Normal"/>
    <w:link w:val="CaptionChar"/>
    <w:uiPriority w:val="99"/>
    <w:qFormat/>
    <w:pPr>
      <w:outlineLvl w:val="0"/>
    </w:pPr>
    <w:rPr>
      <w:b/>
      <w:sz w:val="22"/>
    </w:rPr>
  </w:style>
  <w:style w:type="paragraph" w:styleId="BalloonText">
    <w:name w:val="Balloon Text"/>
    <w:basedOn w:val="Normal"/>
    <w:semiHidden/>
    <w:rsid w:val="00316222"/>
    <w:rPr>
      <w:rFonts w:ascii="Tahoma" w:hAnsi="Tahoma" w:cs="Tahoma"/>
      <w:sz w:val="16"/>
      <w:szCs w:val="16"/>
    </w:rPr>
  </w:style>
  <w:style w:type="table" w:styleId="TableGrid">
    <w:name w:val="Table Grid"/>
    <w:basedOn w:val="TableNormal"/>
    <w:uiPriority w:val="59"/>
    <w:rsid w:val="001A7C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F00523"/>
    <w:rPr>
      <w:sz w:val="16"/>
      <w:szCs w:val="16"/>
    </w:rPr>
  </w:style>
  <w:style w:type="paragraph" w:styleId="NormalWeb">
    <w:name w:val="Normal (Web)"/>
    <w:basedOn w:val="Normal"/>
    <w:uiPriority w:val="99"/>
    <w:rsid w:val="0007460C"/>
    <w:pPr>
      <w:spacing w:before="100" w:beforeAutospacing="1" w:after="100" w:afterAutospacing="1"/>
    </w:pPr>
  </w:style>
  <w:style w:type="paragraph" w:styleId="Header">
    <w:name w:val="header"/>
    <w:basedOn w:val="Normal"/>
    <w:rsid w:val="00FD0B4F"/>
    <w:pPr>
      <w:tabs>
        <w:tab w:val="center" w:pos="4320"/>
        <w:tab w:val="right" w:pos="8640"/>
      </w:tabs>
    </w:pPr>
  </w:style>
  <w:style w:type="paragraph" w:customStyle="1" w:styleId="MainParawithChapter">
    <w:name w:val="Main Para with Chapter#"/>
    <w:basedOn w:val="Normal"/>
    <w:rsid w:val="009C62A3"/>
    <w:pPr>
      <w:numPr>
        <w:ilvl w:val="1"/>
        <w:numId w:val="10"/>
      </w:numPr>
    </w:pPr>
  </w:style>
  <w:style w:type="paragraph" w:customStyle="1" w:styleId="Sub-Para1underXY">
    <w:name w:val="Sub-Para 1 under X.Y"/>
    <w:basedOn w:val="Normal"/>
    <w:rsid w:val="009C62A3"/>
    <w:pPr>
      <w:numPr>
        <w:ilvl w:val="2"/>
        <w:numId w:val="10"/>
      </w:numPr>
    </w:pPr>
  </w:style>
  <w:style w:type="paragraph" w:customStyle="1" w:styleId="Sub-Para2underXY">
    <w:name w:val="Sub-Para 2 under X.Y"/>
    <w:basedOn w:val="Normal"/>
    <w:rsid w:val="009C62A3"/>
    <w:pPr>
      <w:numPr>
        <w:ilvl w:val="3"/>
        <w:numId w:val="10"/>
      </w:numPr>
    </w:pPr>
  </w:style>
  <w:style w:type="paragraph" w:customStyle="1" w:styleId="Sub-Para3underXY">
    <w:name w:val="Sub-Para 3 under X.Y"/>
    <w:basedOn w:val="Normal"/>
    <w:rsid w:val="009C62A3"/>
    <w:pPr>
      <w:numPr>
        <w:ilvl w:val="4"/>
        <w:numId w:val="10"/>
      </w:numPr>
    </w:pPr>
  </w:style>
  <w:style w:type="paragraph" w:customStyle="1" w:styleId="Sub-Para4underXY">
    <w:name w:val="Sub-Para 4 under X.Y"/>
    <w:basedOn w:val="Normal"/>
    <w:rsid w:val="009C62A3"/>
    <w:pPr>
      <w:numPr>
        <w:ilvl w:val="5"/>
        <w:numId w:val="10"/>
      </w:numPr>
    </w:pPr>
  </w:style>
  <w:style w:type="character" w:styleId="Hyperlink">
    <w:name w:val="Hyperlink"/>
    <w:uiPriority w:val="99"/>
    <w:rsid w:val="00D8627C"/>
    <w:rPr>
      <w:color w:val="0000FF"/>
      <w:u w:val="single"/>
    </w:rPr>
  </w:style>
  <w:style w:type="character" w:styleId="FollowedHyperlink">
    <w:name w:val="FollowedHyperlink"/>
    <w:rsid w:val="00FC1970"/>
    <w:rPr>
      <w:color w:val="606420"/>
      <w:u w:val="single"/>
    </w:rPr>
  </w:style>
  <w:style w:type="paragraph" w:customStyle="1" w:styleId="xl31">
    <w:name w:val="xl31"/>
    <w:basedOn w:val="Normal"/>
    <w:rsid w:val="004376CA"/>
    <w:pPr>
      <w:spacing w:before="100" w:beforeAutospacing="1" w:after="100" w:afterAutospacing="1"/>
      <w:jc w:val="center"/>
    </w:pPr>
    <w:rPr>
      <w:rFonts w:eastAsia="Arial Unicode MS"/>
    </w:rPr>
  </w:style>
  <w:style w:type="character" w:customStyle="1" w:styleId="medium-normal1">
    <w:name w:val="medium-normal1"/>
    <w:rsid w:val="00767796"/>
    <w:rPr>
      <w:rFonts w:ascii="Arial" w:hAnsi="Arial" w:cs="Arial" w:hint="default"/>
      <w:b w:val="0"/>
      <w:bCs w:val="0"/>
      <w:i w:val="0"/>
      <w:iCs w:val="0"/>
      <w:sz w:val="20"/>
      <w:szCs w:val="20"/>
    </w:rPr>
  </w:style>
  <w:style w:type="character" w:styleId="Emphasis">
    <w:name w:val="Emphasis"/>
    <w:qFormat/>
    <w:rsid w:val="00767796"/>
    <w:rPr>
      <w:i/>
      <w:iCs/>
    </w:rPr>
  </w:style>
  <w:style w:type="paragraph" w:customStyle="1" w:styleId="LBSHeading1">
    <w:name w:val="LBSHeading1"/>
    <w:basedOn w:val="Normal"/>
    <w:rsid w:val="00767796"/>
    <w:rPr>
      <w:rFonts w:ascii="TradeGothic Bold" w:hAnsi="TradeGothic Bold"/>
      <w:b/>
      <w:sz w:val="40"/>
      <w:szCs w:val="20"/>
    </w:rPr>
  </w:style>
  <w:style w:type="paragraph" w:customStyle="1" w:styleId="LBSHeading2">
    <w:name w:val="LBSHeading2"/>
    <w:basedOn w:val="LBSHeading1"/>
    <w:rsid w:val="00767796"/>
    <w:rPr>
      <w:sz w:val="28"/>
    </w:rPr>
  </w:style>
  <w:style w:type="paragraph" w:customStyle="1" w:styleId="LBSHeading3">
    <w:name w:val="LBSHeading3"/>
    <w:basedOn w:val="LBSHeading1"/>
    <w:rsid w:val="00767796"/>
    <w:rPr>
      <w:sz w:val="20"/>
    </w:rPr>
  </w:style>
  <w:style w:type="paragraph" w:customStyle="1" w:styleId="NormalParagraph">
    <w:name w:val="Normal Paragraph"/>
    <w:basedOn w:val="Normal"/>
    <w:rsid w:val="00767796"/>
    <w:pPr>
      <w:spacing w:line="340" w:lineRule="exact"/>
      <w:ind w:firstLine="397"/>
      <w:jc w:val="both"/>
    </w:pPr>
    <w:rPr>
      <w:rFonts w:ascii="MapInfo Cartographic" w:hAnsi="MapInfo Cartographic"/>
      <w:lang w:val="ru-RU" w:eastAsia="ru-RU"/>
    </w:rPr>
  </w:style>
  <w:style w:type="paragraph" w:customStyle="1" w:styleId="xl22">
    <w:name w:val="xl22"/>
    <w:basedOn w:val="Normal"/>
    <w:rsid w:val="00767796"/>
    <w:pPr>
      <w:spacing w:before="100" w:beforeAutospacing="1" w:after="100" w:afterAutospacing="1"/>
    </w:pPr>
    <w:rPr>
      <w:rFonts w:ascii="Arial" w:eastAsia="Arial Unicode MS" w:hAnsi="Arial" w:cs="Arial"/>
      <w:b/>
      <w:bCs/>
      <w:lang w:val="en-GB"/>
    </w:rPr>
  </w:style>
  <w:style w:type="paragraph" w:customStyle="1" w:styleId="xl23">
    <w:name w:val="xl23"/>
    <w:basedOn w:val="Normal"/>
    <w:rsid w:val="00767796"/>
    <w:pPr>
      <w:spacing w:before="100" w:beforeAutospacing="1" w:after="100" w:afterAutospacing="1"/>
      <w:jc w:val="right"/>
    </w:pPr>
    <w:rPr>
      <w:rFonts w:ascii="Arial Unicode MS" w:eastAsia="Arial Unicode MS" w:hAnsi="Arial Unicode MS" w:cs="Arial Unicode MS"/>
      <w:lang w:val="en-GB"/>
    </w:rPr>
  </w:style>
  <w:style w:type="paragraph" w:customStyle="1" w:styleId="BankNormal">
    <w:name w:val="BankNormal"/>
    <w:basedOn w:val="Normal"/>
    <w:rsid w:val="00E87B86"/>
    <w:pPr>
      <w:spacing w:after="240"/>
    </w:pPr>
    <w:rPr>
      <w:lang w:eastAsia="pl-PL"/>
    </w:rPr>
  </w:style>
  <w:style w:type="paragraph" w:styleId="TOC9">
    <w:name w:val="toc 9"/>
    <w:basedOn w:val="Normal"/>
    <w:next w:val="Normal"/>
    <w:autoRedefine/>
    <w:semiHidden/>
    <w:rsid w:val="00E87B86"/>
    <w:pPr>
      <w:ind w:left="1920"/>
    </w:pPr>
    <w:rPr>
      <w:szCs w:val="20"/>
    </w:rPr>
  </w:style>
  <w:style w:type="paragraph" w:customStyle="1" w:styleId="Heading1a">
    <w:name w:val="Heading 1a"/>
    <w:basedOn w:val="Normal"/>
    <w:next w:val="Normal"/>
    <w:link w:val="Heading1aChar"/>
    <w:rsid w:val="00BE1E8C"/>
    <w:pPr>
      <w:keepNext/>
      <w:keepLines/>
      <w:spacing w:before="1440" w:after="240"/>
      <w:jc w:val="center"/>
      <w:outlineLvl w:val="0"/>
    </w:pPr>
    <w:rPr>
      <w:b/>
      <w:caps/>
      <w:sz w:val="32"/>
    </w:rPr>
  </w:style>
  <w:style w:type="paragraph" w:customStyle="1" w:styleId="MainParanoChapter">
    <w:name w:val="Main Para no Chapter #"/>
    <w:basedOn w:val="Normal"/>
    <w:rsid w:val="00BE1E8C"/>
    <w:pPr>
      <w:tabs>
        <w:tab w:val="num" w:pos="720"/>
      </w:tabs>
      <w:spacing w:after="240"/>
      <w:ind w:left="720" w:hanging="720"/>
      <w:jc w:val="both"/>
      <w:outlineLvl w:val="1"/>
    </w:pPr>
  </w:style>
  <w:style w:type="paragraph" w:customStyle="1" w:styleId="Sub-Para1underX">
    <w:name w:val="Sub-Para 1 under X."/>
    <w:basedOn w:val="Normal"/>
    <w:rsid w:val="00BE1E8C"/>
    <w:pPr>
      <w:spacing w:after="240"/>
      <w:ind w:left="1440" w:hanging="720"/>
      <w:outlineLvl w:val="2"/>
    </w:pPr>
  </w:style>
  <w:style w:type="paragraph" w:customStyle="1" w:styleId="Sub-Para2underX">
    <w:name w:val="Sub-Para 2 under X."/>
    <w:basedOn w:val="Normal"/>
    <w:rsid w:val="00BE1E8C"/>
    <w:pPr>
      <w:spacing w:after="240"/>
      <w:ind w:left="2160" w:hanging="720"/>
      <w:outlineLvl w:val="3"/>
    </w:pPr>
  </w:style>
  <w:style w:type="paragraph" w:customStyle="1" w:styleId="Sub-Para3underX">
    <w:name w:val="Sub-Para 3 under X."/>
    <w:basedOn w:val="Normal"/>
    <w:rsid w:val="00BE1E8C"/>
    <w:pPr>
      <w:spacing w:after="240"/>
      <w:ind w:left="2880" w:hanging="720"/>
      <w:outlineLvl w:val="4"/>
    </w:pPr>
  </w:style>
  <w:style w:type="paragraph" w:customStyle="1" w:styleId="Sub-Para4underX">
    <w:name w:val="Sub-Para 4 under X."/>
    <w:basedOn w:val="Normal"/>
    <w:rsid w:val="00BE1E8C"/>
    <w:pPr>
      <w:spacing w:after="240"/>
      <w:ind w:left="3600" w:hanging="720"/>
      <w:outlineLvl w:val="5"/>
    </w:pPr>
  </w:style>
  <w:style w:type="paragraph" w:customStyle="1" w:styleId="xl26">
    <w:name w:val="xl26"/>
    <w:basedOn w:val="Normal"/>
    <w:rsid w:val="0039394E"/>
    <w:pPr>
      <w:spacing w:before="100" w:beforeAutospacing="1" w:after="100" w:afterAutospacing="1"/>
    </w:pPr>
    <w:rPr>
      <w:rFonts w:ascii="Arial CYR" w:eastAsia="Arial Unicode MS" w:hAnsi="Arial CYR"/>
      <w:b/>
      <w:bCs/>
      <w:lang w:val="en-GB"/>
    </w:rPr>
  </w:style>
  <w:style w:type="paragraph" w:styleId="BodyText3">
    <w:name w:val="Body Text 3"/>
    <w:basedOn w:val="Normal"/>
    <w:rsid w:val="00776D29"/>
    <w:pPr>
      <w:spacing w:after="120"/>
    </w:pPr>
    <w:rPr>
      <w:sz w:val="16"/>
      <w:szCs w:val="16"/>
      <w:lang w:val="ru-RU"/>
    </w:rPr>
  </w:style>
  <w:style w:type="paragraph" w:styleId="TOC1">
    <w:name w:val="toc 1"/>
    <w:basedOn w:val="Normal"/>
    <w:next w:val="Normal"/>
    <w:autoRedefine/>
    <w:uiPriority w:val="39"/>
    <w:rsid w:val="009575E7"/>
    <w:pPr>
      <w:tabs>
        <w:tab w:val="right" w:leader="dot" w:pos="9350"/>
      </w:tabs>
      <w:spacing w:after="240"/>
      <w:ind w:left="1440" w:hanging="1440"/>
    </w:pPr>
    <w:rPr>
      <w:rFonts w:ascii="Times New Roman Bold" w:hAnsi="Times New Roman Bold"/>
      <w:b/>
      <w:noProof/>
    </w:rPr>
  </w:style>
  <w:style w:type="paragraph" w:styleId="TOC2">
    <w:name w:val="toc 2"/>
    <w:basedOn w:val="Normal"/>
    <w:next w:val="Normal"/>
    <w:autoRedefine/>
    <w:uiPriority w:val="39"/>
    <w:rsid w:val="00F70263"/>
    <w:pPr>
      <w:tabs>
        <w:tab w:val="left" w:pos="720"/>
        <w:tab w:val="right" w:leader="dot" w:pos="9350"/>
      </w:tabs>
      <w:spacing w:after="120"/>
      <w:ind w:left="749" w:hanging="504"/>
    </w:pPr>
    <w:rPr>
      <w:b/>
      <w:noProof/>
    </w:rPr>
  </w:style>
  <w:style w:type="paragraph" w:customStyle="1" w:styleId="ParagraphNumbering">
    <w:name w:val="Paragraph Numbering"/>
    <w:basedOn w:val="Normal"/>
    <w:link w:val="ParagraphNumberingChar"/>
    <w:rsid w:val="002E3A5C"/>
    <w:pPr>
      <w:numPr>
        <w:numId w:val="3"/>
      </w:numPr>
      <w:spacing w:after="240"/>
    </w:pPr>
  </w:style>
  <w:style w:type="character" w:customStyle="1" w:styleId="ParagraphNumberingChar">
    <w:name w:val="Paragraph Numbering Char"/>
    <w:link w:val="ParagraphNumbering"/>
    <w:rsid w:val="002E3A5C"/>
    <w:rPr>
      <w:sz w:val="24"/>
      <w:szCs w:val="24"/>
      <w:lang w:val="en-US" w:eastAsia="en-US" w:bidi="ar-SA"/>
    </w:rPr>
  </w:style>
  <w:style w:type="paragraph" w:customStyle="1" w:styleId="NormalCorneliaCharChar">
    <w:name w:val="Normal Cornelia Char Char"/>
    <w:basedOn w:val="Normal"/>
    <w:rsid w:val="002E3A5C"/>
    <w:pPr>
      <w:spacing w:before="120" w:after="120"/>
      <w:jc w:val="both"/>
    </w:pPr>
    <w:rPr>
      <w:sz w:val="22"/>
    </w:rPr>
  </w:style>
  <w:style w:type="paragraph" w:styleId="BodyTextIndent2">
    <w:name w:val="Body Text Indent 2"/>
    <w:basedOn w:val="Normal"/>
    <w:rsid w:val="002E3A5C"/>
    <w:pPr>
      <w:spacing w:after="120" w:line="480" w:lineRule="auto"/>
      <w:ind w:left="360"/>
    </w:pPr>
  </w:style>
  <w:style w:type="paragraph" w:customStyle="1" w:styleId="Outline">
    <w:name w:val="Outline"/>
    <w:basedOn w:val="Normal"/>
    <w:rsid w:val="002E3A5C"/>
    <w:pPr>
      <w:spacing w:before="240"/>
    </w:pPr>
    <w:rPr>
      <w:kern w:val="28"/>
      <w:szCs w:val="20"/>
    </w:rPr>
  </w:style>
  <w:style w:type="paragraph" w:styleId="ListBullet">
    <w:name w:val="List Bullet"/>
    <w:basedOn w:val="Normal"/>
    <w:rsid w:val="002E3A5C"/>
    <w:pPr>
      <w:tabs>
        <w:tab w:val="num" w:pos="720"/>
      </w:tabs>
      <w:spacing w:after="240"/>
      <w:ind w:left="720" w:hanging="720"/>
    </w:pPr>
    <w:rPr>
      <w:szCs w:val="20"/>
    </w:rPr>
  </w:style>
  <w:style w:type="paragraph" w:customStyle="1" w:styleId="Bullet">
    <w:name w:val="Bullet"/>
    <w:basedOn w:val="Normal"/>
    <w:rsid w:val="004C2D9F"/>
    <w:pPr>
      <w:numPr>
        <w:numId w:val="4"/>
      </w:numPr>
    </w:pPr>
  </w:style>
  <w:style w:type="paragraph" w:customStyle="1" w:styleId="TableCaption">
    <w:name w:val="Table Caption"/>
    <w:basedOn w:val="Caption"/>
    <w:rsid w:val="004C2D9F"/>
    <w:pPr>
      <w:keepNext/>
      <w:spacing w:before="120" w:after="60"/>
      <w:jc w:val="center"/>
      <w:outlineLvl w:val="9"/>
    </w:pPr>
    <w:rPr>
      <w:rFonts w:ascii="Times New Roman Bold" w:hAnsi="Times New Roman Bold"/>
      <w:sz w:val="20"/>
      <w:szCs w:val="20"/>
    </w:rPr>
  </w:style>
  <w:style w:type="paragraph" w:customStyle="1" w:styleId="FigureCaption">
    <w:name w:val="Figure Caption"/>
    <w:basedOn w:val="Caption"/>
    <w:rsid w:val="004C2D9F"/>
    <w:pPr>
      <w:keepNext/>
      <w:spacing w:before="120" w:after="120"/>
      <w:jc w:val="center"/>
      <w:outlineLvl w:val="9"/>
    </w:pPr>
    <w:rPr>
      <w:sz w:val="20"/>
      <w:szCs w:val="20"/>
    </w:rPr>
  </w:style>
  <w:style w:type="paragraph" w:styleId="CommentText">
    <w:name w:val="annotation text"/>
    <w:basedOn w:val="Normal"/>
    <w:semiHidden/>
    <w:rsid w:val="004C2D9F"/>
    <w:pPr>
      <w:spacing w:before="120" w:after="120"/>
      <w:jc w:val="both"/>
    </w:pPr>
    <w:rPr>
      <w:rFonts w:ascii="NewtonC" w:hAnsi="NewtonC"/>
      <w:sz w:val="20"/>
      <w:szCs w:val="20"/>
      <w:lang w:val="uk-UA"/>
    </w:rPr>
  </w:style>
  <w:style w:type="paragraph" w:customStyle="1" w:styleId="Table-TextCharChar">
    <w:name w:val="Table-Text Char Char"/>
    <w:basedOn w:val="Normal"/>
    <w:rsid w:val="004C2D9F"/>
    <w:pPr>
      <w:spacing w:line="240" w:lineRule="atLeast"/>
    </w:pPr>
    <w:rPr>
      <w:rFonts w:cs="Arial"/>
      <w:sz w:val="20"/>
      <w:szCs w:val="20"/>
    </w:rPr>
  </w:style>
  <w:style w:type="paragraph" w:customStyle="1" w:styleId="BoxCaption">
    <w:name w:val="Box Caption"/>
    <w:basedOn w:val="Caption"/>
    <w:rsid w:val="004C2D9F"/>
    <w:pPr>
      <w:keepNext/>
      <w:spacing w:before="120" w:after="120"/>
      <w:jc w:val="center"/>
      <w:outlineLvl w:val="9"/>
    </w:pPr>
    <w:rPr>
      <w:sz w:val="20"/>
      <w:szCs w:val="20"/>
    </w:rPr>
  </w:style>
  <w:style w:type="paragraph" w:customStyle="1" w:styleId="ChartHead">
    <w:name w:val="Chart Head"/>
    <w:basedOn w:val="Caption"/>
    <w:rsid w:val="004C2D9F"/>
    <w:pPr>
      <w:spacing w:before="120" w:after="120"/>
      <w:outlineLvl w:val="9"/>
    </w:pPr>
    <w:rPr>
      <w:bCs/>
      <w:sz w:val="24"/>
      <w:szCs w:val="20"/>
    </w:rPr>
  </w:style>
  <w:style w:type="paragraph" w:customStyle="1" w:styleId="ChartHeader">
    <w:name w:val="Chart Header"/>
    <w:basedOn w:val="Normal"/>
    <w:rsid w:val="004C2D9F"/>
    <w:pPr>
      <w:widowControl w:val="0"/>
      <w:overflowPunct w:val="0"/>
      <w:autoSpaceDE w:val="0"/>
      <w:autoSpaceDN w:val="0"/>
      <w:adjustRightInd w:val="0"/>
      <w:spacing w:before="60" w:after="120"/>
      <w:jc w:val="center"/>
      <w:textAlignment w:val="baseline"/>
    </w:pPr>
    <w:rPr>
      <w:b/>
      <w:iCs/>
      <w:sz w:val="20"/>
      <w:szCs w:val="20"/>
    </w:rPr>
  </w:style>
  <w:style w:type="paragraph" w:customStyle="1" w:styleId="Sourcenote">
    <w:name w:val="Source note"/>
    <w:basedOn w:val="Normal"/>
    <w:rsid w:val="004C2D9F"/>
    <w:pPr>
      <w:spacing w:before="60" w:after="60" w:line="360" w:lineRule="auto"/>
    </w:pPr>
    <w:rPr>
      <w:sz w:val="18"/>
    </w:rPr>
  </w:style>
  <w:style w:type="paragraph" w:customStyle="1" w:styleId="TableHeadAuto">
    <w:name w:val="Table Head Auto"/>
    <w:basedOn w:val="Normal"/>
    <w:rsid w:val="004C2D9F"/>
    <w:pPr>
      <w:tabs>
        <w:tab w:val="left" w:pos="360"/>
        <w:tab w:val="num" w:pos="1440"/>
      </w:tabs>
      <w:spacing w:before="120" w:after="120"/>
      <w:ind w:left="360" w:hanging="360"/>
    </w:pPr>
    <w:rPr>
      <w:b/>
      <w:bCs/>
      <w:szCs w:val="20"/>
      <w:lang w:val="uk-UA"/>
    </w:rPr>
  </w:style>
  <w:style w:type="paragraph" w:customStyle="1" w:styleId="Boxheading">
    <w:name w:val="Box heading"/>
    <w:basedOn w:val="Heading3"/>
    <w:rsid w:val="004C2D9F"/>
    <w:pPr>
      <w:keepLines/>
      <w:spacing w:before="120" w:after="240"/>
      <w:jc w:val="center"/>
    </w:pPr>
    <w:rPr>
      <w:rFonts w:cs="Arial"/>
      <w:i w:val="0"/>
      <w:iCs w:val="0"/>
      <w:sz w:val="20"/>
      <w:szCs w:val="26"/>
    </w:rPr>
  </w:style>
  <w:style w:type="paragraph" w:customStyle="1" w:styleId="xl32">
    <w:name w:val="xl32"/>
    <w:basedOn w:val="Normal"/>
    <w:rsid w:val="004C2D9F"/>
    <w:pPr>
      <w:spacing w:before="100" w:beforeAutospacing="1" w:after="100" w:afterAutospacing="1"/>
    </w:pPr>
    <w:rPr>
      <w:rFonts w:eastAsia="Arial Unicode MS"/>
    </w:rPr>
  </w:style>
  <w:style w:type="paragraph" w:customStyle="1" w:styleId="xl33">
    <w:name w:val="xl33"/>
    <w:basedOn w:val="Normal"/>
    <w:rsid w:val="004C2D9F"/>
    <w:pPr>
      <w:pBdr>
        <w:right w:val="single" w:sz="4" w:space="0" w:color="auto"/>
      </w:pBdr>
      <w:spacing w:before="100" w:beforeAutospacing="1" w:after="100" w:afterAutospacing="1"/>
    </w:pPr>
    <w:rPr>
      <w:rFonts w:eastAsia="Arial Unicode MS"/>
    </w:rPr>
  </w:style>
  <w:style w:type="paragraph" w:customStyle="1" w:styleId="xl34">
    <w:name w:val="xl34"/>
    <w:basedOn w:val="Normal"/>
    <w:rsid w:val="004C2D9F"/>
    <w:pPr>
      <w:spacing w:before="100" w:beforeAutospacing="1" w:after="100" w:afterAutospacing="1"/>
      <w:jc w:val="center"/>
    </w:pPr>
    <w:rPr>
      <w:rFonts w:eastAsia="Arial Unicode MS"/>
    </w:rPr>
  </w:style>
  <w:style w:type="paragraph" w:customStyle="1" w:styleId="xl35">
    <w:name w:val="xl35"/>
    <w:basedOn w:val="Normal"/>
    <w:rsid w:val="004C2D9F"/>
    <w:pPr>
      <w:pBdr>
        <w:right w:val="single" w:sz="4" w:space="0" w:color="auto"/>
      </w:pBdr>
      <w:spacing w:before="100" w:beforeAutospacing="1" w:after="100" w:afterAutospacing="1"/>
      <w:jc w:val="center"/>
    </w:pPr>
    <w:rPr>
      <w:rFonts w:eastAsia="Arial Unicode MS"/>
    </w:rPr>
  </w:style>
  <w:style w:type="paragraph" w:customStyle="1" w:styleId="xl36">
    <w:name w:val="xl36"/>
    <w:basedOn w:val="Normal"/>
    <w:rsid w:val="004C2D9F"/>
    <w:pPr>
      <w:spacing w:before="100" w:beforeAutospacing="1" w:after="100" w:afterAutospacing="1"/>
      <w:jc w:val="center"/>
    </w:pPr>
    <w:rPr>
      <w:rFonts w:eastAsia="Arial Unicode MS"/>
    </w:rPr>
  </w:style>
  <w:style w:type="paragraph" w:customStyle="1" w:styleId="xl37">
    <w:name w:val="xl37"/>
    <w:basedOn w:val="Normal"/>
    <w:rsid w:val="004C2D9F"/>
    <w:pPr>
      <w:pBdr>
        <w:right w:val="single" w:sz="4" w:space="0" w:color="auto"/>
      </w:pBdr>
      <w:spacing w:before="100" w:beforeAutospacing="1" w:after="100" w:afterAutospacing="1"/>
      <w:jc w:val="center"/>
    </w:pPr>
    <w:rPr>
      <w:rFonts w:eastAsia="Arial Unicode MS"/>
    </w:rPr>
  </w:style>
  <w:style w:type="paragraph" w:customStyle="1" w:styleId="xl38">
    <w:name w:val="xl38"/>
    <w:basedOn w:val="Normal"/>
    <w:rsid w:val="004C2D9F"/>
    <w:pPr>
      <w:pBdr>
        <w:bottom w:val="single" w:sz="4" w:space="0" w:color="auto"/>
      </w:pBdr>
      <w:spacing w:before="100" w:beforeAutospacing="1" w:after="100" w:afterAutospacing="1"/>
      <w:jc w:val="center"/>
    </w:pPr>
    <w:rPr>
      <w:rFonts w:eastAsia="Arial Unicode MS"/>
    </w:rPr>
  </w:style>
  <w:style w:type="paragraph" w:customStyle="1" w:styleId="xl39">
    <w:name w:val="xl39"/>
    <w:basedOn w:val="Normal"/>
    <w:rsid w:val="004C2D9F"/>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40">
    <w:name w:val="xl40"/>
    <w:basedOn w:val="Normal"/>
    <w:rsid w:val="004C2D9F"/>
    <w:pPr>
      <w:pBdr>
        <w:top w:val="single" w:sz="4" w:space="0" w:color="auto"/>
        <w:bottom w:val="single" w:sz="4" w:space="0" w:color="auto"/>
      </w:pBdr>
      <w:spacing w:before="100" w:beforeAutospacing="1" w:after="100" w:afterAutospacing="1"/>
      <w:jc w:val="center"/>
    </w:pPr>
    <w:rPr>
      <w:rFonts w:eastAsia="Arial Unicode MS"/>
      <w:b/>
      <w:bCs/>
    </w:rPr>
  </w:style>
  <w:style w:type="paragraph" w:customStyle="1" w:styleId="xl41">
    <w:name w:val="xl41"/>
    <w:basedOn w:val="Normal"/>
    <w:rsid w:val="004C2D9F"/>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42">
    <w:name w:val="xl42"/>
    <w:basedOn w:val="Normal"/>
    <w:rsid w:val="004C2D9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43">
    <w:name w:val="xl43"/>
    <w:basedOn w:val="Normal"/>
    <w:rsid w:val="004C2D9F"/>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44">
    <w:name w:val="xl44"/>
    <w:basedOn w:val="Normal"/>
    <w:rsid w:val="004C2D9F"/>
    <w:pPr>
      <w:pBdr>
        <w:left w:val="single" w:sz="4" w:space="0" w:color="auto"/>
        <w:right w:val="single" w:sz="4" w:space="0" w:color="auto"/>
      </w:pBdr>
      <w:spacing w:before="100" w:beforeAutospacing="1" w:after="100" w:afterAutospacing="1"/>
    </w:pPr>
    <w:rPr>
      <w:rFonts w:eastAsia="Arial Unicode MS"/>
    </w:rPr>
  </w:style>
  <w:style w:type="paragraph" w:customStyle="1" w:styleId="xl45">
    <w:name w:val="xl45"/>
    <w:basedOn w:val="Normal"/>
    <w:rsid w:val="004C2D9F"/>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4">
    <w:name w:val="xl24"/>
    <w:basedOn w:val="Normal"/>
    <w:rsid w:val="004C2D9F"/>
    <w:pPr>
      <w:spacing w:before="100" w:beforeAutospacing="1" w:after="100" w:afterAutospacing="1"/>
    </w:pPr>
    <w:rPr>
      <w:rFonts w:eastAsia="Arial Unicode MS"/>
    </w:rPr>
  </w:style>
  <w:style w:type="paragraph" w:customStyle="1" w:styleId="xl25">
    <w:name w:val="xl25"/>
    <w:basedOn w:val="Normal"/>
    <w:rsid w:val="004C2D9F"/>
    <w:pPr>
      <w:spacing w:before="100" w:beforeAutospacing="1" w:after="100" w:afterAutospacing="1"/>
    </w:pPr>
    <w:rPr>
      <w:rFonts w:eastAsia="Arial Unicode MS"/>
      <w:sz w:val="16"/>
      <w:szCs w:val="16"/>
    </w:rPr>
  </w:style>
  <w:style w:type="paragraph" w:customStyle="1" w:styleId="xl27">
    <w:name w:val="xl27"/>
    <w:basedOn w:val="Normal"/>
    <w:rsid w:val="004C2D9F"/>
    <w:pPr>
      <w:spacing w:before="100" w:beforeAutospacing="1" w:after="100" w:afterAutospacing="1"/>
      <w:jc w:val="center"/>
    </w:pPr>
    <w:rPr>
      <w:rFonts w:eastAsia="Arial Unicode MS"/>
    </w:rPr>
  </w:style>
  <w:style w:type="paragraph" w:customStyle="1" w:styleId="xl28">
    <w:name w:val="xl28"/>
    <w:basedOn w:val="Normal"/>
    <w:rsid w:val="004C2D9F"/>
    <w:pPr>
      <w:spacing w:before="100" w:beforeAutospacing="1" w:after="100" w:afterAutospacing="1"/>
      <w:jc w:val="center"/>
    </w:pPr>
    <w:rPr>
      <w:rFonts w:eastAsia="Arial Unicode MS"/>
    </w:rPr>
  </w:style>
  <w:style w:type="paragraph" w:customStyle="1" w:styleId="xl29">
    <w:name w:val="xl29"/>
    <w:basedOn w:val="Normal"/>
    <w:rsid w:val="004C2D9F"/>
    <w:pPr>
      <w:pBdr>
        <w:top w:val="single" w:sz="4" w:space="0" w:color="auto"/>
      </w:pBdr>
      <w:spacing w:before="100" w:beforeAutospacing="1" w:after="100" w:afterAutospacing="1"/>
    </w:pPr>
    <w:rPr>
      <w:rFonts w:eastAsia="Arial Unicode MS"/>
    </w:rPr>
  </w:style>
  <w:style w:type="paragraph" w:customStyle="1" w:styleId="xl30">
    <w:name w:val="xl30"/>
    <w:basedOn w:val="Normal"/>
    <w:rsid w:val="004C2D9F"/>
    <w:pPr>
      <w:pBdr>
        <w:bottom w:val="single" w:sz="4" w:space="0" w:color="auto"/>
      </w:pBdr>
      <w:spacing w:before="100" w:beforeAutospacing="1" w:after="100" w:afterAutospacing="1"/>
    </w:pPr>
    <w:rPr>
      <w:rFonts w:eastAsia="Arial Unicode MS"/>
    </w:rPr>
  </w:style>
  <w:style w:type="paragraph" w:styleId="TableofFigures">
    <w:name w:val="table of figures"/>
    <w:basedOn w:val="Normal"/>
    <w:next w:val="Normal"/>
    <w:uiPriority w:val="99"/>
    <w:rsid w:val="008E31E0"/>
    <w:pPr>
      <w:ind w:left="480" w:hanging="480"/>
    </w:pPr>
    <w:rPr>
      <w:sz w:val="22"/>
    </w:rPr>
  </w:style>
  <w:style w:type="paragraph" w:customStyle="1" w:styleId="part">
    <w:name w:val="part"/>
    <w:basedOn w:val="Normal"/>
    <w:rsid w:val="004C2D9F"/>
    <w:pPr>
      <w:spacing w:before="100" w:beforeAutospacing="1" w:after="100" w:afterAutospacing="1"/>
    </w:pPr>
    <w:rPr>
      <w:rFonts w:ascii="Arial Unicode MS" w:eastAsia="Arial Unicode MS" w:hAnsi="Arial Unicode MS" w:cs="Arial Unicode MS"/>
      <w:b/>
      <w:bCs/>
    </w:rPr>
  </w:style>
  <w:style w:type="paragraph" w:customStyle="1" w:styleId="21">
    <w:name w:val="Заголовок2Бедность1"/>
    <w:basedOn w:val="Normal"/>
    <w:autoRedefine/>
    <w:rsid w:val="004C2D9F"/>
    <w:pPr>
      <w:tabs>
        <w:tab w:val="left" w:pos="0"/>
        <w:tab w:val="num" w:pos="1440"/>
      </w:tabs>
      <w:spacing w:after="160" w:line="360" w:lineRule="auto"/>
      <w:ind w:left="1440" w:hanging="360"/>
      <w:jc w:val="both"/>
    </w:pPr>
    <w:rPr>
      <w:b/>
      <w:lang w:val="ru-RU" w:eastAsia="be-BY"/>
    </w:rPr>
  </w:style>
  <w:style w:type="paragraph" w:customStyle="1" w:styleId="1">
    <w:name w:val="Заголовок1Бедность"/>
    <w:basedOn w:val="Normal"/>
    <w:autoRedefine/>
    <w:rsid w:val="004C2D9F"/>
    <w:pPr>
      <w:numPr>
        <w:ilvl w:val="1"/>
        <w:numId w:val="5"/>
      </w:numPr>
      <w:tabs>
        <w:tab w:val="clear" w:pos="792"/>
      </w:tabs>
      <w:ind w:left="0" w:firstLine="0"/>
      <w:jc w:val="center"/>
      <w:outlineLvl w:val="0"/>
    </w:pPr>
    <w:rPr>
      <w:b/>
      <w:bCs/>
      <w:caps/>
      <w:sz w:val="32"/>
      <w:lang w:val="ru-RU" w:eastAsia="be-BY"/>
    </w:rPr>
  </w:style>
  <w:style w:type="paragraph" w:styleId="CommentSubject">
    <w:name w:val="annotation subject"/>
    <w:basedOn w:val="CommentText"/>
    <w:next w:val="CommentText"/>
    <w:semiHidden/>
    <w:rsid w:val="004C2D9F"/>
    <w:pPr>
      <w:spacing w:before="0" w:after="0"/>
      <w:jc w:val="left"/>
    </w:pPr>
    <w:rPr>
      <w:rFonts w:ascii="Times New Roman" w:hAnsi="Times New Roman"/>
      <w:b/>
      <w:bCs/>
      <w:lang w:val="en-US"/>
    </w:rPr>
  </w:style>
  <w:style w:type="paragraph" w:customStyle="1" w:styleId="Style1">
    <w:name w:val="Style1"/>
    <w:basedOn w:val="TOC1"/>
    <w:rsid w:val="00257E5F"/>
    <w:pPr>
      <w:spacing w:line="480" w:lineRule="auto"/>
    </w:pPr>
    <w:rPr>
      <w:sz w:val="22"/>
      <w:szCs w:val="22"/>
    </w:rPr>
  </w:style>
  <w:style w:type="paragraph" w:customStyle="1" w:styleId="Style2">
    <w:name w:val="Style2"/>
    <w:basedOn w:val="TOC1"/>
    <w:rsid w:val="001C46ED"/>
    <w:pPr>
      <w:spacing w:after="0"/>
    </w:pPr>
    <w:rPr>
      <w:sz w:val="22"/>
      <w:szCs w:val="22"/>
    </w:rPr>
  </w:style>
  <w:style w:type="paragraph" w:customStyle="1" w:styleId="Style3">
    <w:name w:val="Style3"/>
    <w:basedOn w:val="TOC2"/>
    <w:rsid w:val="00257E5F"/>
    <w:pPr>
      <w:spacing w:line="480" w:lineRule="auto"/>
    </w:pPr>
    <w:rPr>
      <w:sz w:val="22"/>
      <w:szCs w:val="22"/>
    </w:rPr>
  </w:style>
  <w:style w:type="paragraph" w:customStyle="1" w:styleId="Style4">
    <w:name w:val="Style4"/>
    <w:basedOn w:val="TOC2"/>
    <w:rsid w:val="007128EC"/>
    <w:pPr>
      <w:ind w:left="965" w:hanging="720"/>
    </w:pPr>
  </w:style>
  <w:style w:type="paragraph" w:customStyle="1" w:styleId="Style5">
    <w:name w:val="Style5"/>
    <w:basedOn w:val="Style2"/>
    <w:rsid w:val="00DB7237"/>
    <w:pPr>
      <w:spacing w:line="360" w:lineRule="auto"/>
    </w:pPr>
  </w:style>
  <w:style w:type="paragraph" w:customStyle="1" w:styleId="Style6">
    <w:name w:val="Style6"/>
    <w:basedOn w:val="Style2"/>
    <w:rsid w:val="00DB7237"/>
    <w:pPr>
      <w:spacing w:line="360" w:lineRule="auto"/>
    </w:pPr>
  </w:style>
  <w:style w:type="paragraph" w:customStyle="1" w:styleId="Style7">
    <w:name w:val="Style7"/>
    <w:basedOn w:val="TOC2"/>
    <w:rsid w:val="00DB7237"/>
    <w:pPr>
      <w:ind w:left="965" w:hanging="720"/>
    </w:pPr>
    <w:rPr>
      <w:rFonts w:ascii="Times New Roman Bold" w:hAnsi="Times New Roman Bold" w:cs="Arial"/>
      <w:smallCaps/>
      <w:lang w:eastAsia="ru-RU"/>
    </w:rPr>
  </w:style>
  <w:style w:type="paragraph" w:customStyle="1" w:styleId="Style8">
    <w:name w:val="Style8"/>
    <w:basedOn w:val="Style2"/>
    <w:rsid w:val="001C46ED"/>
    <w:pPr>
      <w:spacing w:after="120"/>
    </w:pPr>
  </w:style>
  <w:style w:type="paragraph" w:styleId="TOC3">
    <w:name w:val="toc 3"/>
    <w:basedOn w:val="Normal"/>
    <w:next w:val="Normal"/>
    <w:autoRedefine/>
    <w:semiHidden/>
    <w:rsid w:val="001C46ED"/>
    <w:pPr>
      <w:ind w:left="480"/>
    </w:pPr>
  </w:style>
  <w:style w:type="paragraph" w:styleId="TOC4">
    <w:name w:val="toc 4"/>
    <w:basedOn w:val="Normal"/>
    <w:next w:val="Normal"/>
    <w:autoRedefine/>
    <w:semiHidden/>
    <w:rsid w:val="001C46ED"/>
    <w:pPr>
      <w:ind w:left="720"/>
    </w:pPr>
  </w:style>
  <w:style w:type="paragraph" w:styleId="TOC5">
    <w:name w:val="toc 5"/>
    <w:basedOn w:val="Normal"/>
    <w:next w:val="Normal"/>
    <w:autoRedefine/>
    <w:semiHidden/>
    <w:rsid w:val="001C46ED"/>
    <w:pPr>
      <w:ind w:left="960"/>
    </w:pPr>
  </w:style>
  <w:style w:type="paragraph" w:styleId="TOC6">
    <w:name w:val="toc 6"/>
    <w:basedOn w:val="Normal"/>
    <w:next w:val="Normal"/>
    <w:autoRedefine/>
    <w:semiHidden/>
    <w:rsid w:val="001C46ED"/>
    <w:pPr>
      <w:ind w:left="1200"/>
    </w:pPr>
  </w:style>
  <w:style w:type="paragraph" w:styleId="TOC7">
    <w:name w:val="toc 7"/>
    <w:basedOn w:val="Normal"/>
    <w:next w:val="Normal"/>
    <w:autoRedefine/>
    <w:semiHidden/>
    <w:rsid w:val="001C46ED"/>
    <w:pPr>
      <w:ind w:left="1440"/>
    </w:pPr>
  </w:style>
  <w:style w:type="paragraph" w:styleId="TOC8">
    <w:name w:val="toc 8"/>
    <w:basedOn w:val="Normal"/>
    <w:next w:val="Normal"/>
    <w:autoRedefine/>
    <w:semiHidden/>
    <w:rsid w:val="001C46ED"/>
    <w:pPr>
      <w:ind w:left="1680"/>
    </w:pPr>
  </w:style>
  <w:style w:type="paragraph" w:customStyle="1" w:styleId="Style9">
    <w:name w:val="Style9"/>
    <w:basedOn w:val="Heading2"/>
    <w:rsid w:val="00DC717C"/>
    <w:pPr>
      <w:numPr>
        <w:numId w:val="1"/>
      </w:numPr>
      <w:jc w:val="center"/>
    </w:pPr>
    <w:rPr>
      <w:rFonts w:ascii="Times New Roman Bold" w:hAnsi="Times New Roman Bold"/>
      <w:smallCaps/>
    </w:rPr>
  </w:style>
  <w:style w:type="character" w:customStyle="1" w:styleId="Heading1aChar">
    <w:name w:val="Heading 1a Char"/>
    <w:link w:val="Heading1a"/>
    <w:rsid w:val="00C2484B"/>
    <w:rPr>
      <w:b/>
      <w:caps/>
      <w:sz w:val="32"/>
      <w:szCs w:val="24"/>
      <w:lang w:val="en-US" w:eastAsia="en-US" w:bidi="ar-SA"/>
    </w:rPr>
  </w:style>
  <w:style w:type="character" w:customStyle="1" w:styleId="BodyTextChar">
    <w:name w:val="Body Text Char"/>
    <w:link w:val="BodyText"/>
    <w:rsid w:val="00C2484B"/>
    <w:rPr>
      <w:sz w:val="24"/>
      <w:szCs w:val="24"/>
      <w:lang w:val="en-US" w:eastAsia="en-US" w:bidi="ar-SA"/>
    </w:rPr>
  </w:style>
  <w:style w:type="paragraph" w:customStyle="1" w:styleId="StyleHeading2CenteredLeft05">
    <w:name w:val="Style Heading 2 + Centered Left:  0.5&quot;"/>
    <w:basedOn w:val="Heading2"/>
    <w:rsid w:val="00C860C9"/>
    <w:pPr>
      <w:numPr>
        <w:numId w:val="9"/>
      </w:numPr>
      <w:jc w:val="center"/>
    </w:pPr>
    <w:rPr>
      <w:szCs w:val="20"/>
    </w:rPr>
  </w:style>
  <w:style w:type="paragraph" w:customStyle="1" w:styleId="StyleHeading2TimesNewRomanBold11ptSmallcapsCentered">
    <w:name w:val="Style Heading 2 + Times New Roman Bold 11 pt Small caps Centered..."/>
    <w:basedOn w:val="Heading2"/>
    <w:rsid w:val="00C860C9"/>
    <w:pPr>
      <w:spacing w:before="240" w:after="120"/>
      <w:jc w:val="center"/>
    </w:pPr>
    <w:rPr>
      <w:rFonts w:ascii="Times New Roman Bold" w:hAnsi="Times New Roman Bold"/>
      <w:smallCaps/>
      <w:sz w:val="22"/>
      <w:szCs w:val="20"/>
    </w:rPr>
  </w:style>
  <w:style w:type="paragraph" w:customStyle="1" w:styleId="Style12">
    <w:name w:val="Style12"/>
    <w:basedOn w:val="Heading2"/>
    <w:rsid w:val="0086771F"/>
    <w:pPr>
      <w:keepLines/>
      <w:numPr>
        <w:numId w:val="14"/>
      </w:numPr>
      <w:spacing w:before="120"/>
      <w:jc w:val="center"/>
    </w:pPr>
    <w:rPr>
      <w:rFonts w:ascii="Times New Roman Bold" w:hAnsi="Times New Roman Bold" w:cs="Arial"/>
      <w:bCs w:val="0"/>
      <w:iCs/>
      <w:smallCaps/>
      <w:sz w:val="22"/>
      <w:szCs w:val="28"/>
    </w:rPr>
  </w:style>
  <w:style w:type="paragraph" w:customStyle="1" w:styleId="Style13">
    <w:name w:val="Style13"/>
    <w:basedOn w:val="Normal"/>
    <w:rsid w:val="0086771F"/>
    <w:pPr>
      <w:tabs>
        <w:tab w:val="left" w:pos="360"/>
      </w:tabs>
      <w:jc w:val="center"/>
    </w:pPr>
    <w:rPr>
      <w:b/>
      <w:sz w:val="22"/>
      <w:szCs w:val="22"/>
    </w:rPr>
  </w:style>
  <w:style w:type="paragraph" w:styleId="BodyTextFirstIndent">
    <w:name w:val="Body Text First Indent"/>
    <w:basedOn w:val="BodyText"/>
    <w:rsid w:val="00492883"/>
    <w:pPr>
      <w:spacing w:after="120"/>
      <w:ind w:firstLine="210"/>
      <w:jc w:val="left"/>
    </w:pPr>
  </w:style>
  <w:style w:type="paragraph" w:customStyle="1" w:styleId="Tables">
    <w:name w:val="Tables"/>
    <w:basedOn w:val="Normal"/>
    <w:rsid w:val="00492883"/>
    <w:pPr>
      <w:keepNext/>
    </w:pPr>
    <w:rPr>
      <w:sz w:val="18"/>
      <w:szCs w:val="20"/>
    </w:rPr>
  </w:style>
  <w:style w:type="table" w:styleId="TableSimple1">
    <w:name w:val="Table Simple 1"/>
    <w:basedOn w:val="TableNormal"/>
    <w:rsid w:val="0049288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5">
    <w:name w:val="Table Grid 5"/>
    <w:basedOn w:val="TableNormal"/>
    <w:rsid w:val="0049288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1A0">
    <w:name w:val="Heading1A"/>
    <w:basedOn w:val="Heading1"/>
    <w:link w:val="Heading1AChar0"/>
    <w:uiPriority w:val="99"/>
    <w:rsid w:val="00765DFE"/>
    <w:pPr>
      <w:keepLines/>
      <w:numPr>
        <w:numId w:val="0"/>
      </w:numPr>
      <w:spacing w:line="276" w:lineRule="auto"/>
    </w:pPr>
    <w:rPr>
      <w:b w:val="0"/>
      <w:bCs/>
      <w:i/>
      <w:iCs w:val="0"/>
      <w:smallCaps w:val="0"/>
      <w:sz w:val="22"/>
      <w:szCs w:val="28"/>
    </w:rPr>
  </w:style>
  <w:style w:type="character" w:customStyle="1" w:styleId="Heading1AChar0">
    <w:name w:val="Heading1A Char"/>
    <w:link w:val="Heading1A0"/>
    <w:uiPriority w:val="99"/>
    <w:locked/>
    <w:rsid w:val="00765DFE"/>
    <w:rPr>
      <w:rFonts w:ascii="Times New Roman Bold" w:hAnsi="Times New Roman Bold"/>
      <w:b/>
      <w:bCs/>
      <w:smallCaps/>
      <w:sz w:val="22"/>
      <w:szCs w:val="28"/>
    </w:rPr>
  </w:style>
  <w:style w:type="paragraph" w:styleId="ListParagraph">
    <w:name w:val="List Paragraph"/>
    <w:basedOn w:val="Normal"/>
    <w:uiPriority w:val="99"/>
    <w:qFormat/>
    <w:rsid w:val="00E63056"/>
    <w:pPr>
      <w:ind w:left="720"/>
    </w:pPr>
  </w:style>
  <w:style w:type="paragraph" w:customStyle="1" w:styleId="Num-DocParagraph">
    <w:name w:val="Num-Doc Paragraph"/>
    <w:basedOn w:val="BodyText"/>
    <w:uiPriority w:val="99"/>
    <w:rsid w:val="009D7352"/>
    <w:pPr>
      <w:tabs>
        <w:tab w:val="left" w:pos="850"/>
        <w:tab w:val="left" w:pos="1191"/>
        <w:tab w:val="left" w:pos="1531"/>
      </w:tabs>
      <w:spacing w:after="240"/>
    </w:pPr>
    <w:rPr>
      <w:sz w:val="22"/>
      <w:szCs w:val="22"/>
      <w:lang w:val="en-GB" w:eastAsia="zh-CN"/>
    </w:rPr>
  </w:style>
  <w:style w:type="paragraph" w:customStyle="1" w:styleId="Figure1">
    <w:name w:val="Figure1"/>
    <w:basedOn w:val="Caption"/>
    <w:autoRedefine/>
    <w:uiPriority w:val="99"/>
    <w:rsid w:val="00FB714A"/>
    <w:pPr>
      <w:jc w:val="both"/>
      <w:outlineLvl w:val="9"/>
    </w:pPr>
    <w:rPr>
      <w:bCs/>
    </w:rPr>
  </w:style>
  <w:style w:type="paragraph" w:customStyle="1" w:styleId="TableA">
    <w:name w:val="TableA"/>
    <w:basedOn w:val="Caption"/>
    <w:uiPriority w:val="99"/>
    <w:rsid w:val="009D7352"/>
    <w:pPr>
      <w:keepNext/>
      <w:spacing w:after="200"/>
      <w:jc w:val="center"/>
      <w:outlineLvl w:val="9"/>
    </w:pPr>
    <w:rPr>
      <w:bCs/>
      <w:szCs w:val="22"/>
    </w:rPr>
  </w:style>
  <w:style w:type="character" w:customStyle="1" w:styleId="apple-converted-space">
    <w:name w:val="apple-converted-space"/>
    <w:uiPriority w:val="99"/>
    <w:rsid w:val="0076410A"/>
    <w:rPr>
      <w:rFonts w:cs="Times New Roman"/>
    </w:rPr>
  </w:style>
  <w:style w:type="character" w:customStyle="1" w:styleId="FooterChar">
    <w:name w:val="Footer Char"/>
    <w:link w:val="Footer"/>
    <w:uiPriority w:val="99"/>
    <w:rsid w:val="00E527C8"/>
    <w:rPr>
      <w:sz w:val="24"/>
      <w:szCs w:val="24"/>
    </w:rPr>
  </w:style>
  <w:style w:type="character" w:customStyle="1" w:styleId="st">
    <w:name w:val="st"/>
    <w:rsid w:val="00466BAA"/>
  </w:style>
  <w:style w:type="paragraph" w:customStyle="1" w:styleId="Style10">
    <w:name w:val="Style10"/>
    <w:basedOn w:val="Caption"/>
    <w:link w:val="Style10Char"/>
    <w:qFormat/>
    <w:rsid w:val="000121DE"/>
    <w:pPr>
      <w:keepNext/>
      <w:jc w:val="center"/>
    </w:pPr>
    <w:rPr>
      <w:b w:val="0"/>
      <w:bCs/>
      <w:color w:val="4F81BD"/>
    </w:rPr>
  </w:style>
  <w:style w:type="paragraph" w:styleId="EndnoteText">
    <w:name w:val="endnote text"/>
    <w:basedOn w:val="Normal"/>
    <w:link w:val="EndnoteTextChar"/>
    <w:rsid w:val="001F4C64"/>
    <w:rPr>
      <w:sz w:val="20"/>
      <w:szCs w:val="20"/>
    </w:rPr>
  </w:style>
  <w:style w:type="character" w:customStyle="1" w:styleId="CaptionChar">
    <w:name w:val="Caption Char"/>
    <w:aliases w:val="Table title Char,Figure Head Char"/>
    <w:link w:val="Caption"/>
    <w:uiPriority w:val="99"/>
    <w:rsid w:val="000121DE"/>
    <w:rPr>
      <w:b/>
      <w:sz w:val="22"/>
      <w:szCs w:val="24"/>
    </w:rPr>
  </w:style>
  <w:style w:type="character" w:customStyle="1" w:styleId="Style10Char">
    <w:name w:val="Style10 Char"/>
    <w:link w:val="Style10"/>
    <w:rsid w:val="000121DE"/>
    <w:rPr>
      <w:b w:val="0"/>
      <w:bCs/>
      <w:color w:val="4F81BD"/>
      <w:sz w:val="22"/>
      <w:szCs w:val="24"/>
    </w:rPr>
  </w:style>
  <w:style w:type="character" w:customStyle="1" w:styleId="EndnoteTextChar">
    <w:name w:val="Endnote Text Char"/>
    <w:basedOn w:val="DefaultParagraphFont"/>
    <w:link w:val="EndnoteText"/>
    <w:rsid w:val="001F4C64"/>
  </w:style>
  <w:style w:type="character" w:styleId="EndnoteReference">
    <w:name w:val="endnote reference"/>
    <w:basedOn w:val="DefaultParagraphFont"/>
    <w:rsid w:val="001F4C6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uiPriority="99"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7981"/>
    <w:rPr>
      <w:sz w:val="24"/>
      <w:szCs w:val="24"/>
    </w:rPr>
  </w:style>
  <w:style w:type="paragraph" w:styleId="Heading1">
    <w:name w:val="heading 1"/>
    <w:basedOn w:val="Normal"/>
    <w:next w:val="Normal"/>
    <w:autoRedefine/>
    <w:qFormat/>
    <w:rsid w:val="00A904F2"/>
    <w:pPr>
      <w:keepNext/>
      <w:numPr>
        <w:numId w:val="10"/>
      </w:numPr>
      <w:spacing w:before="720" w:after="240"/>
      <w:ind w:left="0" w:firstLine="0"/>
      <w:jc w:val="center"/>
      <w:outlineLvl w:val="0"/>
    </w:pPr>
    <w:rPr>
      <w:rFonts w:ascii="Times New Roman Bold" w:hAnsi="Times New Roman Bold"/>
      <w:b/>
      <w:iCs/>
      <w:smallCaps/>
    </w:rPr>
  </w:style>
  <w:style w:type="paragraph" w:styleId="Heading2">
    <w:name w:val="heading 2"/>
    <w:basedOn w:val="Normal"/>
    <w:next w:val="Normal"/>
    <w:link w:val="Heading2Char"/>
    <w:qFormat/>
    <w:pPr>
      <w:keepNext/>
      <w:outlineLvl w:val="1"/>
    </w:pPr>
    <w:rPr>
      <w:b/>
      <w:bCs/>
    </w:rPr>
  </w:style>
  <w:style w:type="paragraph" w:styleId="Heading3">
    <w:name w:val="heading 3"/>
    <w:basedOn w:val="Normal"/>
    <w:next w:val="Normal"/>
    <w:qFormat/>
    <w:pPr>
      <w:keepNext/>
      <w:outlineLvl w:val="2"/>
    </w:pPr>
    <w:rPr>
      <w:b/>
      <w:bCs/>
      <w:i/>
      <w:iCs/>
    </w:rPr>
  </w:style>
  <w:style w:type="paragraph" w:styleId="Heading4">
    <w:name w:val="heading 4"/>
    <w:basedOn w:val="Normal"/>
    <w:next w:val="Normal"/>
    <w:qFormat/>
    <w:pPr>
      <w:keepNext/>
      <w:spacing w:before="120" w:after="120"/>
      <w:jc w:val="both"/>
      <w:outlineLvl w:val="3"/>
    </w:pPr>
    <w:rPr>
      <w:b/>
      <w:bCs/>
      <w:sz w:val="22"/>
    </w:rPr>
  </w:style>
  <w:style w:type="paragraph" w:styleId="Heading5">
    <w:name w:val="heading 5"/>
    <w:aliases w:val="Table"/>
    <w:basedOn w:val="Normal"/>
    <w:next w:val="Normal"/>
    <w:qFormat/>
    <w:pPr>
      <w:keepNext/>
      <w:tabs>
        <w:tab w:val="left" w:pos="1134"/>
      </w:tabs>
      <w:spacing w:before="240"/>
      <w:ind w:left="1296" w:hanging="1296"/>
      <w:outlineLvl w:val="4"/>
    </w:pPr>
    <w:rPr>
      <w:b/>
      <w:snapToGrid w:val="0"/>
      <w:szCs w:val="20"/>
      <w:lang w:val="uk-UA"/>
    </w:rPr>
  </w:style>
  <w:style w:type="paragraph" w:styleId="Heading6">
    <w:name w:val="heading 6"/>
    <w:basedOn w:val="Normal"/>
    <w:next w:val="Normal"/>
    <w:qFormat/>
    <w:pPr>
      <w:keepNext/>
      <w:jc w:val="both"/>
      <w:outlineLvl w:val="5"/>
    </w:pPr>
    <w:rPr>
      <w:b/>
      <w:sz w:val="20"/>
    </w:rPr>
  </w:style>
  <w:style w:type="paragraph" w:styleId="Heading7">
    <w:name w:val="heading 7"/>
    <w:basedOn w:val="Normal"/>
    <w:next w:val="Normal"/>
    <w:qFormat/>
    <w:pPr>
      <w:spacing w:before="240" w:after="60"/>
      <w:jc w:val="both"/>
      <w:outlineLvl w:val="6"/>
    </w:pPr>
    <w:rPr>
      <w:sz w:val="22"/>
    </w:rPr>
  </w:style>
  <w:style w:type="paragraph" w:styleId="Heading8">
    <w:name w:val="heading 8"/>
    <w:basedOn w:val="Normal"/>
    <w:next w:val="Normal"/>
    <w:qFormat/>
    <w:pPr>
      <w:spacing w:before="240" w:after="60"/>
      <w:jc w:val="both"/>
      <w:outlineLvl w:val="7"/>
    </w:pPr>
    <w:rPr>
      <w:i/>
      <w:iCs/>
      <w:sz w:val="22"/>
    </w:rPr>
  </w:style>
  <w:style w:type="paragraph" w:styleId="Heading9">
    <w:name w:val="heading 9"/>
    <w:basedOn w:val="Normal"/>
    <w:next w:val="Normal"/>
    <w:qFormat/>
    <w:pPr>
      <w:numPr>
        <w:numId w:val="8"/>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76D29"/>
    <w:rPr>
      <w:b/>
      <w:bCs/>
      <w:sz w:val="24"/>
      <w:szCs w:val="24"/>
      <w:lang w:val="en-US" w:eastAsia="en-US" w:bidi="ar-SA"/>
    </w:rPr>
  </w:style>
  <w:style w:type="paragraph" w:customStyle="1" w:styleId="Bankbody">
    <w:name w:val="Bank body"/>
    <w:basedOn w:val="Normal"/>
    <w:autoRedefine/>
    <w:rsid w:val="00D67483"/>
    <w:pPr>
      <w:spacing w:after="240"/>
      <w:jc w:val="both"/>
    </w:pPr>
    <w:rPr>
      <w:b/>
      <w:bCs/>
    </w:rPr>
  </w:style>
  <w:style w:type="paragraph" w:styleId="FootnoteText">
    <w:name w:val="footnote text"/>
    <w:aliases w:val="fn,Footnote Text Char Char Char Char Char Char,Footnote Text Char,single space,footnote text,FOOTNOTES,WB-Fußnotentext,Footnote,Fußnote"/>
    <w:basedOn w:val="Normal"/>
    <w:uiPriority w:val="99"/>
    <w:semiHidden/>
    <w:rPr>
      <w:sz w:val="20"/>
      <w:szCs w:val="20"/>
    </w:rPr>
  </w:style>
  <w:style w:type="character" w:styleId="FootnoteReference">
    <w:name w:val="footnote reference"/>
    <w:uiPriority w:val="99"/>
    <w:semiHidden/>
    <w:rPr>
      <w:vertAlign w:val="superscript"/>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pPr>
      <w:jc w:val="both"/>
    </w:pPr>
    <w:rPr>
      <w:lang w:eastAsia="ru-RU"/>
    </w:rPr>
  </w:style>
  <w:style w:type="paragraph" w:styleId="BodyTextIndent">
    <w:name w:val="Body Text Indent"/>
    <w:basedOn w:val="Normal"/>
    <w:pPr>
      <w:spacing w:after="120"/>
      <w:ind w:firstLine="720"/>
      <w:jc w:val="both"/>
    </w:pPr>
  </w:style>
  <w:style w:type="paragraph" w:customStyle="1" w:styleId="in-tabletext">
    <w:name w:val="in-table text"/>
    <w:basedOn w:val="Normal"/>
    <w:pPr>
      <w:keepNext/>
      <w:keepLines/>
      <w:spacing w:before="60" w:after="60"/>
    </w:pPr>
    <w:rPr>
      <w:snapToGrid w:val="0"/>
      <w:sz w:val="20"/>
      <w:szCs w:val="20"/>
      <w:lang w:val="fr-FR"/>
    </w:rPr>
  </w:style>
  <w:style w:type="paragraph" w:styleId="BodyText">
    <w:name w:val="Body Text"/>
    <w:basedOn w:val="Normal"/>
    <w:link w:val="BodyTextChar"/>
    <w:pPr>
      <w:jc w:val="both"/>
    </w:pPr>
  </w:style>
  <w:style w:type="paragraph" w:styleId="BodyTextIndent3">
    <w:name w:val="Body Text Indent 3"/>
    <w:basedOn w:val="Normal"/>
    <w:pPr>
      <w:spacing w:after="120"/>
      <w:ind w:firstLine="360"/>
      <w:jc w:val="both"/>
    </w:pPr>
  </w:style>
  <w:style w:type="paragraph" w:customStyle="1" w:styleId="BankHead2">
    <w:name w:val="Bank Head 2"/>
    <w:basedOn w:val="Title"/>
    <w:autoRedefine/>
    <w:rsid w:val="00C81466"/>
    <w:pPr>
      <w:spacing w:before="0" w:after="0"/>
      <w:jc w:val="right"/>
      <w:outlineLvl w:val="9"/>
    </w:pPr>
    <w:rPr>
      <w:rFonts w:ascii="Times New Roman" w:hAnsi="Times New Roman" w:cs="Times New Roman"/>
      <w:kern w:val="0"/>
      <w:sz w:val="22"/>
      <w:szCs w:val="22"/>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aliases w:val="Table title,Figure Head"/>
    <w:basedOn w:val="Normal"/>
    <w:next w:val="Normal"/>
    <w:link w:val="CaptionChar"/>
    <w:uiPriority w:val="99"/>
    <w:qFormat/>
    <w:pPr>
      <w:outlineLvl w:val="0"/>
    </w:pPr>
    <w:rPr>
      <w:b/>
      <w:sz w:val="22"/>
    </w:rPr>
  </w:style>
  <w:style w:type="paragraph" w:styleId="BalloonText">
    <w:name w:val="Balloon Text"/>
    <w:basedOn w:val="Normal"/>
    <w:semiHidden/>
    <w:rsid w:val="00316222"/>
    <w:rPr>
      <w:rFonts w:ascii="Tahoma" w:hAnsi="Tahoma" w:cs="Tahoma"/>
      <w:sz w:val="16"/>
      <w:szCs w:val="16"/>
    </w:rPr>
  </w:style>
  <w:style w:type="table" w:styleId="TableGrid">
    <w:name w:val="Table Grid"/>
    <w:basedOn w:val="TableNormal"/>
    <w:uiPriority w:val="59"/>
    <w:rsid w:val="001A7C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F00523"/>
    <w:rPr>
      <w:sz w:val="16"/>
      <w:szCs w:val="16"/>
    </w:rPr>
  </w:style>
  <w:style w:type="paragraph" w:styleId="NormalWeb">
    <w:name w:val="Normal (Web)"/>
    <w:basedOn w:val="Normal"/>
    <w:uiPriority w:val="99"/>
    <w:rsid w:val="0007460C"/>
    <w:pPr>
      <w:spacing w:before="100" w:beforeAutospacing="1" w:after="100" w:afterAutospacing="1"/>
    </w:pPr>
  </w:style>
  <w:style w:type="paragraph" w:styleId="Header">
    <w:name w:val="header"/>
    <w:basedOn w:val="Normal"/>
    <w:rsid w:val="00FD0B4F"/>
    <w:pPr>
      <w:tabs>
        <w:tab w:val="center" w:pos="4320"/>
        <w:tab w:val="right" w:pos="8640"/>
      </w:tabs>
    </w:pPr>
  </w:style>
  <w:style w:type="paragraph" w:customStyle="1" w:styleId="MainParawithChapter">
    <w:name w:val="Main Para with Chapter#"/>
    <w:basedOn w:val="Normal"/>
    <w:rsid w:val="009C62A3"/>
    <w:pPr>
      <w:numPr>
        <w:ilvl w:val="1"/>
        <w:numId w:val="10"/>
      </w:numPr>
    </w:pPr>
  </w:style>
  <w:style w:type="paragraph" w:customStyle="1" w:styleId="Sub-Para1underXY">
    <w:name w:val="Sub-Para 1 under X.Y"/>
    <w:basedOn w:val="Normal"/>
    <w:rsid w:val="009C62A3"/>
    <w:pPr>
      <w:numPr>
        <w:ilvl w:val="2"/>
        <w:numId w:val="10"/>
      </w:numPr>
    </w:pPr>
  </w:style>
  <w:style w:type="paragraph" w:customStyle="1" w:styleId="Sub-Para2underXY">
    <w:name w:val="Sub-Para 2 under X.Y"/>
    <w:basedOn w:val="Normal"/>
    <w:rsid w:val="009C62A3"/>
    <w:pPr>
      <w:numPr>
        <w:ilvl w:val="3"/>
        <w:numId w:val="10"/>
      </w:numPr>
    </w:pPr>
  </w:style>
  <w:style w:type="paragraph" w:customStyle="1" w:styleId="Sub-Para3underXY">
    <w:name w:val="Sub-Para 3 under X.Y"/>
    <w:basedOn w:val="Normal"/>
    <w:rsid w:val="009C62A3"/>
    <w:pPr>
      <w:numPr>
        <w:ilvl w:val="4"/>
        <w:numId w:val="10"/>
      </w:numPr>
    </w:pPr>
  </w:style>
  <w:style w:type="paragraph" w:customStyle="1" w:styleId="Sub-Para4underXY">
    <w:name w:val="Sub-Para 4 under X.Y"/>
    <w:basedOn w:val="Normal"/>
    <w:rsid w:val="009C62A3"/>
    <w:pPr>
      <w:numPr>
        <w:ilvl w:val="5"/>
        <w:numId w:val="10"/>
      </w:numPr>
    </w:pPr>
  </w:style>
  <w:style w:type="character" w:styleId="Hyperlink">
    <w:name w:val="Hyperlink"/>
    <w:uiPriority w:val="99"/>
    <w:rsid w:val="00D8627C"/>
    <w:rPr>
      <w:color w:val="0000FF"/>
      <w:u w:val="single"/>
    </w:rPr>
  </w:style>
  <w:style w:type="character" w:styleId="FollowedHyperlink">
    <w:name w:val="FollowedHyperlink"/>
    <w:rsid w:val="00FC1970"/>
    <w:rPr>
      <w:color w:val="606420"/>
      <w:u w:val="single"/>
    </w:rPr>
  </w:style>
  <w:style w:type="paragraph" w:customStyle="1" w:styleId="xl31">
    <w:name w:val="xl31"/>
    <w:basedOn w:val="Normal"/>
    <w:rsid w:val="004376CA"/>
    <w:pPr>
      <w:spacing w:before="100" w:beforeAutospacing="1" w:after="100" w:afterAutospacing="1"/>
      <w:jc w:val="center"/>
    </w:pPr>
    <w:rPr>
      <w:rFonts w:eastAsia="Arial Unicode MS"/>
    </w:rPr>
  </w:style>
  <w:style w:type="character" w:customStyle="1" w:styleId="medium-normal1">
    <w:name w:val="medium-normal1"/>
    <w:rsid w:val="00767796"/>
    <w:rPr>
      <w:rFonts w:ascii="Arial" w:hAnsi="Arial" w:cs="Arial" w:hint="default"/>
      <w:b w:val="0"/>
      <w:bCs w:val="0"/>
      <w:i w:val="0"/>
      <w:iCs w:val="0"/>
      <w:sz w:val="20"/>
      <w:szCs w:val="20"/>
    </w:rPr>
  </w:style>
  <w:style w:type="character" w:styleId="Emphasis">
    <w:name w:val="Emphasis"/>
    <w:qFormat/>
    <w:rsid w:val="00767796"/>
    <w:rPr>
      <w:i/>
      <w:iCs/>
    </w:rPr>
  </w:style>
  <w:style w:type="paragraph" w:customStyle="1" w:styleId="LBSHeading1">
    <w:name w:val="LBSHeading1"/>
    <w:basedOn w:val="Normal"/>
    <w:rsid w:val="00767796"/>
    <w:rPr>
      <w:rFonts w:ascii="TradeGothic Bold" w:hAnsi="TradeGothic Bold"/>
      <w:b/>
      <w:sz w:val="40"/>
      <w:szCs w:val="20"/>
    </w:rPr>
  </w:style>
  <w:style w:type="paragraph" w:customStyle="1" w:styleId="LBSHeading2">
    <w:name w:val="LBSHeading2"/>
    <w:basedOn w:val="LBSHeading1"/>
    <w:rsid w:val="00767796"/>
    <w:rPr>
      <w:sz w:val="28"/>
    </w:rPr>
  </w:style>
  <w:style w:type="paragraph" w:customStyle="1" w:styleId="LBSHeading3">
    <w:name w:val="LBSHeading3"/>
    <w:basedOn w:val="LBSHeading1"/>
    <w:rsid w:val="00767796"/>
    <w:rPr>
      <w:sz w:val="20"/>
    </w:rPr>
  </w:style>
  <w:style w:type="paragraph" w:customStyle="1" w:styleId="NormalParagraph">
    <w:name w:val="Normal Paragraph"/>
    <w:basedOn w:val="Normal"/>
    <w:rsid w:val="00767796"/>
    <w:pPr>
      <w:spacing w:line="340" w:lineRule="exact"/>
      <w:ind w:firstLine="397"/>
      <w:jc w:val="both"/>
    </w:pPr>
    <w:rPr>
      <w:rFonts w:ascii="MapInfo Cartographic" w:hAnsi="MapInfo Cartographic"/>
      <w:lang w:val="ru-RU" w:eastAsia="ru-RU"/>
    </w:rPr>
  </w:style>
  <w:style w:type="paragraph" w:customStyle="1" w:styleId="xl22">
    <w:name w:val="xl22"/>
    <w:basedOn w:val="Normal"/>
    <w:rsid w:val="00767796"/>
    <w:pPr>
      <w:spacing w:before="100" w:beforeAutospacing="1" w:after="100" w:afterAutospacing="1"/>
    </w:pPr>
    <w:rPr>
      <w:rFonts w:ascii="Arial" w:eastAsia="Arial Unicode MS" w:hAnsi="Arial" w:cs="Arial"/>
      <w:b/>
      <w:bCs/>
      <w:lang w:val="en-GB"/>
    </w:rPr>
  </w:style>
  <w:style w:type="paragraph" w:customStyle="1" w:styleId="xl23">
    <w:name w:val="xl23"/>
    <w:basedOn w:val="Normal"/>
    <w:rsid w:val="00767796"/>
    <w:pPr>
      <w:spacing w:before="100" w:beforeAutospacing="1" w:after="100" w:afterAutospacing="1"/>
      <w:jc w:val="right"/>
    </w:pPr>
    <w:rPr>
      <w:rFonts w:ascii="Arial Unicode MS" w:eastAsia="Arial Unicode MS" w:hAnsi="Arial Unicode MS" w:cs="Arial Unicode MS"/>
      <w:lang w:val="en-GB"/>
    </w:rPr>
  </w:style>
  <w:style w:type="paragraph" w:customStyle="1" w:styleId="BankNormal">
    <w:name w:val="BankNormal"/>
    <w:basedOn w:val="Normal"/>
    <w:rsid w:val="00E87B86"/>
    <w:pPr>
      <w:spacing w:after="240"/>
    </w:pPr>
    <w:rPr>
      <w:lang w:eastAsia="pl-PL"/>
    </w:rPr>
  </w:style>
  <w:style w:type="paragraph" w:styleId="TOC9">
    <w:name w:val="toc 9"/>
    <w:basedOn w:val="Normal"/>
    <w:next w:val="Normal"/>
    <w:autoRedefine/>
    <w:semiHidden/>
    <w:rsid w:val="00E87B86"/>
    <w:pPr>
      <w:ind w:left="1920"/>
    </w:pPr>
    <w:rPr>
      <w:szCs w:val="20"/>
    </w:rPr>
  </w:style>
  <w:style w:type="paragraph" w:customStyle="1" w:styleId="Heading1a">
    <w:name w:val="Heading 1a"/>
    <w:basedOn w:val="Normal"/>
    <w:next w:val="Normal"/>
    <w:link w:val="Heading1aChar"/>
    <w:rsid w:val="00BE1E8C"/>
    <w:pPr>
      <w:keepNext/>
      <w:keepLines/>
      <w:spacing w:before="1440" w:after="240"/>
      <w:jc w:val="center"/>
      <w:outlineLvl w:val="0"/>
    </w:pPr>
    <w:rPr>
      <w:b/>
      <w:caps/>
      <w:sz w:val="32"/>
    </w:rPr>
  </w:style>
  <w:style w:type="paragraph" w:customStyle="1" w:styleId="MainParanoChapter">
    <w:name w:val="Main Para no Chapter #"/>
    <w:basedOn w:val="Normal"/>
    <w:rsid w:val="00BE1E8C"/>
    <w:pPr>
      <w:tabs>
        <w:tab w:val="num" w:pos="720"/>
      </w:tabs>
      <w:spacing w:after="240"/>
      <w:ind w:left="720" w:hanging="720"/>
      <w:jc w:val="both"/>
      <w:outlineLvl w:val="1"/>
    </w:pPr>
  </w:style>
  <w:style w:type="paragraph" w:customStyle="1" w:styleId="Sub-Para1underX">
    <w:name w:val="Sub-Para 1 under X."/>
    <w:basedOn w:val="Normal"/>
    <w:rsid w:val="00BE1E8C"/>
    <w:pPr>
      <w:spacing w:after="240"/>
      <w:ind w:left="1440" w:hanging="720"/>
      <w:outlineLvl w:val="2"/>
    </w:pPr>
  </w:style>
  <w:style w:type="paragraph" w:customStyle="1" w:styleId="Sub-Para2underX">
    <w:name w:val="Sub-Para 2 under X."/>
    <w:basedOn w:val="Normal"/>
    <w:rsid w:val="00BE1E8C"/>
    <w:pPr>
      <w:spacing w:after="240"/>
      <w:ind w:left="2160" w:hanging="720"/>
      <w:outlineLvl w:val="3"/>
    </w:pPr>
  </w:style>
  <w:style w:type="paragraph" w:customStyle="1" w:styleId="Sub-Para3underX">
    <w:name w:val="Sub-Para 3 under X."/>
    <w:basedOn w:val="Normal"/>
    <w:rsid w:val="00BE1E8C"/>
    <w:pPr>
      <w:spacing w:after="240"/>
      <w:ind w:left="2880" w:hanging="720"/>
      <w:outlineLvl w:val="4"/>
    </w:pPr>
  </w:style>
  <w:style w:type="paragraph" w:customStyle="1" w:styleId="Sub-Para4underX">
    <w:name w:val="Sub-Para 4 under X."/>
    <w:basedOn w:val="Normal"/>
    <w:rsid w:val="00BE1E8C"/>
    <w:pPr>
      <w:spacing w:after="240"/>
      <w:ind w:left="3600" w:hanging="720"/>
      <w:outlineLvl w:val="5"/>
    </w:pPr>
  </w:style>
  <w:style w:type="paragraph" w:customStyle="1" w:styleId="xl26">
    <w:name w:val="xl26"/>
    <w:basedOn w:val="Normal"/>
    <w:rsid w:val="0039394E"/>
    <w:pPr>
      <w:spacing w:before="100" w:beforeAutospacing="1" w:after="100" w:afterAutospacing="1"/>
    </w:pPr>
    <w:rPr>
      <w:rFonts w:ascii="Arial CYR" w:eastAsia="Arial Unicode MS" w:hAnsi="Arial CYR"/>
      <w:b/>
      <w:bCs/>
      <w:lang w:val="en-GB"/>
    </w:rPr>
  </w:style>
  <w:style w:type="paragraph" w:styleId="BodyText3">
    <w:name w:val="Body Text 3"/>
    <w:basedOn w:val="Normal"/>
    <w:rsid w:val="00776D29"/>
    <w:pPr>
      <w:spacing w:after="120"/>
    </w:pPr>
    <w:rPr>
      <w:sz w:val="16"/>
      <w:szCs w:val="16"/>
      <w:lang w:val="ru-RU"/>
    </w:rPr>
  </w:style>
  <w:style w:type="paragraph" w:styleId="TOC1">
    <w:name w:val="toc 1"/>
    <w:basedOn w:val="Normal"/>
    <w:next w:val="Normal"/>
    <w:autoRedefine/>
    <w:uiPriority w:val="39"/>
    <w:rsid w:val="009575E7"/>
    <w:pPr>
      <w:tabs>
        <w:tab w:val="right" w:leader="dot" w:pos="9350"/>
      </w:tabs>
      <w:spacing w:after="240"/>
      <w:ind w:left="1440" w:hanging="1440"/>
    </w:pPr>
    <w:rPr>
      <w:rFonts w:ascii="Times New Roman Bold" w:hAnsi="Times New Roman Bold"/>
      <w:b/>
      <w:noProof/>
    </w:rPr>
  </w:style>
  <w:style w:type="paragraph" w:styleId="TOC2">
    <w:name w:val="toc 2"/>
    <w:basedOn w:val="Normal"/>
    <w:next w:val="Normal"/>
    <w:autoRedefine/>
    <w:uiPriority w:val="39"/>
    <w:rsid w:val="00F70263"/>
    <w:pPr>
      <w:tabs>
        <w:tab w:val="left" w:pos="720"/>
        <w:tab w:val="right" w:leader="dot" w:pos="9350"/>
      </w:tabs>
      <w:spacing w:after="120"/>
      <w:ind w:left="749" w:hanging="504"/>
    </w:pPr>
    <w:rPr>
      <w:b/>
      <w:noProof/>
    </w:rPr>
  </w:style>
  <w:style w:type="paragraph" w:customStyle="1" w:styleId="ParagraphNumbering">
    <w:name w:val="Paragraph Numbering"/>
    <w:basedOn w:val="Normal"/>
    <w:link w:val="ParagraphNumberingChar"/>
    <w:rsid w:val="002E3A5C"/>
    <w:pPr>
      <w:numPr>
        <w:numId w:val="3"/>
      </w:numPr>
      <w:spacing w:after="240"/>
    </w:pPr>
  </w:style>
  <w:style w:type="character" w:customStyle="1" w:styleId="ParagraphNumberingChar">
    <w:name w:val="Paragraph Numbering Char"/>
    <w:link w:val="ParagraphNumbering"/>
    <w:rsid w:val="002E3A5C"/>
    <w:rPr>
      <w:sz w:val="24"/>
      <w:szCs w:val="24"/>
      <w:lang w:val="en-US" w:eastAsia="en-US" w:bidi="ar-SA"/>
    </w:rPr>
  </w:style>
  <w:style w:type="paragraph" w:customStyle="1" w:styleId="NormalCorneliaCharChar">
    <w:name w:val="Normal Cornelia Char Char"/>
    <w:basedOn w:val="Normal"/>
    <w:rsid w:val="002E3A5C"/>
    <w:pPr>
      <w:spacing w:before="120" w:after="120"/>
      <w:jc w:val="both"/>
    </w:pPr>
    <w:rPr>
      <w:sz w:val="22"/>
    </w:rPr>
  </w:style>
  <w:style w:type="paragraph" w:styleId="BodyTextIndent2">
    <w:name w:val="Body Text Indent 2"/>
    <w:basedOn w:val="Normal"/>
    <w:rsid w:val="002E3A5C"/>
    <w:pPr>
      <w:spacing w:after="120" w:line="480" w:lineRule="auto"/>
      <w:ind w:left="360"/>
    </w:pPr>
  </w:style>
  <w:style w:type="paragraph" w:customStyle="1" w:styleId="Outline">
    <w:name w:val="Outline"/>
    <w:basedOn w:val="Normal"/>
    <w:rsid w:val="002E3A5C"/>
    <w:pPr>
      <w:spacing w:before="240"/>
    </w:pPr>
    <w:rPr>
      <w:kern w:val="28"/>
      <w:szCs w:val="20"/>
    </w:rPr>
  </w:style>
  <w:style w:type="paragraph" w:styleId="ListBullet">
    <w:name w:val="List Bullet"/>
    <w:basedOn w:val="Normal"/>
    <w:rsid w:val="002E3A5C"/>
    <w:pPr>
      <w:tabs>
        <w:tab w:val="num" w:pos="720"/>
      </w:tabs>
      <w:spacing w:after="240"/>
      <w:ind w:left="720" w:hanging="720"/>
    </w:pPr>
    <w:rPr>
      <w:szCs w:val="20"/>
    </w:rPr>
  </w:style>
  <w:style w:type="paragraph" w:customStyle="1" w:styleId="Bullet">
    <w:name w:val="Bullet"/>
    <w:basedOn w:val="Normal"/>
    <w:rsid w:val="004C2D9F"/>
    <w:pPr>
      <w:numPr>
        <w:numId w:val="4"/>
      </w:numPr>
    </w:pPr>
  </w:style>
  <w:style w:type="paragraph" w:customStyle="1" w:styleId="TableCaption">
    <w:name w:val="Table Caption"/>
    <w:basedOn w:val="Caption"/>
    <w:rsid w:val="004C2D9F"/>
    <w:pPr>
      <w:keepNext/>
      <w:spacing w:before="120" w:after="60"/>
      <w:jc w:val="center"/>
      <w:outlineLvl w:val="9"/>
    </w:pPr>
    <w:rPr>
      <w:rFonts w:ascii="Times New Roman Bold" w:hAnsi="Times New Roman Bold"/>
      <w:sz w:val="20"/>
      <w:szCs w:val="20"/>
    </w:rPr>
  </w:style>
  <w:style w:type="paragraph" w:customStyle="1" w:styleId="FigureCaption">
    <w:name w:val="Figure Caption"/>
    <w:basedOn w:val="Caption"/>
    <w:rsid w:val="004C2D9F"/>
    <w:pPr>
      <w:keepNext/>
      <w:spacing w:before="120" w:after="120"/>
      <w:jc w:val="center"/>
      <w:outlineLvl w:val="9"/>
    </w:pPr>
    <w:rPr>
      <w:sz w:val="20"/>
      <w:szCs w:val="20"/>
    </w:rPr>
  </w:style>
  <w:style w:type="paragraph" w:styleId="CommentText">
    <w:name w:val="annotation text"/>
    <w:basedOn w:val="Normal"/>
    <w:semiHidden/>
    <w:rsid w:val="004C2D9F"/>
    <w:pPr>
      <w:spacing w:before="120" w:after="120"/>
      <w:jc w:val="both"/>
    </w:pPr>
    <w:rPr>
      <w:rFonts w:ascii="NewtonC" w:hAnsi="NewtonC"/>
      <w:sz w:val="20"/>
      <w:szCs w:val="20"/>
      <w:lang w:val="uk-UA"/>
    </w:rPr>
  </w:style>
  <w:style w:type="paragraph" w:customStyle="1" w:styleId="Table-TextCharChar">
    <w:name w:val="Table-Text Char Char"/>
    <w:basedOn w:val="Normal"/>
    <w:rsid w:val="004C2D9F"/>
    <w:pPr>
      <w:spacing w:line="240" w:lineRule="atLeast"/>
    </w:pPr>
    <w:rPr>
      <w:rFonts w:cs="Arial"/>
      <w:sz w:val="20"/>
      <w:szCs w:val="20"/>
    </w:rPr>
  </w:style>
  <w:style w:type="paragraph" w:customStyle="1" w:styleId="BoxCaption">
    <w:name w:val="Box Caption"/>
    <w:basedOn w:val="Caption"/>
    <w:rsid w:val="004C2D9F"/>
    <w:pPr>
      <w:keepNext/>
      <w:spacing w:before="120" w:after="120"/>
      <w:jc w:val="center"/>
      <w:outlineLvl w:val="9"/>
    </w:pPr>
    <w:rPr>
      <w:sz w:val="20"/>
      <w:szCs w:val="20"/>
    </w:rPr>
  </w:style>
  <w:style w:type="paragraph" w:customStyle="1" w:styleId="ChartHead">
    <w:name w:val="Chart Head"/>
    <w:basedOn w:val="Caption"/>
    <w:rsid w:val="004C2D9F"/>
    <w:pPr>
      <w:spacing w:before="120" w:after="120"/>
      <w:outlineLvl w:val="9"/>
    </w:pPr>
    <w:rPr>
      <w:bCs/>
      <w:sz w:val="24"/>
      <w:szCs w:val="20"/>
    </w:rPr>
  </w:style>
  <w:style w:type="paragraph" w:customStyle="1" w:styleId="ChartHeader">
    <w:name w:val="Chart Header"/>
    <w:basedOn w:val="Normal"/>
    <w:rsid w:val="004C2D9F"/>
    <w:pPr>
      <w:widowControl w:val="0"/>
      <w:overflowPunct w:val="0"/>
      <w:autoSpaceDE w:val="0"/>
      <w:autoSpaceDN w:val="0"/>
      <w:adjustRightInd w:val="0"/>
      <w:spacing w:before="60" w:after="120"/>
      <w:jc w:val="center"/>
      <w:textAlignment w:val="baseline"/>
    </w:pPr>
    <w:rPr>
      <w:b/>
      <w:iCs/>
      <w:sz w:val="20"/>
      <w:szCs w:val="20"/>
    </w:rPr>
  </w:style>
  <w:style w:type="paragraph" w:customStyle="1" w:styleId="Sourcenote">
    <w:name w:val="Source note"/>
    <w:basedOn w:val="Normal"/>
    <w:rsid w:val="004C2D9F"/>
    <w:pPr>
      <w:spacing w:before="60" w:after="60" w:line="360" w:lineRule="auto"/>
    </w:pPr>
    <w:rPr>
      <w:sz w:val="18"/>
    </w:rPr>
  </w:style>
  <w:style w:type="paragraph" w:customStyle="1" w:styleId="TableHeadAuto">
    <w:name w:val="Table Head Auto"/>
    <w:basedOn w:val="Normal"/>
    <w:rsid w:val="004C2D9F"/>
    <w:pPr>
      <w:tabs>
        <w:tab w:val="left" w:pos="360"/>
        <w:tab w:val="num" w:pos="1440"/>
      </w:tabs>
      <w:spacing w:before="120" w:after="120"/>
      <w:ind w:left="360" w:hanging="360"/>
    </w:pPr>
    <w:rPr>
      <w:b/>
      <w:bCs/>
      <w:szCs w:val="20"/>
      <w:lang w:val="uk-UA"/>
    </w:rPr>
  </w:style>
  <w:style w:type="paragraph" w:customStyle="1" w:styleId="Boxheading">
    <w:name w:val="Box heading"/>
    <w:basedOn w:val="Heading3"/>
    <w:rsid w:val="004C2D9F"/>
    <w:pPr>
      <w:keepLines/>
      <w:spacing w:before="120" w:after="240"/>
      <w:jc w:val="center"/>
    </w:pPr>
    <w:rPr>
      <w:rFonts w:cs="Arial"/>
      <w:i w:val="0"/>
      <w:iCs w:val="0"/>
      <w:sz w:val="20"/>
      <w:szCs w:val="26"/>
    </w:rPr>
  </w:style>
  <w:style w:type="paragraph" w:customStyle="1" w:styleId="xl32">
    <w:name w:val="xl32"/>
    <w:basedOn w:val="Normal"/>
    <w:rsid w:val="004C2D9F"/>
    <w:pPr>
      <w:spacing w:before="100" w:beforeAutospacing="1" w:after="100" w:afterAutospacing="1"/>
    </w:pPr>
    <w:rPr>
      <w:rFonts w:eastAsia="Arial Unicode MS"/>
    </w:rPr>
  </w:style>
  <w:style w:type="paragraph" w:customStyle="1" w:styleId="xl33">
    <w:name w:val="xl33"/>
    <w:basedOn w:val="Normal"/>
    <w:rsid w:val="004C2D9F"/>
    <w:pPr>
      <w:pBdr>
        <w:right w:val="single" w:sz="4" w:space="0" w:color="auto"/>
      </w:pBdr>
      <w:spacing w:before="100" w:beforeAutospacing="1" w:after="100" w:afterAutospacing="1"/>
    </w:pPr>
    <w:rPr>
      <w:rFonts w:eastAsia="Arial Unicode MS"/>
    </w:rPr>
  </w:style>
  <w:style w:type="paragraph" w:customStyle="1" w:styleId="xl34">
    <w:name w:val="xl34"/>
    <w:basedOn w:val="Normal"/>
    <w:rsid w:val="004C2D9F"/>
    <w:pPr>
      <w:spacing w:before="100" w:beforeAutospacing="1" w:after="100" w:afterAutospacing="1"/>
      <w:jc w:val="center"/>
    </w:pPr>
    <w:rPr>
      <w:rFonts w:eastAsia="Arial Unicode MS"/>
    </w:rPr>
  </w:style>
  <w:style w:type="paragraph" w:customStyle="1" w:styleId="xl35">
    <w:name w:val="xl35"/>
    <w:basedOn w:val="Normal"/>
    <w:rsid w:val="004C2D9F"/>
    <w:pPr>
      <w:pBdr>
        <w:right w:val="single" w:sz="4" w:space="0" w:color="auto"/>
      </w:pBdr>
      <w:spacing w:before="100" w:beforeAutospacing="1" w:after="100" w:afterAutospacing="1"/>
      <w:jc w:val="center"/>
    </w:pPr>
    <w:rPr>
      <w:rFonts w:eastAsia="Arial Unicode MS"/>
    </w:rPr>
  </w:style>
  <w:style w:type="paragraph" w:customStyle="1" w:styleId="xl36">
    <w:name w:val="xl36"/>
    <w:basedOn w:val="Normal"/>
    <w:rsid w:val="004C2D9F"/>
    <w:pPr>
      <w:spacing w:before="100" w:beforeAutospacing="1" w:after="100" w:afterAutospacing="1"/>
      <w:jc w:val="center"/>
    </w:pPr>
    <w:rPr>
      <w:rFonts w:eastAsia="Arial Unicode MS"/>
    </w:rPr>
  </w:style>
  <w:style w:type="paragraph" w:customStyle="1" w:styleId="xl37">
    <w:name w:val="xl37"/>
    <w:basedOn w:val="Normal"/>
    <w:rsid w:val="004C2D9F"/>
    <w:pPr>
      <w:pBdr>
        <w:right w:val="single" w:sz="4" w:space="0" w:color="auto"/>
      </w:pBdr>
      <w:spacing w:before="100" w:beforeAutospacing="1" w:after="100" w:afterAutospacing="1"/>
      <w:jc w:val="center"/>
    </w:pPr>
    <w:rPr>
      <w:rFonts w:eastAsia="Arial Unicode MS"/>
    </w:rPr>
  </w:style>
  <w:style w:type="paragraph" w:customStyle="1" w:styleId="xl38">
    <w:name w:val="xl38"/>
    <w:basedOn w:val="Normal"/>
    <w:rsid w:val="004C2D9F"/>
    <w:pPr>
      <w:pBdr>
        <w:bottom w:val="single" w:sz="4" w:space="0" w:color="auto"/>
      </w:pBdr>
      <w:spacing w:before="100" w:beforeAutospacing="1" w:after="100" w:afterAutospacing="1"/>
      <w:jc w:val="center"/>
    </w:pPr>
    <w:rPr>
      <w:rFonts w:eastAsia="Arial Unicode MS"/>
    </w:rPr>
  </w:style>
  <w:style w:type="paragraph" w:customStyle="1" w:styleId="xl39">
    <w:name w:val="xl39"/>
    <w:basedOn w:val="Normal"/>
    <w:rsid w:val="004C2D9F"/>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40">
    <w:name w:val="xl40"/>
    <w:basedOn w:val="Normal"/>
    <w:rsid w:val="004C2D9F"/>
    <w:pPr>
      <w:pBdr>
        <w:top w:val="single" w:sz="4" w:space="0" w:color="auto"/>
        <w:bottom w:val="single" w:sz="4" w:space="0" w:color="auto"/>
      </w:pBdr>
      <w:spacing w:before="100" w:beforeAutospacing="1" w:after="100" w:afterAutospacing="1"/>
      <w:jc w:val="center"/>
    </w:pPr>
    <w:rPr>
      <w:rFonts w:eastAsia="Arial Unicode MS"/>
      <w:b/>
      <w:bCs/>
    </w:rPr>
  </w:style>
  <w:style w:type="paragraph" w:customStyle="1" w:styleId="xl41">
    <w:name w:val="xl41"/>
    <w:basedOn w:val="Normal"/>
    <w:rsid w:val="004C2D9F"/>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42">
    <w:name w:val="xl42"/>
    <w:basedOn w:val="Normal"/>
    <w:rsid w:val="004C2D9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43">
    <w:name w:val="xl43"/>
    <w:basedOn w:val="Normal"/>
    <w:rsid w:val="004C2D9F"/>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44">
    <w:name w:val="xl44"/>
    <w:basedOn w:val="Normal"/>
    <w:rsid w:val="004C2D9F"/>
    <w:pPr>
      <w:pBdr>
        <w:left w:val="single" w:sz="4" w:space="0" w:color="auto"/>
        <w:right w:val="single" w:sz="4" w:space="0" w:color="auto"/>
      </w:pBdr>
      <w:spacing w:before="100" w:beforeAutospacing="1" w:after="100" w:afterAutospacing="1"/>
    </w:pPr>
    <w:rPr>
      <w:rFonts w:eastAsia="Arial Unicode MS"/>
    </w:rPr>
  </w:style>
  <w:style w:type="paragraph" w:customStyle="1" w:styleId="xl45">
    <w:name w:val="xl45"/>
    <w:basedOn w:val="Normal"/>
    <w:rsid w:val="004C2D9F"/>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4">
    <w:name w:val="xl24"/>
    <w:basedOn w:val="Normal"/>
    <w:rsid w:val="004C2D9F"/>
    <w:pPr>
      <w:spacing w:before="100" w:beforeAutospacing="1" w:after="100" w:afterAutospacing="1"/>
    </w:pPr>
    <w:rPr>
      <w:rFonts w:eastAsia="Arial Unicode MS"/>
    </w:rPr>
  </w:style>
  <w:style w:type="paragraph" w:customStyle="1" w:styleId="xl25">
    <w:name w:val="xl25"/>
    <w:basedOn w:val="Normal"/>
    <w:rsid w:val="004C2D9F"/>
    <w:pPr>
      <w:spacing w:before="100" w:beforeAutospacing="1" w:after="100" w:afterAutospacing="1"/>
    </w:pPr>
    <w:rPr>
      <w:rFonts w:eastAsia="Arial Unicode MS"/>
      <w:sz w:val="16"/>
      <w:szCs w:val="16"/>
    </w:rPr>
  </w:style>
  <w:style w:type="paragraph" w:customStyle="1" w:styleId="xl27">
    <w:name w:val="xl27"/>
    <w:basedOn w:val="Normal"/>
    <w:rsid w:val="004C2D9F"/>
    <w:pPr>
      <w:spacing w:before="100" w:beforeAutospacing="1" w:after="100" w:afterAutospacing="1"/>
      <w:jc w:val="center"/>
    </w:pPr>
    <w:rPr>
      <w:rFonts w:eastAsia="Arial Unicode MS"/>
    </w:rPr>
  </w:style>
  <w:style w:type="paragraph" w:customStyle="1" w:styleId="xl28">
    <w:name w:val="xl28"/>
    <w:basedOn w:val="Normal"/>
    <w:rsid w:val="004C2D9F"/>
    <w:pPr>
      <w:spacing w:before="100" w:beforeAutospacing="1" w:after="100" w:afterAutospacing="1"/>
      <w:jc w:val="center"/>
    </w:pPr>
    <w:rPr>
      <w:rFonts w:eastAsia="Arial Unicode MS"/>
    </w:rPr>
  </w:style>
  <w:style w:type="paragraph" w:customStyle="1" w:styleId="xl29">
    <w:name w:val="xl29"/>
    <w:basedOn w:val="Normal"/>
    <w:rsid w:val="004C2D9F"/>
    <w:pPr>
      <w:pBdr>
        <w:top w:val="single" w:sz="4" w:space="0" w:color="auto"/>
      </w:pBdr>
      <w:spacing w:before="100" w:beforeAutospacing="1" w:after="100" w:afterAutospacing="1"/>
    </w:pPr>
    <w:rPr>
      <w:rFonts w:eastAsia="Arial Unicode MS"/>
    </w:rPr>
  </w:style>
  <w:style w:type="paragraph" w:customStyle="1" w:styleId="xl30">
    <w:name w:val="xl30"/>
    <w:basedOn w:val="Normal"/>
    <w:rsid w:val="004C2D9F"/>
    <w:pPr>
      <w:pBdr>
        <w:bottom w:val="single" w:sz="4" w:space="0" w:color="auto"/>
      </w:pBdr>
      <w:spacing w:before="100" w:beforeAutospacing="1" w:after="100" w:afterAutospacing="1"/>
    </w:pPr>
    <w:rPr>
      <w:rFonts w:eastAsia="Arial Unicode MS"/>
    </w:rPr>
  </w:style>
  <w:style w:type="paragraph" w:styleId="TableofFigures">
    <w:name w:val="table of figures"/>
    <w:basedOn w:val="Normal"/>
    <w:next w:val="Normal"/>
    <w:uiPriority w:val="99"/>
    <w:rsid w:val="008E31E0"/>
    <w:pPr>
      <w:ind w:left="480" w:hanging="480"/>
    </w:pPr>
    <w:rPr>
      <w:sz w:val="22"/>
    </w:rPr>
  </w:style>
  <w:style w:type="paragraph" w:customStyle="1" w:styleId="part">
    <w:name w:val="part"/>
    <w:basedOn w:val="Normal"/>
    <w:rsid w:val="004C2D9F"/>
    <w:pPr>
      <w:spacing w:before="100" w:beforeAutospacing="1" w:after="100" w:afterAutospacing="1"/>
    </w:pPr>
    <w:rPr>
      <w:rFonts w:ascii="Arial Unicode MS" w:eastAsia="Arial Unicode MS" w:hAnsi="Arial Unicode MS" w:cs="Arial Unicode MS"/>
      <w:b/>
      <w:bCs/>
    </w:rPr>
  </w:style>
  <w:style w:type="paragraph" w:customStyle="1" w:styleId="21">
    <w:name w:val="Заголовок2Бедность1"/>
    <w:basedOn w:val="Normal"/>
    <w:autoRedefine/>
    <w:rsid w:val="004C2D9F"/>
    <w:pPr>
      <w:tabs>
        <w:tab w:val="left" w:pos="0"/>
        <w:tab w:val="num" w:pos="1440"/>
      </w:tabs>
      <w:spacing w:after="160" w:line="360" w:lineRule="auto"/>
      <w:ind w:left="1440" w:hanging="360"/>
      <w:jc w:val="both"/>
    </w:pPr>
    <w:rPr>
      <w:b/>
      <w:lang w:val="ru-RU" w:eastAsia="be-BY"/>
    </w:rPr>
  </w:style>
  <w:style w:type="paragraph" w:customStyle="1" w:styleId="1">
    <w:name w:val="Заголовок1Бедность"/>
    <w:basedOn w:val="Normal"/>
    <w:autoRedefine/>
    <w:rsid w:val="004C2D9F"/>
    <w:pPr>
      <w:numPr>
        <w:ilvl w:val="1"/>
        <w:numId w:val="5"/>
      </w:numPr>
      <w:tabs>
        <w:tab w:val="clear" w:pos="792"/>
      </w:tabs>
      <w:ind w:left="0" w:firstLine="0"/>
      <w:jc w:val="center"/>
      <w:outlineLvl w:val="0"/>
    </w:pPr>
    <w:rPr>
      <w:b/>
      <w:bCs/>
      <w:caps/>
      <w:sz w:val="32"/>
      <w:lang w:val="ru-RU" w:eastAsia="be-BY"/>
    </w:rPr>
  </w:style>
  <w:style w:type="paragraph" w:styleId="CommentSubject">
    <w:name w:val="annotation subject"/>
    <w:basedOn w:val="CommentText"/>
    <w:next w:val="CommentText"/>
    <w:semiHidden/>
    <w:rsid w:val="004C2D9F"/>
    <w:pPr>
      <w:spacing w:before="0" w:after="0"/>
      <w:jc w:val="left"/>
    </w:pPr>
    <w:rPr>
      <w:rFonts w:ascii="Times New Roman" w:hAnsi="Times New Roman"/>
      <w:b/>
      <w:bCs/>
      <w:lang w:val="en-US"/>
    </w:rPr>
  </w:style>
  <w:style w:type="paragraph" w:customStyle="1" w:styleId="Style1">
    <w:name w:val="Style1"/>
    <w:basedOn w:val="TOC1"/>
    <w:rsid w:val="00257E5F"/>
    <w:pPr>
      <w:spacing w:line="480" w:lineRule="auto"/>
    </w:pPr>
    <w:rPr>
      <w:sz w:val="22"/>
      <w:szCs w:val="22"/>
    </w:rPr>
  </w:style>
  <w:style w:type="paragraph" w:customStyle="1" w:styleId="Style2">
    <w:name w:val="Style2"/>
    <w:basedOn w:val="TOC1"/>
    <w:rsid w:val="001C46ED"/>
    <w:pPr>
      <w:spacing w:after="0"/>
    </w:pPr>
    <w:rPr>
      <w:sz w:val="22"/>
      <w:szCs w:val="22"/>
    </w:rPr>
  </w:style>
  <w:style w:type="paragraph" w:customStyle="1" w:styleId="Style3">
    <w:name w:val="Style3"/>
    <w:basedOn w:val="TOC2"/>
    <w:rsid w:val="00257E5F"/>
    <w:pPr>
      <w:spacing w:line="480" w:lineRule="auto"/>
    </w:pPr>
    <w:rPr>
      <w:sz w:val="22"/>
      <w:szCs w:val="22"/>
    </w:rPr>
  </w:style>
  <w:style w:type="paragraph" w:customStyle="1" w:styleId="Style4">
    <w:name w:val="Style4"/>
    <w:basedOn w:val="TOC2"/>
    <w:rsid w:val="007128EC"/>
    <w:pPr>
      <w:ind w:left="965" w:hanging="720"/>
    </w:pPr>
  </w:style>
  <w:style w:type="paragraph" w:customStyle="1" w:styleId="Style5">
    <w:name w:val="Style5"/>
    <w:basedOn w:val="Style2"/>
    <w:rsid w:val="00DB7237"/>
    <w:pPr>
      <w:spacing w:line="360" w:lineRule="auto"/>
    </w:pPr>
  </w:style>
  <w:style w:type="paragraph" w:customStyle="1" w:styleId="Style6">
    <w:name w:val="Style6"/>
    <w:basedOn w:val="Style2"/>
    <w:rsid w:val="00DB7237"/>
    <w:pPr>
      <w:spacing w:line="360" w:lineRule="auto"/>
    </w:pPr>
  </w:style>
  <w:style w:type="paragraph" w:customStyle="1" w:styleId="Style7">
    <w:name w:val="Style7"/>
    <w:basedOn w:val="TOC2"/>
    <w:rsid w:val="00DB7237"/>
    <w:pPr>
      <w:ind w:left="965" w:hanging="720"/>
    </w:pPr>
    <w:rPr>
      <w:rFonts w:ascii="Times New Roman Bold" w:hAnsi="Times New Roman Bold" w:cs="Arial"/>
      <w:smallCaps/>
      <w:lang w:eastAsia="ru-RU"/>
    </w:rPr>
  </w:style>
  <w:style w:type="paragraph" w:customStyle="1" w:styleId="Style8">
    <w:name w:val="Style8"/>
    <w:basedOn w:val="Style2"/>
    <w:rsid w:val="001C46ED"/>
    <w:pPr>
      <w:spacing w:after="120"/>
    </w:pPr>
  </w:style>
  <w:style w:type="paragraph" w:styleId="TOC3">
    <w:name w:val="toc 3"/>
    <w:basedOn w:val="Normal"/>
    <w:next w:val="Normal"/>
    <w:autoRedefine/>
    <w:semiHidden/>
    <w:rsid w:val="001C46ED"/>
    <w:pPr>
      <w:ind w:left="480"/>
    </w:pPr>
  </w:style>
  <w:style w:type="paragraph" w:styleId="TOC4">
    <w:name w:val="toc 4"/>
    <w:basedOn w:val="Normal"/>
    <w:next w:val="Normal"/>
    <w:autoRedefine/>
    <w:semiHidden/>
    <w:rsid w:val="001C46ED"/>
    <w:pPr>
      <w:ind w:left="720"/>
    </w:pPr>
  </w:style>
  <w:style w:type="paragraph" w:styleId="TOC5">
    <w:name w:val="toc 5"/>
    <w:basedOn w:val="Normal"/>
    <w:next w:val="Normal"/>
    <w:autoRedefine/>
    <w:semiHidden/>
    <w:rsid w:val="001C46ED"/>
    <w:pPr>
      <w:ind w:left="960"/>
    </w:pPr>
  </w:style>
  <w:style w:type="paragraph" w:styleId="TOC6">
    <w:name w:val="toc 6"/>
    <w:basedOn w:val="Normal"/>
    <w:next w:val="Normal"/>
    <w:autoRedefine/>
    <w:semiHidden/>
    <w:rsid w:val="001C46ED"/>
    <w:pPr>
      <w:ind w:left="1200"/>
    </w:pPr>
  </w:style>
  <w:style w:type="paragraph" w:styleId="TOC7">
    <w:name w:val="toc 7"/>
    <w:basedOn w:val="Normal"/>
    <w:next w:val="Normal"/>
    <w:autoRedefine/>
    <w:semiHidden/>
    <w:rsid w:val="001C46ED"/>
    <w:pPr>
      <w:ind w:left="1440"/>
    </w:pPr>
  </w:style>
  <w:style w:type="paragraph" w:styleId="TOC8">
    <w:name w:val="toc 8"/>
    <w:basedOn w:val="Normal"/>
    <w:next w:val="Normal"/>
    <w:autoRedefine/>
    <w:semiHidden/>
    <w:rsid w:val="001C46ED"/>
    <w:pPr>
      <w:ind w:left="1680"/>
    </w:pPr>
  </w:style>
  <w:style w:type="paragraph" w:customStyle="1" w:styleId="Style9">
    <w:name w:val="Style9"/>
    <w:basedOn w:val="Heading2"/>
    <w:rsid w:val="00DC717C"/>
    <w:pPr>
      <w:numPr>
        <w:numId w:val="1"/>
      </w:numPr>
      <w:jc w:val="center"/>
    </w:pPr>
    <w:rPr>
      <w:rFonts w:ascii="Times New Roman Bold" w:hAnsi="Times New Roman Bold"/>
      <w:smallCaps/>
    </w:rPr>
  </w:style>
  <w:style w:type="character" w:customStyle="1" w:styleId="Heading1aChar">
    <w:name w:val="Heading 1a Char"/>
    <w:link w:val="Heading1a"/>
    <w:rsid w:val="00C2484B"/>
    <w:rPr>
      <w:b/>
      <w:caps/>
      <w:sz w:val="32"/>
      <w:szCs w:val="24"/>
      <w:lang w:val="en-US" w:eastAsia="en-US" w:bidi="ar-SA"/>
    </w:rPr>
  </w:style>
  <w:style w:type="character" w:customStyle="1" w:styleId="BodyTextChar">
    <w:name w:val="Body Text Char"/>
    <w:link w:val="BodyText"/>
    <w:rsid w:val="00C2484B"/>
    <w:rPr>
      <w:sz w:val="24"/>
      <w:szCs w:val="24"/>
      <w:lang w:val="en-US" w:eastAsia="en-US" w:bidi="ar-SA"/>
    </w:rPr>
  </w:style>
  <w:style w:type="paragraph" w:customStyle="1" w:styleId="StyleHeading2CenteredLeft05">
    <w:name w:val="Style Heading 2 + Centered Left:  0.5&quot;"/>
    <w:basedOn w:val="Heading2"/>
    <w:rsid w:val="00C860C9"/>
    <w:pPr>
      <w:numPr>
        <w:numId w:val="9"/>
      </w:numPr>
      <w:jc w:val="center"/>
    </w:pPr>
    <w:rPr>
      <w:szCs w:val="20"/>
    </w:rPr>
  </w:style>
  <w:style w:type="paragraph" w:customStyle="1" w:styleId="StyleHeading2TimesNewRomanBold11ptSmallcapsCentered">
    <w:name w:val="Style Heading 2 + Times New Roman Bold 11 pt Small caps Centered..."/>
    <w:basedOn w:val="Heading2"/>
    <w:rsid w:val="00C860C9"/>
    <w:pPr>
      <w:spacing w:before="240" w:after="120"/>
      <w:jc w:val="center"/>
    </w:pPr>
    <w:rPr>
      <w:rFonts w:ascii="Times New Roman Bold" w:hAnsi="Times New Roman Bold"/>
      <w:smallCaps/>
      <w:sz w:val="22"/>
      <w:szCs w:val="20"/>
    </w:rPr>
  </w:style>
  <w:style w:type="paragraph" w:customStyle="1" w:styleId="Style12">
    <w:name w:val="Style12"/>
    <w:basedOn w:val="Heading2"/>
    <w:rsid w:val="0086771F"/>
    <w:pPr>
      <w:keepLines/>
      <w:numPr>
        <w:numId w:val="14"/>
      </w:numPr>
      <w:spacing w:before="120"/>
      <w:jc w:val="center"/>
    </w:pPr>
    <w:rPr>
      <w:rFonts w:ascii="Times New Roman Bold" w:hAnsi="Times New Roman Bold" w:cs="Arial"/>
      <w:bCs w:val="0"/>
      <w:iCs/>
      <w:smallCaps/>
      <w:sz w:val="22"/>
      <w:szCs w:val="28"/>
    </w:rPr>
  </w:style>
  <w:style w:type="paragraph" w:customStyle="1" w:styleId="Style13">
    <w:name w:val="Style13"/>
    <w:basedOn w:val="Normal"/>
    <w:rsid w:val="0086771F"/>
    <w:pPr>
      <w:tabs>
        <w:tab w:val="left" w:pos="360"/>
      </w:tabs>
      <w:jc w:val="center"/>
    </w:pPr>
    <w:rPr>
      <w:b/>
      <w:sz w:val="22"/>
      <w:szCs w:val="22"/>
    </w:rPr>
  </w:style>
  <w:style w:type="paragraph" w:styleId="BodyTextFirstIndent">
    <w:name w:val="Body Text First Indent"/>
    <w:basedOn w:val="BodyText"/>
    <w:rsid w:val="00492883"/>
    <w:pPr>
      <w:spacing w:after="120"/>
      <w:ind w:firstLine="210"/>
      <w:jc w:val="left"/>
    </w:pPr>
  </w:style>
  <w:style w:type="paragraph" w:customStyle="1" w:styleId="Tables">
    <w:name w:val="Tables"/>
    <w:basedOn w:val="Normal"/>
    <w:rsid w:val="00492883"/>
    <w:pPr>
      <w:keepNext/>
    </w:pPr>
    <w:rPr>
      <w:sz w:val="18"/>
      <w:szCs w:val="20"/>
    </w:rPr>
  </w:style>
  <w:style w:type="table" w:styleId="TableSimple1">
    <w:name w:val="Table Simple 1"/>
    <w:basedOn w:val="TableNormal"/>
    <w:rsid w:val="0049288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5">
    <w:name w:val="Table Grid 5"/>
    <w:basedOn w:val="TableNormal"/>
    <w:rsid w:val="0049288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1A0">
    <w:name w:val="Heading1A"/>
    <w:basedOn w:val="Heading1"/>
    <w:link w:val="Heading1AChar0"/>
    <w:uiPriority w:val="99"/>
    <w:rsid w:val="00765DFE"/>
    <w:pPr>
      <w:keepLines/>
      <w:numPr>
        <w:numId w:val="0"/>
      </w:numPr>
      <w:spacing w:line="276" w:lineRule="auto"/>
    </w:pPr>
    <w:rPr>
      <w:b w:val="0"/>
      <w:bCs/>
      <w:i/>
      <w:iCs w:val="0"/>
      <w:smallCaps w:val="0"/>
      <w:sz w:val="22"/>
      <w:szCs w:val="28"/>
    </w:rPr>
  </w:style>
  <w:style w:type="character" w:customStyle="1" w:styleId="Heading1AChar0">
    <w:name w:val="Heading1A Char"/>
    <w:link w:val="Heading1A0"/>
    <w:uiPriority w:val="99"/>
    <w:locked/>
    <w:rsid w:val="00765DFE"/>
    <w:rPr>
      <w:rFonts w:ascii="Times New Roman Bold" w:hAnsi="Times New Roman Bold"/>
      <w:b/>
      <w:bCs/>
      <w:smallCaps/>
      <w:sz w:val="22"/>
      <w:szCs w:val="28"/>
    </w:rPr>
  </w:style>
  <w:style w:type="paragraph" w:styleId="ListParagraph">
    <w:name w:val="List Paragraph"/>
    <w:basedOn w:val="Normal"/>
    <w:uiPriority w:val="99"/>
    <w:qFormat/>
    <w:rsid w:val="00E63056"/>
    <w:pPr>
      <w:ind w:left="720"/>
    </w:pPr>
  </w:style>
  <w:style w:type="paragraph" w:customStyle="1" w:styleId="Num-DocParagraph">
    <w:name w:val="Num-Doc Paragraph"/>
    <w:basedOn w:val="BodyText"/>
    <w:uiPriority w:val="99"/>
    <w:rsid w:val="009D7352"/>
    <w:pPr>
      <w:tabs>
        <w:tab w:val="left" w:pos="850"/>
        <w:tab w:val="left" w:pos="1191"/>
        <w:tab w:val="left" w:pos="1531"/>
      </w:tabs>
      <w:spacing w:after="240"/>
    </w:pPr>
    <w:rPr>
      <w:sz w:val="22"/>
      <w:szCs w:val="22"/>
      <w:lang w:val="en-GB" w:eastAsia="zh-CN"/>
    </w:rPr>
  </w:style>
  <w:style w:type="paragraph" w:customStyle="1" w:styleId="Figure1">
    <w:name w:val="Figure1"/>
    <w:basedOn w:val="Caption"/>
    <w:autoRedefine/>
    <w:uiPriority w:val="99"/>
    <w:rsid w:val="00FB714A"/>
    <w:pPr>
      <w:jc w:val="both"/>
      <w:outlineLvl w:val="9"/>
    </w:pPr>
    <w:rPr>
      <w:bCs/>
    </w:rPr>
  </w:style>
  <w:style w:type="paragraph" w:customStyle="1" w:styleId="TableA">
    <w:name w:val="TableA"/>
    <w:basedOn w:val="Caption"/>
    <w:uiPriority w:val="99"/>
    <w:rsid w:val="009D7352"/>
    <w:pPr>
      <w:keepNext/>
      <w:spacing w:after="200"/>
      <w:jc w:val="center"/>
      <w:outlineLvl w:val="9"/>
    </w:pPr>
    <w:rPr>
      <w:bCs/>
      <w:szCs w:val="22"/>
    </w:rPr>
  </w:style>
  <w:style w:type="character" w:customStyle="1" w:styleId="apple-converted-space">
    <w:name w:val="apple-converted-space"/>
    <w:uiPriority w:val="99"/>
    <w:rsid w:val="0076410A"/>
    <w:rPr>
      <w:rFonts w:cs="Times New Roman"/>
    </w:rPr>
  </w:style>
  <w:style w:type="character" w:customStyle="1" w:styleId="FooterChar">
    <w:name w:val="Footer Char"/>
    <w:link w:val="Footer"/>
    <w:uiPriority w:val="99"/>
    <w:rsid w:val="00E527C8"/>
    <w:rPr>
      <w:sz w:val="24"/>
      <w:szCs w:val="24"/>
    </w:rPr>
  </w:style>
  <w:style w:type="character" w:customStyle="1" w:styleId="st">
    <w:name w:val="st"/>
    <w:rsid w:val="00466BAA"/>
  </w:style>
  <w:style w:type="paragraph" w:customStyle="1" w:styleId="Style10">
    <w:name w:val="Style10"/>
    <w:basedOn w:val="Caption"/>
    <w:link w:val="Style10Char"/>
    <w:qFormat/>
    <w:rsid w:val="000121DE"/>
    <w:pPr>
      <w:keepNext/>
      <w:jc w:val="center"/>
    </w:pPr>
    <w:rPr>
      <w:b w:val="0"/>
      <w:bCs/>
      <w:color w:val="4F81BD"/>
    </w:rPr>
  </w:style>
  <w:style w:type="paragraph" w:styleId="EndnoteText">
    <w:name w:val="endnote text"/>
    <w:basedOn w:val="Normal"/>
    <w:link w:val="EndnoteTextChar"/>
    <w:rsid w:val="001F4C64"/>
    <w:rPr>
      <w:sz w:val="20"/>
      <w:szCs w:val="20"/>
    </w:rPr>
  </w:style>
  <w:style w:type="character" w:customStyle="1" w:styleId="CaptionChar">
    <w:name w:val="Caption Char"/>
    <w:aliases w:val="Table title Char,Figure Head Char"/>
    <w:link w:val="Caption"/>
    <w:uiPriority w:val="99"/>
    <w:rsid w:val="000121DE"/>
    <w:rPr>
      <w:b/>
      <w:sz w:val="22"/>
      <w:szCs w:val="24"/>
    </w:rPr>
  </w:style>
  <w:style w:type="character" w:customStyle="1" w:styleId="Style10Char">
    <w:name w:val="Style10 Char"/>
    <w:link w:val="Style10"/>
    <w:rsid w:val="000121DE"/>
    <w:rPr>
      <w:b w:val="0"/>
      <w:bCs/>
      <w:color w:val="4F81BD"/>
      <w:sz w:val="22"/>
      <w:szCs w:val="24"/>
    </w:rPr>
  </w:style>
  <w:style w:type="character" w:customStyle="1" w:styleId="EndnoteTextChar">
    <w:name w:val="Endnote Text Char"/>
    <w:basedOn w:val="DefaultParagraphFont"/>
    <w:link w:val="EndnoteText"/>
    <w:rsid w:val="001F4C64"/>
  </w:style>
  <w:style w:type="character" w:styleId="EndnoteReference">
    <w:name w:val="endnote reference"/>
    <w:basedOn w:val="DefaultParagraphFont"/>
    <w:rsid w:val="001F4C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6512">
      <w:bodyDiv w:val="1"/>
      <w:marLeft w:val="0"/>
      <w:marRight w:val="0"/>
      <w:marTop w:val="0"/>
      <w:marBottom w:val="0"/>
      <w:divBdr>
        <w:top w:val="none" w:sz="0" w:space="0" w:color="auto"/>
        <w:left w:val="none" w:sz="0" w:space="0" w:color="auto"/>
        <w:bottom w:val="none" w:sz="0" w:space="0" w:color="auto"/>
        <w:right w:val="none" w:sz="0" w:space="0" w:color="auto"/>
      </w:divBdr>
    </w:div>
    <w:div w:id="35662771">
      <w:bodyDiv w:val="1"/>
      <w:marLeft w:val="0"/>
      <w:marRight w:val="0"/>
      <w:marTop w:val="0"/>
      <w:marBottom w:val="0"/>
      <w:divBdr>
        <w:top w:val="none" w:sz="0" w:space="0" w:color="auto"/>
        <w:left w:val="none" w:sz="0" w:space="0" w:color="auto"/>
        <w:bottom w:val="none" w:sz="0" w:space="0" w:color="auto"/>
        <w:right w:val="none" w:sz="0" w:space="0" w:color="auto"/>
      </w:divBdr>
    </w:div>
    <w:div w:id="42026867">
      <w:bodyDiv w:val="1"/>
      <w:marLeft w:val="0"/>
      <w:marRight w:val="0"/>
      <w:marTop w:val="0"/>
      <w:marBottom w:val="0"/>
      <w:divBdr>
        <w:top w:val="none" w:sz="0" w:space="0" w:color="auto"/>
        <w:left w:val="none" w:sz="0" w:space="0" w:color="auto"/>
        <w:bottom w:val="none" w:sz="0" w:space="0" w:color="auto"/>
        <w:right w:val="none" w:sz="0" w:space="0" w:color="auto"/>
      </w:divBdr>
    </w:div>
    <w:div w:id="112212894">
      <w:bodyDiv w:val="1"/>
      <w:marLeft w:val="0"/>
      <w:marRight w:val="0"/>
      <w:marTop w:val="0"/>
      <w:marBottom w:val="0"/>
      <w:divBdr>
        <w:top w:val="none" w:sz="0" w:space="0" w:color="auto"/>
        <w:left w:val="none" w:sz="0" w:space="0" w:color="auto"/>
        <w:bottom w:val="none" w:sz="0" w:space="0" w:color="auto"/>
        <w:right w:val="none" w:sz="0" w:space="0" w:color="auto"/>
      </w:divBdr>
    </w:div>
    <w:div w:id="265191138">
      <w:bodyDiv w:val="1"/>
      <w:marLeft w:val="0"/>
      <w:marRight w:val="0"/>
      <w:marTop w:val="0"/>
      <w:marBottom w:val="0"/>
      <w:divBdr>
        <w:top w:val="none" w:sz="0" w:space="0" w:color="auto"/>
        <w:left w:val="none" w:sz="0" w:space="0" w:color="auto"/>
        <w:bottom w:val="none" w:sz="0" w:space="0" w:color="auto"/>
        <w:right w:val="none" w:sz="0" w:space="0" w:color="auto"/>
      </w:divBdr>
    </w:div>
    <w:div w:id="287048031">
      <w:bodyDiv w:val="1"/>
      <w:marLeft w:val="0"/>
      <w:marRight w:val="0"/>
      <w:marTop w:val="0"/>
      <w:marBottom w:val="0"/>
      <w:divBdr>
        <w:top w:val="none" w:sz="0" w:space="0" w:color="auto"/>
        <w:left w:val="none" w:sz="0" w:space="0" w:color="auto"/>
        <w:bottom w:val="none" w:sz="0" w:space="0" w:color="auto"/>
        <w:right w:val="none" w:sz="0" w:space="0" w:color="auto"/>
      </w:divBdr>
    </w:div>
    <w:div w:id="487285163">
      <w:bodyDiv w:val="1"/>
      <w:marLeft w:val="0"/>
      <w:marRight w:val="0"/>
      <w:marTop w:val="0"/>
      <w:marBottom w:val="0"/>
      <w:divBdr>
        <w:top w:val="none" w:sz="0" w:space="0" w:color="auto"/>
        <w:left w:val="none" w:sz="0" w:space="0" w:color="auto"/>
        <w:bottom w:val="none" w:sz="0" w:space="0" w:color="auto"/>
        <w:right w:val="none" w:sz="0" w:space="0" w:color="auto"/>
      </w:divBdr>
    </w:div>
    <w:div w:id="521553997">
      <w:bodyDiv w:val="1"/>
      <w:marLeft w:val="0"/>
      <w:marRight w:val="0"/>
      <w:marTop w:val="0"/>
      <w:marBottom w:val="0"/>
      <w:divBdr>
        <w:top w:val="none" w:sz="0" w:space="0" w:color="auto"/>
        <w:left w:val="none" w:sz="0" w:space="0" w:color="auto"/>
        <w:bottom w:val="none" w:sz="0" w:space="0" w:color="auto"/>
        <w:right w:val="none" w:sz="0" w:space="0" w:color="auto"/>
      </w:divBdr>
    </w:div>
    <w:div w:id="684941303">
      <w:bodyDiv w:val="1"/>
      <w:marLeft w:val="0"/>
      <w:marRight w:val="0"/>
      <w:marTop w:val="0"/>
      <w:marBottom w:val="0"/>
      <w:divBdr>
        <w:top w:val="none" w:sz="0" w:space="0" w:color="auto"/>
        <w:left w:val="none" w:sz="0" w:space="0" w:color="auto"/>
        <w:bottom w:val="none" w:sz="0" w:space="0" w:color="auto"/>
        <w:right w:val="none" w:sz="0" w:space="0" w:color="auto"/>
      </w:divBdr>
    </w:div>
    <w:div w:id="743919000">
      <w:bodyDiv w:val="1"/>
      <w:marLeft w:val="0"/>
      <w:marRight w:val="0"/>
      <w:marTop w:val="0"/>
      <w:marBottom w:val="0"/>
      <w:divBdr>
        <w:top w:val="none" w:sz="0" w:space="0" w:color="auto"/>
        <w:left w:val="none" w:sz="0" w:space="0" w:color="auto"/>
        <w:bottom w:val="none" w:sz="0" w:space="0" w:color="auto"/>
        <w:right w:val="none" w:sz="0" w:space="0" w:color="auto"/>
      </w:divBdr>
    </w:div>
    <w:div w:id="767047289">
      <w:bodyDiv w:val="1"/>
      <w:marLeft w:val="0"/>
      <w:marRight w:val="0"/>
      <w:marTop w:val="0"/>
      <w:marBottom w:val="0"/>
      <w:divBdr>
        <w:top w:val="none" w:sz="0" w:space="0" w:color="auto"/>
        <w:left w:val="none" w:sz="0" w:space="0" w:color="auto"/>
        <w:bottom w:val="none" w:sz="0" w:space="0" w:color="auto"/>
        <w:right w:val="none" w:sz="0" w:space="0" w:color="auto"/>
      </w:divBdr>
    </w:div>
    <w:div w:id="912467525">
      <w:bodyDiv w:val="1"/>
      <w:marLeft w:val="0"/>
      <w:marRight w:val="0"/>
      <w:marTop w:val="0"/>
      <w:marBottom w:val="0"/>
      <w:divBdr>
        <w:top w:val="none" w:sz="0" w:space="0" w:color="auto"/>
        <w:left w:val="none" w:sz="0" w:space="0" w:color="auto"/>
        <w:bottom w:val="none" w:sz="0" w:space="0" w:color="auto"/>
        <w:right w:val="none" w:sz="0" w:space="0" w:color="auto"/>
      </w:divBdr>
    </w:div>
    <w:div w:id="926157229">
      <w:bodyDiv w:val="1"/>
      <w:marLeft w:val="0"/>
      <w:marRight w:val="0"/>
      <w:marTop w:val="0"/>
      <w:marBottom w:val="0"/>
      <w:divBdr>
        <w:top w:val="none" w:sz="0" w:space="0" w:color="auto"/>
        <w:left w:val="none" w:sz="0" w:space="0" w:color="auto"/>
        <w:bottom w:val="none" w:sz="0" w:space="0" w:color="auto"/>
        <w:right w:val="none" w:sz="0" w:space="0" w:color="auto"/>
      </w:divBdr>
    </w:div>
    <w:div w:id="950168576">
      <w:bodyDiv w:val="1"/>
      <w:marLeft w:val="0"/>
      <w:marRight w:val="0"/>
      <w:marTop w:val="0"/>
      <w:marBottom w:val="0"/>
      <w:divBdr>
        <w:top w:val="none" w:sz="0" w:space="0" w:color="auto"/>
        <w:left w:val="none" w:sz="0" w:space="0" w:color="auto"/>
        <w:bottom w:val="none" w:sz="0" w:space="0" w:color="auto"/>
        <w:right w:val="none" w:sz="0" w:space="0" w:color="auto"/>
      </w:divBdr>
    </w:div>
    <w:div w:id="1006517549">
      <w:bodyDiv w:val="1"/>
      <w:marLeft w:val="0"/>
      <w:marRight w:val="0"/>
      <w:marTop w:val="0"/>
      <w:marBottom w:val="0"/>
      <w:divBdr>
        <w:top w:val="none" w:sz="0" w:space="0" w:color="auto"/>
        <w:left w:val="none" w:sz="0" w:space="0" w:color="auto"/>
        <w:bottom w:val="none" w:sz="0" w:space="0" w:color="auto"/>
        <w:right w:val="none" w:sz="0" w:space="0" w:color="auto"/>
      </w:divBdr>
    </w:div>
    <w:div w:id="1064910963">
      <w:bodyDiv w:val="1"/>
      <w:marLeft w:val="0"/>
      <w:marRight w:val="0"/>
      <w:marTop w:val="0"/>
      <w:marBottom w:val="0"/>
      <w:divBdr>
        <w:top w:val="none" w:sz="0" w:space="0" w:color="auto"/>
        <w:left w:val="none" w:sz="0" w:space="0" w:color="auto"/>
        <w:bottom w:val="none" w:sz="0" w:space="0" w:color="auto"/>
        <w:right w:val="none" w:sz="0" w:space="0" w:color="auto"/>
      </w:divBdr>
    </w:div>
    <w:div w:id="1097403538">
      <w:bodyDiv w:val="1"/>
      <w:marLeft w:val="0"/>
      <w:marRight w:val="0"/>
      <w:marTop w:val="0"/>
      <w:marBottom w:val="0"/>
      <w:divBdr>
        <w:top w:val="none" w:sz="0" w:space="0" w:color="auto"/>
        <w:left w:val="none" w:sz="0" w:space="0" w:color="auto"/>
        <w:bottom w:val="none" w:sz="0" w:space="0" w:color="auto"/>
        <w:right w:val="none" w:sz="0" w:space="0" w:color="auto"/>
      </w:divBdr>
    </w:div>
    <w:div w:id="1138718792">
      <w:bodyDiv w:val="1"/>
      <w:marLeft w:val="0"/>
      <w:marRight w:val="0"/>
      <w:marTop w:val="0"/>
      <w:marBottom w:val="0"/>
      <w:divBdr>
        <w:top w:val="none" w:sz="0" w:space="0" w:color="auto"/>
        <w:left w:val="none" w:sz="0" w:space="0" w:color="auto"/>
        <w:bottom w:val="none" w:sz="0" w:space="0" w:color="auto"/>
        <w:right w:val="none" w:sz="0" w:space="0" w:color="auto"/>
      </w:divBdr>
    </w:div>
    <w:div w:id="1377582538">
      <w:bodyDiv w:val="1"/>
      <w:marLeft w:val="0"/>
      <w:marRight w:val="0"/>
      <w:marTop w:val="0"/>
      <w:marBottom w:val="0"/>
      <w:divBdr>
        <w:top w:val="none" w:sz="0" w:space="0" w:color="auto"/>
        <w:left w:val="none" w:sz="0" w:space="0" w:color="auto"/>
        <w:bottom w:val="none" w:sz="0" w:space="0" w:color="auto"/>
        <w:right w:val="none" w:sz="0" w:space="0" w:color="auto"/>
      </w:divBdr>
    </w:div>
    <w:div w:id="1436436057">
      <w:bodyDiv w:val="1"/>
      <w:marLeft w:val="0"/>
      <w:marRight w:val="0"/>
      <w:marTop w:val="0"/>
      <w:marBottom w:val="0"/>
      <w:divBdr>
        <w:top w:val="none" w:sz="0" w:space="0" w:color="auto"/>
        <w:left w:val="none" w:sz="0" w:space="0" w:color="auto"/>
        <w:bottom w:val="none" w:sz="0" w:space="0" w:color="auto"/>
        <w:right w:val="none" w:sz="0" w:space="0" w:color="auto"/>
      </w:divBdr>
    </w:div>
    <w:div w:id="1442797664">
      <w:bodyDiv w:val="1"/>
      <w:marLeft w:val="0"/>
      <w:marRight w:val="0"/>
      <w:marTop w:val="0"/>
      <w:marBottom w:val="0"/>
      <w:divBdr>
        <w:top w:val="none" w:sz="0" w:space="0" w:color="auto"/>
        <w:left w:val="none" w:sz="0" w:space="0" w:color="auto"/>
        <w:bottom w:val="none" w:sz="0" w:space="0" w:color="auto"/>
        <w:right w:val="none" w:sz="0" w:space="0" w:color="auto"/>
      </w:divBdr>
    </w:div>
    <w:div w:id="1611663406">
      <w:bodyDiv w:val="1"/>
      <w:marLeft w:val="0"/>
      <w:marRight w:val="0"/>
      <w:marTop w:val="0"/>
      <w:marBottom w:val="0"/>
      <w:divBdr>
        <w:top w:val="none" w:sz="0" w:space="0" w:color="auto"/>
        <w:left w:val="none" w:sz="0" w:space="0" w:color="auto"/>
        <w:bottom w:val="none" w:sz="0" w:space="0" w:color="auto"/>
        <w:right w:val="none" w:sz="0" w:space="0" w:color="auto"/>
      </w:divBdr>
    </w:div>
    <w:div w:id="1634864098">
      <w:bodyDiv w:val="1"/>
      <w:marLeft w:val="0"/>
      <w:marRight w:val="0"/>
      <w:marTop w:val="0"/>
      <w:marBottom w:val="0"/>
      <w:divBdr>
        <w:top w:val="none" w:sz="0" w:space="0" w:color="auto"/>
        <w:left w:val="none" w:sz="0" w:space="0" w:color="auto"/>
        <w:bottom w:val="none" w:sz="0" w:space="0" w:color="auto"/>
        <w:right w:val="none" w:sz="0" w:space="0" w:color="auto"/>
      </w:divBdr>
    </w:div>
    <w:div w:id="1693067120">
      <w:bodyDiv w:val="1"/>
      <w:marLeft w:val="0"/>
      <w:marRight w:val="0"/>
      <w:marTop w:val="0"/>
      <w:marBottom w:val="0"/>
      <w:divBdr>
        <w:top w:val="none" w:sz="0" w:space="0" w:color="auto"/>
        <w:left w:val="none" w:sz="0" w:space="0" w:color="auto"/>
        <w:bottom w:val="none" w:sz="0" w:space="0" w:color="auto"/>
        <w:right w:val="none" w:sz="0" w:space="0" w:color="auto"/>
      </w:divBdr>
    </w:div>
    <w:div w:id="2047174385">
      <w:bodyDiv w:val="1"/>
      <w:marLeft w:val="0"/>
      <w:marRight w:val="0"/>
      <w:marTop w:val="0"/>
      <w:marBottom w:val="0"/>
      <w:divBdr>
        <w:top w:val="none" w:sz="0" w:space="0" w:color="auto"/>
        <w:left w:val="none" w:sz="0" w:space="0" w:color="auto"/>
        <w:bottom w:val="none" w:sz="0" w:space="0" w:color="auto"/>
        <w:right w:val="none" w:sz="0" w:space="0" w:color="auto"/>
      </w:divBdr>
    </w:div>
    <w:div w:id="207959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chart" Target="charts/chart19.xml"/><Relationship Id="rId21" Type="http://schemas.openxmlformats.org/officeDocument/2006/relationships/footer" Target="footer7.xml"/><Relationship Id="rId34" Type="http://schemas.openxmlformats.org/officeDocument/2006/relationships/footer" Target="footer8.xml"/><Relationship Id="rId42" Type="http://schemas.openxmlformats.org/officeDocument/2006/relationships/chart" Target="charts/chart22.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3.xml"/><Relationship Id="rId63" Type="http://schemas.openxmlformats.org/officeDocument/2006/relationships/hyperlink" Target="http://www.research.by/webroot/delivery/files/poverty2012r.pdf" TargetMode="External"/><Relationship Id="rId68" Type="http://schemas.openxmlformats.org/officeDocument/2006/relationships/hyperlink" Target="http://www.state.gov/j/tip/rls/tiprpt/2012/192366.htm" TargetMode="External"/><Relationship Id="rId7" Type="http://schemas.openxmlformats.org/officeDocument/2006/relationships/footnotes" Target="footnotes.xml"/><Relationship Id="rId71"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3.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header" Target="header1.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hyperlink" Target="http://www.un.org/documents/ga/res/48/a48r104.htm" TargetMode="Externa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6.xml"/><Relationship Id="rId49" Type="http://schemas.openxmlformats.org/officeDocument/2006/relationships/chart" Target="charts/chart28.xml"/><Relationship Id="rId57" Type="http://schemas.openxmlformats.org/officeDocument/2006/relationships/chart" Target="charts/chart35.xml"/><Relationship Id="rId61" Type="http://schemas.openxmlformats.org/officeDocument/2006/relationships/hyperlink" Target="http://www.unicef-irc.org/publications/pdf/digest6e.pdf" TargetMode="Externa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chart" Target="charts/chart24.xml"/><Relationship Id="rId52" Type="http://schemas.openxmlformats.org/officeDocument/2006/relationships/image" Target="media/image2.emf"/><Relationship Id="rId60" Type="http://schemas.openxmlformats.org/officeDocument/2006/relationships/hyperlink" Target="http://minzdrav.gov.by/dadvfiles/000723_427042_Probl_1_N2_12.pdf" TargetMode="External"/><Relationship Id="rId65" Type="http://schemas.openxmlformats.org/officeDocument/2006/relationships/hyperlink" Target="http://w3.unece.org/pxweb/database/STAT/30-GE/05-PublicAnddecision/?lang=1"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footer" Target="footer9.xml"/><Relationship Id="rId43" Type="http://schemas.openxmlformats.org/officeDocument/2006/relationships/chart" Target="charts/chart23.xml"/><Relationship Id="rId48" Type="http://schemas.openxmlformats.org/officeDocument/2006/relationships/chart" Target="charts/chart27.xml"/><Relationship Id="rId56" Type="http://schemas.openxmlformats.org/officeDocument/2006/relationships/chart" Target="charts/chart34.xml"/><Relationship Id="rId64" Type="http://schemas.openxmlformats.org/officeDocument/2006/relationships/hyperlink" Target="http://siteresources.worldbank.org/ECAEXT/Resources/258598-1322580725430/WB_genderReportFINAL.pdf" TargetMode="External"/><Relationship Id="rId69" Type="http://schemas.openxmlformats.org/officeDocument/2006/relationships/hyperlink" Target="http://wbl.worldbank.org/data/exploreeconomies/belarus/2011" TargetMode="External"/><Relationship Id="rId8" Type="http://schemas.openxmlformats.org/officeDocument/2006/relationships/endnotes" Target="endnotes.xml"/><Relationship Id="rId51" Type="http://schemas.openxmlformats.org/officeDocument/2006/relationships/chart" Target="charts/chart3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header" Target="header2.xml"/><Relationship Id="rId38" Type="http://schemas.openxmlformats.org/officeDocument/2006/relationships/chart" Target="charts/chart18.xml"/><Relationship Id="rId46" Type="http://schemas.openxmlformats.org/officeDocument/2006/relationships/hyperlink" Target="http://www.enterprisesurveys.org/" TargetMode="External"/><Relationship Id="rId59" Type="http://schemas.openxmlformats.org/officeDocument/2006/relationships/hyperlink" Target="http://nmnby.eu/news/analytics/4386.html" TargetMode="External"/><Relationship Id="rId67" Type="http://schemas.openxmlformats.org/officeDocument/2006/relationships/hyperlink" Target="http://www.unicef.org/statistics/index_countrystats.html" TargetMode="External"/><Relationship Id="rId20" Type="http://schemas.openxmlformats.org/officeDocument/2006/relationships/chart" Target="charts/chart5.xml"/><Relationship Id="rId41" Type="http://schemas.openxmlformats.org/officeDocument/2006/relationships/chart" Target="charts/chart21.xml"/><Relationship Id="rId54" Type="http://schemas.openxmlformats.org/officeDocument/2006/relationships/chart" Target="charts/chart32.xml"/><Relationship Id="rId62" Type="http://schemas.openxmlformats.org/officeDocument/2006/relationships/hyperlink" Target="http://genderindex.org/" TargetMode="External"/><Relationship Id="rId70"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nicef-irc.org/publications/pdf/digest6e.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Aziz%20Atamanov_work\Belarus\results_29_March_2013.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Aziz%20Atamanov_work\Belarus\results_06_March_2013.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Aziz%20Atamanov_work\Belarus\results_29_March_2013.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Aziz%20Atamanov_work\Belarus\results_29_March_2013.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Aziz%20Atamanov_work\Belarus\results_29_March_2013.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Aziz%20Atamanov_work\Belarus\results_29_March_2013.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4.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oleObject" Target="file:///C:\Aziz%20Atamanov_work\Belarus\results_06_March_20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Aziz%20Atamanov_work\Belarus\results_29_March_201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Aziz%20Atamanov_work\Belarus\results_06_March_2013.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Aziz%20Atamanov_work\Belarus\results.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899634340579446"/>
          <c:y val="5.1579650104712486E-2"/>
          <c:w val="0.51805968698357718"/>
          <c:h val="0.84597364353846505"/>
        </c:manualLayout>
      </c:layout>
      <c:barChart>
        <c:barDir val="col"/>
        <c:grouping val="clustered"/>
        <c:varyColors val="0"/>
        <c:ser>
          <c:idx val="0"/>
          <c:order val="0"/>
          <c:tx>
            <c:strRef>
              <c:f>UNECE!$C$45</c:f>
              <c:strCache>
                <c:ptCount val="1"/>
                <c:pt idx="0">
                  <c:v>Local area governing bodies</c:v>
                </c:pt>
              </c:strCache>
            </c:strRef>
          </c:tx>
          <c:invertIfNegative val="0"/>
          <c:cat>
            <c:numRef>
              <c:f>UNECE!$D$44:$F$44</c:f>
              <c:numCache>
                <c:formatCode>General</c:formatCode>
                <c:ptCount val="3"/>
                <c:pt idx="0">
                  <c:v>2002</c:v>
                </c:pt>
                <c:pt idx="1">
                  <c:v>2006</c:v>
                </c:pt>
                <c:pt idx="2">
                  <c:v>2011</c:v>
                </c:pt>
              </c:numCache>
            </c:numRef>
          </c:cat>
          <c:val>
            <c:numRef>
              <c:f>UNECE!$D$45:$F$45</c:f>
              <c:numCache>
                <c:formatCode>General</c:formatCode>
                <c:ptCount val="3"/>
                <c:pt idx="0">
                  <c:v>64.5</c:v>
                </c:pt>
                <c:pt idx="1">
                  <c:v>66.8</c:v>
                </c:pt>
                <c:pt idx="2">
                  <c:v>68.599999999999994</c:v>
                </c:pt>
              </c:numCache>
            </c:numRef>
          </c:val>
        </c:ser>
        <c:ser>
          <c:idx val="1"/>
          <c:order val="1"/>
          <c:tx>
            <c:strRef>
              <c:f>UNECE!$C$46</c:f>
              <c:strCache>
                <c:ptCount val="1"/>
                <c:pt idx="0">
                  <c:v>National Parliament</c:v>
                </c:pt>
              </c:strCache>
            </c:strRef>
          </c:tx>
          <c:spPr>
            <a:solidFill>
              <a:schemeClr val="accent6">
                <a:lumMod val="60000"/>
                <a:lumOff val="40000"/>
              </a:schemeClr>
            </a:solidFill>
          </c:spPr>
          <c:invertIfNegative val="0"/>
          <c:cat>
            <c:numRef>
              <c:f>UNECE!$D$44:$F$44</c:f>
              <c:numCache>
                <c:formatCode>General</c:formatCode>
                <c:ptCount val="3"/>
                <c:pt idx="0">
                  <c:v>2002</c:v>
                </c:pt>
                <c:pt idx="1">
                  <c:v>2006</c:v>
                </c:pt>
                <c:pt idx="2">
                  <c:v>2011</c:v>
                </c:pt>
              </c:numCache>
            </c:numRef>
          </c:cat>
          <c:val>
            <c:numRef>
              <c:f>UNECE!$D$46:$F$46</c:f>
              <c:numCache>
                <c:formatCode>General</c:formatCode>
                <c:ptCount val="3"/>
                <c:pt idx="0">
                  <c:v>10.3</c:v>
                </c:pt>
                <c:pt idx="1">
                  <c:v>29.1</c:v>
                </c:pt>
                <c:pt idx="2">
                  <c:v>31.8</c:v>
                </c:pt>
              </c:numCache>
            </c:numRef>
          </c:val>
        </c:ser>
        <c:ser>
          <c:idx val="2"/>
          <c:order val="2"/>
          <c:tx>
            <c:strRef>
              <c:f>UNECE!$C$47</c:f>
              <c:strCache>
                <c:ptCount val="1"/>
                <c:pt idx="0">
                  <c:v>Government ministers</c:v>
                </c:pt>
              </c:strCache>
            </c:strRef>
          </c:tx>
          <c:invertIfNegative val="0"/>
          <c:cat>
            <c:numRef>
              <c:f>UNECE!$D$44:$F$44</c:f>
              <c:numCache>
                <c:formatCode>General</c:formatCode>
                <c:ptCount val="3"/>
                <c:pt idx="0">
                  <c:v>2002</c:v>
                </c:pt>
                <c:pt idx="1">
                  <c:v>2006</c:v>
                </c:pt>
                <c:pt idx="2">
                  <c:v>2011</c:v>
                </c:pt>
              </c:numCache>
            </c:numRef>
          </c:cat>
          <c:val>
            <c:numRef>
              <c:f>UNECE!$D$47:$F$47</c:f>
              <c:numCache>
                <c:formatCode>General</c:formatCode>
                <c:ptCount val="3"/>
                <c:pt idx="0">
                  <c:v>5.3</c:v>
                </c:pt>
                <c:pt idx="1">
                  <c:v>6.2</c:v>
                </c:pt>
                <c:pt idx="2">
                  <c:v>3.2</c:v>
                </c:pt>
              </c:numCache>
            </c:numRef>
          </c:val>
        </c:ser>
        <c:dLbls>
          <c:showLegendKey val="0"/>
          <c:showVal val="0"/>
          <c:showCatName val="0"/>
          <c:showSerName val="0"/>
          <c:showPercent val="0"/>
          <c:showBubbleSize val="0"/>
        </c:dLbls>
        <c:gapWidth val="150"/>
        <c:axId val="250037376"/>
        <c:axId val="250038912"/>
      </c:barChart>
      <c:catAx>
        <c:axId val="250037376"/>
        <c:scaling>
          <c:orientation val="minMax"/>
        </c:scaling>
        <c:delete val="0"/>
        <c:axPos val="b"/>
        <c:numFmt formatCode="General" sourceLinked="1"/>
        <c:majorTickMark val="out"/>
        <c:minorTickMark val="none"/>
        <c:tickLblPos val="nextTo"/>
        <c:crossAx val="250038912"/>
        <c:crosses val="autoZero"/>
        <c:auto val="1"/>
        <c:lblAlgn val="ctr"/>
        <c:lblOffset val="100"/>
        <c:noMultiLvlLbl val="0"/>
      </c:catAx>
      <c:valAx>
        <c:axId val="250038912"/>
        <c:scaling>
          <c:orientation val="minMax"/>
        </c:scaling>
        <c:delete val="0"/>
        <c:axPos val="l"/>
        <c:majorGridlines/>
        <c:title>
          <c:tx>
            <c:rich>
              <a:bodyPr rot="-5400000" vert="horz"/>
              <a:lstStyle/>
              <a:p>
                <a:pPr>
                  <a:defRPr/>
                </a:pPr>
                <a:r>
                  <a:rPr lang="en-US"/>
                  <a:t>%</a:t>
                </a:r>
              </a:p>
            </c:rich>
          </c:tx>
          <c:layout>
            <c:manualLayout>
              <c:xMode val="edge"/>
              <c:yMode val="edge"/>
              <c:x val="1.9444509734790807E-2"/>
              <c:y val="0.43694644552409889"/>
            </c:manualLayout>
          </c:layout>
          <c:overlay val="0"/>
          <c:spPr>
            <a:noFill/>
            <a:ln w="25400">
              <a:noFill/>
            </a:ln>
          </c:spPr>
        </c:title>
        <c:numFmt formatCode="General" sourceLinked="1"/>
        <c:majorTickMark val="out"/>
        <c:minorTickMark val="none"/>
        <c:tickLblPos val="nextTo"/>
        <c:crossAx val="250037376"/>
        <c:crosses val="autoZero"/>
        <c:crossBetween val="between"/>
      </c:valAx>
    </c:plotArea>
    <c:legend>
      <c:legendPos val="r"/>
      <c:layout>
        <c:manualLayout>
          <c:xMode val="edge"/>
          <c:yMode val="edge"/>
          <c:x val="0.67761194029851601"/>
          <c:y val="4.6099290780141904E-2"/>
          <c:w val="0.30746268656716658"/>
          <c:h val="0.94326241134751776"/>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65515982687596"/>
          <c:y val="3.4477512344855202E-2"/>
          <c:w val="0.79225843458309908"/>
          <c:h val="0.7015285377463405"/>
        </c:manualLayout>
      </c:layout>
      <c:barChart>
        <c:barDir val="col"/>
        <c:grouping val="clustered"/>
        <c:varyColors val="0"/>
        <c:ser>
          <c:idx val="0"/>
          <c:order val="0"/>
          <c:tx>
            <c:strRef>
              <c:f>'WDI and national sources'!$E$150</c:f>
              <c:strCache>
                <c:ptCount val="1"/>
                <c:pt idx="0">
                  <c:v>2000</c:v>
                </c:pt>
              </c:strCache>
            </c:strRef>
          </c:tx>
          <c:invertIfNegative val="0"/>
          <c:cat>
            <c:multiLvlStrRef>
              <c:f>'WDI and national sources'!$C$151:$D$154</c:f>
              <c:multiLvlStrCache>
                <c:ptCount val="4"/>
                <c:lvl>
                  <c:pt idx="0">
                    <c:v>Belarus</c:v>
                  </c:pt>
                  <c:pt idx="1">
                    <c:v>ECA</c:v>
                  </c:pt>
                  <c:pt idx="2">
                    <c:v>Belarus</c:v>
                  </c:pt>
                  <c:pt idx="3">
                    <c:v>ECA</c:v>
                  </c:pt>
                </c:lvl>
                <c:lvl>
                  <c:pt idx="0">
                    <c:v>female</c:v>
                  </c:pt>
                  <c:pt idx="2">
                    <c:v>male</c:v>
                  </c:pt>
                </c:lvl>
              </c:multiLvlStrCache>
            </c:multiLvlStrRef>
          </c:cat>
          <c:val>
            <c:numRef>
              <c:f>'WDI and national sources'!$E$151:$E$154</c:f>
              <c:numCache>
                <c:formatCode>0.00</c:formatCode>
                <c:ptCount val="4"/>
                <c:pt idx="0">
                  <c:v>74.7</c:v>
                </c:pt>
                <c:pt idx="1">
                  <c:v>72.444849709743508</c:v>
                </c:pt>
                <c:pt idx="2">
                  <c:v>63.4</c:v>
                </c:pt>
                <c:pt idx="3">
                  <c:v>62.9738890736879</c:v>
                </c:pt>
              </c:numCache>
            </c:numRef>
          </c:val>
        </c:ser>
        <c:ser>
          <c:idx val="1"/>
          <c:order val="1"/>
          <c:tx>
            <c:strRef>
              <c:f>'WDI and national sources'!$F$150</c:f>
              <c:strCache>
                <c:ptCount val="1"/>
                <c:pt idx="0">
                  <c:v>2010</c:v>
                </c:pt>
              </c:strCache>
            </c:strRef>
          </c:tx>
          <c:spPr>
            <a:solidFill>
              <a:schemeClr val="accent6">
                <a:lumMod val="60000"/>
                <a:lumOff val="40000"/>
              </a:schemeClr>
            </a:solidFill>
          </c:spPr>
          <c:invertIfNegative val="0"/>
          <c:cat>
            <c:multiLvlStrRef>
              <c:f>'WDI and national sources'!$C$151:$D$154</c:f>
              <c:multiLvlStrCache>
                <c:ptCount val="4"/>
                <c:lvl>
                  <c:pt idx="0">
                    <c:v>Belarus</c:v>
                  </c:pt>
                  <c:pt idx="1">
                    <c:v>ECA</c:v>
                  </c:pt>
                  <c:pt idx="2">
                    <c:v>Belarus</c:v>
                  </c:pt>
                  <c:pt idx="3">
                    <c:v>ECA</c:v>
                  </c:pt>
                </c:lvl>
                <c:lvl>
                  <c:pt idx="0">
                    <c:v>female</c:v>
                  </c:pt>
                  <c:pt idx="2">
                    <c:v>male</c:v>
                  </c:pt>
                </c:lvl>
              </c:multiLvlStrCache>
            </c:multiLvlStrRef>
          </c:cat>
          <c:val>
            <c:numRef>
              <c:f>'WDI and national sources'!$F$151:$F$154</c:f>
              <c:numCache>
                <c:formatCode>0.00</c:formatCode>
                <c:ptCount val="4"/>
                <c:pt idx="0">
                  <c:v>76.5</c:v>
                </c:pt>
                <c:pt idx="1">
                  <c:v>75.051853541863125</c:v>
                </c:pt>
                <c:pt idx="2">
                  <c:v>64.599999999999994</c:v>
                </c:pt>
                <c:pt idx="3">
                  <c:v>66.316136612886069</c:v>
                </c:pt>
              </c:numCache>
            </c:numRef>
          </c:val>
        </c:ser>
        <c:dLbls>
          <c:showLegendKey val="0"/>
          <c:showVal val="0"/>
          <c:showCatName val="0"/>
          <c:showSerName val="0"/>
          <c:showPercent val="0"/>
          <c:showBubbleSize val="0"/>
        </c:dLbls>
        <c:gapWidth val="150"/>
        <c:axId val="261757184"/>
        <c:axId val="261763072"/>
      </c:barChart>
      <c:catAx>
        <c:axId val="261757184"/>
        <c:scaling>
          <c:orientation val="minMax"/>
        </c:scaling>
        <c:delete val="0"/>
        <c:axPos val="b"/>
        <c:numFmt formatCode="General" sourceLinked="1"/>
        <c:majorTickMark val="out"/>
        <c:minorTickMark val="none"/>
        <c:tickLblPos val="nextTo"/>
        <c:txPr>
          <a:bodyPr rot="0" vert="horz"/>
          <a:lstStyle/>
          <a:p>
            <a:pPr>
              <a:defRPr/>
            </a:pPr>
            <a:endParaRPr lang="en-US"/>
          </a:p>
        </c:txPr>
        <c:crossAx val="261763072"/>
        <c:crosses val="autoZero"/>
        <c:auto val="1"/>
        <c:lblAlgn val="ctr"/>
        <c:lblOffset val="100"/>
        <c:tickLblSkip val="1"/>
        <c:tickMarkSkip val="1"/>
        <c:noMultiLvlLbl val="0"/>
      </c:catAx>
      <c:valAx>
        <c:axId val="261763072"/>
        <c:scaling>
          <c:orientation val="minMax"/>
          <c:max val="90"/>
          <c:min val="0"/>
        </c:scaling>
        <c:delete val="0"/>
        <c:axPos val="l"/>
        <c:majorGridlines/>
        <c:title>
          <c:tx>
            <c:rich>
              <a:bodyPr rot="-5400000" vert="horz"/>
              <a:lstStyle/>
              <a:p>
                <a:pPr>
                  <a:defRPr/>
                </a:pPr>
                <a:r>
                  <a:rPr lang="en-US"/>
                  <a:t>years</a:t>
                </a:r>
              </a:p>
            </c:rich>
          </c:tx>
          <c:layout>
            <c:manualLayout>
              <c:xMode val="edge"/>
              <c:yMode val="edge"/>
              <c:x val="9.1811371260711559E-3"/>
              <c:y val="0.27678677877129781"/>
            </c:manualLayout>
          </c:layout>
          <c:overlay val="0"/>
        </c:title>
        <c:numFmt formatCode="0" sourceLinked="0"/>
        <c:majorTickMark val="out"/>
        <c:minorTickMark val="none"/>
        <c:tickLblPos val="nextTo"/>
        <c:txPr>
          <a:bodyPr rot="0" vert="horz"/>
          <a:lstStyle/>
          <a:p>
            <a:pPr>
              <a:defRPr/>
            </a:pPr>
            <a:endParaRPr lang="en-US"/>
          </a:p>
        </c:txPr>
        <c:crossAx val="261757184"/>
        <c:crosses val="autoZero"/>
        <c:crossBetween val="between"/>
        <c:majorUnit val="10"/>
        <c:minorUnit val="2"/>
      </c:valAx>
    </c:plotArea>
    <c:legend>
      <c:legendPos val="r"/>
      <c:layout>
        <c:manualLayout>
          <c:xMode val="edge"/>
          <c:yMode val="edge"/>
          <c:x val="0.50993377483443658"/>
          <c:y val="4.6610169491525397E-2"/>
          <c:w val="0.17328918322295844"/>
          <c:h val="0.16101694915254244"/>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6267840257342"/>
          <c:y val="7.5301837270341523E-2"/>
          <c:w val="0.66670378323921664"/>
          <c:h val="0.44346501945877453"/>
        </c:manualLayout>
      </c:layout>
      <c:barChart>
        <c:barDir val="col"/>
        <c:grouping val="clustered"/>
        <c:varyColors val="0"/>
        <c:ser>
          <c:idx val="1"/>
          <c:order val="1"/>
          <c:tx>
            <c:strRef>
              <c:f>'WDI and national sources'!$E$187</c:f>
              <c:strCache>
                <c:ptCount val="1"/>
                <c:pt idx="0">
                  <c:v>women (rhs)</c:v>
                </c:pt>
              </c:strCache>
            </c:strRef>
          </c:tx>
          <c:invertIfNegative val="0"/>
          <c:cat>
            <c:strRef>
              <c:f>'WDI and national sources'!$C$188:$C$195</c:f>
              <c:strCache>
                <c:ptCount val="8"/>
                <c:pt idx="0">
                  <c:v>Republic</c:v>
                </c:pt>
                <c:pt idx="1">
                  <c:v>Brest</c:v>
                </c:pt>
                <c:pt idx="2">
                  <c:v>Vitebsk</c:v>
                </c:pt>
                <c:pt idx="3">
                  <c:v>Gomel</c:v>
                </c:pt>
                <c:pt idx="4">
                  <c:v>Grodno</c:v>
                </c:pt>
                <c:pt idx="5">
                  <c:v>Minsk city</c:v>
                </c:pt>
                <c:pt idx="6">
                  <c:v>Minsk region</c:v>
                </c:pt>
                <c:pt idx="7">
                  <c:v>Mogilev</c:v>
                </c:pt>
              </c:strCache>
            </c:strRef>
          </c:cat>
          <c:val>
            <c:numRef>
              <c:f>'WDI and national sources'!$E$188:$E$195</c:f>
              <c:numCache>
                <c:formatCode>General</c:formatCode>
                <c:ptCount val="8"/>
                <c:pt idx="0">
                  <c:v>76.5</c:v>
                </c:pt>
                <c:pt idx="1">
                  <c:v>77</c:v>
                </c:pt>
                <c:pt idx="2">
                  <c:v>75.8</c:v>
                </c:pt>
                <c:pt idx="3">
                  <c:v>75.900000000000006</c:v>
                </c:pt>
                <c:pt idx="4">
                  <c:v>76.3</c:v>
                </c:pt>
                <c:pt idx="5">
                  <c:v>78.400000000000006</c:v>
                </c:pt>
                <c:pt idx="6">
                  <c:v>75.599999999999994</c:v>
                </c:pt>
                <c:pt idx="7">
                  <c:v>75.7</c:v>
                </c:pt>
              </c:numCache>
            </c:numRef>
          </c:val>
        </c:ser>
        <c:dLbls>
          <c:showLegendKey val="0"/>
          <c:showVal val="0"/>
          <c:showCatName val="0"/>
          <c:showSerName val="0"/>
          <c:showPercent val="0"/>
          <c:showBubbleSize val="0"/>
        </c:dLbls>
        <c:gapWidth val="150"/>
        <c:axId val="261808128"/>
        <c:axId val="261801856"/>
      </c:barChart>
      <c:lineChart>
        <c:grouping val="standard"/>
        <c:varyColors val="0"/>
        <c:ser>
          <c:idx val="0"/>
          <c:order val="0"/>
          <c:tx>
            <c:strRef>
              <c:f>'WDI and national sources'!$D$187</c:f>
              <c:strCache>
                <c:ptCount val="1"/>
                <c:pt idx="0">
                  <c:v>men (lhs)</c:v>
                </c:pt>
              </c:strCache>
            </c:strRef>
          </c:tx>
          <c:cat>
            <c:strRef>
              <c:f>'WDI and national sources'!$C$188:$C$195</c:f>
              <c:strCache>
                <c:ptCount val="8"/>
                <c:pt idx="0">
                  <c:v>Republic</c:v>
                </c:pt>
                <c:pt idx="1">
                  <c:v>Brest</c:v>
                </c:pt>
                <c:pt idx="2">
                  <c:v>Vitebsk</c:v>
                </c:pt>
                <c:pt idx="3">
                  <c:v>Gomel</c:v>
                </c:pt>
                <c:pt idx="4">
                  <c:v>Grodno</c:v>
                </c:pt>
                <c:pt idx="5">
                  <c:v>Minsk city</c:v>
                </c:pt>
                <c:pt idx="6">
                  <c:v>Minsk region</c:v>
                </c:pt>
                <c:pt idx="7">
                  <c:v>Mogilev</c:v>
                </c:pt>
              </c:strCache>
            </c:strRef>
          </c:cat>
          <c:val>
            <c:numRef>
              <c:f>'WDI and national sources'!$D$188:$D$195</c:f>
              <c:numCache>
                <c:formatCode>General</c:formatCode>
                <c:ptCount val="8"/>
                <c:pt idx="0">
                  <c:v>64.599999999999994</c:v>
                </c:pt>
                <c:pt idx="1">
                  <c:v>65.099999999999994</c:v>
                </c:pt>
                <c:pt idx="2">
                  <c:v>63.5</c:v>
                </c:pt>
                <c:pt idx="3">
                  <c:v>63.8</c:v>
                </c:pt>
                <c:pt idx="4">
                  <c:v>64.2</c:v>
                </c:pt>
                <c:pt idx="5">
                  <c:v>68</c:v>
                </c:pt>
                <c:pt idx="6">
                  <c:v>62.9</c:v>
                </c:pt>
                <c:pt idx="7">
                  <c:v>63.9</c:v>
                </c:pt>
              </c:numCache>
            </c:numRef>
          </c:val>
          <c:smooth val="0"/>
        </c:ser>
        <c:dLbls>
          <c:showLegendKey val="0"/>
          <c:showVal val="0"/>
          <c:showCatName val="0"/>
          <c:showSerName val="0"/>
          <c:showPercent val="0"/>
          <c:showBubbleSize val="0"/>
        </c:dLbls>
        <c:marker val="1"/>
        <c:smooth val="0"/>
        <c:axId val="261789952"/>
        <c:axId val="261799936"/>
      </c:lineChart>
      <c:catAx>
        <c:axId val="261789952"/>
        <c:scaling>
          <c:orientation val="minMax"/>
        </c:scaling>
        <c:delete val="0"/>
        <c:axPos val="b"/>
        <c:majorTickMark val="out"/>
        <c:minorTickMark val="none"/>
        <c:tickLblPos val="nextTo"/>
        <c:crossAx val="261799936"/>
        <c:crosses val="autoZero"/>
        <c:auto val="1"/>
        <c:lblAlgn val="ctr"/>
        <c:lblOffset val="100"/>
        <c:noMultiLvlLbl val="0"/>
      </c:catAx>
      <c:valAx>
        <c:axId val="261799936"/>
        <c:scaling>
          <c:orientation val="minMax"/>
        </c:scaling>
        <c:delete val="0"/>
        <c:axPos val="l"/>
        <c:majorGridlines/>
        <c:title>
          <c:tx>
            <c:rich>
              <a:bodyPr rot="-5400000" vert="horz"/>
              <a:lstStyle/>
              <a:p>
                <a:pPr>
                  <a:defRPr/>
                </a:pPr>
                <a:r>
                  <a:rPr lang="en-US"/>
                  <a:t>years</a:t>
                </a:r>
              </a:p>
            </c:rich>
          </c:tx>
          <c:layout>
            <c:manualLayout>
              <c:xMode val="edge"/>
              <c:yMode val="edge"/>
              <c:x val="4.4893378226711937E-3"/>
              <c:y val="0.20101728663227575"/>
            </c:manualLayout>
          </c:layout>
          <c:overlay val="0"/>
        </c:title>
        <c:numFmt formatCode="General" sourceLinked="1"/>
        <c:majorTickMark val="out"/>
        <c:minorTickMark val="none"/>
        <c:tickLblPos val="nextTo"/>
        <c:crossAx val="261789952"/>
        <c:crosses val="autoZero"/>
        <c:crossBetween val="between"/>
      </c:valAx>
      <c:valAx>
        <c:axId val="261801856"/>
        <c:scaling>
          <c:orientation val="minMax"/>
        </c:scaling>
        <c:delete val="0"/>
        <c:axPos val="r"/>
        <c:title>
          <c:tx>
            <c:rich>
              <a:bodyPr rot="-5400000" vert="horz"/>
              <a:lstStyle/>
              <a:p>
                <a:pPr>
                  <a:defRPr/>
                </a:pPr>
                <a:r>
                  <a:rPr lang="en-US"/>
                  <a:t>years</a:t>
                </a:r>
              </a:p>
            </c:rich>
          </c:tx>
          <c:layout>
            <c:manualLayout>
              <c:xMode val="edge"/>
              <c:yMode val="edge"/>
              <c:x val="0.9137820903700169"/>
              <c:y val="0.19286768033306179"/>
            </c:manualLayout>
          </c:layout>
          <c:overlay val="0"/>
        </c:title>
        <c:numFmt formatCode="General" sourceLinked="1"/>
        <c:majorTickMark val="out"/>
        <c:minorTickMark val="none"/>
        <c:tickLblPos val="nextTo"/>
        <c:crossAx val="261808128"/>
        <c:crosses val="max"/>
        <c:crossBetween val="between"/>
      </c:valAx>
      <c:catAx>
        <c:axId val="261808128"/>
        <c:scaling>
          <c:orientation val="minMax"/>
        </c:scaling>
        <c:delete val="1"/>
        <c:axPos val="b"/>
        <c:majorTickMark val="out"/>
        <c:minorTickMark val="none"/>
        <c:tickLblPos val="none"/>
        <c:crossAx val="261801856"/>
        <c:crosses val="autoZero"/>
        <c:auto val="1"/>
        <c:lblAlgn val="ctr"/>
        <c:lblOffset val="100"/>
        <c:noMultiLvlLbl val="0"/>
      </c:catAx>
    </c:plotArea>
    <c:legend>
      <c:legendPos val="b"/>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44031434353612"/>
          <c:y val="7.1146382369345909E-2"/>
          <c:w val="0.74842997134793676"/>
          <c:h val="0.61660198053433191"/>
        </c:manualLayout>
      </c:layout>
      <c:barChart>
        <c:barDir val="col"/>
        <c:grouping val="clustered"/>
        <c:varyColors val="0"/>
        <c:ser>
          <c:idx val="0"/>
          <c:order val="0"/>
          <c:tx>
            <c:strRef>
              <c:f>'WDI and national sources'!$F$237</c:f>
              <c:strCache>
                <c:ptCount val="1"/>
                <c:pt idx="0">
                  <c:v>2000</c:v>
                </c:pt>
              </c:strCache>
            </c:strRef>
          </c:tx>
          <c:invertIfNegative val="0"/>
          <c:cat>
            <c:multiLvlStrRef>
              <c:f>'WDI and national sources'!$C$238:$D$241</c:f>
              <c:multiLvlStrCache>
                <c:ptCount val="4"/>
                <c:lvl>
                  <c:pt idx="0">
                    <c:v>women</c:v>
                  </c:pt>
                  <c:pt idx="1">
                    <c:v>men</c:v>
                  </c:pt>
                  <c:pt idx="2">
                    <c:v>women</c:v>
                  </c:pt>
                  <c:pt idx="3">
                    <c:v>men</c:v>
                  </c:pt>
                </c:lvl>
                <c:lvl>
                  <c:pt idx="0">
                    <c:v>Belarus</c:v>
                  </c:pt>
                  <c:pt idx="1">
                    <c:v>Belarus</c:v>
                  </c:pt>
                  <c:pt idx="2">
                    <c:v>ECA</c:v>
                  </c:pt>
                  <c:pt idx="3">
                    <c:v>ECA</c:v>
                  </c:pt>
                </c:lvl>
              </c:multiLvlStrCache>
            </c:multiLvlStrRef>
          </c:cat>
          <c:val>
            <c:numRef>
              <c:f>'WDI and national sources'!$F$238:$F$241</c:f>
              <c:numCache>
                <c:formatCode>0.0</c:formatCode>
                <c:ptCount val="4"/>
                <c:pt idx="0">
                  <c:v>125.35199854139999</c:v>
                </c:pt>
                <c:pt idx="1">
                  <c:v>354.1130386122</c:v>
                </c:pt>
                <c:pt idx="2">
                  <c:v>137.15671912862831</c:v>
                </c:pt>
                <c:pt idx="3">
                  <c:v>333.92773958666959</c:v>
                </c:pt>
              </c:numCache>
            </c:numRef>
          </c:val>
        </c:ser>
        <c:ser>
          <c:idx val="1"/>
          <c:order val="1"/>
          <c:tx>
            <c:strRef>
              <c:f>'WDI and national sources'!$G$237</c:f>
              <c:strCache>
                <c:ptCount val="1"/>
                <c:pt idx="0">
                  <c:v>2010</c:v>
                </c:pt>
              </c:strCache>
            </c:strRef>
          </c:tx>
          <c:spPr>
            <a:solidFill>
              <a:schemeClr val="accent6">
                <a:lumMod val="60000"/>
                <a:lumOff val="40000"/>
              </a:schemeClr>
            </a:solidFill>
          </c:spPr>
          <c:invertIfNegative val="0"/>
          <c:cat>
            <c:multiLvlStrRef>
              <c:f>'WDI and national sources'!$C$238:$D$241</c:f>
              <c:multiLvlStrCache>
                <c:ptCount val="4"/>
                <c:lvl>
                  <c:pt idx="0">
                    <c:v>women</c:v>
                  </c:pt>
                  <c:pt idx="1">
                    <c:v>men</c:v>
                  </c:pt>
                  <c:pt idx="2">
                    <c:v>women</c:v>
                  </c:pt>
                  <c:pt idx="3">
                    <c:v>men</c:v>
                  </c:pt>
                </c:lvl>
                <c:lvl>
                  <c:pt idx="0">
                    <c:v>Belarus</c:v>
                  </c:pt>
                  <c:pt idx="1">
                    <c:v>Belarus</c:v>
                  </c:pt>
                  <c:pt idx="2">
                    <c:v>ECA</c:v>
                  </c:pt>
                  <c:pt idx="3">
                    <c:v>ECA</c:v>
                  </c:pt>
                </c:lvl>
              </c:multiLvlStrCache>
            </c:multiLvlStrRef>
          </c:cat>
          <c:val>
            <c:numRef>
              <c:f>'WDI and national sources'!$G$238:$G$241</c:f>
              <c:numCache>
                <c:formatCode>0.0</c:formatCode>
                <c:ptCount val="4"/>
                <c:pt idx="0">
                  <c:v>113.30312185299999</c:v>
                </c:pt>
                <c:pt idx="1">
                  <c:v>330.07648705179997</c:v>
                </c:pt>
                <c:pt idx="2">
                  <c:v>116.17062818191523</c:v>
                </c:pt>
                <c:pt idx="3">
                  <c:v>272.9262321808896</c:v>
                </c:pt>
              </c:numCache>
            </c:numRef>
          </c:val>
        </c:ser>
        <c:dLbls>
          <c:showLegendKey val="0"/>
          <c:showVal val="0"/>
          <c:showCatName val="0"/>
          <c:showSerName val="0"/>
          <c:showPercent val="0"/>
          <c:showBubbleSize val="0"/>
        </c:dLbls>
        <c:gapWidth val="150"/>
        <c:axId val="261906816"/>
        <c:axId val="261908352"/>
      </c:barChart>
      <c:catAx>
        <c:axId val="2619068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1908352"/>
        <c:crosses val="autoZero"/>
        <c:auto val="1"/>
        <c:lblAlgn val="ctr"/>
        <c:lblOffset val="100"/>
        <c:tickLblSkip val="1"/>
        <c:tickMarkSkip val="1"/>
        <c:noMultiLvlLbl val="0"/>
      </c:catAx>
      <c:valAx>
        <c:axId val="26190835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per 1000 adults</a:t>
                </a:r>
              </a:p>
            </c:rich>
          </c:tx>
          <c:layout>
            <c:manualLayout>
              <c:xMode val="edge"/>
              <c:yMode val="edge"/>
              <c:x val="1.5723247708790498E-2"/>
              <c:y val="0.2055341207349082"/>
            </c:manualLayout>
          </c:layout>
          <c:overlay val="0"/>
          <c:spPr>
            <a:noFill/>
            <a:ln w="25400">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1906816"/>
        <c:crosses val="autoZero"/>
        <c:crossBetween val="between"/>
      </c:valAx>
    </c:plotArea>
    <c:legend>
      <c:legendPos val="r"/>
      <c:layout>
        <c:manualLayout>
          <c:xMode val="edge"/>
          <c:yMode val="edge"/>
          <c:x val="0.57049180327868965"/>
          <c:y val="9.1666666666666799E-2"/>
          <c:w val="0.1475409836065574"/>
          <c:h val="0.16666666666666666"/>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38566552901227"/>
          <c:y val="6.4777455990352964E-2"/>
          <c:w val="0.69965870307167466"/>
          <c:h val="0.52631682992161322"/>
        </c:manualLayout>
      </c:layout>
      <c:barChart>
        <c:barDir val="col"/>
        <c:grouping val="clustered"/>
        <c:varyColors val="0"/>
        <c:ser>
          <c:idx val="0"/>
          <c:order val="0"/>
          <c:tx>
            <c:strRef>
              <c:f>'WDI and national sources'!$D$267</c:f>
              <c:strCache>
                <c:ptCount val="1"/>
                <c:pt idx="0">
                  <c:v>Total</c:v>
                </c:pt>
              </c:strCache>
            </c:strRef>
          </c:tx>
          <c:invertIfNegative val="0"/>
          <c:cat>
            <c:strRef>
              <c:f>('WDI and national sources'!$C$268,'WDI and national sources'!$C$270:$C$272)</c:f>
              <c:strCache>
                <c:ptCount val="4"/>
                <c:pt idx="0">
                  <c:v>All causes</c:v>
                </c:pt>
                <c:pt idx="1">
                  <c:v>Cardiovascular diseases</c:v>
                </c:pt>
                <c:pt idx="2">
                  <c:v>Malignant neoplasms</c:v>
                </c:pt>
                <c:pt idx="3">
                  <c:v>Injuries</c:v>
                </c:pt>
              </c:strCache>
            </c:strRef>
          </c:cat>
          <c:val>
            <c:numRef>
              <c:f>('WDI and national sources'!$D$268,'WDI and national sources'!$D$270:$D$272)</c:f>
              <c:numCache>
                <c:formatCode>_(* #,##0_);_(* \(#,##0\);_(* "-"??_);_(@_)</c:formatCode>
                <c:ptCount val="4"/>
                <c:pt idx="0">
                  <c:v>903.56479999999999</c:v>
                </c:pt>
                <c:pt idx="1">
                  <c:v>512.86019999999746</c:v>
                </c:pt>
                <c:pt idx="2" formatCode="_(* #,##0.0_);_(* \(#,##0.0\);_(* &quot;-&quot;??_);_(@_)">
                  <c:v>133.792</c:v>
                </c:pt>
                <c:pt idx="3">
                  <c:v>124.7715</c:v>
                </c:pt>
              </c:numCache>
            </c:numRef>
          </c:val>
        </c:ser>
        <c:ser>
          <c:idx val="1"/>
          <c:order val="1"/>
          <c:tx>
            <c:strRef>
              <c:f>'WDI and national sources'!$E$267</c:f>
              <c:strCache>
                <c:ptCount val="1"/>
                <c:pt idx="0">
                  <c:v>Male</c:v>
                </c:pt>
              </c:strCache>
            </c:strRef>
          </c:tx>
          <c:invertIfNegative val="0"/>
          <c:cat>
            <c:strRef>
              <c:f>('WDI and national sources'!$C$268,'WDI and national sources'!$C$270:$C$272)</c:f>
              <c:strCache>
                <c:ptCount val="4"/>
                <c:pt idx="0">
                  <c:v>All causes</c:v>
                </c:pt>
                <c:pt idx="1">
                  <c:v>Cardiovascular diseases</c:v>
                </c:pt>
                <c:pt idx="2">
                  <c:v>Malignant neoplasms</c:v>
                </c:pt>
                <c:pt idx="3">
                  <c:v>Injuries</c:v>
                </c:pt>
              </c:strCache>
            </c:strRef>
          </c:cat>
          <c:val>
            <c:numRef>
              <c:f>('WDI and national sources'!$E$268,'WDI and national sources'!$E$270:$E$272)</c:f>
              <c:numCache>
                <c:formatCode>_(* #,##0_);_(* \(#,##0\);_(* "-"??_);_(@_)</c:formatCode>
                <c:ptCount val="4"/>
                <c:pt idx="0">
                  <c:v>1335.0129999999999</c:v>
                </c:pt>
                <c:pt idx="1">
                  <c:v>704.59950000000003</c:v>
                </c:pt>
                <c:pt idx="2" formatCode="_(* #,##0.0_);_(* \(#,##0.0\);_(* &quot;-&quot;??_);_(@_)">
                  <c:v>208.53800000000001</c:v>
                </c:pt>
                <c:pt idx="3">
                  <c:v>215.5163</c:v>
                </c:pt>
              </c:numCache>
            </c:numRef>
          </c:val>
        </c:ser>
        <c:ser>
          <c:idx val="2"/>
          <c:order val="2"/>
          <c:tx>
            <c:strRef>
              <c:f>'WDI and national sources'!$F$267</c:f>
              <c:strCache>
                <c:ptCount val="1"/>
                <c:pt idx="0">
                  <c:v>Female</c:v>
                </c:pt>
              </c:strCache>
            </c:strRef>
          </c:tx>
          <c:spPr>
            <a:solidFill>
              <a:schemeClr val="accent6">
                <a:lumMod val="60000"/>
                <a:lumOff val="40000"/>
              </a:schemeClr>
            </a:solidFill>
          </c:spPr>
          <c:invertIfNegative val="0"/>
          <c:cat>
            <c:strRef>
              <c:f>('WDI and national sources'!$C$268,'WDI and national sources'!$C$270:$C$272)</c:f>
              <c:strCache>
                <c:ptCount val="4"/>
                <c:pt idx="0">
                  <c:v>All causes</c:v>
                </c:pt>
                <c:pt idx="1">
                  <c:v>Cardiovascular diseases</c:v>
                </c:pt>
                <c:pt idx="2">
                  <c:v>Malignant neoplasms</c:v>
                </c:pt>
                <c:pt idx="3">
                  <c:v>Injuries</c:v>
                </c:pt>
              </c:strCache>
            </c:strRef>
          </c:cat>
          <c:val>
            <c:numRef>
              <c:f>('WDI and national sources'!$F$268,'WDI and national sources'!$F$270:$F$272)</c:f>
              <c:numCache>
                <c:formatCode>_(* #,##0_);_(* \(#,##0\);_(* "-"??_);_(@_)</c:formatCode>
                <c:ptCount val="4"/>
                <c:pt idx="0">
                  <c:v>604.98329999999999</c:v>
                </c:pt>
                <c:pt idx="1">
                  <c:v>386.61919999999969</c:v>
                </c:pt>
                <c:pt idx="2" formatCode="_(* #,##0.0_);_(* \(#,##0.0\);_(* &quot;-&quot;??_);_(@_)">
                  <c:v>89.583500000000001</c:v>
                </c:pt>
                <c:pt idx="3">
                  <c:v>47.0017</c:v>
                </c:pt>
              </c:numCache>
            </c:numRef>
          </c:val>
        </c:ser>
        <c:dLbls>
          <c:showLegendKey val="0"/>
          <c:showVal val="0"/>
          <c:showCatName val="0"/>
          <c:showSerName val="0"/>
          <c:showPercent val="0"/>
          <c:showBubbleSize val="0"/>
        </c:dLbls>
        <c:gapWidth val="150"/>
        <c:axId val="261832064"/>
        <c:axId val="261837952"/>
      </c:barChart>
      <c:catAx>
        <c:axId val="26183206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61837952"/>
        <c:crosses val="autoZero"/>
        <c:auto val="1"/>
        <c:lblAlgn val="ctr"/>
        <c:lblOffset val="100"/>
        <c:tickLblSkip val="1"/>
        <c:tickMarkSkip val="1"/>
        <c:noMultiLvlLbl val="0"/>
      </c:catAx>
      <c:valAx>
        <c:axId val="261837952"/>
        <c:scaling>
          <c:orientation val="minMax"/>
          <c:max val="1400"/>
        </c:scaling>
        <c:delete val="0"/>
        <c:axPos val="l"/>
        <c:majorGridlines/>
        <c:title>
          <c:tx>
            <c:rich>
              <a:bodyPr/>
              <a:lstStyle/>
              <a:p>
                <a:pPr>
                  <a:defRPr/>
                </a:pPr>
                <a:r>
                  <a:rPr lang="en-US"/>
                  <a:t>death rates per 100,000</a:t>
                </a:r>
              </a:p>
            </c:rich>
          </c:tx>
          <c:layout>
            <c:manualLayout>
              <c:xMode val="edge"/>
              <c:yMode val="edge"/>
              <c:x val="3.0716694221051548E-2"/>
              <c:y val="7.2874352244430979E-2"/>
            </c:manualLayout>
          </c:layout>
          <c:overlay val="0"/>
          <c:spPr>
            <a:noFill/>
            <a:ln w="25400">
              <a:noFill/>
            </a:ln>
          </c:spPr>
        </c:title>
        <c:numFmt formatCode="#,##0" sourceLinked="0"/>
        <c:majorTickMark val="out"/>
        <c:minorTickMark val="none"/>
        <c:tickLblPos val="nextTo"/>
        <c:txPr>
          <a:bodyPr rot="0" vert="horz"/>
          <a:lstStyle/>
          <a:p>
            <a:pPr>
              <a:defRPr/>
            </a:pPr>
            <a:endParaRPr lang="en-US"/>
          </a:p>
        </c:txPr>
        <c:crossAx val="261832064"/>
        <c:crosses val="autoZero"/>
        <c:crossBetween val="between"/>
      </c:valAx>
    </c:plotArea>
    <c:legend>
      <c:legendPos val="r"/>
      <c:layout>
        <c:manualLayout>
          <c:xMode val="edge"/>
          <c:yMode val="edge"/>
          <c:x val="0.6916282273226485"/>
          <c:y val="6.5579098067287026E-2"/>
          <c:w val="0.2101961515165634"/>
          <c:h val="0.21932140300644237"/>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38943681527864"/>
          <c:y val="7.1639606996028171E-2"/>
          <c:w val="0.74242706009871662"/>
          <c:h val="0.45469454249253044"/>
        </c:manualLayout>
      </c:layout>
      <c:barChart>
        <c:barDir val="col"/>
        <c:grouping val="clustered"/>
        <c:varyColors val="0"/>
        <c:ser>
          <c:idx val="0"/>
          <c:order val="0"/>
          <c:tx>
            <c:strRef>
              <c:f>'WDI and national sources'!$F$501</c:f>
              <c:strCache>
                <c:ptCount val="1"/>
                <c:pt idx="0">
                  <c:v>2000</c:v>
                </c:pt>
              </c:strCache>
            </c:strRef>
          </c:tx>
          <c:invertIfNegative val="0"/>
          <c:cat>
            <c:multiLvlStrRef>
              <c:f>'WDI and national sources'!$D$502:$E$507</c:f>
              <c:multiLvlStrCache>
                <c:ptCount val="6"/>
                <c:lvl>
                  <c:pt idx="0">
                    <c:v>Infant</c:v>
                  </c:pt>
                  <c:pt idx="1">
                    <c:v>U-5 female</c:v>
                  </c:pt>
                  <c:pt idx="2">
                    <c:v>U-5 male</c:v>
                  </c:pt>
                  <c:pt idx="3">
                    <c:v>Infant</c:v>
                  </c:pt>
                  <c:pt idx="4">
                    <c:v>U-5 female</c:v>
                  </c:pt>
                  <c:pt idx="5">
                    <c:v>U-5 male</c:v>
                  </c:pt>
                </c:lvl>
                <c:lvl>
                  <c:pt idx="0">
                    <c:v>Belarus</c:v>
                  </c:pt>
                  <c:pt idx="3">
                    <c:v>ECA</c:v>
                  </c:pt>
                </c:lvl>
              </c:multiLvlStrCache>
            </c:multiLvlStrRef>
          </c:cat>
          <c:val>
            <c:numRef>
              <c:f>'WDI and national sources'!$F$502:$F$507</c:f>
              <c:numCache>
                <c:formatCode>General</c:formatCode>
                <c:ptCount val="6"/>
                <c:pt idx="0">
                  <c:v>10.9</c:v>
                </c:pt>
                <c:pt idx="1">
                  <c:v>11.6</c:v>
                </c:pt>
                <c:pt idx="2">
                  <c:v>15.7</c:v>
                </c:pt>
                <c:pt idx="3">
                  <c:v>28.5</c:v>
                </c:pt>
                <c:pt idx="4">
                  <c:v>31.868271215572829</c:v>
                </c:pt>
                <c:pt idx="5">
                  <c:v>38.586438555302159</c:v>
                </c:pt>
              </c:numCache>
            </c:numRef>
          </c:val>
        </c:ser>
        <c:ser>
          <c:idx val="1"/>
          <c:order val="1"/>
          <c:tx>
            <c:strRef>
              <c:f>'WDI and national sources'!$Q$501</c:f>
              <c:strCache>
                <c:ptCount val="1"/>
                <c:pt idx="0">
                  <c:v>2011</c:v>
                </c:pt>
              </c:strCache>
            </c:strRef>
          </c:tx>
          <c:spPr>
            <a:solidFill>
              <a:schemeClr val="accent6">
                <a:lumMod val="60000"/>
                <a:lumOff val="40000"/>
              </a:schemeClr>
            </a:solidFill>
          </c:spPr>
          <c:invertIfNegative val="0"/>
          <c:cat>
            <c:multiLvlStrRef>
              <c:f>'WDI and national sources'!$D$502:$E$507</c:f>
              <c:multiLvlStrCache>
                <c:ptCount val="6"/>
                <c:lvl>
                  <c:pt idx="0">
                    <c:v>Infant</c:v>
                  </c:pt>
                  <c:pt idx="1">
                    <c:v>U-5 female</c:v>
                  </c:pt>
                  <c:pt idx="2">
                    <c:v>U-5 male</c:v>
                  </c:pt>
                  <c:pt idx="3">
                    <c:v>Infant</c:v>
                  </c:pt>
                  <c:pt idx="4">
                    <c:v>U-5 female</c:v>
                  </c:pt>
                  <c:pt idx="5">
                    <c:v>U-5 male</c:v>
                  </c:pt>
                </c:lvl>
                <c:lvl>
                  <c:pt idx="0">
                    <c:v>Belarus</c:v>
                  </c:pt>
                  <c:pt idx="3">
                    <c:v>ECA</c:v>
                  </c:pt>
                </c:lvl>
              </c:multiLvlStrCache>
            </c:multiLvlStrRef>
          </c:cat>
          <c:val>
            <c:numRef>
              <c:f>'WDI and national sources'!$Q$502:$Q$507</c:f>
              <c:numCache>
                <c:formatCode>General</c:formatCode>
                <c:ptCount val="6"/>
                <c:pt idx="0">
                  <c:v>3.9</c:v>
                </c:pt>
                <c:pt idx="1">
                  <c:v>4.7</c:v>
                </c:pt>
                <c:pt idx="2">
                  <c:v>6.4</c:v>
                </c:pt>
                <c:pt idx="3">
                  <c:v>17.5</c:v>
                </c:pt>
                <c:pt idx="4">
                  <c:v>18.7</c:v>
                </c:pt>
                <c:pt idx="5">
                  <c:v>23</c:v>
                </c:pt>
              </c:numCache>
            </c:numRef>
          </c:val>
        </c:ser>
        <c:dLbls>
          <c:showLegendKey val="0"/>
          <c:showVal val="0"/>
          <c:showCatName val="0"/>
          <c:showSerName val="0"/>
          <c:showPercent val="0"/>
          <c:showBubbleSize val="0"/>
        </c:dLbls>
        <c:gapWidth val="150"/>
        <c:axId val="261863296"/>
        <c:axId val="261864832"/>
      </c:barChart>
      <c:catAx>
        <c:axId val="26186329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61864832"/>
        <c:crosses val="autoZero"/>
        <c:auto val="1"/>
        <c:lblAlgn val="ctr"/>
        <c:lblOffset val="100"/>
        <c:tickLblSkip val="2"/>
        <c:tickMarkSkip val="1"/>
        <c:noMultiLvlLbl val="0"/>
      </c:catAx>
      <c:valAx>
        <c:axId val="261864832"/>
        <c:scaling>
          <c:orientation val="minMax"/>
        </c:scaling>
        <c:delete val="0"/>
        <c:axPos val="l"/>
        <c:majorGridlines/>
        <c:title>
          <c:tx>
            <c:rich>
              <a:bodyPr/>
              <a:lstStyle/>
              <a:p>
                <a:pPr>
                  <a:defRPr/>
                </a:pPr>
                <a:r>
                  <a:rPr lang="en-US"/>
                  <a:t>per 1000 children/live births</a:t>
                </a:r>
              </a:p>
            </c:rich>
          </c:tx>
          <c:layout>
            <c:manualLayout>
              <c:xMode val="edge"/>
              <c:yMode val="edge"/>
              <c:x val="2.6102314827975395E-2"/>
              <c:y val="3.5714584349522627E-2"/>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261863296"/>
        <c:crosses val="autoZero"/>
        <c:crossBetween val="between"/>
        <c:majorUnit val="10"/>
      </c:valAx>
    </c:plotArea>
    <c:legend>
      <c:legendPos val="r"/>
      <c:layout>
        <c:manualLayout>
          <c:xMode val="edge"/>
          <c:yMode val="edge"/>
          <c:x val="0.49397687063861612"/>
          <c:y val="7.384785953479947E-2"/>
          <c:w val="0.16245487364620939"/>
          <c:h val="0.16814159292035397"/>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569520974124396"/>
          <c:y val="0.10196117479003826"/>
          <c:w val="0.71727404088750302"/>
          <c:h val="0.45399560723029531"/>
        </c:manualLayout>
      </c:layout>
      <c:barChart>
        <c:barDir val="col"/>
        <c:grouping val="clustered"/>
        <c:varyColors val="0"/>
        <c:ser>
          <c:idx val="0"/>
          <c:order val="0"/>
          <c:tx>
            <c:strRef>
              <c:f>'WDI and national sources'!$F$532</c:f>
              <c:strCache>
                <c:ptCount val="1"/>
                <c:pt idx="0">
                  <c:v>2000</c:v>
                </c:pt>
              </c:strCache>
            </c:strRef>
          </c:tx>
          <c:invertIfNegative val="0"/>
          <c:cat>
            <c:strRef>
              <c:f>'WDI and national sources'!$E$533:$E$536</c:f>
              <c:strCache>
                <c:ptCount val="4"/>
                <c:pt idx="0">
                  <c:v>Infant mortality rural</c:v>
                </c:pt>
                <c:pt idx="1">
                  <c:v>Infant mortality urban</c:v>
                </c:pt>
                <c:pt idx="2">
                  <c:v>U-5 rural</c:v>
                </c:pt>
                <c:pt idx="3">
                  <c:v>U-5 urban</c:v>
                </c:pt>
              </c:strCache>
            </c:strRef>
          </c:cat>
          <c:val>
            <c:numRef>
              <c:f>'WDI and national sources'!$F$533:$F$536</c:f>
              <c:numCache>
                <c:formatCode>General</c:formatCode>
                <c:ptCount val="4"/>
                <c:pt idx="0">
                  <c:v>11.3</c:v>
                </c:pt>
                <c:pt idx="1">
                  <c:v>6.6</c:v>
                </c:pt>
                <c:pt idx="2">
                  <c:v>15.5</c:v>
                </c:pt>
                <c:pt idx="3">
                  <c:v>8.7000000000000011</c:v>
                </c:pt>
              </c:numCache>
            </c:numRef>
          </c:val>
        </c:ser>
        <c:ser>
          <c:idx val="1"/>
          <c:order val="1"/>
          <c:tx>
            <c:strRef>
              <c:f>'WDI and national sources'!$G$532</c:f>
              <c:strCache>
                <c:ptCount val="1"/>
                <c:pt idx="0">
                  <c:v>2009</c:v>
                </c:pt>
              </c:strCache>
            </c:strRef>
          </c:tx>
          <c:spPr>
            <a:solidFill>
              <a:schemeClr val="accent6">
                <a:lumMod val="60000"/>
                <a:lumOff val="40000"/>
              </a:schemeClr>
            </a:solidFill>
            <a:ln>
              <a:solidFill>
                <a:srgbClr val="F79646">
                  <a:lumMod val="40000"/>
                  <a:lumOff val="60000"/>
                </a:srgbClr>
              </a:solidFill>
            </a:ln>
          </c:spPr>
          <c:invertIfNegative val="0"/>
          <c:cat>
            <c:strRef>
              <c:f>'WDI and national sources'!$E$533:$E$536</c:f>
              <c:strCache>
                <c:ptCount val="4"/>
                <c:pt idx="0">
                  <c:v>Infant mortality rural</c:v>
                </c:pt>
                <c:pt idx="1">
                  <c:v>Infant mortality urban</c:v>
                </c:pt>
                <c:pt idx="2">
                  <c:v>U-5 rural</c:v>
                </c:pt>
                <c:pt idx="3">
                  <c:v>U-5 urban</c:v>
                </c:pt>
              </c:strCache>
            </c:strRef>
          </c:cat>
          <c:val>
            <c:numRef>
              <c:f>'WDI and national sources'!$G$533:$G$536</c:f>
              <c:numCache>
                <c:formatCode>General</c:formatCode>
                <c:ptCount val="4"/>
                <c:pt idx="0">
                  <c:v>6</c:v>
                </c:pt>
                <c:pt idx="1">
                  <c:v>3.3</c:v>
                </c:pt>
                <c:pt idx="2">
                  <c:v>7.8</c:v>
                </c:pt>
                <c:pt idx="3">
                  <c:v>4.4000000000000004</c:v>
                </c:pt>
              </c:numCache>
            </c:numRef>
          </c:val>
        </c:ser>
        <c:dLbls>
          <c:showLegendKey val="0"/>
          <c:showVal val="0"/>
          <c:showCatName val="0"/>
          <c:showSerName val="0"/>
          <c:showPercent val="0"/>
          <c:showBubbleSize val="0"/>
        </c:dLbls>
        <c:gapWidth val="150"/>
        <c:axId val="261960064"/>
        <c:axId val="261961600"/>
      </c:barChart>
      <c:catAx>
        <c:axId val="26196006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61961600"/>
        <c:crosses val="autoZero"/>
        <c:auto val="1"/>
        <c:lblAlgn val="ctr"/>
        <c:lblOffset val="100"/>
        <c:tickLblSkip val="1"/>
        <c:tickMarkSkip val="1"/>
        <c:noMultiLvlLbl val="0"/>
      </c:catAx>
      <c:valAx>
        <c:axId val="261961600"/>
        <c:scaling>
          <c:orientation val="minMax"/>
        </c:scaling>
        <c:delete val="0"/>
        <c:axPos val="l"/>
        <c:majorGridlines/>
        <c:title>
          <c:tx>
            <c:rich>
              <a:bodyPr/>
              <a:lstStyle/>
              <a:p>
                <a:pPr>
                  <a:defRPr/>
                </a:pPr>
                <a:r>
                  <a:rPr lang="en-US"/>
                  <a:t>per 1000 children/live births</a:t>
                </a:r>
              </a:p>
            </c:rich>
          </c:tx>
          <c:layout>
            <c:manualLayout>
              <c:xMode val="edge"/>
              <c:yMode val="edge"/>
              <c:x val="2.6374312699964066E-2"/>
              <c:y val="2.3529493023898323E-2"/>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261960064"/>
        <c:crosses val="autoZero"/>
        <c:crossBetween val="between"/>
        <c:majorUnit val="4"/>
      </c:valAx>
    </c:plotArea>
    <c:legend>
      <c:legendPos val="r"/>
      <c:layout>
        <c:manualLayout>
          <c:xMode val="edge"/>
          <c:yMode val="edge"/>
          <c:x val="0.51116188914072558"/>
          <c:y val="4.8183806775297855E-3"/>
          <c:w val="0.16423386931503289"/>
          <c:h val="0.16593921844982268"/>
        </c:manualLayout>
      </c:layout>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38506262666534"/>
          <c:y val="4.9687586520039434E-2"/>
          <c:w val="0.76185786903219521"/>
          <c:h val="0.7411603929255679"/>
        </c:manualLayout>
      </c:layout>
      <c:scatterChart>
        <c:scatterStyle val="lineMarker"/>
        <c:varyColors val="0"/>
        <c:ser>
          <c:idx val="0"/>
          <c:order val="0"/>
          <c:tx>
            <c:strRef>
              <c:f>labor!$E$69</c:f>
              <c:strCache>
                <c:ptCount val="1"/>
                <c:pt idx="0">
                  <c:v>female</c:v>
                </c:pt>
              </c:strCache>
            </c:strRef>
          </c:tx>
          <c:spPr>
            <a:ln w="28575">
              <a:noFill/>
            </a:ln>
          </c:spPr>
          <c:marker>
            <c:symbol val="circle"/>
            <c:size val="7"/>
          </c:marker>
          <c:dPt>
            <c:idx val="1"/>
            <c:marker>
              <c:symbol val="circle"/>
              <c:size val="10"/>
              <c:spPr>
                <a:solidFill>
                  <a:srgbClr val="C00000"/>
                </a:solidFill>
              </c:spPr>
            </c:marker>
            <c:bubble3D val="0"/>
          </c:dPt>
          <c:dPt>
            <c:idx val="13"/>
            <c:marker>
              <c:symbol val="circle"/>
              <c:size val="9"/>
              <c:spPr>
                <a:solidFill>
                  <a:srgbClr val="7030A0"/>
                </a:solidFill>
              </c:spPr>
            </c:marker>
            <c:bubble3D val="0"/>
          </c:dPt>
          <c:xVal>
            <c:numRef>
              <c:f>(labor!$D$70:$D$82,labor!$D$84)</c:f>
              <c:numCache>
                <c:formatCode>0.00</c:formatCode>
                <c:ptCount val="14"/>
                <c:pt idx="0">
                  <c:v>67.800003051757813</c:v>
                </c:pt>
                <c:pt idx="1">
                  <c:v>62.200000762939453</c:v>
                </c:pt>
                <c:pt idx="2">
                  <c:v>58.5</c:v>
                </c:pt>
                <c:pt idx="3">
                  <c:v>60</c:v>
                </c:pt>
                <c:pt idx="4">
                  <c:v>76.800003051757813</c:v>
                </c:pt>
                <c:pt idx="5">
                  <c:v>66.300003051757813</c:v>
                </c:pt>
                <c:pt idx="6">
                  <c:v>63.400001525878906</c:v>
                </c:pt>
                <c:pt idx="7">
                  <c:v>68.900001525878906</c:v>
                </c:pt>
                <c:pt idx="8">
                  <c:v>64.5</c:v>
                </c:pt>
                <c:pt idx="9">
                  <c:v>70.699996948242315</c:v>
                </c:pt>
                <c:pt idx="10">
                  <c:v>67.280318750932182</c:v>
                </c:pt>
                <c:pt idx="11">
                  <c:v>71.400001525878906</c:v>
                </c:pt>
                <c:pt idx="12">
                  <c:v>75.69999694824233</c:v>
                </c:pt>
                <c:pt idx="13">
                  <c:v>67.190794395635848</c:v>
                </c:pt>
              </c:numCache>
            </c:numRef>
          </c:xVal>
          <c:yVal>
            <c:numRef>
              <c:f>(labor!$E$70:$E$82,labor!$E$84)</c:f>
              <c:numCache>
                <c:formatCode>0.00</c:formatCode>
                <c:ptCount val="14"/>
                <c:pt idx="0">
                  <c:v>61.099998474121158</c:v>
                </c:pt>
                <c:pt idx="1">
                  <c:v>50</c:v>
                </c:pt>
                <c:pt idx="2">
                  <c:v>35.200000762939453</c:v>
                </c:pt>
                <c:pt idx="3">
                  <c:v>48.5</c:v>
                </c:pt>
                <c:pt idx="4">
                  <c:v>66.400001525878906</c:v>
                </c:pt>
                <c:pt idx="5">
                  <c:v>54.700000762939453</c:v>
                </c:pt>
                <c:pt idx="6">
                  <c:v>53.900001525878906</c:v>
                </c:pt>
                <c:pt idx="7">
                  <c:v>42.700000762939453</c:v>
                </c:pt>
                <c:pt idx="8">
                  <c:v>48.200000762939453</c:v>
                </c:pt>
                <c:pt idx="9">
                  <c:v>56.099998474121158</c:v>
                </c:pt>
                <c:pt idx="10">
                  <c:v>50.75225077389679</c:v>
                </c:pt>
                <c:pt idx="11">
                  <c:v>28.100000381469727</c:v>
                </c:pt>
                <c:pt idx="12">
                  <c:v>46.400001525878906</c:v>
                </c:pt>
                <c:pt idx="13">
                  <c:v>49.388635056384864</c:v>
                </c:pt>
              </c:numCache>
            </c:numRef>
          </c:yVal>
          <c:smooth val="0"/>
        </c:ser>
        <c:dLbls>
          <c:showLegendKey val="0"/>
          <c:showVal val="0"/>
          <c:showCatName val="0"/>
          <c:showSerName val="0"/>
          <c:showPercent val="0"/>
          <c:showBubbleSize val="0"/>
        </c:dLbls>
        <c:axId val="261998848"/>
        <c:axId val="262005120"/>
      </c:scatterChart>
      <c:valAx>
        <c:axId val="261998848"/>
        <c:scaling>
          <c:orientation val="minMax"/>
          <c:max val="100"/>
          <c:min val="20"/>
        </c:scaling>
        <c:delete val="0"/>
        <c:axPos val="b"/>
        <c:title>
          <c:tx>
            <c:rich>
              <a:bodyPr/>
              <a:lstStyle/>
              <a:p>
                <a:pPr>
                  <a:defRPr sz="1000" b="1" i="0" u="none" strike="noStrike" baseline="0">
                    <a:solidFill>
                      <a:srgbClr val="000000"/>
                    </a:solidFill>
                    <a:latin typeface="Calibri"/>
                    <a:ea typeface="Calibri"/>
                    <a:cs typeface="Calibri"/>
                  </a:defRPr>
                </a:pPr>
                <a:r>
                  <a:rPr lang="en-US"/>
                  <a:t>Male labor force participation, %</a:t>
                </a:r>
              </a:p>
            </c:rich>
          </c:tx>
          <c:layout>
            <c:manualLayout>
              <c:xMode val="edge"/>
              <c:yMode val="edge"/>
              <c:x val="0.33620260818183151"/>
              <c:y val="0.8873309190781532"/>
            </c:manualLayout>
          </c:layout>
          <c:overlay val="0"/>
          <c:spPr>
            <a:noFill/>
            <a:ln w="25400">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2005120"/>
        <c:crosses val="autoZero"/>
        <c:crossBetween val="midCat"/>
        <c:majorUnit val="20"/>
      </c:valAx>
      <c:valAx>
        <c:axId val="262005120"/>
        <c:scaling>
          <c:orientation val="minMax"/>
          <c:max val="100"/>
          <c:min val="20"/>
        </c:scaling>
        <c:delete val="0"/>
        <c:axPos val="l"/>
        <c:title>
          <c:tx>
            <c:rich>
              <a:bodyPr/>
              <a:lstStyle/>
              <a:p>
                <a:pPr>
                  <a:defRPr sz="1000" b="1" i="0" u="none" strike="noStrike" baseline="0">
                    <a:solidFill>
                      <a:srgbClr val="000000"/>
                    </a:solidFill>
                    <a:latin typeface="Calibri"/>
                    <a:ea typeface="Calibri"/>
                    <a:cs typeface="Calibri"/>
                  </a:defRPr>
                </a:pPr>
                <a:r>
                  <a:rPr lang="en-US"/>
                  <a:t>Female labor force participation, %</a:t>
                </a:r>
              </a:p>
            </c:rich>
          </c:tx>
          <c:layout>
            <c:manualLayout>
              <c:xMode val="edge"/>
              <c:yMode val="edge"/>
              <c:x val="4.1239871194111224E-3"/>
              <c:y val="0.10357243319268636"/>
            </c:manualLayout>
          </c:layout>
          <c:overlay val="0"/>
          <c:spPr>
            <a:noFill/>
            <a:ln w="25400">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1998848"/>
        <c:crosses val="autoZero"/>
        <c:crossBetween val="midCat"/>
        <c:majorUnit val="20"/>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963663420577098"/>
          <c:y val="3.0360794452932178E-2"/>
          <c:w val="0.78981234822282431"/>
          <c:h val="0.69013358404825953"/>
        </c:manualLayout>
      </c:layout>
      <c:barChart>
        <c:barDir val="col"/>
        <c:grouping val="clustered"/>
        <c:varyColors val="0"/>
        <c:ser>
          <c:idx val="0"/>
          <c:order val="0"/>
          <c:tx>
            <c:strRef>
              <c:f>labor!$H$11</c:f>
              <c:strCache>
                <c:ptCount val="1"/>
                <c:pt idx="0">
                  <c:v>Belarus</c:v>
                </c:pt>
              </c:strCache>
            </c:strRef>
          </c:tx>
          <c:invertIfNegative val="0"/>
          <c:cat>
            <c:multiLvlStrRef>
              <c:f>labor!$I$9:$L$10</c:f>
              <c:multiLvlStrCache>
                <c:ptCount val="4"/>
                <c:lvl>
                  <c:pt idx="0">
                    <c:v>2000</c:v>
                  </c:pt>
                  <c:pt idx="1">
                    <c:v>2010</c:v>
                  </c:pt>
                  <c:pt idx="2">
                    <c:v>2000</c:v>
                  </c:pt>
                  <c:pt idx="3">
                    <c:v>2010</c:v>
                  </c:pt>
                </c:lvl>
                <c:lvl>
                  <c:pt idx="0">
                    <c:v>Male labor force participation</c:v>
                  </c:pt>
                  <c:pt idx="2">
                    <c:v>Female labor force participation</c:v>
                  </c:pt>
                </c:lvl>
              </c:multiLvlStrCache>
            </c:multiLvlStrRef>
          </c:cat>
          <c:val>
            <c:numRef>
              <c:f>labor!$I$11:$L$11</c:f>
              <c:numCache>
                <c:formatCode>General</c:formatCode>
                <c:ptCount val="4"/>
                <c:pt idx="0">
                  <c:v>65.09999847412108</c:v>
                </c:pt>
                <c:pt idx="1">
                  <c:v>62.200000762939453</c:v>
                </c:pt>
                <c:pt idx="2">
                  <c:v>52.59999847412125</c:v>
                </c:pt>
                <c:pt idx="3">
                  <c:v>50</c:v>
                </c:pt>
              </c:numCache>
            </c:numRef>
          </c:val>
        </c:ser>
        <c:ser>
          <c:idx val="1"/>
          <c:order val="1"/>
          <c:tx>
            <c:strRef>
              <c:f>labor!$H$12</c:f>
              <c:strCache>
                <c:ptCount val="1"/>
                <c:pt idx="0">
                  <c:v>ECA</c:v>
                </c:pt>
              </c:strCache>
            </c:strRef>
          </c:tx>
          <c:spPr>
            <a:solidFill>
              <a:schemeClr val="accent6">
                <a:lumMod val="60000"/>
                <a:lumOff val="40000"/>
              </a:schemeClr>
            </a:solidFill>
          </c:spPr>
          <c:invertIfNegative val="0"/>
          <c:cat>
            <c:multiLvlStrRef>
              <c:f>labor!$I$9:$L$10</c:f>
              <c:multiLvlStrCache>
                <c:ptCount val="4"/>
                <c:lvl>
                  <c:pt idx="0">
                    <c:v>2000</c:v>
                  </c:pt>
                  <c:pt idx="1">
                    <c:v>2010</c:v>
                  </c:pt>
                  <c:pt idx="2">
                    <c:v>2000</c:v>
                  </c:pt>
                  <c:pt idx="3">
                    <c:v>2010</c:v>
                  </c:pt>
                </c:lvl>
                <c:lvl>
                  <c:pt idx="0">
                    <c:v>Male labor force participation</c:v>
                  </c:pt>
                  <c:pt idx="2">
                    <c:v>Female labor force participation</c:v>
                  </c:pt>
                </c:lvl>
              </c:multiLvlStrCache>
            </c:multiLvlStrRef>
          </c:cat>
          <c:val>
            <c:numRef>
              <c:f>labor!$I$12:$L$12</c:f>
              <c:numCache>
                <c:formatCode>General</c:formatCode>
                <c:ptCount val="4"/>
                <c:pt idx="0">
                  <c:v>69.412889828473212</c:v>
                </c:pt>
                <c:pt idx="1">
                  <c:v>69.637468196481791</c:v>
                </c:pt>
                <c:pt idx="2">
                  <c:v>50.133786623752854</c:v>
                </c:pt>
                <c:pt idx="3">
                  <c:v>49.812223978666921</c:v>
                </c:pt>
              </c:numCache>
            </c:numRef>
          </c:val>
        </c:ser>
        <c:dLbls>
          <c:showLegendKey val="0"/>
          <c:showVal val="0"/>
          <c:showCatName val="0"/>
          <c:showSerName val="0"/>
          <c:showPercent val="0"/>
          <c:showBubbleSize val="0"/>
        </c:dLbls>
        <c:gapWidth val="150"/>
        <c:axId val="262064000"/>
        <c:axId val="262065536"/>
      </c:barChart>
      <c:catAx>
        <c:axId val="262064000"/>
        <c:scaling>
          <c:orientation val="minMax"/>
        </c:scaling>
        <c:delete val="0"/>
        <c:axPos val="b"/>
        <c:numFmt formatCode="General" sourceLinked="1"/>
        <c:majorTickMark val="out"/>
        <c:minorTickMark val="none"/>
        <c:tickLblPos val="nextTo"/>
        <c:txPr>
          <a:bodyPr rot="0" vert="horz"/>
          <a:lstStyle/>
          <a:p>
            <a:pPr>
              <a:defRPr/>
            </a:pPr>
            <a:endParaRPr lang="en-US"/>
          </a:p>
        </c:txPr>
        <c:crossAx val="262065536"/>
        <c:crosses val="autoZero"/>
        <c:auto val="1"/>
        <c:lblAlgn val="ctr"/>
        <c:lblOffset val="100"/>
        <c:tickLblSkip val="1"/>
        <c:tickMarkSkip val="1"/>
        <c:noMultiLvlLbl val="0"/>
      </c:catAx>
      <c:valAx>
        <c:axId val="262065536"/>
        <c:scaling>
          <c:orientation val="minMax"/>
        </c:scaling>
        <c:delete val="0"/>
        <c:axPos val="l"/>
        <c:majorGridlines/>
        <c:title>
          <c:tx>
            <c:rich>
              <a:bodyPr rot="-5400000" vert="horz"/>
              <a:lstStyle/>
              <a:p>
                <a:pPr>
                  <a:defRPr/>
                </a:pPr>
                <a:r>
                  <a:rPr lang="en-US"/>
                  <a:t>%</a:t>
                </a:r>
              </a:p>
            </c:rich>
          </c:tx>
          <c:layout>
            <c:manualLayout>
              <c:xMode val="edge"/>
              <c:yMode val="edge"/>
              <c:x val="9.6018838766650186E-3"/>
              <c:y val="0.35357307948446942"/>
            </c:manualLayout>
          </c:layout>
          <c:overlay val="0"/>
        </c:title>
        <c:numFmt formatCode="General" sourceLinked="1"/>
        <c:majorTickMark val="out"/>
        <c:minorTickMark val="none"/>
        <c:tickLblPos val="nextTo"/>
        <c:txPr>
          <a:bodyPr rot="0" vert="horz"/>
          <a:lstStyle/>
          <a:p>
            <a:pPr>
              <a:defRPr/>
            </a:pPr>
            <a:endParaRPr lang="en-US"/>
          </a:p>
        </c:txPr>
        <c:crossAx val="262064000"/>
        <c:crosses val="autoZero"/>
        <c:crossBetween val="between"/>
      </c:valAx>
    </c:plotArea>
    <c:legend>
      <c:legendPos val="r"/>
      <c:layout>
        <c:manualLayout>
          <c:xMode val="edge"/>
          <c:yMode val="edge"/>
          <c:x val="0.51713395638629278"/>
          <c:y val="1.865671641791046E-2"/>
          <c:w val="0.24610591900311518"/>
          <c:h val="0.16417910447761189"/>
        </c:manualLayout>
      </c:layout>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513812571989655"/>
          <c:y val="5.2483701634069929E-2"/>
          <c:w val="0.75788364583923418"/>
          <c:h val="0.6657730082126857"/>
        </c:manualLayout>
      </c:layout>
      <c:barChart>
        <c:barDir val="col"/>
        <c:grouping val="clustered"/>
        <c:varyColors val="0"/>
        <c:ser>
          <c:idx val="0"/>
          <c:order val="0"/>
          <c:tx>
            <c:strRef>
              <c:f>labor!$D$110</c:f>
              <c:strCache>
                <c:ptCount val="1"/>
                <c:pt idx="0">
                  <c:v>Manual workers</c:v>
                </c:pt>
              </c:strCache>
            </c:strRef>
          </c:tx>
          <c:invertIfNegative val="0"/>
          <c:cat>
            <c:strRef>
              <c:f>labor!$E$109:$G$109</c:f>
              <c:strCache>
                <c:ptCount val="3"/>
                <c:pt idx="0">
                  <c:v>women</c:v>
                </c:pt>
                <c:pt idx="1">
                  <c:v>men</c:v>
                </c:pt>
                <c:pt idx="2">
                  <c:v>total</c:v>
                </c:pt>
              </c:strCache>
            </c:strRef>
          </c:cat>
          <c:val>
            <c:numRef>
              <c:f>labor!$E$110:$G$110</c:f>
              <c:numCache>
                <c:formatCode>0</c:formatCode>
                <c:ptCount val="3"/>
                <c:pt idx="0">
                  <c:v>49.203182104910638</c:v>
                </c:pt>
                <c:pt idx="1">
                  <c:v>72.723853532863927</c:v>
                </c:pt>
                <c:pt idx="2" formatCode="0.0">
                  <c:v>60.165621615223245</c:v>
                </c:pt>
              </c:numCache>
            </c:numRef>
          </c:val>
        </c:ser>
        <c:ser>
          <c:idx val="1"/>
          <c:order val="1"/>
          <c:tx>
            <c:strRef>
              <c:f>labor!$D$111</c:f>
              <c:strCache>
                <c:ptCount val="1"/>
                <c:pt idx="0">
                  <c:v>Salaried employees</c:v>
                </c:pt>
              </c:strCache>
            </c:strRef>
          </c:tx>
          <c:spPr>
            <a:solidFill>
              <a:schemeClr val="accent6">
                <a:lumMod val="60000"/>
                <a:lumOff val="40000"/>
              </a:schemeClr>
            </a:solidFill>
          </c:spPr>
          <c:invertIfNegative val="0"/>
          <c:cat>
            <c:strRef>
              <c:f>labor!$E$109:$G$109</c:f>
              <c:strCache>
                <c:ptCount val="3"/>
                <c:pt idx="0">
                  <c:v>women</c:v>
                </c:pt>
                <c:pt idx="1">
                  <c:v>men</c:v>
                </c:pt>
                <c:pt idx="2">
                  <c:v>total</c:v>
                </c:pt>
              </c:strCache>
            </c:strRef>
          </c:cat>
          <c:val>
            <c:numRef>
              <c:f>labor!$E$111:$G$111</c:f>
              <c:numCache>
                <c:formatCode>0</c:formatCode>
                <c:ptCount val="3"/>
                <c:pt idx="0">
                  <c:v>50.796817895089362</c:v>
                </c:pt>
                <c:pt idx="1">
                  <c:v>27.276146467135689</c:v>
                </c:pt>
                <c:pt idx="2">
                  <c:v>39.834378384776713</c:v>
                </c:pt>
              </c:numCache>
            </c:numRef>
          </c:val>
        </c:ser>
        <c:dLbls>
          <c:showLegendKey val="0"/>
          <c:showVal val="0"/>
          <c:showCatName val="0"/>
          <c:showSerName val="0"/>
          <c:showPercent val="0"/>
          <c:showBubbleSize val="0"/>
        </c:dLbls>
        <c:gapWidth val="150"/>
        <c:axId val="262107136"/>
        <c:axId val="262108672"/>
      </c:barChart>
      <c:catAx>
        <c:axId val="262107136"/>
        <c:scaling>
          <c:orientation val="minMax"/>
        </c:scaling>
        <c:delete val="0"/>
        <c:axPos val="b"/>
        <c:numFmt formatCode="General" sourceLinked="1"/>
        <c:majorTickMark val="out"/>
        <c:minorTickMark val="none"/>
        <c:tickLblPos val="nextTo"/>
        <c:txPr>
          <a:bodyPr rot="0" vert="horz"/>
          <a:lstStyle/>
          <a:p>
            <a:pPr>
              <a:defRPr/>
            </a:pPr>
            <a:endParaRPr lang="en-US"/>
          </a:p>
        </c:txPr>
        <c:crossAx val="262108672"/>
        <c:crosses val="autoZero"/>
        <c:auto val="1"/>
        <c:lblAlgn val="ctr"/>
        <c:lblOffset val="100"/>
        <c:tickLblSkip val="1"/>
        <c:tickMarkSkip val="1"/>
        <c:noMultiLvlLbl val="0"/>
      </c:catAx>
      <c:valAx>
        <c:axId val="262108672"/>
        <c:scaling>
          <c:orientation val="minMax"/>
        </c:scaling>
        <c:delete val="0"/>
        <c:axPos val="l"/>
        <c:majorGridlines/>
        <c:title>
          <c:tx>
            <c:rich>
              <a:bodyPr rot="-5400000" vert="horz"/>
              <a:lstStyle/>
              <a:p>
                <a:pPr>
                  <a:defRPr/>
                </a:pPr>
                <a:r>
                  <a:rPr lang="en-US"/>
                  <a:t>%</a:t>
                </a:r>
              </a:p>
            </c:rich>
          </c:tx>
          <c:layout>
            <c:manualLayout>
              <c:xMode val="edge"/>
              <c:yMode val="edge"/>
              <c:x val="2.1896561490964712E-2"/>
              <c:y val="0.34964439928879881"/>
            </c:manualLayout>
          </c:layout>
          <c:overlay val="0"/>
        </c:title>
        <c:numFmt formatCode="0" sourceLinked="0"/>
        <c:majorTickMark val="out"/>
        <c:minorTickMark val="none"/>
        <c:tickLblPos val="nextTo"/>
        <c:txPr>
          <a:bodyPr rot="0" vert="horz"/>
          <a:lstStyle/>
          <a:p>
            <a:pPr>
              <a:defRPr/>
            </a:pPr>
            <a:endParaRPr lang="en-US"/>
          </a:p>
        </c:txPr>
        <c:crossAx val="262107136"/>
        <c:crosses val="autoZero"/>
        <c:crossBetween val="between"/>
      </c:valAx>
    </c:plotArea>
    <c:legend>
      <c:legendPos val="r"/>
      <c:layout>
        <c:manualLayout>
          <c:xMode val="edge"/>
          <c:yMode val="edge"/>
          <c:x val="0.11151079136690649"/>
          <c:y val="0.82123655913978499"/>
          <c:w val="0.83932853717026379"/>
          <c:h val="0.15053763440860221"/>
        </c:manualLayout>
      </c:layout>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18169626606888"/>
          <c:y val="7.8181761144398884E-2"/>
          <c:w val="0.79100523018564284"/>
          <c:h val="0.60809528291035364"/>
        </c:manualLayout>
      </c:layout>
      <c:barChart>
        <c:barDir val="col"/>
        <c:grouping val="stacked"/>
        <c:varyColors val="0"/>
        <c:ser>
          <c:idx val="0"/>
          <c:order val="0"/>
          <c:tx>
            <c:strRef>
              <c:f>labor!$D$114</c:f>
              <c:strCache>
                <c:ptCount val="1"/>
                <c:pt idx="0">
                  <c:v>Managers</c:v>
                </c:pt>
              </c:strCache>
            </c:strRef>
          </c:tx>
          <c:invertIfNegative val="0"/>
          <c:cat>
            <c:strRef>
              <c:f>labor!$E$113:$F$113</c:f>
              <c:strCache>
                <c:ptCount val="2"/>
                <c:pt idx="0">
                  <c:v>women</c:v>
                </c:pt>
                <c:pt idx="1">
                  <c:v>men</c:v>
                </c:pt>
              </c:strCache>
            </c:strRef>
          </c:cat>
          <c:val>
            <c:numRef>
              <c:f>labor!$E$114:$F$114</c:f>
              <c:numCache>
                <c:formatCode>0.0</c:formatCode>
                <c:ptCount val="2"/>
                <c:pt idx="0">
                  <c:v>16.57265968857482</c:v>
                </c:pt>
                <c:pt idx="1">
                  <c:v>40.64506583814196</c:v>
                </c:pt>
              </c:numCache>
            </c:numRef>
          </c:val>
        </c:ser>
        <c:ser>
          <c:idx val="1"/>
          <c:order val="1"/>
          <c:tx>
            <c:strRef>
              <c:f>labor!$D$115</c:f>
              <c:strCache>
                <c:ptCount val="1"/>
                <c:pt idx="0">
                  <c:v>Professionals</c:v>
                </c:pt>
              </c:strCache>
            </c:strRef>
          </c:tx>
          <c:spPr>
            <a:solidFill>
              <a:schemeClr val="accent6">
                <a:lumMod val="60000"/>
                <a:lumOff val="40000"/>
              </a:schemeClr>
            </a:solidFill>
          </c:spPr>
          <c:invertIfNegative val="0"/>
          <c:cat>
            <c:strRef>
              <c:f>labor!$E$113:$F$113</c:f>
              <c:strCache>
                <c:ptCount val="2"/>
                <c:pt idx="0">
                  <c:v>women</c:v>
                </c:pt>
                <c:pt idx="1">
                  <c:v>men</c:v>
                </c:pt>
              </c:strCache>
            </c:strRef>
          </c:cat>
          <c:val>
            <c:numRef>
              <c:f>labor!$E$115:$F$115</c:f>
              <c:numCache>
                <c:formatCode>0.0</c:formatCode>
                <c:ptCount val="2"/>
                <c:pt idx="0">
                  <c:v>72.960942412249878</c:v>
                </c:pt>
                <c:pt idx="1">
                  <c:v>54.181190511416844</c:v>
                </c:pt>
              </c:numCache>
            </c:numRef>
          </c:val>
        </c:ser>
        <c:ser>
          <c:idx val="2"/>
          <c:order val="2"/>
          <c:tx>
            <c:strRef>
              <c:f>labor!$D$116</c:f>
              <c:strCache>
                <c:ptCount val="1"/>
                <c:pt idx="0">
                  <c:v>Other salaried workers</c:v>
                </c:pt>
              </c:strCache>
            </c:strRef>
          </c:tx>
          <c:invertIfNegative val="0"/>
          <c:cat>
            <c:strRef>
              <c:f>labor!$E$113:$F$113</c:f>
              <c:strCache>
                <c:ptCount val="2"/>
                <c:pt idx="0">
                  <c:v>women</c:v>
                </c:pt>
                <c:pt idx="1">
                  <c:v>men</c:v>
                </c:pt>
              </c:strCache>
            </c:strRef>
          </c:cat>
          <c:val>
            <c:numRef>
              <c:f>labor!$E$116:$F$116</c:f>
              <c:numCache>
                <c:formatCode>0.0</c:formatCode>
                <c:ptCount val="2"/>
                <c:pt idx="0">
                  <c:v>10.466397899175258</c:v>
                </c:pt>
                <c:pt idx="1">
                  <c:v>5.1737436504413914</c:v>
                </c:pt>
              </c:numCache>
            </c:numRef>
          </c:val>
        </c:ser>
        <c:dLbls>
          <c:showLegendKey val="0"/>
          <c:showVal val="0"/>
          <c:showCatName val="0"/>
          <c:showSerName val="0"/>
          <c:showPercent val="0"/>
          <c:showBubbleSize val="0"/>
        </c:dLbls>
        <c:gapWidth val="150"/>
        <c:overlap val="100"/>
        <c:axId val="262130688"/>
        <c:axId val="262132480"/>
      </c:barChart>
      <c:catAx>
        <c:axId val="262130688"/>
        <c:scaling>
          <c:orientation val="minMax"/>
        </c:scaling>
        <c:delete val="0"/>
        <c:axPos val="b"/>
        <c:numFmt formatCode="General" sourceLinked="1"/>
        <c:majorTickMark val="out"/>
        <c:minorTickMark val="none"/>
        <c:tickLblPos val="nextTo"/>
        <c:txPr>
          <a:bodyPr rot="0" vert="horz"/>
          <a:lstStyle/>
          <a:p>
            <a:pPr>
              <a:defRPr/>
            </a:pPr>
            <a:endParaRPr lang="en-US"/>
          </a:p>
        </c:txPr>
        <c:crossAx val="262132480"/>
        <c:crosses val="autoZero"/>
        <c:auto val="1"/>
        <c:lblAlgn val="ctr"/>
        <c:lblOffset val="100"/>
        <c:tickLblSkip val="1"/>
        <c:tickMarkSkip val="1"/>
        <c:noMultiLvlLbl val="0"/>
      </c:catAx>
      <c:valAx>
        <c:axId val="262132480"/>
        <c:scaling>
          <c:orientation val="minMax"/>
          <c:max val="100"/>
        </c:scaling>
        <c:delete val="0"/>
        <c:axPos val="l"/>
        <c:majorGridlines/>
        <c:title>
          <c:tx>
            <c:rich>
              <a:bodyPr rot="-5400000" vert="horz"/>
              <a:lstStyle/>
              <a:p>
                <a:pPr>
                  <a:defRPr/>
                </a:pPr>
                <a:r>
                  <a:rPr lang="en-US"/>
                  <a:t>%</a:t>
                </a:r>
              </a:p>
            </c:rich>
          </c:tx>
          <c:overlay val="0"/>
        </c:title>
        <c:numFmt formatCode="0" sourceLinked="0"/>
        <c:majorTickMark val="out"/>
        <c:minorTickMark val="none"/>
        <c:tickLblPos val="nextTo"/>
        <c:txPr>
          <a:bodyPr rot="0" vert="horz"/>
          <a:lstStyle/>
          <a:p>
            <a:pPr>
              <a:defRPr/>
            </a:pPr>
            <a:endParaRPr lang="en-US"/>
          </a:p>
        </c:txPr>
        <c:crossAx val="262130688"/>
        <c:crosses val="autoZero"/>
        <c:crossBetween val="between"/>
        <c:majorUnit val="20"/>
      </c:valAx>
    </c:plotArea>
    <c:legend>
      <c:legendPos val="b"/>
      <c:layout>
        <c:manualLayout>
          <c:xMode val="edge"/>
          <c:yMode val="edge"/>
          <c:x val="3.2846715328467356E-2"/>
          <c:y val="0.79017264276228416"/>
          <c:w val="0.9330900243309006"/>
          <c:h val="0.18592297476759706"/>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2009</a:t>
            </a:r>
          </a:p>
        </c:rich>
      </c:tx>
      <c:layout>
        <c:manualLayout>
          <c:xMode val="edge"/>
          <c:yMode val="edge"/>
          <c:x val="0.26464566929133854"/>
          <c:y val="4.2165981742322035E-3"/>
        </c:manualLayout>
      </c:layout>
      <c:overlay val="0"/>
    </c:title>
    <c:autoTitleDeleted val="0"/>
    <c:plotArea>
      <c:layout>
        <c:manualLayout>
          <c:layoutTarget val="inner"/>
          <c:xMode val="edge"/>
          <c:yMode val="edge"/>
          <c:x val="0.12369591525610317"/>
          <c:y val="9.1594645041879724E-2"/>
          <c:w val="0.45899906030264737"/>
          <c:h val="0.52753984063745019"/>
        </c:manualLayout>
      </c:layout>
      <c:barChart>
        <c:barDir val="col"/>
        <c:grouping val="clustered"/>
        <c:varyColors val="0"/>
        <c:ser>
          <c:idx val="0"/>
          <c:order val="0"/>
          <c:tx>
            <c:strRef>
              <c:f>UNECE!$C$71</c:f>
              <c:strCache>
                <c:ptCount val="1"/>
                <c:pt idx="0">
                  <c:v>Head and d.heads of organizations</c:v>
                </c:pt>
              </c:strCache>
            </c:strRef>
          </c:tx>
          <c:spPr>
            <a:solidFill>
              <a:schemeClr val="tx2"/>
            </a:solidFill>
          </c:spPr>
          <c:invertIfNegative val="0"/>
          <c:cat>
            <c:strRef>
              <c:f>UNECE!$D$70:$G$70</c:f>
              <c:strCache>
                <c:ptCount val="4"/>
                <c:pt idx="0">
                  <c:v>Republican</c:v>
                </c:pt>
                <c:pt idx="1">
                  <c:v>Regional</c:v>
                </c:pt>
                <c:pt idx="2">
                  <c:v>Districts and towns</c:v>
                </c:pt>
                <c:pt idx="3">
                  <c:v>Rural and village</c:v>
                </c:pt>
              </c:strCache>
            </c:strRef>
          </c:cat>
          <c:val>
            <c:numRef>
              <c:f>UNECE!$D$71:$G$71</c:f>
              <c:numCache>
                <c:formatCode>General</c:formatCode>
                <c:ptCount val="4"/>
                <c:pt idx="0">
                  <c:v>19.600000000000001</c:v>
                </c:pt>
                <c:pt idx="1">
                  <c:v>24.5</c:v>
                </c:pt>
                <c:pt idx="2">
                  <c:v>49.2</c:v>
                </c:pt>
                <c:pt idx="3">
                  <c:v>68.3</c:v>
                </c:pt>
              </c:numCache>
            </c:numRef>
          </c:val>
        </c:ser>
        <c:ser>
          <c:idx val="1"/>
          <c:order val="1"/>
          <c:tx>
            <c:strRef>
              <c:f>UNECE!$C$72</c:f>
              <c:strCache>
                <c:ptCount val="1"/>
                <c:pt idx="0">
                  <c:v>Head and d.heads of divisions</c:v>
                </c:pt>
              </c:strCache>
            </c:strRef>
          </c:tx>
          <c:spPr>
            <a:solidFill>
              <a:schemeClr val="accent6">
                <a:lumMod val="60000"/>
                <a:lumOff val="40000"/>
              </a:schemeClr>
            </a:solidFill>
            <a:ln>
              <a:solidFill>
                <a:schemeClr val="accent1"/>
              </a:solidFill>
            </a:ln>
          </c:spPr>
          <c:invertIfNegative val="0"/>
          <c:cat>
            <c:strRef>
              <c:f>UNECE!$D$70:$G$70</c:f>
              <c:strCache>
                <c:ptCount val="4"/>
                <c:pt idx="0">
                  <c:v>Republican</c:v>
                </c:pt>
                <c:pt idx="1">
                  <c:v>Regional</c:v>
                </c:pt>
                <c:pt idx="2">
                  <c:v>Districts and towns</c:v>
                </c:pt>
                <c:pt idx="3">
                  <c:v>Rural and village</c:v>
                </c:pt>
              </c:strCache>
            </c:strRef>
          </c:cat>
          <c:val>
            <c:numRef>
              <c:f>UNECE!$D$72:$G$72</c:f>
              <c:numCache>
                <c:formatCode>General</c:formatCode>
                <c:ptCount val="4"/>
                <c:pt idx="1">
                  <c:v>15.4</c:v>
                </c:pt>
                <c:pt idx="2">
                  <c:v>47.2</c:v>
                </c:pt>
              </c:numCache>
            </c:numRef>
          </c:val>
        </c:ser>
        <c:ser>
          <c:idx val="2"/>
          <c:order val="2"/>
          <c:tx>
            <c:strRef>
              <c:f>UNECE!$C$73</c:f>
              <c:strCache>
                <c:ptCount val="1"/>
                <c:pt idx="0">
                  <c:v>Heads of deparments</c:v>
                </c:pt>
              </c:strCache>
            </c:strRef>
          </c:tx>
          <c:invertIfNegative val="0"/>
          <c:cat>
            <c:strRef>
              <c:f>UNECE!$D$70:$G$70</c:f>
              <c:strCache>
                <c:ptCount val="4"/>
                <c:pt idx="0">
                  <c:v>Republican</c:v>
                </c:pt>
                <c:pt idx="1">
                  <c:v>Regional</c:v>
                </c:pt>
                <c:pt idx="2">
                  <c:v>Districts and towns</c:v>
                </c:pt>
                <c:pt idx="3">
                  <c:v>Rural and village</c:v>
                </c:pt>
              </c:strCache>
            </c:strRef>
          </c:cat>
          <c:val>
            <c:numRef>
              <c:f>UNECE!$D$73:$G$73</c:f>
              <c:numCache>
                <c:formatCode>General</c:formatCode>
                <c:ptCount val="4"/>
                <c:pt idx="0">
                  <c:v>49.8</c:v>
                </c:pt>
                <c:pt idx="1">
                  <c:v>60</c:v>
                </c:pt>
                <c:pt idx="2">
                  <c:v>75.3</c:v>
                </c:pt>
              </c:numCache>
            </c:numRef>
          </c:val>
        </c:ser>
        <c:ser>
          <c:idx val="3"/>
          <c:order val="3"/>
          <c:tx>
            <c:strRef>
              <c:f>UNECE!$C$74</c:f>
              <c:strCache>
                <c:ptCount val="1"/>
                <c:pt idx="0">
                  <c:v>Chief specialists</c:v>
                </c:pt>
              </c:strCache>
            </c:strRef>
          </c:tx>
          <c:invertIfNegative val="0"/>
          <c:cat>
            <c:strRef>
              <c:f>UNECE!$D$70:$G$70</c:f>
              <c:strCache>
                <c:ptCount val="4"/>
                <c:pt idx="0">
                  <c:v>Republican</c:v>
                </c:pt>
                <c:pt idx="1">
                  <c:v>Regional</c:v>
                </c:pt>
                <c:pt idx="2">
                  <c:v>Districts and towns</c:v>
                </c:pt>
                <c:pt idx="3">
                  <c:v>Rural and village</c:v>
                </c:pt>
              </c:strCache>
            </c:strRef>
          </c:cat>
          <c:val>
            <c:numRef>
              <c:f>UNECE!$D$74:$G$74</c:f>
              <c:numCache>
                <c:formatCode>General</c:formatCode>
                <c:ptCount val="4"/>
                <c:pt idx="0">
                  <c:v>68.5</c:v>
                </c:pt>
                <c:pt idx="1">
                  <c:v>70.099999999999994</c:v>
                </c:pt>
                <c:pt idx="2">
                  <c:v>80</c:v>
                </c:pt>
                <c:pt idx="3">
                  <c:v>80</c:v>
                </c:pt>
              </c:numCache>
            </c:numRef>
          </c:val>
        </c:ser>
        <c:ser>
          <c:idx val="4"/>
          <c:order val="4"/>
          <c:tx>
            <c:strRef>
              <c:f>UNECE!$C$75</c:f>
              <c:strCache>
                <c:ptCount val="1"/>
                <c:pt idx="0">
                  <c:v>Leading specialists</c:v>
                </c:pt>
              </c:strCache>
            </c:strRef>
          </c:tx>
          <c:invertIfNegative val="0"/>
          <c:cat>
            <c:strRef>
              <c:f>UNECE!$D$70:$G$70</c:f>
              <c:strCache>
                <c:ptCount val="4"/>
                <c:pt idx="0">
                  <c:v>Republican</c:v>
                </c:pt>
                <c:pt idx="1">
                  <c:v>Regional</c:v>
                </c:pt>
                <c:pt idx="2">
                  <c:v>Districts and towns</c:v>
                </c:pt>
                <c:pt idx="3">
                  <c:v>Rural and village</c:v>
                </c:pt>
              </c:strCache>
            </c:strRef>
          </c:cat>
          <c:val>
            <c:numRef>
              <c:f>UNECE!$D$75:$G$75</c:f>
              <c:numCache>
                <c:formatCode>General</c:formatCode>
                <c:ptCount val="4"/>
                <c:pt idx="0">
                  <c:v>78.599999999999994</c:v>
                </c:pt>
                <c:pt idx="1">
                  <c:v>79.2</c:v>
                </c:pt>
                <c:pt idx="2">
                  <c:v>84.7</c:v>
                </c:pt>
                <c:pt idx="3">
                  <c:v>95</c:v>
                </c:pt>
              </c:numCache>
            </c:numRef>
          </c:val>
        </c:ser>
        <c:dLbls>
          <c:showLegendKey val="0"/>
          <c:showVal val="0"/>
          <c:showCatName val="0"/>
          <c:showSerName val="0"/>
          <c:showPercent val="0"/>
          <c:showBubbleSize val="0"/>
        </c:dLbls>
        <c:gapWidth val="150"/>
        <c:axId val="250089856"/>
        <c:axId val="250091392"/>
      </c:barChart>
      <c:catAx>
        <c:axId val="250089856"/>
        <c:scaling>
          <c:orientation val="minMax"/>
        </c:scaling>
        <c:delete val="0"/>
        <c:axPos val="b"/>
        <c:numFmt formatCode="General" sourceLinked="1"/>
        <c:majorTickMark val="none"/>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250091392"/>
        <c:crosses val="autoZero"/>
        <c:auto val="1"/>
        <c:lblAlgn val="ctr"/>
        <c:lblOffset val="100"/>
        <c:noMultiLvlLbl val="0"/>
      </c:catAx>
      <c:valAx>
        <c:axId val="250091392"/>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0089856"/>
        <c:crosses val="autoZero"/>
        <c:crossBetween val="between"/>
      </c:valAx>
    </c:plotArea>
    <c:legend>
      <c:legendPos val="r"/>
      <c:layout>
        <c:manualLayout>
          <c:xMode val="edge"/>
          <c:yMode val="edge"/>
          <c:x val="0.57471080003888397"/>
          <c:y val="4.1529551086990621E-2"/>
          <c:w val="0.421297106380221"/>
          <c:h val="0.92392838954832135"/>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38142479360364"/>
          <c:y val="0.11596186840281328"/>
          <c:w val="0.79862213532033333"/>
          <c:h val="0.62200588562793291"/>
        </c:manualLayout>
      </c:layout>
      <c:barChart>
        <c:barDir val="col"/>
        <c:grouping val="clustered"/>
        <c:varyColors val="0"/>
        <c:ser>
          <c:idx val="0"/>
          <c:order val="0"/>
          <c:tx>
            <c:strRef>
              <c:f>HBS!$E$549</c:f>
              <c:strCache>
                <c:ptCount val="1"/>
                <c:pt idx="0">
                  <c:v>men</c:v>
                </c:pt>
              </c:strCache>
            </c:strRef>
          </c:tx>
          <c:invertIfNegative val="0"/>
          <c:cat>
            <c:strRef>
              <c:f>HBS!$G$548:$O$548</c:f>
              <c:strCache>
                <c:ptCount val="9"/>
                <c:pt idx="0">
                  <c:v>20-24</c:v>
                </c:pt>
                <c:pt idx="1">
                  <c:v>25-29</c:v>
                </c:pt>
                <c:pt idx="2">
                  <c:v>30-34</c:v>
                </c:pt>
                <c:pt idx="3">
                  <c:v>35-39</c:v>
                </c:pt>
                <c:pt idx="4">
                  <c:v>40-44</c:v>
                </c:pt>
                <c:pt idx="5">
                  <c:v>45-49</c:v>
                </c:pt>
                <c:pt idx="6">
                  <c:v>50-54</c:v>
                </c:pt>
                <c:pt idx="7">
                  <c:v>55-59</c:v>
                </c:pt>
                <c:pt idx="8">
                  <c:v>60-65</c:v>
                </c:pt>
              </c:strCache>
            </c:strRef>
          </c:cat>
          <c:val>
            <c:numRef>
              <c:f>HBS!$G$549:$O$549</c:f>
              <c:numCache>
                <c:formatCode>0.0</c:formatCode>
                <c:ptCount val="9"/>
                <c:pt idx="0">
                  <c:v>56.332474819210994</c:v>
                </c:pt>
                <c:pt idx="1">
                  <c:v>84.796012598993201</c:v>
                </c:pt>
                <c:pt idx="2">
                  <c:v>84.069956093475682</c:v>
                </c:pt>
                <c:pt idx="3">
                  <c:v>90.375903845232969</c:v>
                </c:pt>
                <c:pt idx="4">
                  <c:v>87.711345383229443</c:v>
                </c:pt>
                <c:pt idx="5">
                  <c:v>85.848393998712396</c:v>
                </c:pt>
                <c:pt idx="6">
                  <c:v>82.927338331978788</c:v>
                </c:pt>
                <c:pt idx="7">
                  <c:v>80.367908774096108</c:v>
                </c:pt>
                <c:pt idx="8">
                  <c:v>46.486630923854015</c:v>
                </c:pt>
              </c:numCache>
            </c:numRef>
          </c:val>
        </c:ser>
        <c:ser>
          <c:idx val="1"/>
          <c:order val="1"/>
          <c:tx>
            <c:strRef>
              <c:f>HBS!$E$550</c:f>
              <c:strCache>
                <c:ptCount val="1"/>
                <c:pt idx="0">
                  <c:v>women</c:v>
                </c:pt>
              </c:strCache>
            </c:strRef>
          </c:tx>
          <c:spPr>
            <a:solidFill>
              <a:schemeClr val="accent6">
                <a:lumMod val="60000"/>
                <a:lumOff val="40000"/>
              </a:schemeClr>
            </a:solidFill>
            <a:ln>
              <a:solidFill>
                <a:srgbClr val="F79646">
                  <a:lumMod val="60000"/>
                  <a:lumOff val="40000"/>
                </a:srgbClr>
              </a:solidFill>
            </a:ln>
          </c:spPr>
          <c:invertIfNegative val="0"/>
          <c:cat>
            <c:strRef>
              <c:f>HBS!$G$548:$O$548</c:f>
              <c:strCache>
                <c:ptCount val="9"/>
                <c:pt idx="0">
                  <c:v>20-24</c:v>
                </c:pt>
                <c:pt idx="1">
                  <c:v>25-29</c:v>
                </c:pt>
                <c:pt idx="2">
                  <c:v>30-34</c:v>
                </c:pt>
                <c:pt idx="3">
                  <c:v>35-39</c:v>
                </c:pt>
                <c:pt idx="4">
                  <c:v>40-44</c:v>
                </c:pt>
                <c:pt idx="5">
                  <c:v>45-49</c:v>
                </c:pt>
                <c:pt idx="6">
                  <c:v>50-54</c:v>
                </c:pt>
                <c:pt idx="7">
                  <c:v>55-59</c:v>
                </c:pt>
                <c:pt idx="8">
                  <c:v>60-65</c:v>
                </c:pt>
              </c:strCache>
            </c:strRef>
          </c:cat>
          <c:val>
            <c:numRef>
              <c:f>HBS!$G$550:$O$550</c:f>
              <c:numCache>
                <c:formatCode>0.0</c:formatCode>
                <c:ptCount val="9"/>
                <c:pt idx="0">
                  <c:v>45.510471782929763</c:v>
                </c:pt>
                <c:pt idx="1">
                  <c:v>86.194309302668358</c:v>
                </c:pt>
                <c:pt idx="2">
                  <c:v>87.715723284183866</c:v>
                </c:pt>
                <c:pt idx="3">
                  <c:v>91.82392311739045</c:v>
                </c:pt>
                <c:pt idx="4">
                  <c:v>92.719006332554017</c:v>
                </c:pt>
                <c:pt idx="5">
                  <c:v>90.547617811851978</c:v>
                </c:pt>
                <c:pt idx="6">
                  <c:v>89.250406095769719</c:v>
                </c:pt>
                <c:pt idx="7">
                  <c:v>35.911393286827405</c:v>
                </c:pt>
                <c:pt idx="8">
                  <c:v>25.292701594002089</c:v>
                </c:pt>
              </c:numCache>
            </c:numRef>
          </c:val>
        </c:ser>
        <c:dLbls>
          <c:showLegendKey val="0"/>
          <c:showVal val="0"/>
          <c:showCatName val="0"/>
          <c:showSerName val="0"/>
          <c:showPercent val="0"/>
          <c:showBubbleSize val="0"/>
        </c:dLbls>
        <c:gapWidth val="150"/>
        <c:axId val="261535232"/>
        <c:axId val="261537152"/>
      </c:barChart>
      <c:catAx>
        <c:axId val="261535232"/>
        <c:scaling>
          <c:orientation val="minMax"/>
        </c:scaling>
        <c:delete val="0"/>
        <c:axPos val="b"/>
        <c:title>
          <c:tx>
            <c:rich>
              <a:bodyPr/>
              <a:lstStyle/>
              <a:p>
                <a:pPr>
                  <a:defRPr/>
                </a:pPr>
                <a:r>
                  <a:rPr lang="en-US"/>
                  <a:t>age groups</a:t>
                </a:r>
              </a:p>
            </c:rich>
          </c:tx>
          <c:overlay val="0"/>
        </c:title>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261537152"/>
        <c:crosses val="autoZero"/>
        <c:auto val="1"/>
        <c:lblAlgn val="ctr"/>
        <c:lblOffset val="100"/>
        <c:tickLblSkip val="1"/>
        <c:tickMarkSkip val="1"/>
        <c:noMultiLvlLbl val="0"/>
      </c:catAx>
      <c:valAx>
        <c:axId val="26153715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a:t>
                </a:r>
              </a:p>
            </c:rich>
          </c:tx>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1535232"/>
        <c:crosses val="autoZero"/>
        <c:crossBetween val="between"/>
        <c:majorUnit val="20"/>
      </c:valAx>
      <c:spPr>
        <a:ln>
          <a:noFill/>
        </a:ln>
      </c:spPr>
    </c:plotArea>
    <c:legend>
      <c:legendPos val="r"/>
      <c:layout>
        <c:manualLayout>
          <c:xMode val="edge"/>
          <c:yMode val="edge"/>
          <c:x val="0.14653048560623402"/>
          <c:y val="2.0425571803524582E-3"/>
          <c:w val="0.2639066830859082"/>
          <c:h val="0.1965012185976753"/>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94821480648395"/>
          <c:y val="4.3429571303587058E-2"/>
          <c:w val="0.79443536224638589"/>
          <c:h val="0.58797392261451187"/>
        </c:manualLayout>
      </c:layout>
      <c:barChart>
        <c:barDir val="col"/>
        <c:grouping val="clustered"/>
        <c:varyColors val="0"/>
        <c:ser>
          <c:idx val="0"/>
          <c:order val="0"/>
          <c:tx>
            <c:strRef>
              <c:f>HBS!$G$604</c:f>
              <c:strCache>
                <c:ptCount val="1"/>
                <c:pt idx="0">
                  <c:v>men</c:v>
                </c:pt>
              </c:strCache>
            </c:strRef>
          </c:tx>
          <c:invertIfNegative val="0"/>
          <c:cat>
            <c:strRef>
              <c:f>HBS!$H$603:$M$603</c:f>
              <c:strCache>
                <c:ptCount val="6"/>
                <c:pt idx="0">
                  <c:v>Higher </c:v>
                </c:pt>
                <c:pt idx="1">
                  <c:v>Secondary specialized</c:v>
                </c:pt>
                <c:pt idx="2">
                  <c:v>Vocational</c:v>
                </c:pt>
                <c:pt idx="3">
                  <c:v>General secondary</c:v>
                </c:pt>
                <c:pt idx="4">
                  <c:v>Basic</c:v>
                </c:pt>
                <c:pt idx="5">
                  <c:v>Primary</c:v>
                </c:pt>
              </c:strCache>
            </c:strRef>
          </c:cat>
          <c:val>
            <c:numRef>
              <c:f>HBS!$H$604:$M$604</c:f>
              <c:numCache>
                <c:formatCode>General</c:formatCode>
                <c:ptCount val="6"/>
                <c:pt idx="0">
                  <c:v>87.258217915348297</c:v>
                </c:pt>
                <c:pt idx="1">
                  <c:v>87.516805724428053</c:v>
                </c:pt>
                <c:pt idx="2">
                  <c:v>83.104025804850778</c:v>
                </c:pt>
                <c:pt idx="3">
                  <c:v>70.901176750340866</c:v>
                </c:pt>
                <c:pt idx="4">
                  <c:v>38.307260012312874</c:v>
                </c:pt>
                <c:pt idx="5">
                  <c:v>10.09546539379475</c:v>
                </c:pt>
              </c:numCache>
            </c:numRef>
          </c:val>
        </c:ser>
        <c:ser>
          <c:idx val="1"/>
          <c:order val="1"/>
          <c:tx>
            <c:strRef>
              <c:f>HBS!$G$605</c:f>
              <c:strCache>
                <c:ptCount val="1"/>
                <c:pt idx="0">
                  <c:v>women</c:v>
                </c:pt>
              </c:strCache>
            </c:strRef>
          </c:tx>
          <c:spPr>
            <a:solidFill>
              <a:schemeClr val="accent6">
                <a:lumMod val="60000"/>
                <a:lumOff val="40000"/>
              </a:schemeClr>
            </a:solidFill>
          </c:spPr>
          <c:invertIfNegative val="0"/>
          <c:cat>
            <c:strRef>
              <c:f>HBS!$H$603:$M$603</c:f>
              <c:strCache>
                <c:ptCount val="6"/>
                <c:pt idx="0">
                  <c:v>Higher </c:v>
                </c:pt>
                <c:pt idx="1">
                  <c:v>Secondary specialized</c:v>
                </c:pt>
                <c:pt idx="2">
                  <c:v>Vocational</c:v>
                </c:pt>
                <c:pt idx="3">
                  <c:v>General secondary</c:v>
                </c:pt>
                <c:pt idx="4">
                  <c:v>Basic</c:v>
                </c:pt>
                <c:pt idx="5">
                  <c:v>Primary</c:v>
                </c:pt>
              </c:strCache>
            </c:strRef>
          </c:cat>
          <c:val>
            <c:numRef>
              <c:f>HBS!$H$605:$M$605</c:f>
              <c:numCache>
                <c:formatCode>General</c:formatCode>
                <c:ptCount val="6"/>
                <c:pt idx="0">
                  <c:v>84.001365817423249</c:v>
                </c:pt>
                <c:pt idx="1">
                  <c:v>78.919537836993499</c:v>
                </c:pt>
                <c:pt idx="2">
                  <c:v>79.58324108246407</c:v>
                </c:pt>
                <c:pt idx="3">
                  <c:v>61.386051728416895</c:v>
                </c:pt>
                <c:pt idx="4">
                  <c:v>19.124241624901085</c:v>
                </c:pt>
                <c:pt idx="5">
                  <c:v>18.286867204695525</c:v>
                </c:pt>
              </c:numCache>
            </c:numRef>
          </c:val>
        </c:ser>
        <c:dLbls>
          <c:showLegendKey val="0"/>
          <c:showVal val="0"/>
          <c:showCatName val="0"/>
          <c:showSerName val="0"/>
          <c:showPercent val="0"/>
          <c:showBubbleSize val="0"/>
        </c:dLbls>
        <c:gapWidth val="150"/>
        <c:axId val="261558656"/>
        <c:axId val="261560192"/>
      </c:barChart>
      <c:catAx>
        <c:axId val="26155865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61560192"/>
        <c:crosses val="autoZero"/>
        <c:auto val="1"/>
        <c:lblAlgn val="ctr"/>
        <c:lblOffset val="100"/>
        <c:tickLblSkip val="1"/>
        <c:tickMarkSkip val="1"/>
        <c:noMultiLvlLbl val="0"/>
      </c:catAx>
      <c:valAx>
        <c:axId val="261560192"/>
        <c:scaling>
          <c:orientation val="minMax"/>
        </c:scaling>
        <c:delete val="0"/>
        <c:axPos val="l"/>
        <c:majorGridlines/>
        <c:title>
          <c:tx>
            <c:rich>
              <a:bodyPr rot="-5400000" vert="horz"/>
              <a:lstStyle/>
              <a:p>
                <a:pPr>
                  <a:defRPr/>
                </a:pPr>
                <a:r>
                  <a:rPr lang="en-US"/>
                  <a:t>%</a:t>
                </a:r>
              </a:p>
            </c:rich>
          </c:tx>
          <c:overlay val="0"/>
          <c:spPr>
            <a:noFill/>
            <a:ln w="25400">
              <a:noFill/>
            </a:ln>
          </c:spPr>
        </c:title>
        <c:numFmt formatCode="General" sourceLinked="1"/>
        <c:majorTickMark val="out"/>
        <c:minorTickMark val="none"/>
        <c:tickLblPos val="nextTo"/>
        <c:txPr>
          <a:bodyPr rot="0" vert="horz"/>
          <a:lstStyle/>
          <a:p>
            <a:pPr>
              <a:defRPr/>
            </a:pPr>
            <a:endParaRPr lang="en-US"/>
          </a:p>
        </c:txPr>
        <c:crossAx val="261558656"/>
        <c:crosses val="autoZero"/>
        <c:crossBetween val="between"/>
        <c:majorUnit val="20"/>
        <c:minorUnit val="2"/>
      </c:valAx>
    </c:plotArea>
    <c:legend>
      <c:legendPos val="r"/>
      <c:layout>
        <c:manualLayout>
          <c:xMode val="edge"/>
          <c:yMode val="edge"/>
          <c:x val="0.69182671354272596"/>
          <c:y val="3.3022968903080714E-2"/>
          <c:w val="0.23995541943528931"/>
          <c:h val="0.17269159536876078"/>
        </c:manualLayout>
      </c:layout>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45624553653194"/>
          <c:y val="6.6115702479338859E-2"/>
          <c:w val="0.83560376381523738"/>
          <c:h val="0.75068870523416065"/>
        </c:manualLayout>
      </c:layout>
      <c:barChart>
        <c:barDir val="col"/>
        <c:grouping val="clustered"/>
        <c:varyColors val="0"/>
        <c:ser>
          <c:idx val="0"/>
          <c:order val="0"/>
          <c:tx>
            <c:strRef>
              <c:f>LITS!$J$282</c:f>
              <c:strCache>
                <c:ptCount val="1"/>
                <c:pt idx="0">
                  <c:v>Men</c:v>
                </c:pt>
              </c:strCache>
            </c:strRef>
          </c:tx>
          <c:invertIfNegative val="0"/>
          <c:dLbls>
            <c:delete val="1"/>
          </c:dLbls>
          <c:cat>
            <c:strRef>
              <c:f>LITS!$K$281:$L$281</c:f>
              <c:strCache>
                <c:ptCount val="2"/>
                <c:pt idx="0">
                  <c:v>***Attempted</c:v>
                </c:pt>
                <c:pt idx="1">
                  <c:v>***Succeed</c:v>
                </c:pt>
              </c:strCache>
            </c:strRef>
          </c:cat>
          <c:val>
            <c:numRef>
              <c:f>LITS!$K$282:$L$282</c:f>
              <c:numCache>
                <c:formatCode>0</c:formatCode>
                <c:ptCount val="2"/>
                <c:pt idx="0">
                  <c:v>12.463777392502006</c:v>
                </c:pt>
                <c:pt idx="1">
                  <c:v>49.214349086491545</c:v>
                </c:pt>
              </c:numCache>
            </c:numRef>
          </c:val>
        </c:ser>
        <c:ser>
          <c:idx val="1"/>
          <c:order val="1"/>
          <c:tx>
            <c:strRef>
              <c:f>LITS!$J$283</c:f>
              <c:strCache>
                <c:ptCount val="1"/>
                <c:pt idx="0">
                  <c:v>Women</c:v>
                </c:pt>
              </c:strCache>
            </c:strRef>
          </c:tx>
          <c:spPr>
            <a:solidFill>
              <a:schemeClr val="accent6">
                <a:lumMod val="60000"/>
                <a:lumOff val="40000"/>
              </a:schemeClr>
            </a:solidFill>
            <a:ln>
              <a:solidFill>
                <a:srgbClr val="F79646">
                  <a:lumMod val="40000"/>
                  <a:lumOff val="60000"/>
                </a:srgbClr>
              </a:solidFill>
            </a:ln>
          </c:spPr>
          <c:invertIfNegative val="0"/>
          <c:dLbls>
            <c:delete val="1"/>
          </c:dLbls>
          <c:cat>
            <c:strRef>
              <c:f>LITS!$K$281:$L$281</c:f>
              <c:strCache>
                <c:ptCount val="2"/>
                <c:pt idx="0">
                  <c:v>***Attempted</c:v>
                </c:pt>
                <c:pt idx="1">
                  <c:v>***Succeed</c:v>
                </c:pt>
              </c:strCache>
            </c:strRef>
          </c:cat>
          <c:val>
            <c:numRef>
              <c:f>LITS!$K$283:$L$283</c:f>
              <c:numCache>
                <c:formatCode>0</c:formatCode>
                <c:ptCount val="2"/>
                <c:pt idx="0">
                  <c:v>6.4698814522411583</c:v>
                </c:pt>
                <c:pt idx="1">
                  <c:v>44.716455805767524</c:v>
                </c:pt>
              </c:numCache>
            </c:numRef>
          </c:val>
        </c:ser>
        <c:dLbls>
          <c:showLegendKey val="0"/>
          <c:showVal val="1"/>
          <c:showCatName val="0"/>
          <c:showSerName val="0"/>
          <c:showPercent val="0"/>
          <c:showBubbleSize val="0"/>
        </c:dLbls>
        <c:gapWidth val="150"/>
        <c:axId val="261606400"/>
        <c:axId val="261608192"/>
      </c:barChart>
      <c:catAx>
        <c:axId val="261606400"/>
        <c:scaling>
          <c:orientation val="minMax"/>
        </c:scaling>
        <c:delete val="0"/>
        <c:axPos val="b"/>
        <c:numFmt formatCode="General" sourceLinked="1"/>
        <c:majorTickMark val="out"/>
        <c:minorTickMark val="none"/>
        <c:tickLblPos val="nextTo"/>
        <c:txPr>
          <a:bodyPr rot="0" vert="horz"/>
          <a:lstStyle/>
          <a:p>
            <a:pPr>
              <a:defRPr/>
            </a:pPr>
            <a:endParaRPr lang="en-US"/>
          </a:p>
        </c:txPr>
        <c:crossAx val="261608192"/>
        <c:crosses val="autoZero"/>
        <c:auto val="1"/>
        <c:lblAlgn val="ctr"/>
        <c:lblOffset val="100"/>
        <c:tickLblSkip val="1"/>
        <c:tickMarkSkip val="1"/>
        <c:noMultiLvlLbl val="0"/>
      </c:catAx>
      <c:valAx>
        <c:axId val="261608192"/>
        <c:scaling>
          <c:orientation val="minMax"/>
        </c:scaling>
        <c:delete val="0"/>
        <c:axPos val="l"/>
        <c:majorGridlines/>
        <c:numFmt formatCode="0" sourceLinked="1"/>
        <c:majorTickMark val="out"/>
        <c:minorTickMark val="none"/>
        <c:tickLblPos val="nextTo"/>
        <c:txPr>
          <a:bodyPr rot="0" vert="horz"/>
          <a:lstStyle/>
          <a:p>
            <a:pPr>
              <a:defRPr/>
            </a:pPr>
            <a:endParaRPr lang="en-US"/>
          </a:p>
        </c:txPr>
        <c:crossAx val="261606400"/>
        <c:crosses val="autoZero"/>
        <c:crossBetween val="between"/>
      </c:valAx>
    </c:plotArea>
    <c:legend>
      <c:legendPos val="r"/>
      <c:layout>
        <c:manualLayout>
          <c:xMode val="edge"/>
          <c:yMode val="edge"/>
          <c:x val="0.31065831056832177"/>
          <c:y val="4.3964719002399386E-2"/>
          <c:w val="0.41596765477844683"/>
          <c:h val="0.13509873497572461"/>
        </c:manualLayout>
      </c:layout>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30905077262696"/>
          <c:y val="6.3553826199740593E-2"/>
          <c:w val="0.82339955849890334"/>
          <c:h val="0.6562905317769131"/>
        </c:manualLayout>
      </c:layout>
      <c:barChart>
        <c:barDir val="col"/>
        <c:grouping val="clustered"/>
        <c:varyColors val="0"/>
        <c:ser>
          <c:idx val="0"/>
          <c:order val="0"/>
          <c:tx>
            <c:strRef>
              <c:f>LITS!$K$305</c:f>
              <c:strCache>
                <c:ptCount val="1"/>
                <c:pt idx="0">
                  <c:v>Men </c:v>
                </c:pt>
              </c:strCache>
            </c:strRef>
          </c:tx>
          <c:invertIfNegative val="0"/>
          <c:cat>
            <c:multiLvlStrRef>
              <c:f>LITS!$L$303:$O$304</c:f>
              <c:multiLvlStrCache>
                <c:ptCount val="4"/>
                <c:lvl>
                  <c:pt idx="0">
                    <c:v>***No</c:v>
                  </c:pt>
                  <c:pt idx="1">
                    <c:v>***Yes</c:v>
                  </c:pt>
                  <c:pt idx="2">
                    <c:v>***No</c:v>
                  </c:pt>
                  <c:pt idx="3">
                    <c:v>***Yes</c:v>
                  </c:pt>
                </c:lvl>
                <c:lvl>
                  <c:pt idx="0">
                    <c:v>Attempted</c:v>
                  </c:pt>
                  <c:pt idx="2">
                    <c:v>Succeed</c:v>
                  </c:pt>
                </c:lvl>
              </c:multiLvlStrCache>
            </c:multiLvlStrRef>
          </c:cat>
          <c:val>
            <c:numRef>
              <c:f>LITS!$L$305:$O$305</c:f>
              <c:numCache>
                <c:formatCode>0.0</c:formatCode>
                <c:ptCount val="4"/>
                <c:pt idx="0">
                  <c:v>5.1661223683798934</c:v>
                </c:pt>
                <c:pt idx="1">
                  <c:v>6.3137573719283377</c:v>
                </c:pt>
                <c:pt idx="2">
                  <c:v>5.8870978033828854</c:v>
                </c:pt>
                <c:pt idx="3">
                  <c:v>6.7546467088842004</c:v>
                </c:pt>
              </c:numCache>
            </c:numRef>
          </c:val>
        </c:ser>
        <c:ser>
          <c:idx val="1"/>
          <c:order val="1"/>
          <c:tx>
            <c:strRef>
              <c:f>LITS!$K$306</c:f>
              <c:strCache>
                <c:ptCount val="1"/>
                <c:pt idx="0">
                  <c:v>Women</c:v>
                </c:pt>
              </c:strCache>
            </c:strRef>
          </c:tx>
          <c:spPr>
            <a:solidFill>
              <a:schemeClr val="accent6">
                <a:lumMod val="60000"/>
                <a:lumOff val="40000"/>
              </a:schemeClr>
            </a:solidFill>
          </c:spPr>
          <c:invertIfNegative val="0"/>
          <c:cat>
            <c:multiLvlStrRef>
              <c:f>LITS!$L$303:$O$304</c:f>
              <c:multiLvlStrCache>
                <c:ptCount val="4"/>
                <c:lvl>
                  <c:pt idx="0">
                    <c:v>***No</c:v>
                  </c:pt>
                  <c:pt idx="1">
                    <c:v>***Yes</c:v>
                  </c:pt>
                  <c:pt idx="2">
                    <c:v>***No</c:v>
                  </c:pt>
                  <c:pt idx="3">
                    <c:v>***Yes</c:v>
                  </c:pt>
                </c:lvl>
                <c:lvl>
                  <c:pt idx="0">
                    <c:v>Attempted</c:v>
                  </c:pt>
                  <c:pt idx="2">
                    <c:v>Succeed</c:v>
                  </c:pt>
                </c:lvl>
              </c:multiLvlStrCache>
            </c:multiLvlStrRef>
          </c:cat>
          <c:val>
            <c:numRef>
              <c:f>LITS!$L$306:$O$306</c:f>
              <c:numCache>
                <c:formatCode>0.0</c:formatCode>
                <c:ptCount val="4"/>
                <c:pt idx="0">
                  <c:v>4.5651486822037324</c:v>
                </c:pt>
                <c:pt idx="1">
                  <c:v>6.4817158181458385</c:v>
                </c:pt>
                <c:pt idx="2">
                  <c:v>5.5521174143215895</c:v>
                </c:pt>
                <c:pt idx="3">
                  <c:v>7.6309856318292661</c:v>
                </c:pt>
              </c:numCache>
            </c:numRef>
          </c:val>
        </c:ser>
        <c:dLbls>
          <c:showLegendKey val="0"/>
          <c:showVal val="0"/>
          <c:showCatName val="0"/>
          <c:showSerName val="0"/>
          <c:showPercent val="0"/>
          <c:showBubbleSize val="0"/>
        </c:dLbls>
        <c:gapWidth val="150"/>
        <c:axId val="261633152"/>
        <c:axId val="261634688"/>
      </c:barChart>
      <c:catAx>
        <c:axId val="261633152"/>
        <c:scaling>
          <c:orientation val="minMax"/>
        </c:scaling>
        <c:delete val="0"/>
        <c:axPos val="b"/>
        <c:numFmt formatCode="General" sourceLinked="1"/>
        <c:majorTickMark val="out"/>
        <c:minorTickMark val="none"/>
        <c:tickLblPos val="nextTo"/>
        <c:txPr>
          <a:bodyPr rot="0" vert="horz"/>
          <a:lstStyle/>
          <a:p>
            <a:pPr>
              <a:defRPr/>
            </a:pPr>
            <a:endParaRPr lang="en-US"/>
          </a:p>
        </c:txPr>
        <c:crossAx val="261634688"/>
        <c:crosses val="autoZero"/>
        <c:auto val="1"/>
        <c:lblAlgn val="ctr"/>
        <c:lblOffset val="100"/>
        <c:tickLblSkip val="1"/>
        <c:tickMarkSkip val="1"/>
        <c:noMultiLvlLbl val="0"/>
      </c:catAx>
      <c:valAx>
        <c:axId val="261634688"/>
        <c:scaling>
          <c:orientation val="minMax"/>
          <c:max val="8"/>
          <c:min val="4"/>
        </c:scaling>
        <c:delete val="0"/>
        <c:axPos val="l"/>
        <c:majorGridlines/>
        <c:numFmt formatCode="0" sourceLinked="0"/>
        <c:majorTickMark val="out"/>
        <c:minorTickMark val="none"/>
        <c:tickLblPos val="nextTo"/>
        <c:txPr>
          <a:bodyPr rot="0" vert="horz"/>
          <a:lstStyle/>
          <a:p>
            <a:pPr>
              <a:defRPr/>
            </a:pPr>
            <a:endParaRPr lang="en-US"/>
          </a:p>
        </c:txPr>
        <c:crossAx val="261633152"/>
        <c:crosses val="autoZero"/>
        <c:crossBetween val="between"/>
        <c:majorUnit val="1"/>
      </c:valAx>
    </c:plotArea>
    <c:legend>
      <c:legendPos val="r"/>
      <c:layout>
        <c:manualLayout>
          <c:xMode val="edge"/>
          <c:yMode val="edge"/>
          <c:x val="0.27152317880795002"/>
          <c:y val="0.10505836575875487"/>
          <c:w val="0.36865342163355408"/>
          <c:h val="0.12840466926070038"/>
        </c:manualLayout>
      </c:layout>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18295118770541"/>
          <c:y val="4.2089005540973987E-2"/>
          <c:w val="0.83299856385876292"/>
          <c:h val="0.66459352580927389"/>
        </c:manualLayout>
      </c:layout>
      <c:barChart>
        <c:barDir val="col"/>
        <c:grouping val="clustered"/>
        <c:varyColors val="0"/>
        <c:ser>
          <c:idx val="0"/>
          <c:order val="0"/>
          <c:tx>
            <c:strRef>
              <c:f>BEEPS!$B$3</c:f>
              <c:strCache>
                <c:ptCount val="1"/>
                <c:pt idx="0">
                  <c:v>Female ownership</c:v>
                </c:pt>
              </c:strCache>
            </c:strRef>
          </c:tx>
          <c:invertIfNegative val="0"/>
          <c:cat>
            <c:strRef>
              <c:f>BEEPS!$C$2:$D$2</c:f>
              <c:strCache>
                <c:ptCount val="2"/>
                <c:pt idx="0">
                  <c:v>Belarus</c:v>
                </c:pt>
                <c:pt idx="1">
                  <c:v>ECA</c:v>
                </c:pt>
              </c:strCache>
            </c:strRef>
          </c:cat>
          <c:val>
            <c:numRef>
              <c:f>BEEPS!$C$3:$D$3</c:f>
              <c:numCache>
                <c:formatCode>0</c:formatCode>
                <c:ptCount val="2"/>
                <c:pt idx="0">
                  <c:v>52.9</c:v>
                </c:pt>
                <c:pt idx="1">
                  <c:v>36.4</c:v>
                </c:pt>
              </c:numCache>
            </c:numRef>
          </c:val>
        </c:ser>
        <c:ser>
          <c:idx val="1"/>
          <c:order val="1"/>
          <c:tx>
            <c:strRef>
              <c:f>BEEPS!$B$4</c:f>
              <c:strCache>
                <c:ptCount val="1"/>
                <c:pt idx="0">
                  <c:v>Female management</c:v>
                </c:pt>
              </c:strCache>
            </c:strRef>
          </c:tx>
          <c:spPr>
            <a:solidFill>
              <a:schemeClr val="accent6">
                <a:lumMod val="60000"/>
                <a:lumOff val="40000"/>
              </a:schemeClr>
            </a:solidFill>
          </c:spPr>
          <c:invertIfNegative val="0"/>
          <c:cat>
            <c:strRef>
              <c:f>BEEPS!$C$2:$D$2</c:f>
              <c:strCache>
                <c:ptCount val="2"/>
                <c:pt idx="0">
                  <c:v>Belarus</c:v>
                </c:pt>
                <c:pt idx="1">
                  <c:v>ECA</c:v>
                </c:pt>
              </c:strCache>
            </c:strRef>
          </c:cat>
          <c:val>
            <c:numRef>
              <c:f>BEEPS!$C$4:$D$4</c:f>
              <c:numCache>
                <c:formatCode>0</c:formatCode>
                <c:ptCount val="2"/>
                <c:pt idx="0">
                  <c:v>24.8</c:v>
                </c:pt>
                <c:pt idx="1">
                  <c:v>19.100000000000001</c:v>
                </c:pt>
              </c:numCache>
            </c:numRef>
          </c:val>
        </c:ser>
        <c:dLbls>
          <c:showLegendKey val="0"/>
          <c:showVal val="0"/>
          <c:showCatName val="0"/>
          <c:showSerName val="0"/>
          <c:showPercent val="0"/>
          <c:showBubbleSize val="0"/>
        </c:dLbls>
        <c:gapWidth val="150"/>
        <c:axId val="261651456"/>
        <c:axId val="261673728"/>
      </c:barChart>
      <c:catAx>
        <c:axId val="261651456"/>
        <c:scaling>
          <c:orientation val="minMax"/>
        </c:scaling>
        <c:delete val="0"/>
        <c:axPos val="b"/>
        <c:numFmt formatCode="General" sourceLinked="1"/>
        <c:majorTickMark val="out"/>
        <c:minorTickMark val="none"/>
        <c:tickLblPos val="nextTo"/>
        <c:txPr>
          <a:bodyPr rot="0" vert="horz"/>
          <a:lstStyle/>
          <a:p>
            <a:pPr>
              <a:defRPr/>
            </a:pPr>
            <a:endParaRPr lang="en-US"/>
          </a:p>
        </c:txPr>
        <c:crossAx val="261673728"/>
        <c:crosses val="autoZero"/>
        <c:auto val="1"/>
        <c:lblAlgn val="ctr"/>
        <c:lblOffset val="100"/>
        <c:tickLblSkip val="1"/>
        <c:tickMarkSkip val="1"/>
        <c:noMultiLvlLbl val="0"/>
      </c:catAx>
      <c:valAx>
        <c:axId val="261673728"/>
        <c:scaling>
          <c:orientation val="minMax"/>
        </c:scaling>
        <c:delete val="0"/>
        <c:axPos val="l"/>
        <c:majorGridlines/>
        <c:title>
          <c:tx>
            <c:rich>
              <a:bodyPr rot="-5400000" vert="horz"/>
              <a:lstStyle/>
              <a:p>
                <a:pPr>
                  <a:defRPr/>
                </a:pPr>
                <a:r>
                  <a:rPr lang="en-US"/>
                  <a:t>%</a:t>
                </a:r>
              </a:p>
            </c:rich>
          </c:tx>
          <c:overlay val="0"/>
        </c:title>
        <c:numFmt formatCode="0" sourceLinked="1"/>
        <c:majorTickMark val="out"/>
        <c:minorTickMark val="none"/>
        <c:tickLblPos val="nextTo"/>
        <c:txPr>
          <a:bodyPr rot="0" vert="horz"/>
          <a:lstStyle/>
          <a:p>
            <a:pPr>
              <a:defRPr/>
            </a:pPr>
            <a:endParaRPr lang="en-US"/>
          </a:p>
        </c:txPr>
        <c:crossAx val="261651456"/>
        <c:crosses val="autoZero"/>
        <c:crossBetween val="between"/>
      </c:valAx>
    </c:plotArea>
    <c:legend>
      <c:legendPos val="b"/>
      <c:layout>
        <c:manualLayout>
          <c:xMode val="edge"/>
          <c:yMode val="edge"/>
          <c:x val="0.21673842452641645"/>
          <c:y val="0.81639390664402245"/>
          <c:w val="0.68326655859194074"/>
          <c:h val="0.15565891792130102"/>
        </c:manualLayout>
      </c:layout>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77007231894167"/>
          <c:y val="4.6814814814814823E-2"/>
          <c:w val="0.83304550233973362"/>
          <c:h val="0.64518635170603478"/>
        </c:manualLayout>
      </c:layout>
      <c:barChart>
        <c:barDir val="col"/>
        <c:grouping val="clustered"/>
        <c:varyColors val="0"/>
        <c:ser>
          <c:idx val="0"/>
          <c:order val="0"/>
          <c:tx>
            <c:strRef>
              <c:f>BEEPS!$C$16</c:f>
              <c:strCache>
                <c:ptCount val="1"/>
                <c:pt idx="0">
                  <c:v>Female ownership</c:v>
                </c:pt>
              </c:strCache>
            </c:strRef>
          </c:tx>
          <c:invertIfNegative val="0"/>
          <c:cat>
            <c:strRef>
              <c:f>BEEPS!$B$17:$B$19</c:f>
              <c:strCache>
                <c:ptCount val="3"/>
                <c:pt idx="0">
                  <c:v>5-19</c:v>
                </c:pt>
                <c:pt idx="1">
                  <c:v>20-99</c:v>
                </c:pt>
                <c:pt idx="2">
                  <c:v>100+</c:v>
                </c:pt>
              </c:strCache>
            </c:strRef>
          </c:cat>
          <c:val>
            <c:numRef>
              <c:f>BEEPS!$C$17:$C$19</c:f>
              <c:numCache>
                <c:formatCode>General</c:formatCode>
                <c:ptCount val="3"/>
                <c:pt idx="0">
                  <c:v>52.7</c:v>
                </c:pt>
                <c:pt idx="1">
                  <c:v>45.8</c:v>
                </c:pt>
                <c:pt idx="2">
                  <c:v>65.8</c:v>
                </c:pt>
              </c:numCache>
            </c:numRef>
          </c:val>
        </c:ser>
        <c:ser>
          <c:idx val="1"/>
          <c:order val="1"/>
          <c:tx>
            <c:strRef>
              <c:f>BEEPS!$D$16</c:f>
              <c:strCache>
                <c:ptCount val="1"/>
                <c:pt idx="0">
                  <c:v>Female management</c:v>
                </c:pt>
              </c:strCache>
            </c:strRef>
          </c:tx>
          <c:spPr>
            <a:solidFill>
              <a:schemeClr val="accent6">
                <a:lumMod val="60000"/>
                <a:lumOff val="40000"/>
              </a:schemeClr>
            </a:solidFill>
          </c:spPr>
          <c:invertIfNegative val="0"/>
          <c:cat>
            <c:strRef>
              <c:f>BEEPS!$B$17:$B$19</c:f>
              <c:strCache>
                <c:ptCount val="3"/>
                <c:pt idx="0">
                  <c:v>5-19</c:v>
                </c:pt>
                <c:pt idx="1">
                  <c:v>20-99</c:v>
                </c:pt>
                <c:pt idx="2">
                  <c:v>100+</c:v>
                </c:pt>
              </c:strCache>
            </c:strRef>
          </c:cat>
          <c:val>
            <c:numRef>
              <c:f>BEEPS!$D$17:$D$19</c:f>
              <c:numCache>
                <c:formatCode>General</c:formatCode>
                <c:ptCount val="3"/>
                <c:pt idx="0">
                  <c:v>28.6</c:v>
                </c:pt>
                <c:pt idx="1">
                  <c:v>19.5</c:v>
                </c:pt>
                <c:pt idx="2">
                  <c:v>23.9</c:v>
                </c:pt>
              </c:numCache>
            </c:numRef>
          </c:val>
        </c:ser>
        <c:dLbls>
          <c:showLegendKey val="0"/>
          <c:showVal val="0"/>
          <c:showCatName val="0"/>
          <c:showSerName val="0"/>
          <c:showPercent val="0"/>
          <c:showBubbleSize val="0"/>
        </c:dLbls>
        <c:gapWidth val="150"/>
        <c:axId val="261707264"/>
        <c:axId val="261708800"/>
      </c:barChart>
      <c:catAx>
        <c:axId val="261707264"/>
        <c:scaling>
          <c:orientation val="minMax"/>
        </c:scaling>
        <c:delete val="0"/>
        <c:axPos val="b"/>
        <c:numFmt formatCode="General" sourceLinked="1"/>
        <c:majorTickMark val="out"/>
        <c:minorTickMark val="none"/>
        <c:tickLblPos val="nextTo"/>
        <c:txPr>
          <a:bodyPr rot="0" vert="horz"/>
          <a:lstStyle/>
          <a:p>
            <a:pPr>
              <a:defRPr/>
            </a:pPr>
            <a:endParaRPr lang="en-US"/>
          </a:p>
        </c:txPr>
        <c:crossAx val="261708800"/>
        <c:crosses val="autoZero"/>
        <c:auto val="1"/>
        <c:lblAlgn val="ctr"/>
        <c:lblOffset val="100"/>
        <c:tickLblSkip val="1"/>
        <c:tickMarkSkip val="1"/>
        <c:noMultiLvlLbl val="0"/>
      </c:catAx>
      <c:valAx>
        <c:axId val="261708800"/>
        <c:scaling>
          <c:orientation val="minMax"/>
        </c:scaling>
        <c:delete val="0"/>
        <c:axPos val="l"/>
        <c:majorGridlines/>
        <c:title>
          <c:tx>
            <c:rich>
              <a:bodyPr rot="-5400000" vert="horz"/>
              <a:lstStyle/>
              <a:p>
                <a:pPr>
                  <a:defRPr/>
                </a:pPr>
                <a:r>
                  <a:rPr lang="en-US"/>
                  <a:t>%</a:t>
                </a:r>
              </a:p>
            </c:rich>
          </c:tx>
          <c:overlay val="0"/>
        </c:title>
        <c:numFmt formatCode="General" sourceLinked="1"/>
        <c:majorTickMark val="out"/>
        <c:minorTickMark val="none"/>
        <c:tickLblPos val="nextTo"/>
        <c:txPr>
          <a:bodyPr rot="0" vert="horz"/>
          <a:lstStyle/>
          <a:p>
            <a:pPr>
              <a:defRPr/>
            </a:pPr>
            <a:endParaRPr lang="en-US"/>
          </a:p>
        </c:txPr>
        <c:crossAx val="261707264"/>
        <c:crosses val="autoZero"/>
        <c:crossBetween val="between"/>
      </c:valAx>
    </c:plotArea>
    <c:legend>
      <c:legendPos val="r"/>
      <c:layout>
        <c:manualLayout>
          <c:xMode val="edge"/>
          <c:yMode val="edge"/>
          <c:x val="0.16207951070336388"/>
          <c:y val="0.83382113821138204"/>
          <c:w val="0.69986760187399777"/>
          <c:h val="0.14849783868132657"/>
        </c:manualLayout>
      </c:layout>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043109655540844"/>
          <c:y val="1.2759200079069614E-2"/>
          <c:w val="0.65986483832379295"/>
          <c:h val="0.85132706975596117"/>
        </c:manualLayout>
      </c:layout>
      <c:barChart>
        <c:barDir val="bar"/>
        <c:grouping val="clustered"/>
        <c:varyColors val="0"/>
        <c:ser>
          <c:idx val="0"/>
          <c:order val="0"/>
          <c:tx>
            <c:strRef>
              <c:f>BEEPS!$I$58</c:f>
              <c:strCache>
                <c:ptCount val="1"/>
                <c:pt idx="0">
                  <c:v>Female management</c:v>
                </c:pt>
              </c:strCache>
            </c:strRef>
          </c:tx>
          <c:invertIfNegative val="0"/>
          <c:cat>
            <c:strRef>
              <c:f>BEEPS!$H$59:$H$75</c:f>
              <c:strCache>
                <c:ptCount val="17"/>
                <c:pt idx="0">
                  <c:v>Basic metals</c:v>
                </c:pt>
                <c:pt idx="1">
                  <c:v>IT</c:v>
                </c:pt>
                <c:pt idx="2">
                  <c:v>Chemicals</c:v>
                </c:pt>
                <c:pt idx="3">
                  <c:v>Transport</c:v>
                </c:pt>
                <c:pt idx="4">
                  <c:v>Metal products</c:v>
                </c:pt>
                <c:pt idx="5">
                  <c:v>Plastics &amp; rubber</c:v>
                </c:pt>
                <c:pt idx="6">
                  <c:v>Other manufacturing</c:v>
                </c:pt>
                <c:pt idx="7">
                  <c:v>Construction</c:v>
                </c:pt>
                <c:pt idx="8">
                  <c:v>Wholesale</c:v>
                </c:pt>
                <c:pt idx="9">
                  <c:v>Non metallic mineral products</c:v>
                </c:pt>
                <c:pt idx="10">
                  <c:v>Food</c:v>
                </c:pt>
                <c:pt idx="11">
                  <c:v>Other services</c:v>
                </c:pt>
                <c:pt idx="12">
                  <c:v>Machinery and equipment</c:v>
                </c:pt>
                <c:pt idx="13">
                  <c:v>Textiles</c:v>
                </c:pt>
                <c:pt idx="14">
                  <c:v>Retail</c:v>
                </c:pt>
                <c:pt idx="15">
                  <c:v>Garments</c:v>
                </c:pt>
                <c:pt idx="16">
                  <c:v>Hotel&amp;restaurants</c:v>
                </c:pt>
              </c:strCache>
            </c:strRef>
          </c:cat>
          <c:val>
            <c:numRef>
              <c:f>BEEPS!$I$59:$I$75</c:f>
              <c:numCache>
                <c:formatCode>General</c:formatCode>
                <c:ptCount val="17"/>
                <c:pt idx="0">
                  <c:v>0</c:v>
                </c:pt>
                <c:pt idx="1">
                  <c:v>0</c:v>
                </c:pt>
                <c:pt idx="2">
                  <c:v>0</c:v>
                </c:pt>
                <c:pt idx="3">
                  <c:v>0</c:v>
                </c:pt>
                <c:pt idx="4">
                  <c:v>3.9024390243902367</c:v>
                </c:pt>
                <c:pt idx="5">
                  <c:v>7.3232323232323324</c:v>
                </c:pt>
                <c:pt idx="6">
                  <c:v>7.6923076923076925</c:v>
                </c:pt>
                <c:pt idx="7">
                  <c:v>8.3129584352078236</c:v>
                </c:pt>
                <c:pt idx="8">
                  <c:v>10.851063829787329</c:v>
                </c:pt>
                <c:pt idx="9">
                  <c:v>18.656716417910491</c:v>
                </c:pt>
                <c:pt idx="10">
                  <c:v>19.444444444444446</c:v>
                </c:pt>
                <c:pt idx="11">
                  <c:v>19.753086419753085</c:v>
                </c:pt>
                <c:pt idx="12">
                  <c:v>25.581395348837212</c:v>
                </c:pt>
                <c:pt idx="13">
                  <c:v>40.860215053763099</c:v>
                </c:pt>
                <c:pt idx="14">
                  <c:v>45.549132947977412</c:v>
                </c:pt>
                <c:pt idx="15">
                  <c:v>86.846543001686342</c:v>
                </c:pt>
                <c:pt idx="16">
                  <c:v>94.632768361580744</c:v>
                </c:pt>
              </c:numCache>
            </c:numRef>
          </c:val>
        </c:ser>
        <c:ser>
          <c:idx val="1"/>
          <c:order val="1"/>
          <c:tx>
            <c:strRef>
              <c:f>BEEPS!$J$58</c:f>
              <c:strCache>
                <c:ptCount val="1"/>
                <c:pt idx="0">
                  <c:v>Female ownership</c:v>
                </c:pt>
              </c:strCache>
            </c:strRef>
          </c:tx>
          <c:spPr>
            <a:solidFill>
              <a:schemeClr val="accent6">
                <a:lumMod val="60000"/>
                <a:lumOff val="40000"/>
              </a:schemeClr>
            </a:solidFill>
          </c:spPr>
          <c:invertIfNegative val="0"/>
          <c:cat>
            <c:strRef>
              <c:f>BEEPS!$H$59:$H$75</c:f>
              <c:strCache>
                <c:ptCount val="17"/>
                <c:pt idx="0">
                  <c:v>Basic metals</c:v>
                </c:pt>
                <c:pt idx="1">
                  <c:v>IT</c:v>
                </c:pt>
                <c:pt idx="2">
                  <c:v>Chemicals</c:v>
                </c:pt>
                <c:pt idx="3">
                  <c:v>Transport</c:v>
                </c:pt>
                <c:pt idx="4">
                  <c:v>Metal products</c:v>
                </c:pt>
                <c:pt idx="5">
                  <c:v>Plastics &amp; rubber</c:v>
                </c:pt>
                <c:pt idx="6">
                  <c:v>Other manufacturing</c:v>
                </c:pt>
                <c:pt idx="7">
                  <c:v>Construction</c:v>
                </c:pt>
                <c:pt idx="8">
                  <c:v>Wholesale</c:v>
                </c:pt>
                <c:pt idx="9">
                  <c:v>Non metallic mineral products</c:v>
                </c:pt>
                <c:pt idx="10">
                  <c:v>Food</c:v>
                </c:pt>
                <c:pt idx="11">
                  <c:v>Other services</c:v>
                </c:pt>
                <c:pt idx="12">
                  <c:v>Machinery and equipment</c:v>
                </c:pt>
                <c:pt idx="13">
                  <c:v>Textiles</c:v>
                </c:pt>
                <c:pt idx="14">
                  <c:v>Retail</c:v>
                </c:pt>
                <c:pt idx="15">
                  <c:v>Garments</c:v>
                </c:pt>
                <c:pt idx="16">
                  <c:v>Hotel&amp;restaurants</c:v>
                </c:pt>
              </c:strCache>
            </c:strRef>
          </c:cat>
          <c:val>
            <c:numRef>
              <c:f>BEEPS!$J$59:$J$75</c:f>
              <c:numCache>
                <c:formatCode>General</c:formatCode>
                <c:ptCount val="17"/>
                <c:pt idx="0">
                  <c:v>0</c:v>
                </c:pt>
                <c:pt idx="1">
                  <c:v>17.910447761194028</c:v>
                </c:pt>
                <c:pt idx="2">
                  <c:v>43.869209809263992</c:v>
                </c:pt>
                <c:pt idx="3">
                  <c:v>56.777108433734938</c:v>
                </c:pt>
                <c:pt idx="4">
                  <c:v>10.731707317073168</c:v>
                </c:pt>
                <c:pt idx="5">
                  <c:v>0</c:v>
                </c:pt>
                <c:pt idx="6">
                  <c:v>60.552268244576013</c:v>
                </c:pt>
                <c:pt idx="7">
                  <c:v>33.040078201368495</c:v>
                </c:pt>
                <c:pt idx="8">
                  <c:v>53.344363034743097</c:v>
                </c:pt>
                <c:pt idx="9">
                  <c:v>64.9253731343277</c:v>
                </c:pt>
                <c:pt idx="10">
                  <c:v>85.807504078303424</c:v>
                </c:pt>
                <c:pt idx="11">
                  <c:v>28.703703703703589</c:v>
                </c:pt>
                <c:pt idx="12">
                  <c:v>0</c:v>
                </c:pt>
                <c:pt idx="13">
                  <c:v>81.720430107525658</c:v>
                </c:pt>
                <c:pt idx="14">
                  <c:v>55.943570767807444</c:v>
                </c:pt>
                <c:pt idx="15">
                  <c:v>86.340640809443499</c:v>
                </c:pt>
                <c:pt idx="16">
                  <c:v>94.632768361580744</c:v>
                </c:pt>
              </c:numCache>
            </c:numRef>
          </c:val>
        </c:ser>
        <c:dLbls>
          <c:showLegendKey val="0"/>
          <c:showVal val="0"/>
          <c:showCatName val="0"/>
          <c:showSerName val="0"/>
          <c:showPercent val="0"/>
          <c:showBubbleSize val="0"/>
        </c:dLbls>
        <c:gapWidth val="150"/>
        <c:axId val="262479872"/>
        <c:axId val="262481408"/>
      </c:barChart>
      <c:catAx>
        <c:axId val="262479872"/>
        <c:scaling>
          <c:orientation val="minMax"/>
        </c:scaling>
        <c:delete val="0"/>
        <c:axPos val="l"/>
        <c:numFmt formatCode="General" sourceLinked="1"/>
        <c:majorTickMark val="out"/>
        <c:minorTickMark val="none"/>
        <c:tickLblPos val="nextTo"/>
        <c:txPr>
          <a:bodyPr rot="0" vert="horz"/>
          <a:lstStyle/>
          <a:p>
            <a:pPr>
              <a:defRPr/>
            </a:pPr>
            <a:endParaRPr lang="en-US"/>
          </a:p>
        </c:txPr>
        <c:crossAx val="262481408"/>
        <c:crosses val="autoZero"/>
        <c:auto val="1"/>
        <c:lblAlgn val="ctr"/>
        <c:lblOffset val="100"/>
        <c:tickLblSkip val="1"/>
        <c:tickMarkSkip val="1"/>
        <c:noMultiLvlLbl val="0"/>
      </c:catAx>
      <c:valAx>
        <c:axId val="262481408"/>
        <c:scaling>
          <c:orientation val="minMax"/>
        </c:scaling>
        <c:delete val="0"/>
        <c:axPos val="b"/>
        <c:majorGridlines/>
        <c:numFmt formatCode="General" sourceLinked="1"/>
        <c:majorTickMark val="out"/>
        <c:minorTickMark val="none"/>
        <c:tickLblPos val="nextTo"/>
        <c:txPr>
          <a:bodyPr rot="0" vert="horz"/>
          <a:lstStyle/>
          <a:p>
            <a:pPr>
              <a:defRPr/>
            </a:pPr>
            <a:endParaRPr lang="en-US"/>
          </a:p>
        </c:txPr>
        <c:crossAx val="262479872"/>
        <c:crosses val="autoZero"/>
        <c:crossBetween val="between"/>
      </c:valAx>
    </c:plotArea>
    <c:legend>
      <c:legendPos val="r"/>
      <c:layout>
        <c:manualLayout>
          <c:xMode val="edge"/>
          <c:yMode val="edge"/>
          <c:x val="0.69533853622279518"/>
          <c:y val="0.54473429315059463"/>
          <c:w val="0.29164448470489862"/>
          <c:h val="0.28521420178126272"/>
        </c:manualLayout>
      </c:layout>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3520402077187"/>
          <c:y val="7.0796613135658354E-2"/>
          <c:w val="0.79804687189356405"/>
          <c:h val="0.49115150362862892"/>
        </c:manualLayout>
      </c:layout>
      <c:barChart>
        <c:barDir val="col"/>
        <c:grouping val="stacked"/>
        <c:varyColors val="0"/>
        <c:ser>
          <c:idx val="0"/>
          <c:order val="0"/>
          <c:tx>
            <c:strRef>
              <c:f>FINDEX!$D$173</c:f>
              <c:strCache>
                <c:ptCount val="1"/>
                <c:pt idx="0">
                  <c:v>0</c:v>
                </c:pt>
              </c:strCache>
            </c:strRef>
          </c:tx>
          <c:invertIfNegative val="0"/>
          <c:cat>
            <c:multiLvlStrRef>
              <c:f>FINDEX!$E$171:$H$172</c:f>
              <c:multiLvlStrCache>
                <c:ptCount val="4"/>
                <c:lvl>
                  <c:pt idx="0">
                    <c:v>men</c:v>
                  </c:pt>
                  <c:pt idx="1">
                    <c:v>women</c:v>
                  </c:pt>
                  <c:pt idx="2">
                    <c:v>men</c:v>
                  </c:pt>
                  <c:pt idx="3">
                    <c:v>women</c:v>
                  </c:pt>
                </c:lvl>
                <c:lvl>
                  <c:pt idx="0">
                    <c:v>Deposits</c:v>
                  </c:pt>
                  <c:pt idx="2">
                    <c:v>Withdrawls</c:v>
                  </c:pt>
                </c:lvl>
              </c:multiLvlStrCache>
            </c:multiLvlStrRef>
          </c:cat>
          <c:val>
            <c:numRef>
              <c:f>FINDEX!$E$173:$H$173</c:f>
              <c:numCache>
                <c:formatCode>0</c:formatCode>
                <c:ptCount val="4"/>
                <c:pt idx="0">
                  <c:v>0.95110170000000005</c:v>
                </c:pt>
                <c:pt idx="1">
                  <c:v>0.99321420000000005</c:v>
                </c:pt>
                <c:pt idx="2">
                  <c:v>2.1791239999999998</c:v>
                </c:pt>
                <c:pt idx="3">
                  <c:v>2.626544</c:v>
                </c:pt>
              </c:numCache>
            </c:numRef>
          </c:val>
        </c:ser>
        <c:ser>
          <c:idx val="1"/>
          <c:order val="1"/>
          <c:tx>
            <c:strRef>
              <c:f>FINDEX!$D$174</c:f>
              <c:strCache>
                <c:ptCount val="1"/>
                <c:pt idx="0">
                  <c:v>1-2</c:v>
                </c:pt>
              </c:strCache>
            </c:strRef>
          </c:tx>
          <c:spPr>
            <a:solidFill>
              <a:schemeClr val="accent6">
                <a:lumMod val="60000"/>
                <a:lumOff val="40000"/>
              </a:schemeClr>
            </a:solidFill>
          </c:spPr>
          <c:invertIfNegative val="0"/>
          <c:cat>
            <c:multiLvlStrRef>
              <c:f>FINDEX!$E$171:$H$172</c:f>
              <c:multiLvlStrCache>
                <c:ptCount val="4"/>
                <c:lvl>
                  <c:pt idx="0">
                    <c:v>men</c:v>
                  </c:pt>
                  <c:pt idx="1">
                    <c:v>women</c:v>
                  </c:pt>
                  <c:pt idx="2">
                    <c:v>men</c:v>
                  </c:pt>
                  <c:pt idx="3">
                    <c:v>women</c:v>
                  </c:pt>
                </c:lvl>
                <c:lvl>
                  <c:pt idx="0">
                    <c:v>Deposits</c:v>
                  </c:pt>
                  <c:pt idx="2">
                    <c:v>Withdrawls</c:v>
                  </c:pt>
                </c:lvl>
              </c:multiLvlStrCache>
            </c:multiLvlStrRef>
          </c:cat>
          <c:val>
            <c:numRef>
              <c:f>FINDEX!$E$174:$H$174</c:f>
              <c:numCache>
                <c:formatCode>0</c:formatCode>
                <c:ptCount val="4"/>
                <c:pt idx="0">
                  <c:v>93.211979999999997</c:v>
                </c:pt>
                <c:pt idx="1">
                  <c:v>95.488810000000001</c:v>
                </c:pt>
                <c:pt idx="2">
                  <c:v>43.213439999999999</c:v>
                </c:pt>
                <c:pt idx="3">
                  <c:v>47.080100000000002</c:v>
                </c:pt>
              </c:numCache>
            </c:numRef>
          </c:val>
        </c:ser>
        <c:ser>
          <c:idx val="2"/>
          <c:order val="2"/>
          <c:tx>
            <c:strRef>
              <c:f>FINDEX!$D$175</c:f>
              <c:strCache>
                <c:ptCount val="1"/>
                <c:pt idx="0">
                  <c:v>3*</c:v>
                </c:pt>
              </c:strCache>
            </c:strRef>
          </c:tx>
          <c:invertIfNegative val="0"/>
          <c:cat>
            <c:multiLvlStrRef>
              <c:f>FINDEX!$E$171:$H$172</c:f>
              <c:multiLvlStrCache>
                <c:ptCount val="4"/>
                <c:lvl>
                  <c:pt idx="0">
                    <c:v>men</c:v>
                  </c:pt>
                  <c:pt idx="1">
                    <c:v>women</c:v>
                  </c:pt>
                  <c:pt idx="2">
                    <c:v>men</c:v>
                  </c:pt>
                  <c:pt idx="3">
                    <c:v>women</c:v>
                  </c:pt>
                </c:lvl>
                <c:lvl>
                  <c:pt idx="0">
                    <c:v>Deposits</c:v>
                  </c:pt>
                  <c:pt idx="2">
                    <c:v>Withdrawls</c:v>
                  </c:pt>
                </c:lvl>
              </c:multiLvlStrCache>
            </c:multiLvlStrRef>
          </c:cat>
          <c:val>
            <c:numRef>
              <c:f>FINDEX!$E$175:$H$175</c:f>
              <c:numCache>
                <c:formatCode>0</c:formatCode>
                <c:ptCount val="4"/>
                <c:pt idx="0">
                  <c:v>3.2492359999999998</c:v>
                </c:pt>
                <c:pt idx="1">
                  <c:v>2.1914530000000001</c:v>
                </c:pt>
                <c:pt idx="2">
                  <c:v>47.045020000000001</c:v>
                </c:pt>
                <c:pt idx="3">
                  <c:v>42.516170000000002</c:v>
                </c:pt>
              </c:numCache>
            </c:numRef>
          </c:val>
        </c:ser>
        <c:ser>
          <c:idx val="3"/>
          <c:order val="3"/>
          <c:tx>
            <c:strRef>
              <c:f>FINDEX!$D$176</c:f>
              <c:strCache>
                <c:ptCount val="1"/>
                <c:pt idx="0">
                  <c:v>No asnwer</c:v>
                </c:pt>
              </c:strCache>
            </c:strRef>
          </c:tx>
          <c:invertIfNegative val="0"/>
          <c:cat>
            <c:multiLvlStrRef>
              <c:f>FINDEX!$E$171:$H$172</c:f>
              <c:multiLvlStrCache>
                <c:ptCount val="4"/>
                <c:lvl>
                  <c:pt idx="0">
                    <c:v>men</c:v>
                  </c:pt>
                  <c:pt idx="1">
                    <c:v>women</c:v>
                  </c:pt>
                  <c:pt idx="2">
                    <c:v>men</c:v>
                  </c:pt>
                  <c:pt idx="3">
                    <c:v>women</c:v>
                  </c:pt>
                </c:lvl>
                <c:lvl>
                  <c:pt idx="0">
                    <c:v>Deposits</c:v>
                  </c:pt>
                  <c:pt idx="2">
                    <c:v>Withdrawls</c:v>
                  </c:pt>
                </c:lvl>
              </c:multiLvlStrCache>
            </c:multiLvlStrRef>
          </c:cat>
          <c:val>
            <c:numRef>
              <c:f>FINDEX!$E$176:$H$176</c:f>
              <c:numCache>
                <c:formatCode>0</c:formatCode>
                <c:ptCount val="4"/>
                <c:pt idx="0">
                  <c:v>2.587682300000008</c:v>
                </c:pt>
                <c:pt idx="1">
                  <c:v>1.326522800000002</c:v>
                </c:pt>
                <c:pt idx="2">
                  <c:v>7.5624159999999989</c:v>
                </c:pt>
                <c:pt idx="3">
                  <c:v>7.7771860000000004</c:v>
                </c:pt>
              </c:numCache>
            </c:numRef>
          </c:val>
        </c:ser>
        <c:dLbls>
          <c:showLegendKey val="0"/>
          <c:showVal val="0"/>
          <c:showCatName val="0"/>
          <c:showSerName val="0"/>
          <c:showPercent val="0"/>
          <c:showBubbleSize val="0"/>
        </c:dLbls>
        <c:gapWidth val="150"/>
        <c:overlap val="100"/>
        <c:axId val="262524928"/>
        <c:axId val="262526464"/>
      </c:barChart>
      <c:catAx>
        <c:axId val="2625249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2526464"/>
        <c:crosses val="autoZero"/>
        <c:auto val="1"/>
        <c:lblAlgn val="ctr"/>
        <c:lblOffset val="100"/>
        <c:tickLblSkip val="1"/>
        <c:tickMarkSkip val="1"/>
        <c:noMultiLvlLbl val="0"/>
      </c:catAx>
      <c:valAx>
        <c:axId val="262526464"/>
        <c:scaling>
          <c:orientation val="minMax"/>
          <c:max val="100"/>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a:t>
                </a:r>
              </a:p>
            </c:rich>
          </c:tx>
          <c:layout>
            <c:manualLayout>
              <c:xMode val="edge"/>
              <c:yMode val="edge"/>
              <c:x val="1.6286644951140062E-2"/>
              <c:y val="0.2876110840127285"/>
            </c:manualLayout>
          </c:layout>
          <c:overlay val="0"/>
          <c:spPr>
            <a:noFill/>
            <a:ln w="25400">
              <a:noFill/>
            </a:ln>
          </c:spPr>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2524928"/>
        <c:crosses val="autoZero"/>
        <c:crossBetween val="between"/>
      </c:valAx>
    </c:plotArea>
    <c:legend>
      <c:legendPos val="b"/>
      <c:layout>
        <c:manualLayout>
          <c:xMode val="edge"/>
          <c:yMode val="edge"/>
          <c:x val="9.7895799462314151E-2"/>
          <c:y val="0.86081529663864476"/>
          <c:w val="0.78702467702072088"/>
          <c:h val="0.11263570314580243"/>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51533014687199"/>
          <c:y val="7.1111419754426086E-2"/>
          <c:w val="0.8052831234630371"/>
          <c:h val="0.49777993828098238"/>
        </c:manualLayout>
      </c:layout>
      <c:barChart>
        <c:barDir val="col"/>
        <c:grouping val="stacked"/>
        <c:varyColors val="0"/>
        <c:ser>
          <c:idx val="0"/>
          <c:order val="0"/>
          <c:tx>
            <c:strRef>
              <c:f>FINDEX!$D$181</c:f>
              <c:strCache>
                <c:ptCount val="1"/>
                <c:pt idx="0">
                  <c:v>0</c:v>
                </c:pt>
              </c:strCache>
            </c:strRef>
          </c:tx>
          <c:invertIfNegative val="0"/>
          <c:cat>
            <c:multiLvlStrRef>
              <c:f>FINDEX!$E$178:$H$180</c:f>
              <c:multiLvlStrCache>
                <c:ptCount val="4"/>
                <c:lvl>
                  <c:pt idx="0">
                    <c:v>men</c:v>
                  </c:pt>
                  <c:pt idx="1">
                    <c:v>women</c:v>
                  </c:pt>
                  <c:pt idx="2">
                    <c:v>men</c:v>
                  </c:pt>
                  <c:pt idx="3">
                    <c:v>women</c:v>
                  </c:pt>
                </c:lvl>
                <c:lvl>
                  <c:pt idx="0">
                    <c:v>Deposits</c:v>
                  </c:pt>
                  <c:pt idx="2">
                    <c:v>Withdrawls</c:v>
                  </c:pt>
                </c:lvl>
              </c:multiLvlStrCache>
            </c:multiLvlStrRef>
          </c:cat>
          <c:val>
            <c:numRef>
              <c:f>FINDEX!$E$181:$H$181</c:f>
              <c:numCache>
                <c:formatCode>0</c:formatCode>
                <c:ptCount val="4"/>
                <c:pt idx="0">
                  <c:v>5.2029215675473832</c:v>
                </c:pt>
                <c:pt idx="1">
                  <c:v>7.4918473408945552</c:v>
                </c:pt>
                <c:pt idx="2">
                  <c:v>4.715303672200549</c:v>
                </c:pt>
                <c:pt idx="3">
                  <c:v>8.6922163584643677</c:v>
                </c:pt>
              </c:numCache>
            </c:numRef>
          </c:val>
        </c:ser>
        <c:ser>
          <c:idx val="1"/>
          <c:order val="1"/>
          <c:tx>
            <c:strRef>
              <c:f>FINDEX!$D$182</c:f>
              <c:strCache>
                <c:ptCount val="1"/>
                <c:pt idx="0">
                  <c:v>1-2</c:v>
                </c:pt>
              </c:strCache>
            </c:strRef>
          </c:tx>
          <c:spPr>
            <a:solidFill>
              <a:schemeClr val="accent6">
                <a:lumMod val="60000"/>
                <a:lumOff val="40000"/>
              </a:schemeClr>
            </a:solidFill>
          </c:spPr>
          <c:invertIfNegative val="0"/>
          <c:cat>
            <c:multiLvlStrRef>
              <c:f>FINDEX!$E$178:$H$180</c:f>
              <c:multiLvlStrCache>
                <c:ptCount val="4"/>
                <c:lvl>
                  <c:pt idx="0">
                    <c:v>men</c:v>
                  </c:pt>
                  <c:pt idx="1">
                    <c:v>women</c:v>
                  </c:pt>
                  <c:pt idx="2">
                    <c:v>men</c:v>
                  </c:pt>
                  <c:pt idx="3">
                    <c:v>women</c:v>
                  </c:pt>
                </c:lvl>
                <c:lvl>
                  <c:pt idx="0">
                    <c:v>Deposits</c:v>
                  </c:pt>
                  <c:pt idx="2">
                    <c:v>Withdrawls</c:v>
                  </c:pt>
                </c:lvl>
              </c:multiLvlStrCache>
            </c:multiLvlStrRef>
          </c:cat>
          <c:val>
            <c:numRef>
              <c:f>FINDEX!$E$182:$H$182</c:f>
              <c:numCache>
                <c:formatCode>0</c:formatCode>
                <c:ptCount val="4"/>
                <c:pt idx="0">
                  <c:v>80.705905280848143</c:v>
                </c:pt>
                <c:pt idx="1">
                  <c:v>81.173181606063821</c:v>
                </c:pt>
                <c:pt idx="2">
                  <c:v>62.026311544438876</c:v>
                </c:pt>
                <c:pt idx="3">
                  <c:v>61.809089141860589</c:v>
                </c:pt>
              </c:numCache>
            </c:numRef>
          </c:val>
        </c:ser>
        <c:ser>
          <c:idx val="2"/>
          <c:order val="2"/>
          <c:tx>
            <c:strRef>
              <c:f>FINDEX!$D$183</c:f>
              <c:strCache>
                <c:ptCount val="1"/>
                <c:pt idx="0">
                  <c:v>3*</c:v>
                </c:pt>
              </c:strCache>
            </c:strRef>
          </c:tx>
          <c:invertIfNegative val="0"/>
          <c:cat>
            <c:multiLvlStrRef>
              <c:f>FINDEX!$E$178:$H$180</c:f>
              <c:multiLvlStrCache>
                <c:ptCount val="4"/>
                <c:lvl>
                  <c:pt idx="0">
                    <c:v>men</c:v>
                  </c:pt>
                  <c:pt idx="1">
                    <c:v>women</c:v>
                  </c:pt>
                  <c:pt idx="2">
                    <c:v>men</c:v>
                  </c:pt>
                  <c:pt idx="3">
                    <c:v>women</c:v>
                  </c:pt>
                </c:lvl>
                <c:lvl>
                  <c:pt idx="0">
                    <c:v>Deposits</c:v>
                  </c:pt>
                  <c:pt idx="2">
                    <c:v>Withdrawls</c:v>
                  </c:pt>
                </c:lvl>
              </c:multiLvlStrCache>
            </c:multiLvlStrRef>
          </c:cat>
          <c:val>
            <c:numRef>
              <c:f>FINDEX!$E$183:$H$183</c:f>
              <c:numCache>
                <c:formatCode>0</c:formatCode>
                <c:ptCount val="4"/>
                <c:pt idx="0">
                  <c:v>6.1754713840725177</c:v>
                </c:pt>
                <c:pt idx="1">
                  <c:v>4.4894604881410674</c:v>
                </c:pt>
                <c:pt idx="2">
                  <c:v>24.113225596600579</c:v>
                </c:pt>
                <c:pt idx="3">
                  <c:v>21.296642345747919</c:v>
                </c:pt>
              </c:numCache>
            </c:numRef>
          </c:val>
        </c:ser>
        <c:ser>
          <c:idx val="3"/>
          <c:order val="3"/>
          <c:tx>
            <c:strRef>
              <c:f>FINDEX!$D$184</c:f>
              <c:strCache>
                <c:ptCount val="1"/>
                <c:pt idx="0">
                  <c:v>No asnwer</c:v>
                </c:pt>
              </c:strCache>
            </c:strRef>
          </c:tx>
          <c:invertIfNegative val="0"/>
          <c:cat>
            <c:multiLvlStrRef>
              <c:f>FINDEX!$E$178:$H$180</c:f>
              <c:multiLvlStrCache>
                <c:ptCount val="4"/>
                <c:lvl>
                  <c:pt idx="0">
                    <c:v>men</c:v>
                  </c:pt>
                  <c:pt idx="1">
                    <c:v>women</c:v>
                  </c:pt>
                  <c:pt idx="2">
                    <c:v>men</c:v>
                  </c:pt>
                  <c:pt idx="3">
                    <c:v>women</c:v>
                  </c:pt>
                </c:lvl>
                <c:lvl>
                  <c:pt idx="0">
                    <c:v>Deposits</c:v>
                  </c:pt>
                  <c:pt idx="2">
                    <c:v>Withdrawls</c:v>
                  </c:pt>
                </c:lvl>
              </c:multiLvlStrCache>
            </c:multiLvlStrRef>
          </c:cat>
          <c:val>
            <c:numRef>
              <c:f>FINDEX!$E$184:$H$184</c:f>
              <c:numCache>
                <c:formatCode>0</c:formatCode>
                <c:ptCount val="4"/>
                <c:pt idx="0">
                  <c:v>7.9157017675319619</c:v>
                </c:pt>
                <c:pt idx="1">
                  <c:v>6.8455105649005601</c:v>
                </c:pt>
                <c:pt idx="2">
                  <c:v>9.1451591867599973</c:v>
                </c:pt>
                <c:pt idx="3">
                  <c:v>8.2020521539271272</c:v>
                </c:pt>
              </c:numCache>
            </c:numRef>
          </c:val>
        </c:ser>
        <c:dLbls>
          <c:showLegendKey val="0"/>
          <c:showVal val="0"/>
          <c:showCatName val="0"/>
          <c:showSerName val="0"/>
          <c:showPercent val="0"/>
          <c:showBubbleSize val="0"/>
        </c:dLbls>
        <c:gapWidth val="150"/>
        <c:overlap val="100"/>
        <c:axId val="262311936"/>
        <c:axId val="262313472"/>
      </c:barChart>
      <c:catAx>
        <c:axId val="2623119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2313472"/>
        <c:crosses val="autoZero"/>
        <c:auto val="1"/>
        <c:lblAlgn val="ctr"/>
        <c:lblOffset val="100"/>
        <c:tickLblSkip val="1"/>
        <c:tickMarkSkip val="1"/>
        <c:noMultiLvlLbl val="0"/>
      </c:catAx>
      <c:valAx>
        <c:axId val="262313472"/>
        <c:scaling>
          <c:orientation val="minMax"/>
          <c:max val="100"/>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a:t>
                </a:r>
              </a:p>
            </c:rich>
          </c:tx>
          <c:layout>
            <c:manualLayout>
              <c:xMode val="edge"/>
              <c:yMode val="edge"/>
              <c:x val="1.6501650165016517E-2"/>
              <c:y val="0.29333473315835551"/>
            </c:manualLayout>
          </c:layout>
          <c:overlay val="0"/>
          <c:spPr>
            <a:noFill/>
            <a:ln w="25400">
              <a:noFill/>
            </a:ln>
          </c:spPr>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2311936"/>
        <c:crosses val="autoZero"/>
        <c:crossBetween val="between"/>
      </c:valAx>
    </c:plotArea>
    <c:legend>
      <c:legendPos val="b"/>
      <c:layout>
        <c:manualLayout>
          <c:xMode val="edge"/>
          <c:yMode val="edge"/>
          <c:x val="0.30693069306930743"/>
          <c:y val="0.8666666666666667"/>
          <c:w val="0.54455445544554471"/>
          <c:h val="0.10666666666666674"/>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127575397782922"/>
          <c:y val="2.3622047244094488E-2"/>
          <c:w val="0.5489225041286796"/>
          <c:h val="0.83140085616950521"/>
        </c:manualLayout>
      </c:layout>
      <c:barChart>
        <c:barDir val="bar"/>
        <c:grouping val="clustered"/>
        <c:varyColors val="0"/>
        <c:ser>
          <c:idx val="0"/>
          <c:order val="0"/>
          <c:tx>
            <c:strRef>
              <c:f>FINDEX!$D$269</c:f>
              <c:strCache>
                <c:ptCount val="1"/>
                <c:pt idx="0">
                  <c:v>women </c:v>
                </c:pt>
              </c:strCache>
            </c:strRef>
          </c:tx>
          <c:spPr>
            <a:solidFill>
              <a:schemeClr val="accent6">
                <a:lumMod val="60000"/>
                <a:lumOff val="40000"/>
              </a:schemeClr>
            </a:solidFill>
          </c:spPr>
          <c:invertIfNegative val="0"/>
          <c:cat>
            <c:strRef>
              <c:f>FINDEX!$C$270:$C$276</c:f>
              <c:strCache>
                <c:ptCount val="7"/>
                <c:pt idx="0">
                  <c:v>*family and friends</c:v>
                </c:pt>
                <c:pt idx="1">
                  <c:v>store credit</c:v>
                </c:pt>
                <c:pt idx="2">
                  <c:v>financial institution</c:v>
                </c:pt>
                <c:pt idx="3">
                  <c:v>**private lender</c:v>
                </c:pt>
                <c:pt idx="4">
                  <c:v>employer</c:v>
                </c:pt>
                <c:pt idx="6">
                  <c:v>loan</c:v>
                </c:pt>
              </c:strCache>
            </c:strRef>
          </c:cat>
          <c:val>
            <c:numRef>
              <c:f>FINDEX!$D$270:$D$276</c:f>
              <c:numCache>
                <c:formatCode>General</c:formatCode>
                <c:ptCount val="7"/>
                <c:pt idx="0" formatCode="0.0">
                  <c:v>36.148130000000002</c:v>
                </c:pt>
                <c:pt idx="1">
                  <c:v>12.719298245614034</c:v>
                </c:pt>
                <c:pt idx="2" formatCode="0.0">
                  <c:v>15.67754</c:v>
                </c:pt>
                <c:pt idx="3" formatCode="0.0">
                  <c:v>0.98844200000000004</c:v>
                </c:pt>
                <c:pt idx="4" formatCode="0.0">
                  <c:v>2.173327</c:v>
                </c:pt>
                <c:pt idx="6">
                  <c:v>51.12567</c:v>
                </c:pt>
              </c:numCache>
            </c:numRef>
          </c:val>
        </c:ser>
        <c:ser>
          <c:idx val="1"/>
          <c:order val="1"/>
          <c:tx>
            <c:strRef>
              <c:f>FINDEX!$E$269</c:f>
              <c:strCache>
                <c:ptCount val="1"/>
                <c:pt idx="0">
                  <c:v>men</c:v>
                </c:pt>
              </c:strCache>
            </c:strRef>
          </c:tx>
          <c:spPr>
            <a:solidFill>
              <a:schemeClr val="accent1"/>
            </a:solidFill>
          </c:spPr>
          <c:invertIfNegative val="0"/>
          <c:cat>
            <c:strRef>
              <c:f>FINDEX!$C$270:$C$276</c:f>
              <c:strCache>
                <c:ptCount val="7"/>
                <c:pt idx="0">
                  <c:v>*family and friends</c:v>
                </c:pt>
                <c:pt idx="1">
                  <c:v>store credit</c:v>
                </c:pt>
                <c:pt idx="2">
                  <c:v>financial institution</c:v>
                </c:pt>
                <c:pt idx="3">
                  <c:v>**private lender</c:v>
                </c:pt>
                <c:pt idx="4">
                  <c:v>employer</c:v>
                </c:pt>
                <c:pt idx="6">
                  <c:v>loan</c:v>
                </c:pt>
              </c:strCache>
            </c:strRef>
          </c:cat>
          <c:val>
            <c:numRef>
              <c:f>FINDEX!$E$270:$E$276</c:f>
              <c:numCache>
                <c:formatCode>General</c:formatCode>
                <c:ptCount val="7"/>
                <c:pt idx="0" formatCode="0.0">
                  <c:v>41.757820000000002</c:v>
                </c:pt>
                <c:pt idx="1">
                  <c:v>14.311594202898551</c:v>
                </c:pt>
                <c:pt idx="2" formatCode="0.0">
                  <c:v>16.510909999999999</c:v>
                </c:pt>
                <c:pt idx="3" formatCode="0.0">
                  <c:v>2.8211909999999998</c:v>
                </c:pt>
                <c:pt idx="4" formatCode="0.0">
                  <c:v>1.9568209999999999</c:v>
                </c:pt>
                <c:pt idx="6">
                  <c:v>54.5274</c:v>
                </c:pt>
              </c:numCache>
            </c:numRef>
          </c:val>
        </c:ser>
        <c:dLbls>
          <c:showLegendKey val="0"/>
          <c:showVal val="0"/>
          <c:showCatName val="0"/>
          <c:showSerName val="0"/>
          <c:showPercent val="0"/>
          <c:showBubbleSize val="0"/>
        </c:dLbls>
        <c:gapWidth val="150"/>
        <c:axId val="262355200"/>
        <c:axId val="262356992"/>
      </c:barChart>
      <c:catAx>
        <c:axId val="262355200"/>
        <c:scaling>
          <c:orientation val="minMax"/>
        </c:scaling>
        <c:delete val="0"/>
        <c:axPos val="l"/>
        <c:numFmt formatCode="@"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2356992"/>
        <c:crosses val="autoZero"/>
        <c:auto val="1"/>
        <c:lblAlgn val="ctr"/>
        <c:lblOffset val="100"/>
        <c:tickLblSkip val="1"/>
        <c:tickMarkSkip val="1"/>
        <c:noMultiLvlLbl val="0"/>
      </c:catAx>
      <c:valAx>
        <c:axId val="262356992"/>
        <c:scaling>
          <c:orientation val="minMax"/>
        </c:scaling>
        <c:delete val="0"/>
        <c:axPos val="b"/>
        <c:majorGridlines/>
        <c:title>
          <c:tx>
            <c:rich>
              <a:bodyPr rot="-5400000" vert="horz"/>
              <a:lstStyle/>
              <a:p>
                <a:pPr algn="ctr">
                  <a:defRPr sz="1000" b="1" i="0" u="none" strike="noStrike" baseline="0">
                    <a:solidFill>
                      <a:srgbClr val="000000"/>
                    </a:solidFill>
                    <a:latin typeface="Calibri"/>
                    <a:ea typeface="Calibri"/>
                    <a:cs typeface="Calibri"/>
                  </a:defRPr>
                </a:pPr>
                <a:r>
                  <a:rPr lang="en-US"/>
                  <a:t>%</a:t>
                </a:r>
              </a:p>
            </c:rich>
          </c:tx>
          <c:layout>
            <c:manualLayout>
              <c:xMode val="edge"/>
              <c:yMode val="edge"/>
              <c:x val="0.62928530893097812"/>
              <c:y val="0.92089285714285762"/>
            </c:manualLayout>
          </c:layout>
          <c:overlay val="0"/>
          <c:spPr>
            <a:noFill/>
            <a:ln w="25400">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2355200"/>
        <c:crosses val="autoZero"/>
        <c:crossBetween val="between"/>
      </c:valAx>
    </c:plotArea>
    <c:legend>
      <c:legendPos val="r"/>
      <c:layout>
        <c:manualLayout>
          <c:xMode val="edge"/>
          <c:yMode val="edge"/>
          <c:x val="0.6317567567567568"/>
          <c:y val="0.20535714285714302"/>
          <c:w val="0.25337837837837868"/>
          <c:h val="0.3080357142857143"/>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406926406926517"/>
          <c:y val="9.8765918149120918E-2"/>
          <c:w val="0.66125541125541476"/>
          <c:h val="0.71142315543890344"/>
        </c:manualLayout>
      </c:layout>
      <c:barChart>
        <c:barDir val="col"/>
        <c:grouping val="clustered"/>
        <c:varyColors val="0"/>
        <c:ser>
          <c:idx val="0"/>
          <c:order val="0"/>
          <c:tx>
            <c:strRef>
              <c:f>LITS!$M$533</c:f>
              <c:strCache>
                <c:ptCount val="1"/>
                <c:pt idx="0">
                  <c:v>men</c:v>
                </c:pt>
              </c:strCache>
            </c:strRef>
          </c:tx>
          <c:spPr>
            <a:solidFill>
              <a:schemeClr val="accent1"/>
            </a:solidFill>
          </c:spPr>
          <c:invertIfNegative val="0"/>
          <c:cat>
            <c:numRef>
              <c:f>LITS!$L$534:$L$535</c:f>
              <c:numCache>
                <c:formatCode>General</c:formatCode>
                <c:ptCount val="2"/>
                <c:pt idx="0">
                  <c:v>2006</c:v>
                </c:pt>
                <c:pt idx="1">
                  <c:v>2010</c:v>
                </c:pt>
              </c:numCache>
            </c:numRef>
          </c:cat>
          <c:val>
            <c:numRef>
              <c:f>LITS!$M$534:$M$535</c:f>
              <c:numCache>
                <c:formatCode>General</c:formatCode>
                <c:ptCount val="2"/>
                <c:pt idx="0">
                  <c:v>72.815224452459859</c:v>
                </c:pt>
                <c:pt idx="1">
                  <c:v>53.39901204857447</c:v>
                </c:pt>
              </c:numCache>
            </c:numRef>
          </c:val>
        </c:ser>
        <c:ser>
          <c:idx val="1"/>
          <c:order val="1"/>
          <c:tx>
            <c:strRef>
              <c:f>LITS!$N$533</c:f>
              <c:strCache>
                <c:ptCount val="1"/>
                <c:pt idx="0">
                  <c:v>women</c:v>
                </c:pt>
              </c:strCache>
            </c:strRef>
          </c:tx>
          <c:spPr>
            <a:solidFill>
              <a:schemeClr val="accent6">
                <a:lumMod val="60000"/>
                <a:lumOff val="40000"/>
              </a:schemeClr>
            </a:solidFill>
          </c:spPr>
          <c:invertIfNegative val="0"/>
          <c:cat>
            <c:numRef>
              <c:f>LITS!$L$534:$L$535</c:f>
              <c:numCache>
                <c:formatCode>General</c:formatCode>
                <c:ptCount val="2"/>
                <c:pt idx="0">
                  <c:v>2006</c:v>
                </c:pt>
                <c:pt idx="1">
                  <c:v>2010</c:v>
                </c:pt>
              </c:numCache>
            </c:numRef>
          </c:cat>
          <c:val>
            <c:numRef>
              <c:f>LITS!$N$534:$N$535</c:f>
              <c:numCache>
                <c:formatCode>General</c:formatCode>
                <c:ptCount val="2"/>
                <c:pt idx="0">
                  <c:v>61.902594260608147</c:v>
                </c:pt>
                <c:pt idx="1">
                  <c:v>49.807645699644873</c:v>
                </c:pt>
              </c:numCache>
            </c:numRef>
          </c:val>
        </c:ser>
        <c:dLbls>
          <c:showLegendKey val="0"/>
          <c:showVal val="0"/>
          <c:showCatName val="0"/>
          <c:showSerName val="0"/>
          <c:showPercent val="0"/>
          <c:showBubbleSize val="0"/>
        </c:dLbls>
        <c:gapWidth val="150"/>
        <c:axId val="250120832"/>
        <c:axId val="250122624"/>
      </c:barChart>
      <c:catAx>
        <c:axId val="250120832"/>
        <c:scaling>
          <c:orientation val="minMax"/>
        </c:scaling>
        <c:delete val="0"/>
        <c:axPos val="b"/>
        <c:numFmt formatCode="General" sourceLinked="1"/>
        <c:majorTickMark val="out"/>
        <c:minorTickMark val="none"/>
        <c:tickLblPos val="nextTo"/>
        <c:txPr>
          <a:bodyPr rot="0" vert="horz"/>
          <a:lstStyle/>
          <a:p>
            <a:pPr>
              <a:defRPr/>
            </a:pPr>
            <a:endParaRPr lang="en-US"/>
          </a:p>
        </c:txPr>
        <c:crossAx val="250122624"/>
        <c:crosses val="autoZero"/>
        <c:auto val="1"/>
        <c:lblAlgn val="ctr"/>
        <c:lblOffset val="100"/>
        <c:tickLblSkip val="1"/>
        <c:tickMarkSkip val="1"/>
        <c:noMultiLvlLbl val="0"/>
      </c:catAx>
      <c:valAx>
        <c:axId val="250122624"/>
        <c:scaling>
          <c:orientation val="minMax"/>
          <c:max val="80"/>
          <c:min val="40"/>
        </c:scaling>
        <c:delete val="0"/>
        <c:axPos val="l"/>
        <c:majorGridlines/>
        <c:title>
          <c:tx>
            <c:rich>
              <a:bodyPr/>
              <a:lstStyle/>
              <a:p>
                <a:pPr>
                  <a:defRPr b="1"/>
                </a:pPr>
                <a:r>
                  <a:rPr lang="en-US" b="1"/>
                  <a:t>% of respondents satisfied with life</a:t>
                </a:r>
              </a:p>
            </c:rich>
          </c:tx>
          <c:layout>
            <c:manualLayout>
              <c:xMode val="edge"/>
              <c:yMode val="edge"/>
              <c:x val="1.9254184136073903E-2"/>
              <c:y val="0.10882716049382718"/>
            </c:manualLayout>
          </c:layout>
          <c:overlay val="0"/>
        </c:title>
        <c:numFmt formatCode="General" sourceLinked="1"/>
        <c:majorTickMark val="out"/>
        <c:minorTickMark val="none"/>
        <c:tickLblPos val="nextTo"/>
        <c:txPr>
          <a:bodyPr rot="0" vert="horz"/>
          <a:lstStyle/>
          <a:p>
            <a:pPr>
              <a:defRPr/>
            </a:pPr>
            <a:endParaRPr lang="en-US"/>
          </a:p>
        </c:txPr>
        <c:crossAx val="250120832"/>
        <c:crosses val="autoZero"/>
        <c:crossBetween val="between"/>
      </c:valAx>
    </c:plotArea>
    <c:legend>
      <c:legendPos val="r"/>
      <c:layout>
        <c:manualLayout>
          <c:xMode val="edge"/>
          <c:yMode val="edge"/>
          <c:x val="0.5844155844155845"/>
          <c:y val="8.3333333333333523E-2"/>
          <c:w val="0.2337662337662349"/>
          <c:h val="0.20987800136094095"/>
        </c:manualLayout>
      </c:layout>
      <c:overlay val="0"/>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258127734033285"/>
          <c:y val="5.7163072007303502E-3"/>
          <c:w val="0.50089693788276457"/>
          <c:h val="0.83746251283806916"/>
        </c:manualLayout>
      </c:layout>
      <c:barChart>
        <c:barDir val="bar"/>
        <c:grouping val="clustered"/>
        <c:varyColors val="0"/>
        <c:ser>
          <c:idx val="0"/>
          <c:order val="0"/>
          <c:tx>
            <c:strRef>
              <c:f>FINDEX!$D$233</c:f>
              <c:strCache>
                <c:ptCount val="1"/>
                <c:pt idx="0">
                  <c:v>women</c:v>
                </c:pt>
              </c:strCache>
            </c:strRef>
          </c:tx>
          <c:spPr>
            <a:solidFill>
              <a:schemeClr val="accent6">
                <a:lumMod val="60000"/>
                <a:lumOff val="40000"/>
              </a:schemeClr>
            </a:solidFill>
          </c:spPr>
          <c:invertIfNegative val="0"/>
          <c:cat>
            <c:strRef>
              <c:f>FINDEX!$C$234:$C$239</c:f>
              <c:strCache>
                <c:ptCount val="6"/>
                <c:pt idx="0">
                  <c:v>wages</c:v>
                </c:pt>
                <c:pt idx="1">
                  <c:v>***gov-t payments</c:v>
                </c:pt>
                <c:pt idx="2">
                  <c:v>**business purposes</c:v>
                </c:pt>
                <c:pt idx="3">
                  <c:v>remittances</c:v>
                </c:pt>
                <c:pt idx="5">
                  <c:v>account</c:v>
                </c:pt>
              </c:strCache>
            </c:strRef>
          </c:cat>
          <c:val>
            <c:numRef>
              <c:f>FINDEX!$D$234:$D$239</c:f>
              <c:numCache>
                <c:formatCode>0</c:formatCode>
                <c:ptCount val="6"/>
                <c:pt idx="0">
                  <c:v>47.104550000000003</c:v>
                </c:pt>
                <c:pt idx="1">
                  <c:v>14.04876</c:v>
                </c:pt>
                <c:pt idx="2">
                  <c:v>3.068988</c:v>
                </c:pt>
                <c:pt idx="3" formatCode="General">
                  <c:v>2.1636510000000002</c:v>
                </c:pt>
                <c:pt idx="5">
                  <c:v>58.601979999999998</c:v>
                </c:pt>
              </c:numCache>
            </c:numRef>
          </c:val>
        </c:ser>
        <c:ser>
          <c:idx val="1"/>
          <c:order val="1"/>
          <c:tx>
            <c:strRef>
              <c:f>FINDEX!$E$233</c:f>
              <c:strCache>
                <c:ptCount val="1"/>
                <c:pt idx="0">
                  <c:v>men</c:v>
                </c:pt>
              </c:strCache>
            </c:strRef>
          </c:tx>
          <c:spPr>
            <a:solidFill>
              <a:srgbClr val="4F81BD"/>
            </a:solidFill>
          </c:spPr>
          <c:invertIfNegative val="0"/>
          <c:cat>
            <c:strRef>
              <c:f>FINDEX!$C$234:$C$239</c:f>
              <c:strCache>
                <c:ptCount val="6"/>
                <c:pt idx="0">
                  <c:v>wages</c:v>
                </c:pt>
                <c:pt idx="1">
                  <c:v>***gov-t payments</c:v>
                </c:pt>
                <c:pt idx="2">
                  <c:v>**business purposes</c:v>
                </c:pt>
                <c:pt idx="3">
                  <c:v>remittances</c:v>
                </c:pt>
                <c:pt idx="5">
                  <c:v>account</c:v>
                </c:pt>
              </c:strCache>
            </c:strRef>
          </c:cat>
          <c:val>
            <c:numRef>
              <c:f>FINDEX!$E$234:$E$239</c:f>
              <c:numCache>
                <c:formatCode>0</c:formatCode>
                <c:ptCount val="6"/>
                <c:pt idx="0">
                  <c:v>51.457650000000001</c:v>
                </c:pt>
                <c:pt idx="1">
                  <c:v>8.1953479999999992</c:v>
                </c:pt>
                <c:pt idx="2">
                  <c:v>6.7135290000000003</c:v>
                </c:pt>
                <c:pt idx="3" formatCode="General">
                  <c:v>2.4603250000000001</c:v>
                </c:pt>
                <c:pt idx="5">
                  <c:v>58.072240000000001</c:v>
                </c:pt>
              </c:numCache>
            </c:numRef>
          </c:val>
        </c:ser>
        <c:dLbls>
          <c:showLegendKey val="0"/>
          <c:showVal val="0"/>
          <c:showCatName val="0"/>
          <c:showSerName val="0"/>
          <c:showPercent val="0"/>
          <c:showBubbleSize val="0"/>
        </c:dLbls>
        <c:gapWidth val="150"/>
        <c:axId val="262390528"/>
        <c:axId val="262392064"/>
      </c:barChart>
      <c:catAx>
        <c:axId val="262390528"/>
        <c:scaling>
          <c:orientation val="minMax"/>
        </c:scaling>
        <c:delete val="0"/>
        <c:axPos val="l"/>
        <c:numFmt formatCode="@"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2392064"/>
        <c:crosses val="autoZero"/>
        <c:auto val="1"/>
        <c:lblAlgn val="ctr"/>
        <c:lblOffset val="100"/>
        <c:tickLblSkip val="1"/>
        <c:tickMarkSkip val="1"/>
        <c:noMultiLvlLbl val="0"/>
      </c:catAx>
      <c:valAx>
        <c:axId val="262392064"/>
        <c:scaling>
          <c:orientation val="minMax"/>
          <c:max val="60"/>
        </c:scaling>
        <c:delete val="0"/>
        <c:axPos val="b"/>
        <c:majorGridlines/>
        <c:title>
          <c:tx>
            <c:rich>
              <a:bodyPr rot="-5400000" vert="horz"/>
              <a:lstStyle/>
              <a:p>
                <a:pPr algn="ctr">
                  <a:defRPr sz="1000" b="1" i="0" u="none" strike="noStrike" baseline="0">
                    <a:solidFill>
                      <a:srgbClr val="000000"/>
                    </a:solidFill>
                    <a:latin typeface="Calibri"/>
                    <a:ea typeface="Calibri"/>
                    <a:cs typeface="Calibri"/>
                  </a:defRPr>
                </a:pPr>
                <a:r>
                  <a:rPr lang="en-US"/>
                  <a:t>%</a:t>
                </a:r>
              </a:p>
            </c:rich>
          </c:tx>
          <c:layout>
            <c:manualLayout>
              <c:xMode val="edge"/>
              <c:yMode val="edge"/>
              <c:x val="0.6492318460192481"/>
              <c:y val="0.92159292035398233"/>
            </c:manualLayout>
          </c:layout>
          <c:overlay val="0"/>
          <c:spPr>
            <a:noFill/>
            <a:ln w="25400">
              <a:noFill/>
            </a:ln>
          </c:spPr>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2390528"/>
        <c:crosses val="autoZero"/>
        <c:crossBetween val="between"/>
        <c:majorUnit val="20"/>
      </c:valAx>
    </c:plotArea>
    <c:legend>
      <c:legendPos val="r"/>
      <c:layout>
        <c:manualLayout>
          <c:xMode val="edge"/>
          <c:yMode val="edge"/>
          <c:x val="0.65029877447699258"/>
          <c:y val="0.24771445648501858"/>
          <c:w val="0.2792225296162304"/>
          <c:h val="0.26817390400457369"/>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63681922170281"/>
          <c:y val="5.6202774545981514E-2"/>
          <c:w val="0.85110568001635767"/>
          <c:h val="0.67486772300684161"/>
        </c:manualLayout>
      </c:layout>
      <c:barChart>
        <c:barDir val="col"/>
        <c:grouping val="clustered"/>
        <c:varyColors val="0"/>
        <c:ser>
          <c:idx val="0"/>
          <c:order val="0"/>
          <c:tx>
            <c:strRef>
              <c:f>HBS!$O$368</c:f>
              <c:strCache>
                <c:ptCount val="1"/>
                <c:pt idx="0">
                  <c:v>Age</c:v>
                </c:pt>
              </c:strCache>
            </c:strRef>
          </c:tx>
          <c:invertIfNegative val="0"/>
          <c:cat>
            <c:multiLvlStrRef>
              <c:f>HBS!$R$366:$S$367</c:f>
              <c:multiLvlStrCache>
                <c:ptCount val="2"/>
                <c:lvl>
                  <c:pt idx="0">
                    <c:v>Men</c:v>
                  </c:pt>
                  <c:pt idx="1">
                    <c:v>Women</c:v>
                  </c:pt>
                </c:lvl>
                <c:lvl>
                  <c:pt idx="0">
                    <c:v>Heckman</c:v>
                  </c:pt>
                </c:lvl>
              </c:multiLvlStrCache>
            </c:multiLvlStrRef>
          </c:cat>
          <c:val>
            <c:numRef>
              <c:f>HBS!$R$368:$S$368</c:f>
              <c:numCache>
                <c:formatCode>General</c:formatCode>
                <c:ptCount val="2"/>
                <c:pt idx="0">
                  <c:v>8.4000000000000047E-2</c:v>
                </c:pt>
                <c:pt idx="1">
                  <c:v>0.11600000000000002</c:v>
                </c:pt>
              </c:numCache>
            </c:numRef>
          </c:val>
        </c:ser>
        <c:ser>
          <c:idx val="1"/>
          <c:order val="1"/>
          <c:tx>
            <c:strRef>
              <c:f>HBS!$O$369</c:f>
              <c:strCache>
                <c:ptCount val="1"/>
                <c:pt idx="0">
                  <c:v>Years of education</c:v>
                </c:pt>
              </c:strCache>
            </c:strRef>
          </c:tx>
          <c:spPr>
            <a:solidFill>
              <a:schemeClr val="accent6">
                <a:lumMod val="60000"/>
                <a:lumOff val="40000"/>
              </a:schemeClr>
            </a:solidFill>
          </c:spPr>
          <c:invertIfNegative val="0"/>
          <c:cat>
            <c:multiLvlStrRef>
              <c:f>HBS!$R$366:$S$367</c:f>
              <c:multiLvlStrCache>
                <c:ptCount val="2"/>
                <c:lvl>
                  <c:pt idx="0">
                    <c:v>Men</c:v>
                  </c:pt>
                  <c:pt idx="1">
                    <c:v>Women</c:v>
                  </c:pt>
                </c:lvl>
                <c:lvl>
                  <c:pt idx="0">
                    <c:v>Heckman</c:v>
                  </c:pt>
                </c:lvl>
              </c:multiLvlStrCache>
            </c:multiLvlStrRef>
          </c:cat>
          <c:val>
            <c:numRef>
              <c:f>HBS!$R$369:$S$369</c:f>
              <c:numCache>
                <c:formatCode>General</c:formatCode>
                <c:ptCount val="2"/>
                <c:pt idx="0">
                  <c:v>9.6700000000000022E-2</c:v>
                </c:pt>
                <c:pt idx="1">
                  <c:v>0.10299999999999998</c:v>
                </c:pt>
              </c:numCache>
            </c:numRef>
          </c:val>
        </c:ser>
        <c:dLbls>
          <c:showLegendKey val="0"/>
          <c:showVal val="0"/>
          <c:showCatName val="0"/>
          <c:showSerName val="0"/>
          <c:showPercent val="0"/>
          <c:showBubbleSize val="0"/>
        </c:dLbls>
        <c:gapWidth val="150"/>
        <c:axId val="250514816"/>
        <c:axId val="250524800"/>
      </c:barChart>
      <c:catAx>
        <c:axId val="250514816"/>
        <c:scaling>
          <c:orientation val="minMax"/>
        </c:scaling>
        <c:delete val="0"/>
        <c:axPos val="b"/>
        <c:numFmt formatCode="General" sourceLinked="1"/>
        <c:majorTickMark val="out"/>
        <c:minorTickMark val="none"/>
        <c:tickLblPos val="nextTo"/>
        <c:txPr>
          <a:bodyPr rot="0" vert="horz"/>
          <a:lstStyle/>
          <a:p>
            <a:pPr>
              <a:defRPr/>
            </a:pPr>
            <a:endParaRPr lang="en-US"/>
          </a:p>
        </c:txPr>
        <c:crossAx val="250524800"/>
        <c:crosses val="autoZero"/>
        <c:auto val="1"/>
        <c:lblAlgn val="ctr"/>
        <c:lblOffset val="100"/>
        <c:tickLblSkip val="1"/>
        <c:tickMarkSkip val="1"/>
        <c:noMultiLvlLbl val="0"/>
      </c:catAx>
      <c:valAx>
        <c:axId val="250524800"/>
        <c:scaling>
          <c:orientation val="minMax"/>
          <c:max val="0.12000000000000002"/>
        </c:scaling>
        <c:delete val="0"/>
        <c:axPos val="l"/>
        <c:majorGridlines/>
        <c:title>
          <c:tx>
            <c:rich>
              <a:bodyPr rot="-5400000" vert="horz"/>
              <a:lstStyle/>
              <a:p>
                <a:pPr>
                  <a:defRPr/>
                </a:pPr>
                <a:r>
                  <a:rPr lang="en-US"/>
                  <a:t>log of monthly wage</a:t>
                </a:r>
              </a:p>
            </c:rich>
          </c:tx>
          <c:overlay val="0"/>
        </c:title>
        <c:numFmt formatCode="#,##0.00" sourceLinked="0"/>
        <c:majorTickMark val="out"/>
        <c:minorTickMark val="none"/>
        <c:tickLblPos val="nextTo"/>
        <c:txPr>
          <a:bodyPr rot="0" vert="horz"/>
          <a:lstStyle/>
          <a:p>
            <a:pPr>
              <a:defRPr/>
            </a:pPr>
            <a:endParaRPr lang="en-US"/>
          </a:p>
        </c:txPr>
        <c:crossAx val="250514816"/>
        <c:crosses val="autoZero"/>
        <c:crossBetween val="between"/>
      </c:valAx>
    </c:plotArea>
    <c:legend>
      <c:legendPos val="r"/>
      <c:layout>
        <c:manualLayout>
          <c:xMode val="edge"/>
          <c:yMode val="edge"/>
          <c:x val="0.34177138351533221"/>
          <c:y val="0.89249343832021"/>
          <c:w val="0.39049415119406367"/>
          <c:h val="8.605880291022254E-2"/>
        </c:manualLayout>
      </c:layout>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34209706837634"/>
          <c:y val="6.1062421545133957E-2"/>
          <c:w val="0.74155858424673649"/>
          <c:h val="0.74683234215976169"/>
        </c:manualLayout>
      </c:layout>
      <c:barChart>
        <c:barDir val="col"/>
        <c:grouping val="clustered"/>
        <c:varyColors val="0"/>
        <c:ser>
          <c:idx val="0"/>
          <c:order val="0"/>
          <c:tx>
            <c:strRef>
              <c:f>HBS!$C$79</c:f>
              <c:strCache>
                <c:ptCount val="1"/>
                <c:pt idx="0">
                  <c:v>men</c:v>
                </c:pt>
              </c:strCache>
            </c:strRef>
          </c:tx>
          <c:invertIfNegative val="0"/>
          <c:cat>
            <c:strRef>
              <c:f>HBS!$D$78:$H$78</c:f>
              <c:strCache>
                <c:ptCount val="5"/>
                <c:pt idx="0">
                  <c:v>19-24</c:v>
                </c:pt>
                <c:pt idx="1">
                  <c:v>25-39</c:v>
                </c:pt>
                <c:pt idx="2">
                  <c:v>40-55</c:v>
                </c:pt>
                <c:pt idx="3">
                  <c:v>56-65</c:v>
                </c:pt>
                <c:pt idx="4">
                  <c:v>65+</c:v>
                </c:pt>
              </c:strCache>
            </c:strRef>
          </c:cat>
          <c:val>
            <c:numRef>
              <c:f>HBS!$D$79:$H$79</c:f>
              <c:numCache>
                <c:formatCode>0</c:formatCode>
                <c:ptCount val="5"/>
                <c:pt idx="0">
                  <c:v>45.645962114181756</c:v>
                </c:pt>
                <c:pt idx="1">
                  <c:v>48.216517758901453</c:v>
                </c:pt>
                <c:pt idx="2">
                  <c:v>46.321879448317425</c:v>
                </c:pt>
                <c:pt idx="3">
                  <c:v>39.414065361221446</c:v>
                </c:pt>
                <c:pt idx="4">
                  <c:v>31.752097691852832</c:v>
                </c:pt>
              </c:numCache>
            </c:numRef>
          </c:val>
        </c:ser>
        <c:ser>
          <c:idx val="1"/>
          <c:order val="1"/>
          <c:tx>
            <c:strRef>
              <c:f>HBS!$C$80</c:f>
              <c:strCache>
                <c:ptCount val="1"/>
                <c:pt idx="0">
                  <c:v>women</c:v>
                </c:pt>
              </c:strCache>
            </c:strRef>
          </c:tx>
          <c:spPr>
            <a:solidFill>
              <a:schemeClr val="accent6">
                <a:lumMod val="60000"/>
                <a:lumOff val="40000"/>
              </a:schemeClr>
            </a:solidFill>
            <a:ln>
              <a:solidFill>
                <a:srgbClr val="F79646">
                  <a:lumMod val="40000"/>
                  <a:lumOff val="60000"/>
                </a:srgbClr>
              </a:solidFill>
            </a:ln>
          </c:spPr>
          <c:invertIfNegative val="0"/>
          <c:cat>
            <c:strRef>
              <c:f>HBS!$D$78:$H$78</c:f>
              <c:strCache>
                <c:ptCount val="5"/>
                <c:pt idx="0">
                  <c:v>19-24</c:v>
                </c:pt>
                <c:pt idx="1">
                  <c:v>25-39</c:v>
                </c:pt>
                <c:pt idx="2">
                  <c:v>40-55</c:v>
                </c:pt>
                <c:pt idx="3">
                  <c:v>56-65</c:v>
                </c:pt>
                <c:pt idx="4">
                  <c:v>65+</c:v>
                </c:pt>
              </c:strCache>
            </c:strRef>
          </c:cat>
          <c:val>
            <c:numRef>
              <c:f>HBS!$D$80:$H$80</c:f>
              <c:numCache>
                <c:formatCode>0</c:formatCode>
                <c:ptCount val="5"/>
                <c:pt idx="0">
                  <c:v>54.354037885818244</c:v>
                </c:pt>
                <c:pt idx="1">
                  <c:v>51.783482241098547</c:v>
                </c:pt>
                <c:pt idx="2">
                  <c:v>53.678120551682575</c:v>
                </c:pt>
                <c:pt idx="3">
                  <c:v>60.585934638778554</c:v>
                </c:pt>
                <c:pt idx="4">
                  <c:v>68.247902308147161</c:v>
                </c:pt>
              </c:numCache>
            </c:numRef>
          </c:val>
        </c:ser>
        <c:dLbls>
          <c:showLegendKey val="0"/>
          <c:showVal val="0"/>
          <c:showCatName val="0"/>
          <c:showSerName val="0"/>
          <c:showPercent val="0"/>
          <c:showBubbleSize val="0"/>
        </c:dLbls>
        <c:gapWidth val="150"/>
        <c:axId val="262805376"/>
        <c:axId val="262806912"/>
      </c:barChart>
      <c:catAx>
        <c:axId val="262805376"/>
        <c:scaling>
          <c:orientation val="minMax"/>
        </c:scaling>
        <c:delete val="0"/>
        <c:axPos val="b"/>
        <c:majorTickMark val="out"/>
        <c:minorTickMark val="none"/>
        <c:tickLblPos val="nextTo"/>
        <c:crossAx val="262806912"/>
        <c:crosses val="autoZero"/>
        <c:auto val="1"/>
        <c:lblAlgn val="ctr"/>
        <c:lblOffset val="100"/>
        <c:noMultiLvlLbl val="0"/>
      </c:catAx>
      <c:valAx>
        <c:axId val="262806912"/>
        <c:scaling>
          <c:orientation val="minMax"/>
        </c:scaling>
        <c:delete val="0"/>
        <c:axPos val="l"/>
        <c:majorGridlines/>
        <c:title>
          <c:tx>
            <c:rich>
              <a:bodyPr rot="-5400000" vert="horz"/>
              <a:lstStyle/>
              <a:p>
                <a:pPr>
                  <a:defRPr/>
                </a:pPr>
                <a:r>
                  <a:rPr lang="en-US"/>
                  <a:t>%</a:t>
                </a:r>
              </a:p>
            </c:rich>
          </c:tx>
          <c:overlay val="0"/>
        </c:title>
        <c:numFmt formatCode="0" sourceLinked="1"/>
        <c:majorTickMark val="out"/>
        <c:minorTickMark val="none"/>
        <c:tickLblPos val="nextTo"/>
        <c:crossAx val="262805376"/>
        <c:crosses val="autoZero"/>
        <c:crossBetween val="between"/>
      </c:valAx>
    </c:plotArea>
    <c:legend>
      <c:legendPos val="r"/>
      <c:layout>
        <c:manualLayout>
          <c:xMode val="edge"/>
          <c:yMode val="edge"/>
          <c:x val="0.36769575678040239"/>
          <c:y val="3.2861367442191897E-2"/>
          <c:w val="0.28026322796606945"/>
          <c:h val="0.18621548287152095"/>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333678901422587"/>
          <c:y val="6.9405115140097617E-2"/>
          <c:w val="0.6681470145385433"/>
          <c:h val="0.57092482805862832"/>
        </c:manualLayout>
      </c:layout>
      <c:barChart>
        <c:barDir val="col"/>
        <c:grouping val="stacked"/>
        <c:varyColors val="0"/>
        <c:ser>
          <c:idx val="0"/>
          <c:order val="0"/>
          <c:tx>
            <c:strRef>
              <c:f>HBS!$F$684</c:f>
              <c:strCache>
                <c:ptCount val="1"/>
                <c:pt idx="0">
                  <c:v>men is head of household</c:v>
                </c:pt>
              </c:strCache>
            </c:strRef>
          </c:tx>
          <c:spPr>
            <a:solidFill>
              <a:schemeClr val="accent1"/>
            </a:solidFill>
          </c:spPr>
          <c:invertIfNegative val="0"/>
          <c:cat>
            <c:strRef>
              <c:f>HBS!$E$685:$E$689</c:f>
              <c:strCache>
                <c:ptCount val="5"/>
                <c:pt idx="0">
                  <c:v>19-24</c:v>
                </c:pt>
                <c:pt idx="1">
                  <c:v>25-39</c:v>
                </c:pt>
                <c:pt idx="2">
                  <c:v>40-55</c:v>
                </c:pt>
                <c:pt idx="3">
                  <c:v>56-65</c:v>
                </c:pt>
                <c:pt idx="4">
                  <c:v>65+</c:v>
                </c:pt>
              </c:strCache>
            </c:strRef>
          </c:cat>
          <c:val>
            <c:numRef>
              <c:f>HBS!$F$685:$F$689</c:f>
              <c:numCache>
                <c:formatCode>General</c:formatCode>
                <c:ptCount val="5"/>
                <c:pt idx="0">
                  <c:v>30</c:v>
                </c:pt>
                <c:pt idx="1">
                  <c:v>7</c:v>
                </c:pt>
                <c:pt idx="2">
                  <c:v>11</c:v>
                </c:pt>
                <c:pt idx="3">
                  <c:v>12</c:v>
                </c:pt>
                <c:pt idx="4">
                  <c:v>11</c:v>
                </c:pt>
              </c:numCache>
            </c:numRef>
          </c:val>
        </c:ser>
        <c:ser>
          <c:idx val="1"/>
          <c:order val="1"/>
          <c:tx>
            <c:strRef>
              <c:f>HBS!$G$684</c:f>
              <c:strCache>
                <c:ptCount val="1"/>
                <c:pt idx="0">
                  <c:v>women is head of household</c:v>
                </c:pt>
              </c:strCache>
            </c:strRef>
          </c:tx>
          <c:spPr>
            <a:solidFill>
              <a:schemeClr val="accent6">
                <a:lumMod val="60000"/>
                <a:lumOff val="40000"/>
              </a:schemeClr>
            </a:solidFill>
          </c:spPr>
          <c:invertIfNegative val="0"/>
          <c:cat>
            <c:strRef>
              <c:f>HBS!$E$685:$E$689</c:f>
              <c:strCache>
                <c:ptCount val="5"/>
                <c:pt idx="0">
                  <c:v>19-24</c:v>
                </c:pt>
                <c:pt idx="1">
                  <c:v>25-39</c:v>
                </c:pt>
                <c:pt idx="2">
                  <c:v>40-55</c:v>
                </c:pt>
                <c:pt idx="3">
                  <c:v>56-65</c:v>
                </c:pt>
                <c:pt idx="4">
                  <c:v>65+</c:v>
                </c:pt>
              </c:strCache>
            </c:strRef>
          </c:cat>
          <c:val>
            <c:numRef>
              <c:f>HBS!$G$685:$G$689</c:f>
              <c:numCache>
                <c:formatCode>General</c:formatCode>
                <c:ptCount val="5"/>
                <c:pt idx="0">
                  <c:v>70</c:v>
                </c:pt>
                <c:pt idx="1">
                  <c:v>93</c:v>
                </c:pt>
                <c:pt idx="2">
                  <c:v>89</c:v>
                </c:pt>
                <c:pt idx="3">
                  <c:v>88</c:v>
                </c:pt>
                <c:pt idx="4">
                  <c:v>89</c:v>
                </c:pt>
              </c:numCache>
            </c:numRef>
          </c:val>
        </c:ser>
        <c:dLbls>
          <c:showLegendKey val="0"/>
          <c:showVal val="0"/>
          <c:showCatName val="0"/>
          <c:showSerName val="0"/>
          <c:showPercent val="0"/>
          <c:showBubbleSize val="0"/>
        </c:dLbls>
        <c:gapWidth val="150"/>
        <c:overlap val="100"/>
        <c:axId val="262656384"/>
        <c:axId val="262657920"/>
      </c:barChart>
      <c:catAx>
        <c:axId val="262656384"/>
        <c:scaling>
          <c:orientation val="minMax"/>
        </c:scaling>
        <c:delete val="0"/>
        <c:axPos val="b"/>
        <c:majorTickMark val="out"/>
        <c:minorTickMark val="none"/>
        <c:tickLblPos val="nextTo"/>
        <c:crossAx val="262657920"/>
        <c:crosses val="autoZero"/>
        <c:auto val="1"/>
        <c:lblAlgn val="ctr"/>
        <c:lblOffset val="100"/>
        <c:noMultiLvlLbl val="0"/>
      </c:catAx>
      <c:valAx>
        <c:axId val="262657920"/>
        <c:scaling>
          <c:orientation val="minMax"/>
          <c:max val="100"/>
        </c:scaling>
        <c:delete val="0"/>
        <c:axPos val="l"/>
        <c:majorGridlines/>
        <c:title>
          <c:tx>
            <c:rich>
              <a:bodyPr rot="-5400000" vert="horz"/>
              <a:lstStyle/>
              <a:p>
                <a:pPr>
                  <a:defRPr/>
                </a:pPr>
                <a:r>
                  <a:rPr lang="en-US"/>
                  <a:t>% of single person and one parent households, %</a:t>
                </a:r>
              </a:p>
            </c:rich>
          </c:tx>
          <c:layout>
            <c:manualLayout>
              <c:xMode val="edge"/>
              <c:yMode val="edge"/>
              <c:x val="8.3594566353187051E-3"/>
              <c:y val="7.5139880870401965E-2"/>
            </c:manualLayout>
          </c:layout>
          <c:overlay val="0"/>
        </c:title>
        <c:numFmt formatCode="General" sourceLinked="1"/>
        <c:majorTickMark val="out"/>
        <c:minorTickMark val="none"/>
        <c:tickLblPos val="nextTo"/>
        <c:crossAx val="262656384"/>
        <c:crosses val="autoZero"/>
        <c:crossBetween val="between"/>
      </c:valAx>
    </c:plotArea>
    <c:legend>
      <c:legendPos val="b"/>
      <c:layout>
        <c:manualLayout>
          <c:xMode val="edge"/>
          <c:yMode val="edge"/>
          <c:x val="0.13171344177589087"/>
          <c:y val="0.81266913607786284"/>
          <c:w val="0.79508931289544915"/>
          <c:h val="0.1529222695403111"/>
        </c:manualLayout>
      </c:layout>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821061489451222"/>
          <c:y val="7.3576748143883708E-2"/>
          <c:w val="0.71610105988659822"/>
          <c:h val="0.58179870685404056"/>
        </c:manualLayout>
      </c:layout>
      <c:barChart>
        <c:barDir val="col"/>
        <c:grouping val="clustered"/>
        <c:varyColors val="0"/>
        <c:ser>
          <c:idx val="0"/>
          <c:order val="0"/>
          <c:tx>
            <c:strRef>
              <c:f>HBS!$L$43</c:f>
              <c:strCache>
                <c:ptCount val="1"/>
                <c:pt idx="0">
                  <c:v>Male head</c:v>
                </c:pt>
              </c:strCache>
            </c:strRef>
          </c:tx>
          <c:invertIfNegative val="0"/>
          <c:cat>
            <c:strRef>
              <c:f>HBS!$M$42:$O$42</c:f>
              <c:strCache>
                <c:ptCount val="3"/>
                <c:pt idx="0">
                  <c:v>***Single person household</c:v>
                </c:pt>
                <c:pt idx="1">
                  <c:v>***Single parent household</c:v>
                </c:pt>
                <c:pt idx="2">
                  <c:v>***Head of household is pensioner</c:v>
                </c:pt>
              </c:strCache>
            </c:strRef>
          </c:cat>
          <c:val>
            <c:numRef>
              <c:f>HBS!$M$43:$O$43</c:f>
              <c:numCache>
                <c:formatCode>#,##0</c:formatCode>
                <c:ptCount val="3"/>
                <c:pt idx="0">
                  <c:v>1013.4676986730664</c:v>
                </c:pt>
                <c:pt idx="1">
                  <c:v>685.94565004424248</c:v>
                </c:pt>
                <c:pt idx="2">
                  <c:v>688.00296894561291</c:v>
                </c:pt>
              </c:numCache>
            </c:numRef>
          </c:val>
        </c:ser>
        <c:ser>
          <c:idx val="1"/>
          <c:order val="1"/>
          <c:tx>
            <c:strRef>
              <c:f>HBS!$L$44</c:f>
              <c:strCache>
                <c:ptCount val="1"/>
                <c:pt idx="0">
                  <c:v>Female head</c:v>
                </c:pt>
              </c:strCache>
            </c:strRef>
          </c:tx>
          <c:spPr>
            <a:solidFill>
              <a:schemeClr val="accent6">
                <a:lumMod val="60000"/>
                <a:lumOff val="40000"/>
              </a:schemeClr>
            </a:solidFill>
          </c:spPr>
          <c:invertIfNegative val="0"/>
          <c:cat>
            <c:strRef>
              <c:f>HBS!$M$42:$O$42</c:f>
              <c:strCache>
                <c:ptCount val="3"/>
                <c:pt idx="0">
                  <c:v>***Single person household</c:v>
                </c:pt>
                <c:pt idx="1">
                  <c:v>***Single parent household</c:v>
                </c:pt>
                <c:pt idx="2">
                  <c:v>***Head of household is pensioner</c:v>
                </c:pt>
              </c:strCache>
            </c:strRef>
          </c:cat>
          <c:val>
            <c:numRef>
              <c:f>HBS!$M$44:$O$44</c:f>
              <c:numCache>
                <c:formatCode>#,##0</c:formatCode>
                <c:ptCount val="3"/>
                <c:pt idx="0">
                  <c:v>842.40514132164344</c:v>
                </c:pt>
                <c:pt idx="1">
                  <c:v>582.10480470283494</c:v>
                </c:pt>
                <c:pt idx="2">
                  <c:v>640.98125349879149</c:v>
                </c:pt>
              </c:numCache>
            </c:numRef>
          </c:val>
        </c:ser>
        <c:dLbls>
          <c:showLegendKey val="0"/>
          <c:showVal val="0"/>
          <c:showCatName val="0"/>
          <c:showSerName val="0"/>
          <c:showPercent val="0"/>
          <c:showBubbleSize val="0"/>
        </c:dLbls>
        <c:gapWidth val="150"/>
        <c:axId val="265206400"/>
        <c:axId val="265208192"/>
      </c:barChart>
      <c:catAx>
        <c:axId val="265206400"/>
        <c:scaling>
          <c:orientation val="minMax"/>
        </c:scaling>
        <c:delete val="0"/>
        <c:axPos val="b"/>
        <c:numFmt formatCode="General" sourceLinked="1"/>
        <c:majorTickMark val="out"/>
        <c:minorTickMark val="none"/>
        <c:tickLblPos val="nextTo"/>
        <c:txPr>
          <a:bodyPr rot="0" vert="horz"/>
          <a:lstStyle/>
          <a:p>
            <a:pPr>
              <a:defRPr/>
            </a:pPr>
            <a:endParaRPr lang="en-US"/>
          </a:p>
        </c:txPr>
        <c:crossAx val="265208192"/>
        <c:crosses val="autoZero"/>
        <c:auto val="1"/>
        <c:lblAlgn val="ctr"/>
        <c:lblOffset val="100"/>
        <c:tickLblSkip val="1"/>
        <c:tickMarkSkip val="1"/>
        <c:noMultiLvlLbl val="0"/>
      </c:catAx>
      <c:valAx>
        <c:axId val="265208192"/>
        <c:scaling>
          <c:orientation val="minMax"/>
          <c:max val="1100"/>
          <c:min val="500"/>
        </c:scaling>
        <c:delete val="0"/>
        <c:axPos val="l"/>
        <c:majorGridlines/>
        <c:title>
          <c:tx>
            <c:rich>
              <a:bodyPr/>
              <a:lstStyle/>
              <a:p>
                <a:pPr>
                  <a:defRPr/>
                </a:pPr>
                <a:r>
                  <a:rPr lang="en-US"/>
                  <a:t>thousand belarusian rubles</a:t>
                </a:r>
              </a:p>
            </c:rich>
          </c:tx>
          <c:layout>
            <c:manualLayout>
              <c:xMode val="edge"/>
              <c:yMode val="edge"/>
              <c:x val="6.2911983330327776E-5"/>
              <c:y val="8.0403953292613836E-2"/>
            </c:manualLayout>
          </c:layout>
          <c:overlay val="0"/>
          <c:spPr>
            <a:noFill/>
            <a:ln w="25400">
              <a:noFill/>
            </a:ln>
          </c:spPr>
        </c:title>
        <c:numFmt formatCode="#,##0" sourceLinked="1"/>
        <c:majorTickMark val="out"/>
        <c:minorTickMark val="none"/>
        <c:tickLblPos val="nextTo"/>
        <c:txPr>
          <a:bodyPr rot="0" vert="horz"/>
          <a:lstStyle/>
          <a:p>
            <a:pPr>
              <a:defRPr/>
            </a:pPr>
            <a:endParaRPr lang="en-US"/>
          </a:p>
        </c:txPr>
        <c:crossAx val="265206400"/>
        <c:crosses val="autoZero"/>
        <c:crossBetween val="between"/>
      </c:valAx>
    </c:plotArea>
    <c:legend>
      <c:legendPos val="r"/>
      <c:layout>
        <c:manualLayout>
          <c:xMode val="edge"/>
          <c:yMode val="edge"/>
          <c:x val="0.45573770491803273"/>
          <c:y val="5.9574468085106393E-2"/>
          <c:w val="0.3914319488689868"/>
          <c:h val="0.22127659574468067"/>
        </c:manualLayout>
      </c:layout>
      <c:overlay val="0"/>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997649803578556"/>
          <c:y val="6.2058810445304508E-2"/>
          <c:w val="0.72620631992359941"/>
          <c:h val="0.61157492299763905"/>
        </c:manualLayout>
      </c:layout>
      <c:barChart>
        <c:barDir val="col"/>
        <c:grouping val="clustered"/>
        <c:varyColors val="0"/>
        <c:ser>
          <c:idx val="0"/>
          <c:order val="0"/>
          <c:tx>
            <c:strRef>
              <c:f>HBS!$AH$47</c:f>
              <c:strCache>
                <c:ptCount val="1"/>
                <c:pt idx="0">
                  <c:v>men</c:v>
                </c:pt>
              </c:strCache>
            </c:strRef>
          </c:tx>
          <c:invertIfNegative val="0"/>
          <c:cat>
            <c:strRef>
              <c:f>HBS!$AG$48:$AG$52</c:f>
              <c:strCache>
                <c:ptCount val="5"/>
                <c:pt idx="0">
                  <c:v>***19-24</c:v>
                </c:pt>
                <c:pt idx="1">
                  <c:v>***25-39</c:v>
                </c:pt>
                <c:pt idx="2">
                  <c:v>***40-55</c:v>
                </c:pt>
                <c:pt idx="3">
                  <c:v>***56-65</c:v>
                </c:pt>
                <c:pt idx="4">
                  <c:v>***+65</c:v>
                </c:pt>
              </c:strCache>
            </c:strRef>
          </c:cat>
          <c:val>
            <c:numRef>
              <c:f>HBS!$AH$48:$AH$52</c:f>
              <c:numCache>
                <c:formatCode>#,##0</c:formatCode>
                <c:ptCount val="5"/>
                <c:pt idx="0">
                  <c:v>1618.5088128502086</c:v>
                </c:pt>
                <c:pt idx="1">
                  <c:v>1199.5974901132208</c:v>
                </c:pt>
                <c:pt idx="2">
                  <c:v>943.2921494158054</c:v>
                </c:pt>
                <c:pt idx="3">
                  <c:v>983.42020375725508</c:v>
                </c:pt>
                <c:pt idx="4" formatCode="General">
                  <c:v>818.66597352897804</c:v>
                </c:pt>
              </c:numCache>
            </c:numRef>
          </c:val>
        </c:ser>
        <c:ser>
          <c:idx val="1"/>
          <c:order val="1"/>
          <c:tx>
            <c:strRef>
              <c:f>HBS!$AI$47</c:f>
              <c:strCache>
                <c:ptCount val="1"/>
                <c:pt idx="0">
                  <c:v>women</c:v>
                </c:pt>
              </c:strCache>
            </c:strRef>
          </c:tx>
          <c:spPr>
            <a:solidFill>
              <a:schemeClr val="accent6">
                <a:lumMod val="60000"/>
                <a:lumOff val="40000"/>
              </a:schemeClr>
            </a:solidFill>
            <a:ln>
              <a:solidFill>
                <a:schemeClr val="accent6">
                  <a:lumMod val="60000"/>
                  <a:lumOff val="40000"/>
                </a:schemeClr>
              </a:solidFill>
            </a:ln>
          </c:spPr>
          <c:invertIfNegative val="0"/>
          <c:cat>
            <c:strRef>
              <c:f>HBS!$AG$48:$AG$52</c:f>
              <c:strCache>
                <c:ptCount val="5"/>
                <c:pt idx="0">
                  <c:v>***19-24</c:v>
                </c:pt>
                <c:pt idx="1">
                  <c:v>***25-39</c:v>
                </c:pt>
                <c:pt idx="2">
                  <c:v>***40-55</c:v>
                </c:pt>
                <c:pt idx="3">
                  <c:v>***56-65</c:v>
                </c:pt>
                <c:pt idx="4">
                  <c:v>***+65</c:v>
                </c:pt>
              </c:strCache>
            </c:strRef>
          </c:cat>
          <c:val>
            <c:numRef>
              <c:f>HBS!$AI$48:$AI$52</c:f>
              <c:numCache>
                <c:formatCode>#,##0</c:formatCode>
                <c:ptCount val="5"/>
                <c:pt idx="0">
                  <c:v>946.62687201007805</c:v>
                </c:pt>
                <c:pt idx="1">
                  <c:v>640.44355663251827</c:v>
                </c:pt>
                <c:pt idx="2">
                  <c:v>887.28888033538442</c:v>
                </c:pt>
                <c:pt idx="3">
                  <c:v>916.01534131449762</c:v>
                </c:pt>
                <c:pt idx="4" formatCode="General">
                  <c:v>668.33784623441795</c:v>
                </c:pt>
              </c:numCache>
            </c:numRef>
          </c:val>
        </c:ser>
        <c:dLbls>
          <c:showLegendKey val="0"/>
          <c:showVal val="0"/>
          <c:showCatName val="0"/>
          <c:showSerName val="0"/>
          <c:showPercent val="0"/>
          <c:showBubbleSize val="0"/>
        </c:dLbls>
        <c:gapWidth val="150"/>
        <c:axId val="265094272"/>
        <c:axId val="265096192"/>
      </c:barChart>
      <c:catAx>
        <c:axId val="265094272"/>
        <c:scaling>
          <c:orientation val="minMax"/>
        </c:scaling>
        <c:delete val="0"/>
        <c:axPos val="b"/>
        <c:title>
          <c:tx>
            <c:rich>
              <a:bodyPr/>
              <a:lstStyle/>
              <a:p>
                <a:pPr>
                  <a:defRPr/>
                </a:pPr>
                <a:r>
                  <a:rPr lang="en-US"/>
                  <a:t>age</a:t>
                </a:r>
                <a:r>
                  <a:rPr lang="en-US" baseline="0"/>
                  <a:t> group</a:t>
                </a:r>
                <a:r>
                  <a:rPr lang="en-US"/>
                  <a:t> </a:t>
                </a:r>
              </a:p>
            </c:rich>
          </c:tx>
          <c:overlay val="0"/>
        </c:title>
        <c:numFmt formatCode="General" sourceLinked="1"/>
        <c:majorTickMark val="out"/>
        <c:minorTickMark val="none"/>
        <c:tickLblPos val="nextTo"/>
        <c:txPr>
          <a:bodyPr rot="-5400000" vert="horz"/>
          <a:lstStyle/>
          <a:p>
            <a:pPr>
              <a:defRPr/>
            </a:pPr>
            <a:endParaRPr lang="en-US"/>
          </a:p>
        </c:txPr>
        <c:crossAx val="265096192"/>
        <c:crosses val="autoZero"/>
        <c:auto val="1"/>
        <c:lblAlgn val="ctr"/>
        <c:lblOffset val="100"/>
        <c:tickLblSkip val="1"/>
        <c:tickMarkSkip val="1"/>
        <c:noMultiLvlLbl val="0"/>
      </c:catAx>
      <c:valAx>
        <c:axId val="265096192"/>
        <c:scaling>
          <c:orientation val="minMax"/>
          <c:max val="1800"/>
          <c:min val="500"/>
        </c:scaling>
        <c:delete val="0"/>
        <c:axPos val="l"/>
        <c:majorGridlines/>
        <c:title>
          <c:tx>
            <c:rich>
              <a:bodyPr/>
              <a:lstStyle/>
              <a:p>
                <a:pPr>
                  <a:defRPr/>
                </a:pPr>
                <a:r>
                  <a:rPr lang="en-US"/>
                  <a:t>thousand belarusian rubles</a:t>
                </a:r>
              </a:p>
            </c:rich>
          </c:tx>
          <c:layout>
            <c:manualLayout>
              <c:xMode val="edge"/>
              <c:yMode val="edge"/>
              <c:x val="1.5264268437033641E-3"/>
              <c:y val="8.0356777436718679E-2"/>
            </c:manualLayout>
          </c:layout>
          <c:overlay val="0"/>
          <c:spPr>
            <a:noFill/>
            <a:ln w="25400">
              <a:noFill/>
            </a:ln>
          </c:spPr>
        </c:title>
        <c:numFmt formatCode="#,##0" sourceLinked="1"/>
        <c:majorTickMark val="out"/>
        <c:minorTickMark val="none"/>
        <c:tickLblPos val="nextTo"/>
        <c:txPr>
          <a:bodyPr rot="0" vert="horz"/>
          <a:lstStyle/>
          <a:p>
            <a:pPr>
              <a:defRPr/>
            </a:pPr>
            <a:endParaRPr lang="en-US"/>
          </a:p>
        </c:txPr>
        <c:crossAx val="265094272"/>
        <c:crosses val="autoZero"/>
        <c:crossBetween val="between"/>
      </c:valAx>
    </c:plotArea>
    <c:legend>
      <c:legendPos val="r"/>
      <c:layout>
        <c:manualLayout>
          <c:xMode val="edge"/>
          <c:yMode val="edge"/>
          <c:x val="0.44444586284040188"/>
          <c:y val="5.3672316384180775E-2"/>
          <c:w val="0.39107726497691442"/>
          <c:h val="0.15400759836527284"/>
        </c:manualLayout>
      </c:layout>
      <c:overlay val="0"/>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HBS!$O$85:$O$89</c:f>
              <c:strCache>
                <c:ptCount val="5"/>
                <c:pt idx="0">
                  <c:v>no children</c:v>
                </c:pt>
                <c:pt idx="1">
                  <c:v>one child</c:v>
                </c:pt>
                <c:pt idx="2">
                  <c:v>two children</c:v>
                </c:pt>
                <c:pt idx="3">
                  <c:v>three children</c:v>
                </c:pt>
                <c:pt idx="4">
                  <c:v>four children</c:v>
                </c:pt>
              </c:strCache>
            </c:strRef>
          </c:cat>
          <c:val>
            <c:numRef>
              <c:f>HBS!$P$85:$P$89</c:f>
              <c:numCache>
                <c:formatCode>General</c:formatCode>
                <c:ptCount val="5"/>
                <c:pt idx="0">
                  <c:v>672</c:v>
                </c:pt>
                <c:pt idx="1">
                  <c:v>605</c:v>
                </c:pt>
                <c:pt idx="2">
                  <c:v>372</c:v>
                </c:pt>
                <c:pt idx="3">
                  <c:v>353</c:v>
                </c:pt>
                <c:pt idx="4">
                  <c:v>307</c:v>
                </c:pt>
              </c:numCache>
            </c:numRef>
          </c:val>
        </c:ser>
        <c:dLbls>
          <c:showLegendKey val="0"/>
          <c:showVal val="0"/>
          <c:showCatName val="0"/>
          <c:showSerName val="0"/>
          <c:showPercent val="0"/>
          <c:showBubbleSize val="0"/>
        </c:dLbls>
        <c:gapWidth val="150"/>
        <c:axId val="265116672"/>
        <c:axId val="265131136"/>
      </c:barChart>
      <c:catAx>
        <c:axId val="265116672"/>
        <c:scaling>
          <c:orientation val="minMax"/>
        </c:scaling>
        <c:delete val="0"/>
        <c:axPos val="b"/>
        <c:title>
          <c:tx>
            <c:rich>
              <a:bodyPr/>
              <a:lstStyle/>
              <a:p>
                <a:pPr>
                  <a:defRPr/>
                </a:pPr>
                <a:r>
                  <a:rPr lang="en-US"/>
                  <a:t>number</a:t>
                </a:r>
                <a:r>
                  <a:rPr lang="en-US" baseline="0"/>
                  <a:t> of children 0-12 years</a:t>
                </a:r>
                <a:endParaRPr lang="en-US"/>
              </a:p>
            </c:rich>
          </c:tx>
          <c:overlay val="0"/>
        </c:title>
        <c:majorTickMark val="out"/>
        <c:minorTickMark val="none"/>
        <c:tickLblPos val="nextTo"/>
        <c:txPr>
          <a:bodyPr rot="-5400000" vert="horz"/>
          <a:lstStyle/>
          <a:p>
            <a:pPr>
              <a:defRPr/>
            </a:pPr>
            <a:endParaRPr lang="en-US"/>
          </a:p>
        </c:txPr>
        <c:crossAx val="265131136"/>
        <c:crosses val="autoZero"/>
        <c:auto val="1"/>
        <c:lblAlgn val="ctr"/>
        <c:lblOffset val="100"/>
        <c:noMultiLvlLbl val="0"/>
      </c:catAx>
      <c:valAx>
        <c:axId val="265131136"/>
        <c:scaling>
          <c:orientation val="minMax"/>
          <c:max val="700"/>
        </c:scaling>
        <c:delete val="0"/>
        <c:axPos val="l"/>
        <c:majorGridlines/>
        <c:title>
          <c:tx>
            <c:rich>
              <a:bodyPr rot="-5400000" vert="horz"/>
              <a:lstStyle/>
              <a:p>
                <a:pPr>
                  <a:defRPr/>
                </a:pPr>
                <a:r>
                  <a:rPr lang="en-US"/>
                  <a:t>thousand belarusian rubles</a:t>
                </a:r>
              </a:p>
            </c:rich>
          </c:tx>
          <c:layout>
            <c:manualLayout>
              <c:xMode val="edge"/>
              <c:yMode val="edge"/>
              <c:x val="1.8620749329410734E-3"/>
              <c:y val="0.13452068491438574"/>
            </c:manualLayout>
          </c:layout>
          <c:overlay val="0"/>
        </c:title>
        <c:numFmt formatCode="General" sourceLinked="1"/>
        <c:majorTickMark val="out"/>
        <c:minorTickMark val="none"/>
        <c:tickLblPos val="nextTo"/>
        <c:crossAx val="265116672"/>
        <c:crosses val="autoZero"/>
        <c:crossBetween val="between"/>
      </c:valAx>
    </c:plotArea>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64044943820244"/>
          <c:y val="4.0481059270576263E-2"/>
          <c:w val="0.80799871280458835"/>
          <c:h val="0.78354056489207458"/>
        </c:manualLayout>
      </c:layout>
      <c:stockChart>
        <c:ser>
          <c:idx val="0"/>
          <c:order val="0"/>
          <c:tx>
            <c:strRef>
              <c:f>VWS!$H$258</c:f>
              <c:strCache>
                <c:ptCount val="1"/>
                <c:pt idx="0">
                  <c:v>Lower</c:v>
                </c:pt>
              </c:strCache>
            </c:strRef>
          </c:tx>
          <c:spPr>
            <a:ln w="28575">
              <a:noFill/>
            </a:ln>
          </c:spPr>
          <c:marker>
            <c:symbol val="none"/>
          </c:marker>
          <c:cat>
            <c:strRef>
              <c:f>VWS!$E$259:$E$264</c:f>
              <c:strCache>
                <c:ptCount val="6"/>
                <c:pt idx="0">
                  <c:v>Work</c:v>
                </c:pt>
                <c:pt idx="1">
                  <c:v>Family</c:v>
                </c:pt>
                <c:pt idx="2">
                  <c:v>Friends</c:v>
                </c:pt>
                <c:pt idx="3">
                  <c:v>Leisure</c:v>
                </c:pt>
                <c:pt idx="4">
                  <c:v>Politics</c:v>
                </c:pt>
                <c:pt idx="5">
                  <c:v>Religion</c:v>
                </c:pt>
              </c:strCache>
            </c:strRef>
          </c:cat>
          <c:val>
            <c:numRef>
              <c:f>VWS!$H$259:$H$264</c:f>
              <c:numCache>
                <c:formatCode>General</c:formatCode>
                <c:ptCount val="6"/>
                <c:pt idx="0">
                  <c:v>-8.618279999999999E-2</c:v>
                </c:pt>
                <c:pt idx="1">
                  <c:v>-0.88703960000000004</c:v>
                </c:pt>
                <c:pt idx="2">
                  <c:v>-8.7754300000001062E-2</c:v>
                </c:pt>
                <c:pt idx="3">
                  <c:v>8.65726E-2</c:v>
                </c:pt>
                <c:pt idx="4">
                  <c:v>0.10874350000000077</c:v>
                </c:pt>
                <c:pt idx="5">
                  <c:v>-0.99300299999999497</c:v>
                </c:pt>
              </c:numCache>
            </c:numRef>
          </c:val>
          <c:smooth val="0"/>
        </c:ser>
        <c:ser>
          <c:idx val="1"/>
          <c:order val="1"/>
          <c:tx>
            <c:strRef>
              <c:f>VWS!$G$258</c:f>
              <c:strCache>
                <c:ptCount val="1"/>
                <c:pt idx="0">
                  <c:v>Upper</c:v>
                </c:pt>
              </c:strCache>
            </c:strRef>
          </c:tx>
          <c:spPr>
            <a:ln w="28575">
              <a:noFill/>
            </a:ln>
          </c:spPr>
          <c:marker>
            <c:symbol val="none"/>
          </c:marker>
          <c:cat>
            <c:strRef>
              <c:f>VWS!$E$259:$E$264</c:f>
              <c:strCache>
                <c:ptCount val="6"/>
                <c:pt idx="0">
                  <c:v>Work</c:v>
                </c:pt>
                <c:pt idx="1">
                  <c:v>Family</c:v>
                </c:pt>
                <c:pt idx="2">
                  <c:v>Friends</c:v>
                </c:pt>
                <c:pt idx="3">
                  <c:v>Leisure</c:v>
                </c:pt>
                <c:pt idx="4">
                  <c:v>Politics</c:v>
                </c:pt>
                <c:pt idx="5">
                  <c:v>Religion</c:v>
                </c:pt>
              </c:strCache>
            </c:strRef>
          </c:cat>
          <c:val>
            <c:numRef>
              <c:f>VWS!$G$259:$G$264</c:f>
              <c:numCache>
                <c:formatCode>General</c:formatCode>
                <c:ptCount val="6"/>
                <c:pt idx="0">
                  <c:v>0.32940330000000251</c:v>
                </c:pt>
                <c:pt idx="1">
                  <c:v>-0.33455160000000245</c:v>
                </c:pt>
                <c:pt idx="2">
                  <c:v>0.3233420000000029</c:v>
                </c:pt>
                <c:pt idx="3">
                  <c:v>0.49557590000000251</c:v>
                </c:pt>
                <c:pt idx="4">
                  <c:v>0.50768219999999498</c:v>
                </c:pt>
                <c:pt idx="5">
                  <c:v>-0.59408409999999956</c:v>
                </c:pt>
              </c:numCache>
            </c:numRef>
          </c:val>
          <c:smooth val="0"/>
        </c:ser>
        <c:ser>
          <c:idx val="2"/>
          <c:order val="2"/>
          <c:tx>
            <c:strRef>
              <c:f>VWS!$I$258</c:f>
              <c:strCache>
                <c:ptCount val="1"/>
                <c:pt idx="0">
                  <c:v>coef</c:v>
                </c:pt>
              </c:strCache>
            </c:strRef>
          </c:tx>
          <c:spPr>
            <a:ln w="28575">
              <a:noFill/>
            </a:ln>
          </c:spPr>
          <c:marker>
            <c:symbol val="square"/>
            <c:size val="9"/>
          </c:marker>
          <c:cat>
            <c:strRef>
              <c:f>VWS!$E$259:$E$264</c:f>
              <c:strCache>
                <c:ptCount val="6"/>
                <c:pt idx="0">
                  <c:v>Work</c:v>
                </c:pt>
                <c:pt idx="1">
                  <c:v>Family</c:v>
                </c:pt>
                <c:pt idx="2">
                  <c:v>Friends</c:v>
                </c:pt>
                <c:pt idx="3">
                  <c:v>Leisure</c:v>
                </c:pt>
                <c:pt idx="4">
                  <c:v>Politics</c:v>
                </c:pt>
                <c:pt idx="5">
                  <c:v>Religion</c:v>
                </c:pt>
              </c:strCache>
            </c:strRef>
          </c:cat>
          <c:val>
            <c:numRef>
              <c:f>VWS!$I$259:$I$264</c:f>
              <c:numCache>
                <c:formatCode>General</c:formatCode>
                <c:ptCount val="6"/>
                <c:pt idx="0">
                  <c:v>0.1216103</c:v>
                </c:pt>
                <c:pt idx="1">
                  <c:v>-0.61079560000000865</c:v>
                </c:pt>
                <c:pt idx="2">
                  <c:v>0.11779390000000077</c:v>
                </c:pt>
                <c:pt idx="3">
                  <c:v>0.29107430000000251</c:v>
                </c:pt>
                <c:pt idx="4">
                  <c:v>0.30821280000000251</c:v>
                </c:pt>
                <c:pt idx="5">
                  <c:v>-0.79354360000000002</c:v>
                </c:pt>
              </c:numCache>
            </c:numRef>
          </c:val>
          <c:smooth val="0"/>
        </c:ser>
        <c:dLbls>
          <c:showLegendKey val="0"/>
          <c:showVal val="0"/>
          <c:showCatName val="0"/>
          <c:showSerName val="0"/>
          <c:showPercent val="0"/>
          <c:showBubbleSize val="0"/>
        </c:dLbls>
        <c:hiLowLines/>
        <c:axId val="266877568"/>
        <c:axId val="266879360"/>
      </c:stockChart>
      <c:catAx>
        <c:axId val="266877568"/>
        <c:scaling>
          <c:orientation val="minMax"/>
        </c:scaling>
        <c:delete val="0"/>
        <c:axPos val="b"/>
        <c:numFmt formatCode="General" sourceLinked="1"/>
        <c:majorTickMark val="cross"/>
        <c:minorTickMark val="none"/>
        <c:tickLblPos val="nextTo"/>
        <c:txPr>
          <a:bodyPr rot="-2700000" vert="horz"/>
          <a:lstStyle/>
          <a:p>
            <a:pPr>
              <a:defRPr/>
            </a:pPr>
            <a:endParaRPr lang="en-US"/>
          </a:p>
        </c:txPr>
        <c:crossAx val="266879360"/>
        <c:crosses val="autoZero"/>
        <c:auto val="1"/>
        <c:lblAlgn val="ctr"/>
        <c:lblOffset val="100"/>
        <c:tickLblSkip val="1"/>
        <c:tickMarkSkip val="1"/>
        <c:noMultiLvlLbl val="0"/>
      </c:catAx>
      <c:valAx>
        <c:axId val="266879360"/>
        <c:scaling>
          <c:orientation val="minMax"/>
        </c:scaling>
        <c:delete val="0"/>
        <c:axPos val="l"/>
        <c:majorGridlines/>
        <c:numFmt formatCode="General" sourceLinked="1"/>
        <c:majorTickMark val="cross"/>
        <c:minorTickMark val="none"/>
        <c:tickLblPos val="nextTo"/>
        <c:txPr>
          <a:bodyPr rot="0" vert="horz"/>
          <a:lstStyle/>
          <a:p>
            <a:pPr>
              <a:defRPr/>
            </a:pPr>
            <a:endParaRPr lang="en-US"/>
          </a:p>
        </c:txPr>
        <c:crossAx val="26687756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21813362438651"/>
          <c:y val="7.9830123105248577E-2"/>
          <c:w val="0.70918001091447891"/>
          <c:h val="0.80336414595762284"/>
        </c:manualLayout>
      </c:layout>
      <c:barChart>
        <c:barDir val="col"/>
        <c:grouping val="clustered"/>
        <c:varyColors val="0"/>
        <c:ser>
          <c:idx val="0"/>
          <c:order val="0"/>
          <c:tx>
            <c:strRef>
              <c:f>VWS!$N$227</c:f>
              <c:strCache>
                <c:ptCount val="1"/>
                <c:pt idx="0">
                  <c:v>male</c:v>
                </c:pt>
              </c:strCache>
            </c:strRef>
          </c:tx>
          <c:invertIfNegative val="0"/>
          <c:cat>
            <c:strRef>
              <c:f>VWS!$M$228:$M$230</c:f>
              <c:strCache>
                <c:ptCount val="3"/>
                <c:pt idx="0">
                  <c:v>dissatisfied</c:v>
                </c:pt>
                <c:pt idx="1">
                  <c:v>neutral</c:v>
                </c:pt>
                <c:pt idx="2">
                  <c:v>satisfied</c:v>
                </c:pt>
              </c:strCache>
            </c:strRef>
          </c:cat>
          <c:val>
            <c:numRef>
              <c:f>VWS!$N$228:$N$230</c:f>
              <c:numCache>
                <c:formatCode>0.0</c:formatCode>
                <c:ptCount val="3"/>
                <c:pt idx="0">
                  <c:v>19.374068554396473</c:v>
                </c:pt>
                <c:pt idx="1">
                  <c:v>16.24441132637854</c:v>
                </c:pt>
                <c:pt idx="2">
                  <c:v>64.38152011922503</c:v>
                </c:pt>
              </c:numCache>
            </c:numRef>
          </c:val>
        </c:ser>
        <c:ser>
          <c:idx val="1"/>
          <c:order val="1"/>
          <c:tx>
            <c:strRef>
              <c:f>VWS!$O$227</c:f>
              <c:strCache>
                <c:ptCount val="1"/>
                <c:pt idx="0">
                  <c:v>female</c:v>
                </c:pt>
              </c:strCache>
            </c:strRef>
          </c:tx>
          <c:spPr>
            <a:solidFill>
              <a:schemeClr val="accent6">
                <a:lumMod val="60000"/>
                <a:lumOff val="40000"/>
              </a:schemeClr>
            </a:solidFill>
          </c:spPr>
          <c:invertIfNegative val="0"/>
          <c:cat>
            <c:strRef>
              <c:f>VWS!$M$228:$M$230</c:f>
              <c:strCache>
                <c:ptCount val="3"/>
                <c:pt idx="0">
                  <c:v>dissatisfied</c:v>
                </c:pt>
                <c:pt idx="1">
                  <c:v>neutral</c:v>
                </c:pt>
                <c:pt idx="2">
                  <c:v>satisfied</c:v>
                </c:pt>
              </c:strCache>
            </c:strRef>
          </c:cat>
          <c:val>
            <c:numRef>
              <c:f>VWS!$O$228:$O$230</c:f>
              <c:numCache>
                <c:formatCode>0.0</c:formatCode>
                <c:ptCount val="3"/>
                <c:pt idx="0">
                  <c:v>23.945409429280389</c:v>
                </c:pt>
                <c:pt idx="1">
                  <c:v>16.00496277915633</c:v>
                </c:pt>
                <c:pt idx="2">
                  <c:v>60.049627791563168</c:v>
                </c:pt>
              </c:numCache>
            </c:numRef>
          </c:val>
        </c:ser>
        <c:dLbls>
          <c:showLegendKey val="0"/>
          <c:showVal val="0"/>
          <c:showCatName val="0"/>
          <c:showSerName val="0"/>
          <c:showPercent val="0"/>
          <c:showBubbleSize val="0"/>
        </c:dLbls>
        <c:gapWidth val="150"/>
        <c:axId val="250156160"/>
        <c:axId val="250157696"/>
      </c:barChart>
      <c:catAx>
        <c:axId val="250156160"/>
        <c:scaling>
          <c:orientation val="minMax"/>
        </c:scaling>
        <c:delete val="0"/>
        <c:axPos val="b"/>
        <c:majorTickMark val="out"/>
        <c:minorTickMark val="none"/>
        <c:tickLblPos val="nextTo"/>
        <c:crossAx val="250157696"/>
        <c:crosses val="autoZero"/>
        <c:auto val="1"/>
        <c:lblAlgn val="ctr"/>
        <c:lblOffset val="100"/>
        <c:noMultiLvlLbl val="0"/>
      </c:catAx>
      <c:valAx>
        <c:axId val="250157696"/>
        <c:scaling>
          <c:orientation val="minMax"/>
        </c:scaling>
        <c:delete val="0"/>
        <c:axPos val="l"/>
        <c:majorGridlines/>
        <c:title>
          <c:tx>
            <c:rich>
              <a:bodyPr rot="-5400000" vert="horz"/>
              <a:lstStyle/>
              <a:p>
                <a:pPr>
                  <a:defRPr/>
                </a:pPr>
                <a:r>
                  <a:rPr lang="en-US"/>
                  <a:t>% of each</a:t>
                </a:r>
                <a:r>
                  <a:rPr lang="en-US" baseline="0"/>
                  <a:t> group in population</a:t>
                </a:r>
                <a:endParaRPr lang="en-US"/>
              </a:p>
            </c:rich>
          </c:tx>
          <c:layout>
            <c:manualLayout>
              <c:xMode val="edge"/>
              <c:yMode val="edge"/>
              <c:x val="1.6666666666666701E-2"/>
              <c:y val="0.15172391652353595"/>
            </c:manualLayout>
          </c:layout>
          <c:overlay val="0"/>
        </c:title>
        <c:numFmt formatCode="0" sourceLinked="0"/>
        <c:majorTickMark val="out"/>
        <c:minorTickMark val="none"/>
        <c:tickLblPos val="nextTo"/>
        <c:crossAx val="250156160"/>
        <c:crosses val="autoZero"/>
        <c:crossBetween val="between"/>
      </c:valAx>
    </c:plotArea>
    <c:legend>
      <c:legendPos val="r"/>
      <c:layout>
        <c:manualLayout>
          <c:xMode val="edge"/>
          <c:yMode val="edge"/>
          <c:x val="0.40816797900262575"/>
          <c:y val="0.11505995438301053"/>
          <c:w val="0.19106515579034075"/>
          <c:h val="0.21484642867500506"/>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7968794226680165"/>
          <c:y val="8.6705324672209077E-3"/>
          <c:w val="0.39375030040763886"/>
          <c:h val="0.82081040689691187"/>
        </c:manualLayout>
      </c:layout>
      <c:barChart>
        <c:barDir val="bar"/>
        <c:grouping val="clustered"/>
        <c:varyColors val="0"/>
        <c:ser>
          <c:idx val="0"/>
          <c:order val="0"/>
          <c:tx>
            <c:strRef>
              <c:f>VWS!$D$323</c:f>
              <c:strCache>
                <c:ptCount val="1"/>
                <c:pt idx="0">
                  <c:v>men</c:v>
                </c:pt>
              </c:strCache>
            </c:strRef>
          </c:tx>
          <c:invertIfNegative val="0"/>
          <c:cat>
            <c:multiLvlStrRef>
              <c:f>VWS!$B$324:$C$334</c:f>
              <c:multiLvlStrCache>
                <c:ptCount val="11"/>
                <c:lvl>
                  <c:pt idx="0">
                    <c:v>***Alright to live together without getting married</c:v>
                  </c:pt>
                  <c:pt idx="1">
                    <c:v>***Long-term relationship necessary to be happy </c:v>
                  </c:pt>
                  <c:pt idx="2">
                    <c:v>***Husband and wife contribute to household income </c:v>
                  </c:pt>
                  <c:pt idx="3">
                    <c:v>***Fathers  suited to look after children as mothers</c:v>
                  </c:pt>
                  <c:pt idx="4">
                    <c:v>*Men should take the same responsibility for home and children</c:v>
                  </c:pt>
                  <c:pt idx="5">
                    <c:v>**Being housewife as fulfilling as paid job </c:v>
                  </c:pt>
                  <c:pt idx="6">
                    <c:v>**Jobs important, but women want home and children </c:v>
                  </c:pt>
                  <c:pt idx="7">
                    <c:v>***Job best way for independence women </c:v>
                  </c:pt>
                  <c:pt idx="8">
                    <c:v>Working mother warm relationship with children</c:v>
                  </c:pt>
                  <c:pt idx="9">
                    <c:v>Pre-school child suffers with working mother </c:v>
                  </c:pt>
                  <c:pt idx="10">
                    <c:v>**Women really want home and children </c:v>
                  </c:pt>
                </c:lvl>
                <c:lvl>
                  <c:pt idx="0">
                    <c:v>Marriage</c:v>
                  </c:pt>
                  <c:pt idx="2">
                    <c:v>Sharing of duties</c:v>
                  </c:pt>
                  <c:pt idx="5">
                    <c:v>Labor market</c:v>
                  </c:pt>
                  <c:pt idx="8">
                    <c:v>Children</c:v>
                  </c:pt>
                </c:lvl>
              </c:multiLvlStrCache>
            </c:multiLvlStrRef>
          </c:cat>
          <c:val>
            <c:numRef>
              <c:f>VWS!$D$324:$D$334</c:f>
              <c:numCache>
                <c:formatCode>0.0</c:formatCode>
                <c:ptCount val="11"/>
                <c:pt idx="0">
                  <c:v>2.3036917869051887</c:v>
                </c:pt>
                <c:pt idx="1">
                  <c:v>2.2276675718436398</c:v>
                </c:pt>
                <c:pt idx="2">
                  <c:v>1.7076737790064647</c:v>
                </c:pt>
                <c:pt idx="3">
                  <c:v>1.7850543491504742</c:v>
                </c:pt>
                <c:pt idx="4">
                  <c:v>1.7766354533387332</c:v>
                </c:pt>
                <c:pt idx="5">
                  <c:v>2.3124123271571642</c:v>
                </c:pt>
                <c:pt idx="6">
                  <c:v>2.2431287010716621</c:v>
                </c:pt>
                <c:pt idx="7">
                  <c:v>1.943484773120117</c:v>
                </c:pt>
                <c:pt idx="8">
                  <c:v>1.730032733285408</c:v>
                </c:pt>
                <c:pt idx="9">
                  <c:v>2.3080546638659456</c:v>
                </c:pt>
                <c:pt idx="10">
                  <c:v>2.2431287010716621</c:v>
                </c:pt>
              </c:numCache>
            </c:numRef>
          </c:val>
        </c:ser>
        <c:ser>
          <c:idx val="1"/>
          <c:order val="1"/>
          <c:tx>
            <c:strRef>
              <c:f>VWS!$E$323</c:f>
              <c:strCache>
                <c:ptCount val="1"/>
                <c:pt idx="0">
                  <c:v>women</c:v>
                </c:pt>
              </c:strCache>
            </c:strRef>
          </c:tx>
          <c:spPr>
            <a:solidFill>
              <a:schemeClr val="accent6">
                <a:lumMod val="60000"/>
                <a:lumOff val="40000"/>
              </a:schemeClr>
            </a:solidFill>
          </c:spPr>
          <c:invertIfNegative val="0"/>
          <c:cat>
            <c:multiLvlStrRef>
              <c:f>VWS!$B$324:$C$334</c:f>
              <c:multiLvlStrCache>
                <c:ptCount val="11"/>
                <c:lvl>
                  <c:pt idx="0">
                    <c:v>***Alright to live together without getting married</c:v>
                  </c:pt>
                  <c:pt idx="1">
                    <c:v>***Long-term relationship necessary to be happy </c:v>
                  </c:pt>
                  <c:pt idx="2">
                    <c:v>***Husband and wife contribute to household income </c:v>
                  </c:pt>
                  <c:pt idx="3">
                    <c:v>***Fathers  suited to look after children as mothers</c:v>
                  </c:pt>
                  <c:pt idx="4">
                    <c:v>*Men should take the same responsibility for home and children</c:v>
                  </c:pt>
                  <c:pt idx="5">
                    <c:v>**Being housewife as fulfilling as paid job </c:v>
                  </c:pt>
                  <c:pt idx="6">
                    <c:v>**Jobs important, but women want home and children </c:v>
                  </c:pt>
                  <c:pt idx="7">
                    <c:v>***Job best way for independence women </c:v>
                  </c:pt>
                  <c:pt idx="8">
                    <c:v>Working mother warm relationship with children</c:v>
                  </c:pt>
                  <c:pt idx="9">
                    <c:v>Pre-school child suffers with working mother </c:v>
                  </c:pt>
                  <c:pt idx="10">
                    <c:v>**Women really want home and children </c:v>
                  </c:pt>
                </c:lvl>
                <c:lvl>
                  <c:pt idx="0">
                    <c:v>Marriage</c:v>
                  </c:pt>
                  <c:pt idx="2">
                    <c:v>Sharing of duties</c:v>
                  </c:pt>
                  <c:pt idx="5">
                    <c:v>Labor market</c:v>
                  </c:pt>
                  <c:pt idx="8">
                    <c:v>Children</c:v>
                  </c:pt>
                </c:lvl>
              </c:multiLvlStrCache>
            </c:multiLvlStrRef>
          </c:cat>
          <c:val>
            <c:numRef>
              <c:f>VWS!$E$324:$E$334</c:f>
              <c:numCache>
                <c:formatCode>0.0</c:formatCode>
                <c:ptCount val="11"/>
                <c:pt idx="0">
                  <c:v>2.6079860252503715</c:v>
                </c:pt>
                <c:pt idx="1">
                  <c:v>2.0440884001018644</c:v>
                </c:pt>
                <c:pt idx="2">
                  <c:v>1.5609264321765954</c:v>
                </c:pt>
                <c:pt idx="3">
                  <c:v>1.6418519981709963</c:v>
                </c:pt>
                <c:pt idx="4">
                  <c:v>1.5185222283054778</c:v>
                </c:pt>
                <c:pt idx="5">
                  <c:v>2.4124554157935929</c:v>
                </c:pt>
                <c:pt idx="6">
                  <c:v>2.3672536520777876</c:v>
                </c:pt>
                <c:pt idx="7">
                  <c:v>1.7167204564456122</c:v>
                </c:pt>
                <c:pt idx="8">
                  <c:v>1.6708591918943945</c:v>
                </c:pt>
                <c:pt idx="9">
                  <c:v>2.2555661843606893</c:v>
                </c:pt>
                <c:pt idx="10">
                  <c:v>2.3672536520777876</c:v>
                </c:pt>
              </c:numCache>
            </c:numRef>
          </c:val>
        </c:ser>
        <c:dLbls>
          <c:showLegendKey val="0"/>
          <c:showVal val="0"/>
          <c:showCatName val="0"/>
          <c:showSerName val="0"/>
          <c:showPercent val="0"/>
          <c:showBubbleSize val="0"/>
        </c:dLbls>
        <c:gapWidth val="150"/>
        <c:axId val="250196352"/>
        <c:axId val="250197888"/>
      </c:barChart>
      <c:catAx>
        <c:axId val="250196352"/>
        <c:scaling>
          <c:orientation val="minMax"/>
        </c:scaling>
        <c:delete val="0"/>
        <c:axPos val="l"/>
        <c:numFmt formatCode="General" sourceLinked="1"/>
        <c:majorTickMark val="out"/>
        <c:minorTickMark val="none"/>
        <c:tickLblPos val="nextTo"/>
        <c:txPr>
          <a:bodyPr rot="60000" vert="horz"/>
          <a:lstStyle/>
          <a:p>
            <a:pPr>
              <a:defRPr sz="900" b="0" i="0" u="none" strike="noStrike" baseline="0">
                <a:solidFill>
                  <a:srgbClr val="000000"/>
                </a:solidFill>
                <a:latin typeface="Calibri"/>
                <a:ea typeface="Calibri"/>
                <a:cs typeface="Calibri"/>
              </a:defRPr>
            </a:pPr>
            <a:endParaRPr lang="en-US"/>
          </a:p>
        </c:txPr>
        <c:crossAx val="250197888"/>
        <c:crosses val="autoZero"/>
        <c:auto val="1"/>
        <c:lblAlgn val="ctr"/>
        <c:lblOffset val="100"/>
        <c:tickLblSkip val="2"/>
        <c:tickMarkSkip val="1"/>
        <c:noMultiLvlLbl val="0"/>
      </c:catAx>
      <c:valAx>
        <c:axId val="250197888"/>
        <c:scaling>
          <c:orientation val="minMax"/>
          <c:max val="2.8"/>
          <c:min val="0"/>
        </c:scaling>
        <c:delete val="0"/>
        <c:axPos val="b"/>
        <c:majorGridlines/>
        <c:title>
          <c:tx>
            <c:rich>
              <a:bodyPr/>
              <a:lstStyle/>
              <a:p>
                <a:pPr>
                  <a:defRPr sz="900" b="1" i="0" u="none" strike="noStrike" baseline="0">
                    <a:solidFill>
                      <a:srgbClr val="000000"/>
                    </a:solidFill>
                    <a:latin typeface="Calibri"/>
                    <a:ea typeface="Calibri"/>
                    <a:cs typeface="Calibri"/>
                  </a:defRPr>
                </a:pPr>
                <a:r>
                  <a:rPr lang="en-US"/>
                  <a:t>mean</a:t>
                </a:r>
              </a:p>
            </c:rich>
          </c:tx>
          <c:layout>
            <c:manualLayout>
              <c:xMode val="edge"/>
              <c:yMode val="edge"/>
              <c:x val="0.42570587270341231"/>
              <c:y val="0.88232882739368623"/>
            </c:manualLayout>
          </c:layout>
          <c:overlay val="0"/>
          <c:spPr>
            <a:noFill/>
            <a:ln w="25400">
              <a:noFill/>
            </a:ln>
          </c:spPr>
        </c:title>
        <c:numFmt formatCode="0.0"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250196352"/>
        <c:crosses val="autoZero"/>
        <c:crossBetween val="between"/>
      </c:valAx>
    </c:plotArea>
    <c:legend>
      <c:legendPos val="r"/>
      <c:layout>
        <c:manualLayout>
          <c:xMode val="edge"/>
          <c:yMode val="edge"/>
          <c:x val="0.88125067234090604"/>
          <c:y val="0.16474011687719736"/>
          <c:w val="9.2187570333534488E-2"/>
          <c:h val="0.11560709956294531"/>
        </c:manualLayout>
      </c:layout>
      <c:overlay val="0"/>
      <c:txPr>
        <a:bodyPr/>
        <a:lstStyle/>
        <a:p>
          <a:pPr>
            <a:defRPr sz="825"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47125675385619E-2"/>
          <c:y val="7.8947593851636605E-2"/>
          <c:w val="0.81513944109841463"/>
          <c:h val="0.49415345781209397"/>
        </c:manualLayout>
      </c:layout>
      <c:barChart>
        <c:barDir val="col"/>
        <c:grouping val="clustered"/>
        <c:varyColors val="0"/>
        <c:ser>
          <c:idx val="0"/>
          <c:order val="0"/>
          <c:tx>
            <c:strRef>
              <c:f>'WDI and national sources'!$E$619</c:f>
              <c:strCache>
                <c:ptCount val="1"/>
                <c:pt idx="0">
                  <c:v>2000</c:v>
                </c:pt>
              </c:strCache>
            </c:strRef>
          </c:tx>
          <c:invertIfNegative val="0"/>
          <c:cat>
            <c:multiLvlStrRef>
              <c:f>'WDI and national sources'!$C$620:$D$631</c:f>
              <c:multiLvlStrCache>
                <c:ptCount val="12"/>
                <c:lvl>
                  <c:pt idx="0">
                    <c:v>Belarus</c:v>
                  </c:pt>
                  <c:pt idx="1">
                    <c:v>ECA</c:v>
                  </c:pt>
                  <c:pt idx="2">
                    <c:v>Belarus</c:v>
                  </c:pt>
                  <c:pt idx="3">
                    <c:v>ECA</c:v>
                  </c:pt>
                  <c:pt idx="4">
                    <c:v>Belarus</c:v>
                  </c:pt>
                  <c:pt idx="5">
                    <c:v>ECA</c:v>
                  </c:pt>
                  <c:pt idx="6">
                    <c:v>Belarus</c:v>
                  </c:pt>
                  <c:pt idx="7">
                    <c:v>ECA</c:v>
                  </c:pt>
                  <c:pt idx="8">
                    <c:v>Belarus</c:v>
                  </c:pt>
                  <c:pt idx="9">
                    <c:v>ECA</c:v>
                  </c:pt>
                  <c:pt idx="10">
                    <c:v>Belarus</c:v>
                  </c:pt>
                  <c:pt idx="11">
                    <c:v>ECA</c:v>
                  </c:pt>
                </c:lvl>
                <c:lvl>
                  <c:pt idx="0">
                    <c:v>primary, female (% gross)</c:v>
                  </c:pt>
                  <c:pt idx="2">
                    <c:v>primary, male (% gross)</c:v>
                  </c:pt>
                  <c:pt idx="4">
                    <c:v>secondary, female (% gross)</c:v>
                  </c:pt>
                  <c:pt idx="6">
                    <c:v>secondary, male (% gross)</c:v>
                  </c:pt>
                  <c:pt idx="8">
                    <c:v>tertiary, female (% gross)</c:v>
                  </c:pt>
                  <c:pt idx="10">
                    <c:v>tertiary, male (% gross)</c:v>
                  </c:pt>
                </c:lvl>
              </c:multiLvlStrCache>
            </c:multiLvlStrRef>
          </c:cat>
          <c:val>
            <c:numRef>
              <c:f>'WDI and national sources'!$E$620:$E$631</c:f>
              <c:numCache>
                <c:formatCode>0.0</c:formatCode>
                <c:ptCount val="12"/>
                <c:pt idx="0">
                  <c:v>109.86060999999999</c:v>
                </c:pt>
                <c:pt idx="1">
                  <c:v>100.00479</c:v>
                </c:pt>
                <c:pt idx="2">
                  <c:v>110.96023000000002</c:v>
                </c:pt>
                <c:pt idx="3">
                  <c:v>103.24180000000017</c:v>
                </c:pt>
                <c:pt idx="4">
                  <c:v>88.783590000000004</c:v>
                </c:pt>
                <c:pt idx="5">
                  <c:v>84.997020000000205</c:v>
                </c:pt>
                <c:pt idx="6">
                  <c:v>85.668949999999981</c:v>
                </c:pt>
                <c:pt idx="7">
                  <c:v>88.683429999999987</c:v>
                </c:pt>
                <c:pt idx="8">
                  <c:v>61.192570000000117</c:v>
                </c:pt>
                <c:pt idx="9">
                  <c:v>41.28734</c:v>
                </c:pt>
                <c:pt idx="10">
                  <c:v>46.456949999999999</c:v>
                </c:pt>
                <c:pt idx="11">
                  <c:v>36.286840000000005</c:v>
                </c:pt>
              </c:numCache>
            </c:numRef>
          </c:val>
        </c:ser>
        <c:ser>
          <c:idx val="1"/>
          <c:order val="1"/>
          <c:tx>
            <c:strRef>
              <c:f>'WDI and national sources'!$F$619</c:f>
              <c:strCache>
                <c:ptCount val="1"/>
                <c:pt idx="0">
                  <c:v>2011</c:v>
                </c:pt>
              </c:strCache>
            </c:strRef>
          </c:tx>
          <c:spPr>
            <a:solidFill>
              <a:schemeClr val="accent6">
                <a:lumMod val="60000"/>
                <a:lumOff val="40000"/>
              </a:schemeClr>
            </a:solidFill>
          </c:spPr>
          <c:invertIfNegative val="0"/>
          <c:cat>
            <c:multiLvlStrRef>
              <c:f>'WDI and national sources'!$C$620:$D$631</c:f>
              <c:multiLvlStrCache>
                <c:ptCount val="12"/>
                <c:lvl>
                  <c:pt idx="0">
                    <c:v>Belarus</c:v>
                  </c:pt>
                  <c:pt idx="1">
                    <c:v>ECA</c:v>
                  </c:pt>
                  <c:pt idx="2">
                    <c:v>Belarus</c:v>
                  </c:pt>
                  <c:pt idx="3">
                    <c:v>ECA</c:v>
                  </c:pt>
                  <c:pt idx="4">
                    <c:v>Belarus</c:v>
                  </c:pt>
                  <c:pt idx="5">
                    <c:v>ECA</c:v>
                  </c:pt>
                  <c:pt idx="6">
                    <c:v>Belarus</c:v>
                  </c:pt>
                  <c:pt idx="7">
                    <c:v>ECA</c:v>
                  </c:pt>
                  <c:pt idx="8">
                    <c:v>Belarus</c:v>
                  </c:pt>
                  <c:pt idx="9">
                    <c:v>ECA</c:v>
                  </c:pt>
                  <c:pt idx="10">
                    <c:v>Belarus</c:v>
                  </c:pt>
                  <c:pt idx="11">
                    <c:v>ECA</c:v>
                  </c:pt>
                </c:lvl>
                <c:lvl>
                  <c:pt idx="0">
                    <c:v>primary, female (% gross)</c:v>
                  </c:pt>
                  <c:pt idx="2">
                    <c:v>primary, male (% gross)</c:v>
                  </c:pt>
                  <c:pt idx="4">
                    <c:v>secondary, female (% gross)</c:v>
                  </c:pt>
                  <c:pt idx="6">
                    <c:v>secondary, male (% gross)</c:v>
                  </c:pt>
                  <c:pt idx="8">
                    <c:v>tertiary, female (% gross)</c:v>
                  </c:pt>
                  <c:pt idx="10">
                    <c:v>tertiary, male (% gross)</c:v>
                  </c:pt>
                </c:lvl>
              </c:multiLvlStrCache>
            </c:multiLvlStrRef>
          </c:cat>
          <c:val>
            <c:numRef>
              <c:f>'WDI and national sources'!$F$620:$F$631</c:f>
              <c:numCache>
                <c:formatCode>General</c:formatCode>
                <c:ptCount val="12"/>
                <c:pt idx="0">
                  <c:v>98.332039999999978</c:v>
                </c:pt>
                <c:pt idx="1">
                  <c:v>99.533660000000026</c:v>
                </c:pt>
                <c:pt idx="2">
                  <c:v>98.248260000000201</c:v>
                </c:pt>
                <c:pt idx="3">
                  <c:v>100.33296999999999</c:v>
                </c:pt>
                <c:pt idx="4">
                  <c:v>102.83936</c:v>
                </c:pt>
                <c:pt idx="5">
                  <c:v>87.731499999999997</c:v>
                </c:pt>
                <c:pt idx="6">
                  <c:v>106.28694</c:v>
                </c:pt>
                <c:pt idx="7">
                  <c:v>90.925899999999999</c:v>
                </c:pt>
                <c:pt idx="8">
                  <c:v>100.29118000000017</c:v>
                </c:pt>
                <c:pt idx="9">
                  <c:v>60.932760000000002</c:v>
                </c:pt>
                <c:pt idx="10">
                  <c:v>70.812899999999999</c:v>
                </c:pt>
                <c:pt idx="11">
                  <c:v>50.525160000000085</c:v>
                </c:pt>
              </c:numCache>
            </c:numRef>
          </c:val>
        </c:ser>
        <c:dLbls>
          <c:showLegendKey val="0"/>
          <c:showVal val="0"/>
          <c:showCatName val="0"/>
          <c:showSerName val="0"/>
          <c:showPercent val="0"/>
          <c:showBubbleSize val="0"/>
        </c:dLbls>
        <c:gapWidth val="150"/>
        <c:axId val="250254080"/>
        <c:axId val="250255616"/>
      </c:barChart>
      <c:catAx>
        <c:axId val="250254080"/>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250255616"/>
        <c:crosses val="autoZero"/>
        <c:auto val="1"/>
        <c:lblAlgn val="ctr"/>
        <c:lblOffset val="100"/>
        <c:tickLblSkip val="1"/>
        <c:tickMarkSkip val="1"/>
        <c:noMultiLvlLbl val="0"/>
      </c:catAx>
      <c:valAx>
        <c:axId val="250255616"/>
        <c:scaling>
          <c:orientation val="minMax"/>
          <c:max val="100"/>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0254080"/>
        <c:crosses val="autoZero"/>
        <c:crossBetween val="between"/>
      </c:valAx>
    </c:plotArea>
    <c:legend>
      <c:legendPos val="r"/>
      <c:layout>
        <c:manualLayout>
          <c:xMode val="edge"/>
          <c:yMode val="edge"/>
          <c:x val="0.9073764031816195"/>
          <c:y val="0.2558139534883721"/>
          <c:w val="8.0617563231637546E-2"/>
          <c:h val="0.13953488372093073"/>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30153819181246"/>
          <c:y val="6.7330424058439156E-2"/>
          <c:w val="0.85095617468248763"/>
          <c:h val="0.7355703127470512"/>
        </c:manualLayout>
      </c:layout>
      <c:barChart>
        <c:barDir val="col"/>
        <c:grouping val="clustered"/>
        <c:varyColors val="0"/>
        <c:ser>
          <c:idx val="0"/>
          <c:order val="0"/>
          <c:tx>
            <c:strRef>
              <c:f>HBS!$F$287</c:f>
              <c:strCache>
                <c:ptCount val="1"/>
                <c:pt idx="0">
                  <c:v>men</c:v>
                </c:pt>
              </c:strCache>
            </c:strRef>
          </c:tx>
          <c:invertIfNegative val="0"/>
          <c:cat>
            <c:strRef>
              <c:f>HBS!$E$288:$E$291</c:f>
              <c:strCache>
                <c:ptCount val="4"/>
                <c:pt idx="0">
                  <c:v>Bottom</c:v>
                </c:pt>
                <c:pt idx="1">
                  <c:v>II</c:v>
                </c:pt>
                <c:pt idx="2">
                  <c:v>III</c:v>
                </c:pt>
                <c:pt idx="3">
                  <c:v>Top</c:v>
                </c:pt>
              </c:strCache>
            </c:strRef>
          </c:cat>
          <c:val>
            <c:numRef>
              <c:f>HBS!$F$288:$F$291</c:f>
              <c:numCache>
                <c:formatCode>0.0</c:formatCode>
                <c:ptCount val="4"/>
                <c:pt idx="0">
                  <c:v>26.962104629305589</c:v>
                </c:pt>
                <c:pt idx="1">
                  <c:v>36.978393029416715</c:v>
                </c:pt>
                <c:pt idx="2">
                  <c:v>37.909240004951108</c:v>
                </c:pt>
                <c:pt idx="3">
                  <c:v>36.721221931349625</c:v>
                </c:pt>
              </c:numCache>
            </c:numRef>
          </c:val>
        </c:ser>
        <c:ser>
          <c:idx val="1"/>
          <c:order val="1"/>
          <c:tx>
            <c:strRef>
              <c:f>HBS!$G$287</c:f>
              <c:strCache>
                <c:ptCount val="1"/>
                <c:pt idx="0">
                  <c:v>women</c:v>
                </c:pt>
              </c:strCache>
            </c:strRef>
          </c:tx>
          <c:spPr>
            <a:solidFill>
              <a:schemeClr val="accent6">
                <a:lumMod val="60000"/>
                <a:lumOff val="40000"/>
              </a:schemeClr>
            </a:solidFill>
            <a:ln>
              <a:solidFill>
                <a:schemeClr val="accent6">
                  <a:lumMod val="40000"/>
                  <a:lumOff val="60000"/>
                </a:schemeClr>
              </a:solidFill>
            </a:ln>
          </c:spPr>
          <c:invertIfNegative val="0"/>
          <c:cat>
            <c:strRef>
              <c:f>HBS!$E$288:$E$291</c:f>
              <c:strCache>
                <c:ptCount val="4"/>
                <c:pt idx="0">
                  <c:v>Bottom</c:v>
                </c:pt>
                <c:pt idx="1">
                  <c:v>II</c:v>
                </c:pt>
                <c:pt idx="2">
                  <c:v>III</c:v>
                </c:pt>
                <c:pt idx="3">
                  <c:v>Top</c:v>
                </c:pt>
              </c:strCache>
            </c:strRef>
          </c:cat>
          <c:val>
            <c:numRef>
              <c:f>HBS!$G$288:$G$291</c:f>
              <c:numCache>
                <c:formatCode>0.0</c:formatCode>
                <c:ptCount val="4"/>
                <c:pt idx="0">
                  <c:v>31.911256257522442</c:v>
                </c:pt>
                <c:pt idx="1">
                  <c:v>37.958122943449183</c:v>
                </c:pt>
                <c:pt idx="2">
                  <c:v>40.388798634248424</c:v>
                </c:pt>
                <c:pt idx="3">
                  <c:v>47.314824133245757</c:v>
                </c:pt>
              </c:numCache>
            </c:numRef>
          </c:val>
        </c:ser>
        <c:dLbls>
          <c:showLegendKey val="0"/>
          <c:showVal val="0"/>
          <c:showCatName val="0"/>
          <c:showSerName val="0"/>
          <c:showPercent val="0"/>
          <c:showBubbleSize val="0"/>
        </c:dLbls>
        <c:gapWidth val="150"/>
        <c:axId val="250419456"/>
        <c:axId val="250425728"/>
      </c:barChart>
      <c:catAx>
        <c:axId val="250419456"/>
        <c:scaling>
          <c:orientation val="minMax"/>
        </c:scaling>
        <c:delete val="0"/>
        <c:axPos val="b"/>
        <c:title>
          <c:tx>
            <c:rich>
              <a:bodyPr/>
              <a:lstStyle/>
              <a:p>
                <a:pPr>
                  <a:defRPr/>
                </a:pPr>
                <a:r>
                  <a:rPr lang="en-US"/>
                  <a:t>conumption per capita quirtiles</a:t>
                </a:r>
              </a:p>
            </c:rich>
          </c:tx>
          <c:layout>
            <c:manualLayout>
              <c:xMode val="edge"/>
              <c:yMode val="edge"/>
              <c:x val="0.36297629462984049"/>
              <c:y val="0.89275630019931729"/>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250425728"/>
        <c:crosses val="autoZero"/>
        <c:auto val="1"/>
        <c:lblAlgn val="ctr"/>
        <c:lblOffset val="100"/>
        <c:tickLblSkip val="1"/>
        <c:tickMarkSkip val="1"/>
        <c:noMultiLvlLbl val="0"/>
      </c:catAx>
      <c:valAx>
        <c:axId val="250425728"/>
        <c:scaling>
          <c:orientation val="minMax"/>
          <c:min val="20"/>
        </c:scaling>
        <c:delete val="0"/>
        <c:axPos val="l"/>
        <c:majorGridlines/>
        <c:title>
          <c:tx>
            <c:rich>
              <a:bodyPr/>
              <a:lstStyle/>
              <a:p>
                <a:pPr>
                  <a:defRPr/>
                </a:pPr>
                <a:r>
                  <a:rPr lang="en-US"/>
                  <a:t>%</a:t>
                </a:r>
              </a:p>
            </c:rich>
          </c:tx>
          <c:layout>
            <c:manualLayout>
              <c:xMode val="edge"/>
              <c:yMode val="edge"/>
              <c:x val="8.8865975086448532E-3"/>
              <c:y val="0.40936014577125401"/>
            </c:manualLayout>
          </c:layout>
          <c:overlay val="0"/>
          <c:spPr>
            <a:noFill/>
            <a:ln w="25400">
              <a:noFill/>
            </a:ln>
          </c:spPr>
        </c:title>
        <c:numFmt formatCode="0" sourceLinked="0"/>
        <c:majorTickMark val="out"/>
        <c:minorTickMark val="none"/>
        <c:tickLblPos val="nextTo"/>
        <c:txPr>
          <a:bodyPr rot="0" vert="horz"/>
          <a:lstStyle/>
          <a:p>
            <a:pPr>
              <a:defRPr/>
            </a:pPr>
            <a:endParaRPr lang="en-US"/>
          </a:p>
        </c:txPr>
        <c:crossAx val="250419456"/>
        <c:crosses val="autoZero"/>
        <c:crossBetween val="between"/>
      </c:valAx>
    </c:plotArea>
    <c:legend>
      <c:legendPos val="r"/>
      <c:layout>
        <c:manualLayout>
          <c:xMode val="edge"/>
          <c:yMode val="edge"/>
          <c:x val="0.44642857142857295"/>
          <c:y val="6.7669172932330823E-2"/>
          <c:w val="0.15674603174603377"/>
          <c:h val="0.13032581453634084"/>
        </c:manualLayou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468462302413389"/>
          <c:y val="2.3304576967719676E-2"/>
          <c:w val="0.50185371896211228"/>
          <c:h val="0.84240967886982254"/>
        </c:manualLayout>
      </c:layout>
      <c:barChart>
        <c:barDir val="bar"/>
        <c:grouping val="stacked"/>
        <c:varyColors val="0"/>
        <c:ser>
          <c:idx val="0"/>
          <c:order val="0"/>
          <c:tx>
            <c:strRef>
              <c:f>'WDI and national sources'!$D$83</c:f>
              <c:strCache>
                <c:ptCount val="1"/>
                <c:pt idx="0">
                  <c:v>women</c:v>
                </c:pt>
              </c:strCache>
            </c:strRef>
          </c:tx>
          <c:spPr>
            <a:solidFill>
              <a:schemeClr val="accent6">
                <a:lumMod val="60000"/>
                <a:lumOff val="40000"/>
              </a:schemeClr>
            </a:solidFill>
          </c:spPr>
          <c:invertIfNegative val="0"/>
          <c:cat>
            <c:strRef>
              <c:f>'WDI and national sources'!$C$84:$C$97</c:f>
              <c:strCache>
                <c:ptCount val="14"/>
                <c:pt idx="0">
                  <c:v>Security services</c:v>
                </c:pt>
                <c:pt idx="1">
                  <c:v>Engineering and technology</c:v>
                </c:pt>
                <c:pt idx="2">
                  <c:v>Agriculture and forestry</c:v>
                </c:pt>
                <c:pt idx="3">
                  <c:v>Architecture and construction</c:v>
                </c:pt>
                <c:pt idx="4">
                  <c:v>Physical culture, tourism</c:v>
                </c:pt>
                <c:pt idx="5">
                  <c:v>Natural sciences</c:v>
                </c:pt>
                <c:pt idx="6">
                  <c:v>arts and design</c:v>
                </c:pt>
                <c:pt idx="7">
                  <c:v>Law, eocnomics, administration</c:v>
                </c:pt>
                <c:pt idx="8">
                  <c:v>Health</c:v>
                </c:pt>
                <c:pt idx="9">
                  <c:v>Pedagogics</c:v>
                </c:pt>
                <c:pt idx="10">
                  <c:v>Ecology</c:v>
                </c:pt>
                <c:pt idx="11">
                  <c:v>humanitarian sciences</c:v>
                </c:pt>
                <c:pt idx="12">
                  <c:v>Public catering, hotel and personal services</c:v>
                </c:pt>
                <c:pt idx="13">
                  <c:v>Social protection</c:v>
                </c:pt>
              </c:strCache>
            </c:strRef>
          </c:cat>
          <c:val>
            <c:numRef>
              <c:f>'WDI and national sources'!$D$84:$D$97</c:f>
              <c:numCache>
                <c:formatCode>General</c:formatCode>
                <c:ptCount val="14"/>
                <c:pt idx="0">
                  <c:v>12.6</c:v>
                </c:pt>
                <c:pt idx="1">
                  <c:v>28</c:v>
                </c:pt>
                <c:pt idx="2">
                  <c:v>32.800000000000004</c:v>
                </c:pt>
                <c:pt idx="3">
                  <c:v>33</c:v>
                </c:pt>
                <c:pt idx="4">
                  <c:v>48.4</c:v>
                </c:pt>
                <c:pt idx="5">
                  <c:v>52.5</c:v>
                </c:pt>
                <c:pt idx="6">
                  <c:v>71.400000000000006</c:v>
                </c:pt>
                <c:pt idx="7">
                  <c:v>72.599999999999994</c:v>
                </c:pt>
                <c:pt idx="8">
                  <c:v>73.400000000000006</c:v>
                </c:pt>
                <c:pt idx="9">
                  <c:v>76.7</c:v>
                </c:pt>
                <c:pt idx="10">
                  <c:v>79.900000000000006</c:v>
                </c:pt>
                <c:pt idx="11">
                  <c:v>81.2</c:v>
                </c:pt>
                <c:pt idx="12">
                  <c:v>82.6</c:v>
                </c:pt>
                <c:pt idx="13">
                  <c:v>90.9</c:v>
                </c:pt>
              </c:numCache>
            </c:numRef>
          </c:val>
        </c:ser>
        <c:ser>
          <c:idx val="1"/>
          <c:order val="1"/>
          <c:tx>
            <c:strRef>
              <c:f>'WDI and national sources'!$E$83</c:f>
              <c:strCache>
                <c:ptCount val="1"/>
                <c:pt idx="0">
                  <c:v>men</c:v>
                </c:pt>
              </c:strCache>
            </c:strRef>
          </c:tx>
          <c:spPr>
            <a:solidFill>
              <a:schemeClr val="accent1"/>
            </a:solidFill>
          </c:spPr>
          <c:invertIfNegative val="0"/>
          <c:cat>
            <c:strRef>
              <c:f>'WDI and national sources'!$C$84:$C$97</c:f>
              <c:strCache>
                <c:ptCount val="14"/>
                <c:pt idx="0">
                  <c:v>Security services</c:v>
                </c:pt>
                <c:pt idx="1">
                  <c:v>Engineering and technology</c:v>
                </c:pt>
                <c:pt idx="2">
                  <c:v>Agriculture and forestry</c:v>
                </c:pt>
                <c:pt idx="3">
                  <c:v>Architecture and construction</c:v>
                </c:pt>
                <c:pt idx="4">
                  <c:v>Physical culture, tourism</c:v>
                </c:pt>
                <c:pt idx="5">
                  <c:v>Natural sciences</c:v>
                </c:pt>
                <c:pt idx="6">
                  <c:v>arts and design</c:v>
                </c:pt>
                <c:pt idx="7">
                  <c:v>Law, eocnomics, administration</c:v>
                </c:pt>
                <c:pt idx="8">
                  <c:v>Health</c:v>
                </c:pt>
                <c:pt idx="9">
                  <c:v>Pedagogics</c:v>
                </c:pt>
                <c:pt idx="10">
                  <c:v>Ecology</c:v>
                </c:pt>
                <c:pt idx="11">
                  <c:v>humanitarian sciences</c:v>
                </c:pt>
                <c:pt idx="12">
                  <c:v>Public catering, hotel and personal services</c:v>
                </c:pt>
                <c:pt idx="13">
                  <c:v>Social protection</c:v>
                </c:pt>
              </c:strCache>
            </c:strRef>
          </c:cat>
          <c:val>
            <c:numRef>
              <c:f>'WDI and national sources'!$E$84:$E$97</c:f>
              <c:numCache>
                <c:formatCode>General</c:formatCode>
                <c:ptCount val="14"/>
                <c:pt idx="0">
                  <c:v>87.4</c:v>
                </c:pt>
                <c:pt idx="1">
                  <c:v>72</c:v>
                </c:pt>
                <c:pt idx="2">
                  <c:v>67.2</c:v>
                </c:pt>
                <c:pt idx="3">
                  <c:v>67</c:v>
                </c:pt>
                <c:pt idx="4">
                  <c:v>51.6</c:v>
                </c:pt>
                <c:pt idx="5">
                  <c:v>47.5</c:v>
                </c:pt>
                <c:pt idx="6">
                  <c:v>28.599999999999987</c:v>
                </c:pt>
                <c:pt idx="7">
                  <c:v>27.400000000000006</c:v>
                </c:pt>
                <c:pt idx="8">
                  <c:v>26.599999999999987</c:v>
                </c:pt>
                <c:pt idx="9">
                  <c:v>23.299999999999986</c:v>
                </c:pt>
                <c:pt idx="10">
                  <c:v>20.099999999999987</c:v>
                </c:pt>
                <c:pt idx="11">
                  <c:v>18.799999999999986</c:v>
                </c:pt>
                <c:pt idx="12">
                  <c:v>17.400000000000006</c:v>
                </c:pt>
                <c:pt idx="13">
                  <c:v>9.1000000000000014</c:v>
                </c:pt>
              </c:numCache>
            </c:numRef>
          </c:val>
        </c:ser>
        <c:dLbls>
          <c:showLegendKey val="0"/>
          <c:showVal val="0"/>
          <c:showCatName val="0"/>
          <c:showSerName val="0"/>
          <c:showPercent val="0"/>
          <c:showBubbleSize val="0"/>
        </c:dLbls>
        <c:gapWidth val="150"/>
        <c:overlap val="100"/>
        <c:axId val="250451072"/>
        <c:axId val="250452608"/>
      </c:barChart>
      <c:catAx>
        <c:axId val="250451072"/>
        <c:scaling>
          <c:orientation val="minMax"/>
        </c:scaling>
        <c:delete val="0"/>
        <c:axPos val="l"/>
        <c:numFmt formatCode="General" sourceLinked="1"/>
        <c:majorTickMark val="out"/>
        <c:minorTickMark val="none"/>
        <c:tickLblPos val="nextTo"/>
        <c:txPr>
          <a:bodyPr rot="-60000" vert="horz"/>
          <a:lstStyle/>
          <a:p>
            <a:pPr>
              <a:defRPr/>
            </a:pPr>
            <a:endParaRPr lang="en-US"/>
          </a:p>
        </c:txPr>
        <c:crossAx val="250452608"/>
        <c:crosses val="autoZero"/>
        <c:auto val="1"/>
        <c:lblAlgn val="ctr"/>
        <c:lblOffset val="100"/>
        <c:tickLblSkip val="1"/>
        <c:tickMarkSkip val="1"/>
        <c:noMultiLvlLbl val="0"/>
      </c:catAx>
      <c:valAx>
        <c:axId val="250452608"/>
        <c:scaling>
          <c:orientation val="minMax"/>
          <c:max val="100"/>
        </c:scaling>
        <c:delete val="0"/>
        <c:axPos val="b"/>
        <c:majorGridlines/>
        <c:numFmt formatCode="General" sourceLinked="1"/>
        <c:majorTickMark val="out"/>
        <c:minorTickMark val="none"/>
        <c:tickLblPos val="nextTo"/>
        <c:txPr>
          <a:bodyPr rot="0" vert="horz"/>
          <a:lstStyle/>
          <a:p>
            <a:pPr>
              <a:defRPr/>
            </a:pPr>
            <a:endParaRPr lang="en-US"/>
          </a:p>
        </c:txPr>
        <c:crossAx val="250451072"/>
        <c:crosses val="autoZero"/>
        <c:crossBetween val="between"/>
        <c:majorUnit val="25"/>
      </c:valAx>
    </c:plotArea>
    <c:legend>
      <c:legendPos val="r"/>
      <c:layout>
        <c:manualLayout>
          <c:xMode val="edge"/>
          <c:yMode val="edge"/>
          <c:x val="1.6259563299268441E-2"/>
          <c:y val="0.21710114920893853"/>
          <c:w val="0.11640849833156978"/>
          <c:h val="0.17147033911597706"/>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66"/>
      <c:rotY val="20"/>
      <c:depthPercent val="100"/>
      <c:rAngAx val="1"/>
    </c:view3D>
    <c:floor>
      <c:thickness val="0"/>
    </c:floor>
    <c:sideWall>
      <c:thickness val="0"/>
    </c:sideWall>
    <c:backWall>
      <c:thickness val="0"/>
    </c:backWall>
    <c:plotArea>
      <c:layout>
        <c:manualLayout>
          <c:layoutTarget val="inner"/>
          <c:xMode val="edge"/>
          <c:yMode val="edge"/>
          <c:x val="0.13387096774193538"/>
          <c:y val="3.6920583227379865E-2"/>
          <c:w val="0.7860216030688536"/>
          <c:h val="0.75668413969500881"/>
        </c:manualLayout>
      </c:layout>
      <c:bar3DChart>
        <c:barDir val="bar"/>
        <c:grouping val="stacked"/>
        <c:varyColors val="0"/>
        <c:ser>
          <c:idx val="0"/>
          <c:order val="0"/>
          <c:tx>
            <c:strRef>
              <c:f>'WDI and national sources'!$D$319</c:f>
              <c:strCache>
                <c:ptCount val="1"/>
                <c:pt idx="0">
                  <c:v>men</c:v>
                </c:pt>
              </c:strCache>
            </c:strRef>
          </c:tx>
          <c:invertIfNegative val="0"/>
          <c:cat>
            <c:strRef>
              <c:f>'WDI and national sources'!$C$320:$C$334</c:f>
              <c:strCache>
                <c:ptCount val="15"/>
                <c:pt idx="0">
                  <c:v>0-4</c:v>
                </c:pt>
                <c:pt idx="1">
                  <c:v>4-9</c:v>
                </c:pt>
                <c:pt idx="2">
                  <c:v>9-14</c:v>
                </c:pt>
                <c:pt idx="3">
                  <c:v>14-19</c:v>
                </c:pt>
                <c:pt idx="4">
                  <c:v>19-24</c:v>
                </c:pt>
                <c:pt idx="5">
                  <c:v>24-29</c:v>
                </c:pt>
                <c:pt idx="6">
                  <c:v>29-34</c:v>
                </c:pt>
                <c:pt idx="7">
                  <c:v>34-39</c:v>
                </c:pt>
                <c:pt idx="8">
                  <c:v>39-44</c:v>
                </c:pt>
                <c:pt idx="9">
                  <c:v>44-49</c:v>
                </c:pt>
                <c:pt idx="10">
                  <c:v>49-54</c:v>
                </c:pt>
                <c:pt idx="11">
                  <c:v>55-59</c:v>
                </c:pt>
                <c:pt idx="12">
                  <c:v>59-64</c:v>
                </c:pt>
                <c:pt idx="13">
                  <c:v>64-69</c:v>
                </c:pt>
                <c:pt idx="14">
                  <c:v>70+</c:v>
                </c:pt>
              </c:strCache>
            </c:strRef>
          </c:cat>
          <c:val>
            <c:numRef>
              <c:f>'WDI and national sources'!$D$320:$D$334</c:f>
              <c:numCache>
                <c:formatCode>0.0</c:formatCode>
                <c:ptCount val="15"/>
                <c:pt idx="0">
                  <c:v>6.0559294707836084</c:v>
                </c:pt>
                <c:pt idx="1">
                  <c:v>5.1293295001382662</c:v>
                </c:pt>
                <c:pt idx="2">
                  <c:v>5.2928898435832279</c:v>
                </c:pt>
                <c:pt idx="3">
                  <c:v>6.8533145015866745</c:v>
                </c:pt>
                <c:pt idx="4">
                  <c:v>8.887791933094972</c:v>
                </c:pt>
                <c:pt idx="5">
                  <c:v>8.7574654181031146</c:v>
                </c:pt>
                <c:pt idx="6">
                  <c:v>7.7890792959147594</c:v>
                </c:pt>
                <c:pt idx="7">
                  <c:v>7.3568580443672742</c:v>
                </c:pt>
                <c:pt idx="8">
                  <c:v>7.111313362335614</c:v>
                </c:pt>
                <c:pt idx="9">
                  <c:v>7.9820623530140811</c:v>
                </c:pt>
                <c:pt idx="10">
                  <c:v>8.1402916727822188</c:v>
                </c:pt>
                <c:pt idx="11">
                  <c:v>6.3606825434381955</c:v>
                </c:pt>
                <c:pt idx="12">
                  <c:v>4.8725556405746708</c:v>
                </c:pt>
                <c:pt idx="13">
                  <c:v>2.6430307981177981</c:v>
                </c:pt>
                <c:pt idx="14">
                  <c:v>6.7674056221656249</c:v>
                </c:pt>
              </c:numCache>
            </c:numRef>
          </c:val>
        </c:ser>
        <c:ser>
          <c:idx val="1"/>
          <c:order val="1"/>
          <c:tx>
            <c:strRef>
              <c:f>'WDI and national sources'!$E$319</c:f>
              <c:strCache>
                <c:ptCount val="1"/>
                <c:pt idx="0">
                  <c:v>women</c:v>
                </c:pt>
              </c:strCache>
            </c:strRef>
          </c:tx>
          <c:spPr>
            <a:solidFill>
              <a:schemeClr val="accent6">
                <a:lumMod val="60000"/>
                <a:lumOff val="40000"/>
              </a:schemeClr>
            </a:solidFill>
          </c:spPr>
          <c:invertIfNegative val="0"/>
          <c:cat>
            <c:strRef>
              <c:f>'WDI and national sources'!$C$320:$C$334</c:f>
              <c:strCache>
                <c:ptCount val="15"/>
                <c:pt idx="0">
                  <c:v>0-4</c:v>
                </c:pt>
                <c:pt idx="1">
                  <c:v>4-9</c:v>
                </c:pt>
                <c:pt idx="2">
                  <c:v>9-14</c:v>
                </c:pt>
                <c:pt idx="3">
                  <c:v>14-19</c:v>
                </c:pt>
                <c:pt idx="4">
                  <c:v>19-24</c:v>
                </c:pt>
                <c:pt idx="5">
                  <c:v>24-29</c:v>
                </c:pt>
                <c:pt idx="6">
                  <c:v>29-34</c:v>
                </c:pt>
                <c:pt idx="7">
                  <c:v>34-39</c:v>
                </c:pt>
                <c:pt idx="8">
                  <c:v>39-44</c:v>
                </c:pt>
                <c:pt idx="9">
                  <c:v>44-49</c:v>
                </c:pt>
                <c:pt idx="10">
                  <c:v>49-54</c:v>
                </c:pt>
                <c:pt idx="11">
                  <c:v>55-59</c:v>
                </c:pt>
                <c:pt idx="12">
                  <c:v>59-64</c:v>
                </c:pt>
                <c:pt idx="13">
                  <c:v>64-69</c:v>
                </c:pt>
                <c:pt idx="14">
                  <c:v>70+</c:v>
                </c:pt>
              </c:strCache>
            </c:strRef>
          </c:cat>
          <c:val>
            <c:numRef>
              <c:f>'WDI and national sources'!$E$320:$E$334</c:f>
              <c:numCache>
                <c:formatCode>0.0</c:formatCode>
                <c:ptCount val="15"/>
                <c:pt idx="0">
                  <c:v>-4.9555157722183605</c:v>
                </c:pt>
                <c:pt idx="1">
                  <c:v>-4.2239220158981814</c:v>
                </c:pt>
                <c:pt idx="2">
                  <c:v>-4.3585357401507645</c:v>
                </c:pt>
                <c:pt idx="3">
                  <c:v>-5.6095031099732431</c:v>
                </c:pt>
                <c:pt idx="4">
                  <c:v>-7.3074810852834808</c:v>
                </c:pt>
                <c:pt idx="5">
                  <c:v>-7.3918487437695104</c:v>
                </c:pt>
                <c:pt idx="6">
                  <c:v>-6.7868656113875838</c:v>
                </c:pt>
                <c:pt idx="7">
                  <c:v>-6.7019657270185853</c:v>
                </c:pt>
                <c:pt idx="8">
                  <c:v>-6.6548933044801197</c:v>
                </c:pt>
                <c:pt idx="9">
                  <c:v>-7.6316263600835414</c:v>
                </c:pt>
                <c:pt idx="10">
                  <c:v>-8.1309330865907619</c:v>
                </c:pt>
                <c:pt idx="11">
                  <c:v>-6.9028120055966511</c:v>
                </c:pt>
                <c:pt idx="12">
                  <c:v>-5.7600836107150055</c:v>
                </c:pt>
                <c:pt idx="13">
                  <c:v>-3.7069926990435977</c:v>
                </c:pt>
                <c:pt idx="14">
                  <c:v>-13.877021127790499</c:v>
                </c:pt>
              </c:numCache>
            </c:numRef>
          </c:val>
        </c:ser>
        <c:dLbls>
          <c:showLegendKey val="0"/>
          <c:showVal val="0"/>
          <c:showCatName val="0"/>
          <c:showSerName val="0"/>
          <c:showPercent val="0"/>
          <c:showBubbleSize val="0"/>
        </c:dLbls>
        <c:gapWidth val="150"/>
        <c:shape val="cylinder"/>
        <c:axId val="251625472"/>
        <c:axId val="251627392"/>
        <c:axId val="0"/>
      </c:bar3DChart>
      <c:catAx>
        <c:axId val="251625472"/>
        <c:scaling>
          <c:orientation val="minMax"/>
        </c:scaling>
        <c:delete val="0"/>
        <c:axPos val="l"/>
        <c:title>
          <c:tx>
            <c:rich>
              <a:bodyPr/>
              <a:lstStyle/>
              <a:p>
                <a:pPr>
                  <a:defRPr/>
                </a:pPr>
                <a:r>
                  <a:rPr lang="en-US"/>
                  <a:t>Age</a:t>
                </a:r>
              </a:p>
            </c:rich>
          </c:tx>
          <c:layout>
            <c:manualLayout>
              <c:xMode val="edge"/>
              <c:yMode val="edge"/>
              <c:x val="5.9553805774278283E-3"/>
              <c:y val="0.37790695426528198"/>
            </c:manualLayout>
          </c:layout>
          <c:overlay val="0"/>
        </c:title>
        <c:numFmt formatCode="General" sourceLinked="1"/>
        <c:majorTickMark val="out"/>
        <c:minorTickMark val="none"/>
        <c:tickLblPos val="low"/>
        <c:txPr>
          <a:bodyPr rot="0" vert="horz"/>
          <a:lstStyle/>
          <a:p>
            <a:pPr>
              <a:defRPr/>
            </a:pPr>
            <a:endParaRPr lang="en-US"/>
          </a:p>
        </c:txPr>
        <c:crossAx val="251627392"/>
        <c:crosses val="autoZero"/>
        <c:auto val="1"/>
        <c:lblAlgn val="ctr"/>
        <c:lblOffset val="100"/>
        <c:tickLblSkip val="2"/>
        <c:tickMarkSkip val="1"/>
        <c:noMultiLvlLbl val="0"/>
      </c:catAx>
      <c:valAx>
        <c:axId val="251627392"/>
        <c:scaling>
          <c:orientation val="minMax"/>
        </c:scaling>
        <c:delete val="0"/>
        <c:axPos val="b"/>
        <c:majorGridlines/>
        <c:title>
          <c:tx>
            <c:rich>
              <a:bodyPr/>
              <a:lstStyle/>
              <a:p>
                <a:pPr>
                  <a:defRPr/>
                </a:pPr>
                <a:r>
                  <a:rPr lang="en-US"/>
                  <a:t>share in total population</a:t>
                </a:r>
              </a:p>
            </c:rich>
          </c:tx>
          <c:layout>
            <c:manualLayout>
              <c:xMode val="edge"/>
              <c:yMode val="edge"/>
              <c:x val="0.37741935483870981"/>
              <c:y val="0.88953488372092315"/>
            </c:manualLayout>
          </c:layout>
          <c:overlay val="0"/>
        </c:title>
        <c:numFmt formatCode="0;[Red]0" sourceLinked="0"/>
        <c:majorTickMark val="out"/>
        <c:minorTickMark val="none"/>
        <c:tickLblPos val="nextTo"/>
        <c:txPr>
          <a:bodyPr rot="0" vert="horz"/>
          <a:lstStyle/>
          <a:p>
            <a:pPr>
              <a:defRPr/>
            </a:pPr>
            <a:endParaRPr lang="en-US"/>
          </a:p>
        </c:txPr>
        <c:crossAx val="251625472"/>
        <c:crosses val="autoZero"/>
        <c:crossBetween val="between"/>
      </c:valAx>
      <c:spPr>
        <a:ln>
          <a:noFill/>
        </a:ln>
      </c:spPr>
    </c:plotArea>
    <c:legend>
      <c:legendPos val="r"/>
      <c:layout>
        <c:manualLayout>
          <c:xMode val="edge"/>
          <c:yMode val="edge"/>
          <c:x val="0.73377806035115178"/>
          <c:y val="0.85135708210689687"/>
          <c:w val="0.23148149758475112"/>
          <c:h val="0.12344302111489795"/>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0.78021</cdr:x>
      <cdr:y>0.93391</cdr:y>
    </cdr:from>
    <cdr:to>
      <cdr:x>0.94525</cdr:x>
      <cdr:y>0.98563</cdr:y>
    </cdr:to>
    <cdr:sp macro="" textlink="">
      <cdr:nvSpPr>
        <cdr:cNvPr id="4097" name="Rectangle 1"/>
        <cdr:cNvSpPr>
          <a:spLocks xmlns:a="http://schemas.openxmlformats.org/drawingml/2006/main" noChangeArrowheads="1"/>
        </cdr:cNvSpPr>
      </cdr:nvSpPr>
      <cdr:spPr bwMode="auto">
        <a:xfrm xmlns:a="http://schemas.openxmlformats.org/drawingml/2006/main">
          <a:off x="4249125" y="3092375"/>
          <a:ext cx="842048" cy="1778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Calibri"/>
            </a:rPr>
            <a:t>fully disagree</a:t>
          </a:r>
        </a:p>
      </cdr:txBody>
    </cdr:sp>
  </cdr:relSizeAnchor>
  <cdr:relSizeAnchor xmlns:cdr="http://schemas.openxmlformats.org/drawingml/2006/chartDrawing">
    <cdr:from>
      <cdr:x>0.01571</cdr:x>
      <cdr:y>0.87781</cdr:y>
    </cdr:from>
    <cdr:to>
      <cdr:x>0.03511</cdr:x>
      <cdr:y>0.93342</cdr:y>
    </cdr:to>
    <cdr:sp macro="" textlink="">
      <cdr:nvSpPr>
        <cdr:cNvPr id="4101" name="Text Box 5"/>
        <cdr:cNvSpPr txBox="1">
          <a:spLocks xmlns:a="http://schemas.openxmlformats.org/drawingml/2006/main" noChangeArrowheads="1"/>
        </cdr:cNvSpPr>
      </cdr:nvSpPr>
      <cdr:spPr bwMode="auto">
        <a:xfrm xmlns:a="http://schemas.openxmlformats.org/drawingml/2006/main">
          <a:off x="82575" y="2899208"/>
          <a:ext cx="100623" cy="1915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0.04739</cdr:x>
      <cdr:y>0.93391</cdr:y>
    </cdr:from>
    <cdr:to>
      <cdr:x>0.17459</cdr:x>
      <cdr:y>0.98539</cdr:y>
    </cdr:to>
    <cdr:sp macro="" textlink="">
      <cdr:nvSpPr>
        <cdr:cNvPr id="4102" name="Rectangle 6"/>
        <cdr:cNvSpPr>
          <a:spLocks xmlns:a="http://schemas.openxmlformats.org/drawingml/2006/main" noChangeArrowheads="1"/>
        </cdr:cNvSpPr>
      </cdr:nvSpPr>
      <cdr:spPr bwMode="auto">
        <a:xfrm xmlns:a="http://schemas.openxmlformats.org/drawingml/2006/main">
          <a:off x="281172" y="3092375"/>
          <a:ext cx="658015" cy="17707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Calibri"/>
            </a:rPr>
            <a:t>fully agree</a:t>
          </a:r>
        </a:p>
        <a:p xmlns:a="http://schemas.openxmlformats.org/drawingml/2006/main">
          <a:pPr algn="ctr" rtl="0">
            <a:defRPr sz="1000"/>
          </a:pPr>
          <a:endParaRPr lang="en-US" sz="900" b="0" i="0" u="none" strike="noStrike" baseline="0">
            <a:solidFill>
              <a:srgbClr val="000000"/>
            </a:solidFill>
            <a:latin typeface="Calibri"/>
          </a:endParaRPr>
        </a:p>
      </cdr:txBody>
    </cdr:sp>
  </cdr:relSizeAnchor>
  <cdr:relSizeAnchor xmlns:cdr="http://schemas.openxmlformats.org/drawingml/2006/chartDrawing">
    <cdr:from>
      <cdr:x>0.15422</cdr:x>
      <cdr:y>0.98563</cdr:y>
    </cdr:from>
    <cdr:to>
      <cdr:x>0.73599</cdr:x>
      <cdr:y>0.98563</cdr:y>
    </cdr:to>
    <cdr:sp macro="" textlink="">
      <cdr:nvSpPr>
        <cdr:cNvPr id="4103" name="Line 7"/>
        <cdr:cNvSpPr>
          <a:spLocks xmlns:a="http://schemas.openxmlformats.org/drawingml/2006/main" noChangeShapeType="1"/>
        </cdr:cNvSpPr>
      </cdr:nvSpPr>
      <cdr:spPr bwMode="auto">
        <a:xfrm xmlns:a="http://schemas.openxmlformats.org/drawingml/2006/main">
          <a:off x="863721" y="3270250"/>
          <a:ext cx="3161652"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0.62647</cdr:x>
      <cdr:y>0.44615</cdr:y>
    </cdr:from>
    <cdr:to>
      <cdr:x>0.7721</cdr:x>
      <cdr:y>0.54804</cdr:y>
    </cdr:to>
    <cdr:sp macro="" textlink="">
      <cdr:nvSpPr>
        <cdr:cNvPr id="2" name="TextBox 1"/>
        <cdr:cNvSpPr txBox="1"/>
      </cdr:nvSpPr>
      <cdr:spPr>
        <a:xfrm xmlns:a="http://schemas.openxmlformats.org/drawingml/2006/main">
          <a:off x="2082518" y="1181372"/>
          <a:ext cx="484107" cy="2697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ECA </a:t>
          </a:r>
        </a:p>
      </cdr:txBody>
    </cdr:sp>
  </cdr:relSizeAnchor>
  <cdr:relSizeAnchor xmlns:cdr="http://schemas.openxmlformats.org/drawingml/2006/chartDrawing">
    <cdr:from>
      <cdr:x>0.41752</cdr:x>
      <cdr:y>0.53492</cdr:y>
    </cdr:from>
    <cdr:to>
      <cdr:x>0.65837</cdr:x>
      <cdr:y>0.64237</cdr:y>
    </cdr:to>
    <cdr:sp macro="" textlink="">
      <cdr:nvSpPr>
        <cdr:cNvPr id="3" name="TextBox 2"/>
        <cdr:cNvSpPr txBox="1"/>
      </cdr:nvSpPr>
      <cdr:spPr>
        <a:xfrm xmlns:a="http://schemas.openxmlformats.org/drawingml/2006/main">
          <a:off x="1308016" y="1365306"/>
          <a:ext cx="754538" cy="2742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Belarus</a:t>
          </a:r>
        </a:p>
      </cdr:txBody>
    </cdr:sp>
  </cdr:relSizeAnchor>
  <cdr:relSizeAnchor xmlns:cdr="http://schemas.openxmlformats.org/drawingml/2006/chartDrawing">
    <cdr:from>
      <cdr:x>0.19304</cdr:x>
      <cdr:y>0.00844</cdr:y>
    </cdr:from>
    <cdr:to>
      <cdr:x>0.98101</cdr:x>
      <cdr:y>0.78481</cdr:y>
    </cdr:to>
    <cdr:sp macro="" textlink="">
      <cdr:nvSpPr>
        <cdr:cNvPr id="5" name="Straight Connector 4"/>
        <cdr:cNvSpPr/>
      </cdr:nvSpPr>
      <cdr:spPr>
        <a:xfrm xmlns:a="http://schemas.openxmlformats.org/drawingml/2006/main" flipV="1">
          <a:off x="581025" y="19050"/>
          <a:ext cx="2371725" cy="1752600"/>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940BD-B2F9-42AC-823F-0FDAB31E0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14985</Words>
  <Characters>85419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Business Environment and Enterprises Sector Development</vt:lpstr>
    </vt:vector>
  </TitlesOfParts>
  <Company>World Bank Group</Company>
  <LinksUpToDate>false</LinksUpToDate>
  <CharactersWithSpaces>100204</CharactersWithSpaces>
  <SharedDoc>false</SharedDoc>
  <HLinks>
    <vt:vector size="330" baseType="variant">
      <vt:variant>
        <vt:i4>4784156</vt:i4>
      </vt:variant>
      <vt:variant>
        <vt:i4>474</vt:i4>
      </vt:variant>
      <vt:variant>
        <vt:i4>0</vt:i4>
      </vt:variant>
      <vt:variant>
        <vt:i4>5</vt:i4>
      </vt:variant>
      <vt:variant>
        <vt:lpwstr>http://wbl.worldbank.org/data/exploreeconomies/belarus/2011</vt:lpwstr>
      </vt:variant>
      <vt:variant>
        <vt:lpwstr>accessing-institutions</vt:lpwstr>
      </vt:variant>
      <vt:variant>
        <vt:i4>1310723</vt:i4>
      </vt:variant>
      <vt:variant>
        <vt:i4>471</vt:i4>
      </vt:variant>
      <vt:variant>
        <vt:i4>0</vt:i4>
      </vt:variant>
      <vt:variant>
        <vt:i4>5</vt:i4>
      </vt:variant>
      <vt:variant>
        <vt:lpwstr>http://www.state.gov/j/tip/rls/tiprpt/2012/192366.htm</vt:lpwstr>
      </vt:variant>
      <vt:variant>
        <vt:lpwstr/>
      </vt:variant>
      <vt:variant>
        <vt:i4>1048627</vt:i4>
      </vt:variant>
      <vt:variant>
        <vt:i4>468</vt:i4>
      </vt:variant>
      <vt:variant>
        <vt:i4>0</vt:i4>
      </vt:variant>
      <vt:variant>
        <vt:i4>5</vt:i4>
      </vt:variant>
      <vt:variant>
        <vt:lpwstr>http://www.unicef.org/statistics/index_countrystats.html</vt:lpwstr>
      </vt:variant>
      <vt:variant>
        <vt:lpwstr/>
      </vt:variant>
      <vt:variant>
        <vt:i4>3604597</vt:i4>
      </vt:variant>
      <vt:variant>
        <vt:i4>465</vt:i4>
      </vt:variant>
      <vt:variant>
        <vt:i4>0</vt:i4>
      </vt:variant>
      <vt:variant>
        <vt:i4>5</vt:i4>
      </vt:variant>
      <vt:variant>
        <vt:lpwstr>http://w3.unece.org/pxweb/database/STAT/30-GE/05-PublicAnddecision/?lang=1</vt:lpwstr>
      </vt:variant>
      <vt:variant>
        <vt:lpwstr/>
      </vt:variant>
      <vt:variant>
        <vt:i4>2424847</vt:i4>
      </vt:variant>
      <vt:variant>
        <vt:i4>462</vt:i4>
      </vt:variant>
      <vt:variant>
        <vt:i4>0</vt:i4>
      </vt:variant>
      <vt:variant>
        <vt:i4>5</vt:i4>
      </vt:variant>
      <vt:variant>
        <vt:lpwstr>http://siteresources.worldbank.org/ECAEXT/Resources/258598-1322580725430/WB_genderReportFINAL.pdf</vt:lpwstr>
      </vt:variant>
      <vt:variant>
        <vt:lpwstr/>
      </vt:variant>
      <vt:variant>
        <vt:i4>6815868</vt:i4>
      </vt:variant>
      <vt:variant>
        <vt:i4>459</vt:i4>
      </vt:variant>
      <vt:variant>
        <vt:i4>0</vt:i4>
      </vt:variant>
      <vt:variant>
        <vt:i4>5</vt:i4>
      </vt:variant>
      <vt:variant>
        <vt:lpwstr>http://www.research.by/webroot/delivery/files/poverty2012r.pdf</vt:lpwstr>
      </vt:variant>
      <vt:variant>
        <vt:lpwstr/>
      </vt:variant>
      <vt:variant>
        <vt:i4>3801133</vt:i4>
      </vt:variant>
      <vt:variant>
        <vt:i4>456</vt:i4>
      </vt:variant>
      <vt:variant>
        <vt:i4>0</vt:i4>
      </vt:variant>
      <vt:variant>
        <vt:i4>5</vt:i4>
      </vt:variant>
      <vt:variant>
        <vt:lpwstr>http://genderindex.org/</vt:lpwstr>
      </vt:variant>
      <vt:variant>
        <vt:lpwstr/>
      </vt:variant>
      <vt:variant>
        <vt:i4>4718707</vt:i4>
      </vt:variant>
      <vt:variant>
        <vt:i4>453</vt:i4>
      </vt:variant>
      <vt:variant>
        <vt:i4>0</vt:i4>
      </vt:variant>
      <vt:variant>
        <vt:i4>5</vt:i4>
      </vt:variant>
      <vt:variant>
        <vt:lpwstr>http://minzdrav.gov.by/dadvfiles/000723_427042_Probl_1_N2_12.pdf</vt:lpwstr>
      </vt:variant>
      <vt:variant>
        <vt:lpwstr/>
      </vt:variant>
      <vt:variant>
        <vt:i4>5701713</vt:i4>
      </vt:variant>
      <vt:variant>
        <vt:i4>450</vt:i4>
      </vt:variant>
      <vt:variant>
        <vt:i4>0</vt:i4>
      </vt:variant>
      <vt:variant>
        <vt:i4>5</vt:i4>
      </vt:variant>
      <vt:variant>
        <vt:lpwstr>http://nmnby.eu/news/analytics/4386.html</vt:lpwstr>
      </vt:variant>
      <vt:variant>
        <vt:lpwstr/>
      </vt:variant>
      <vt:variant>
        <vt:i4>5636097</vt:i4>
      </vt:variant>
      <vt:variant>
        <vt:i4>381</vt:i4>
      </vt:variant>
      <vt:variant>
        <vt:i4>0</vt:i4>
      </vt:variant>
      <vt:variant>
        <vt:i4>5</vt:i4>
      </vt:variant>
      <vt:variant>
        <vt:lpwstr>http://www.enterprisesurveys.org/</vt:lpwstr>
      </vt:variant>
      <vt:variant>
        <vt:lpwstr/>
      </vt:variant>
      <vt:variant>
        <vt:i4>1245244</vt:i4>
      </vt:variant>
      <vt:variant>
        <vt:i4>266</vt:i4>
      </vt:variant>
      <vt:variant>
        <vt:i4>0</vt:i4>
      </vt:variant>
      <vt:variant>
        <vt:i4>5</vt:i4>
      </vt:variant>
      <vt:variant>
        <vt:lpwstr/>
      </vt:variant>
      <vt:variant>
        <vt:lpwstr>_Toc352859808</vt:lpwstr>
      </vt:variant>
      <vt:variant>
        <vt:i4>1245244</vt:i4>
      </vt:variant>
      <vt:variant>
        <vt:i4>260</vt:i4>
      </vt:variant>
      <vt:variant>
        <vt:i4>0</vt:i4>
      </vt:variant>
      <vt:variant>
        <vt:i4>5</vt:i4>
      </vt:variant>
      <vt:variant>
        <vt:lpwstr/>
      </vt:variant>
      <vt:variant>
        <vt:lpwstr>_Toc352859807</vt:lpwstr>
      </vt:variant>
      <vt:variant>
        <vt:i4>1245244</vt:i4>
      </vt:variant>
      <vt:variant>
        <vt:i4>254</vt:i4>
      </vt:variant>
      <vt:variant>
        <vt:i4>0</vt:i4>
      </vt:variant>
      <vt:variant>
        <vt:i4>5</vt:i4>
      </vt:variant>
      <vt:variant>
        <vt:lpwstr/>
      </vt:variant>
      <vt:variant>
        <vt:lpwstr>_Toc352859806</vt:lpwstr>
      </vt:variant>
      <vt:variant>
        <vt:i4>1245244</vt:i4>
      </vt:variant>
      <vt:variant>
        <vt:i4>248</vt:i4>
      </vt:variant>
      <vt:variant>
        <vt:i4>0</vt:i4>
      </vt:variant>
      <vt:variant>
        <vt:i4>5</vt:i4>
      </vt:variant>
      <vt:variant>
        <vt:lpwstr/>
      </vt:variant>
      <vt:variant>
        <vt:lpwstr>_Toc352859805</vt:lpwstr>
      </vt:variant>
      <vt:variant>
        <vt:i4>1245244</vt:i4>
      </vt:variant>
      <vt:variant>
        <vt:i4>242</vt:i4>
      </vt:variant>
      <vt:variant>
        <vt:i4>0</vt:i4>
      </vt:variant>
      <vt:variant>
        <vt:i4>5</vt:i4>
      </vt:variant>
      <vt:variant>
        <vt:lpwstr/>
      </vt:variant>
      <vt:variant>
        <vt:lpwstr>_Toc352859804</vt:lpwstr>
      </vt:variant>
      <vt:variant>
        <vt:i4>1245244</vt:i4>
      </vt:variant>
      <vt:variant>
        <vt:i4>236</vt:i4>
      </vt:variant>
      <vt:variant>
        <vt:i4>0</vt:i4>
      </vt:variant>
      <vt:variant>
        <vt:i4>5</vt:i4>
      </vt:variant>
      <vt:variant>
        <vt:lpwstr/>
      </vt:variant>
      <vt:variant>
        <vt:lpwstr>_Toc352859803</vt:lpwstr>
      </vt:variant>
      <vt:variant>
        <vt:i4>1245244</vt:i4>
      </vt:variant>
      <vt:variant>
        <vt:i4>230</vt:i4>
      </vt:variant>
      <vt:variant>
        <vt:i4>0</vt:i4>
      </vt:variant>
      <vt:variant>
        <vt:i4>5</vt:i4>
      </vt:variant>
      <vt:variant>
        <vt:lpwstr/>
      </vt:variant>
      <vt:variant>
        <vt:lpwstr>_Toc352859802</vt:lpwstr>
      </vt:variant>
      <vt:variant>
        <vt:i4>1245244</vt:i4>
      </vt:variant>
      <vt:variant>
        <vt:i4>224</vt:i4>
      </vt:variant>
      <vt:variant>
        <vt:i4>0</vt:i4>
      </vt:variant>
      <vt:variant>
        <vt:i4>5</vt:i4>
      </vt:variant>
      <vt:variant>
        <vt:lpwstr/>
      </vt:variant>
      <vt:variant>
        <vt:lpwstr>_Toc352859801</vt:lpwstr>
      </vt:variant>
      <vt:variant>
        <vt:i4>1245244</vt:i4>
      </vt:variant>
      <vt:variant>
        <vt:i4>218</vt:i4>
      </vt:variant>
      <vt:variant>
        <vt:i4>0</vt:i4>
      </vt:variant>
      <vt:variant>
        <vt:i4>5</vt:i4>
      </vt:variant>
      <vt:variant>
        <vt:lpwstr/>
      </vt:variant>
      <vt:variant>
        <vt:lpwstr>_Toc352859800</vt:lpwstr>
      </vt:variant>
      <vt:variant>
        <vt:i4>1703987</vt:i4>
      </vt:variant>
      <vt:variant>
        <vt:i4>212</vt:i4>
      </vt:variant>
      <vt:variant>
        <vt:i4>0</vt:i4>
      </vt:variant>
      <vt:variant>
        <vt:i4>5</vt:i4>
      </vt:variant>
      <vt:variant>
        <vt:lpwstr/>
      </vt:variant>
      <vt:variant>
        <vt:lpwstr>_Toc352859799</vt:lpwstr>
      </vt:variant>
      <vt:variant>
        <vt:i4>1703987</vt:i4>
      </vt:variant>
      <vt:variant>
        <vt:i4>206</vt:i4>
      </vt:variant>
      <vt:variant>
        <vt:i4>0</vt:i4>
      </vt:variant>
      <vt:variant>
        <vt:i4>5</vt:i4>
      </vt:variant>
      <vt:variant>
        <vt:lpwstr/>
      </vt:variant>
      <vt:variant>
        <vt:lpwstr>_Toc352859798</vt:lpwstr>
      </vt:variant>
      <vt:variant>
        <vt:i4>1703987</vt:i4>
      </vt:variant>
      <vt:variant>
        <vt:i4>200</vt:i4>
      </vt:variant>
      <vt:variant>
        <vt:i4>0</vt:i4>
      </vt:variant>
      <vt:variant>
        <vt:i4>5</vt:i4>
      </vt:variant>
      <vt:variant>
        <vt:lpwstr/>
      </vt:variant>
      <vt:variant>
        <vt:lpwstr>_Toc352859797</vt:lpwstr>
      </vt:variant>
      <vt:variant>
        <vt:i4>1703987</vt:i4>
      </vt:variant>
      <vt:variant>
        <vt:i4>194</vt:i4>
      </vt:variant>
      <vt:variant>
        <vt:i4>0</vt:i4>
      </vt:variant>
      <vt:variant>
        <vt:i4>5</vt:i4>
      </vt:variant>
      <vt:variant>
        <vt:lpwstr/>
      </vt:variant>
      <vt:variant>
        <vt:lpwstr>_Toc352859796</vt:lpwstr>
      </vt:variant>
      <vt:variant>
        <vt:i4>1703987</vt:i4>
      </vt:variant>
      <vt:variant>
        <vt:i4>188</vt:i4>
      </vt:variant>
      <vt:variant>
        <vt:i4>0</vt:i4>
      </vt:variant>
      <vt:variant>
        <vt:i4>5</vt:i4>
      </vt:variant>
      <vt:variant>
        <vt:lpwstr/>
      </vt:variant>
      <vt:variant>
        <vt:lpwstr>_Toc352859795</vt:lpwstr>
      </vt:variant>
      <vt:variant>
        <vt:i4>1703987</vt:i4>
      </vt:variant>
      <vt:variant>
        <vt:i4>182</vt:i4>
      </vt:variant>
      <vt:variant>
        <vt:i4>0</vt:i4>
      </vt:variant>
      <vt:variant>
        <vt:i4>5</vt:i4>
      </vt:variant>
      <vt:variant>
        <vt:lpwstr/>
      </vt:variant>
      <vt:variant>
        <vt:lpwstr>_Toc352859794</vt:lpwstr>
      </vt:variant>
      <vt:variant>
        <vt:i4>1703987</vt:i4>
      </vt:variant>
      <vt:variant>
        <vt:i4>176</vt:i4>
      </vt:variant>
      <vt:variant>
        <vt:i4>0</vt:i4>
      </vt:variant>
      <vt:variant>
        <vt:i4>5</vt:i4>
      </vt:variant>
      <vt:variant>
        <vt:lpwstr/>
      </vt:variant>
      <vt:variant>
        <vt:lpwstr>_Toc352859793</vt:lpwstr>
      </vt:variant>
      <vt:variant>
        <vt:i4>1703987</vt:i4>
      </vt:variant>
      <vt:variant>
        <vt:i4>170</vt:i4>
      </vt:variant>
      <vt:variant>
        <vt:i4>0</vt:i4>
      </vt:variant>
      <vt:variant>
        <vt:i4>5</vt:i4>
      </vt:variant>
      <vt:variant>
        <vt:lpwstr/>
      </vt:variant>
      <vt:variant>
        <vt:lpwstr>_Toc352859792</vt:lpwstr>
      </vt:variant>
      <vt:variant>
        <vt:i4>1703987</vt:i4>
      </vt:variant>
      <vt:variant>
        <vt:i4>164</vt:i4>
      </vt:variant>
      <vt:variant>
        <vt:i4>0</vt:i4>
      </vt:variant>
      <vt:variant>
        <vt:i4>5</vt:i4>
      </vt:variant>
      <vt:variant>
        <vt:lpwstr/>
      </vt:variant>
      <vt:variant>
        <vt:lpwstr>_Toc352859791</vt:lpwstr>
      </vt:variant>
      <vt:variant>
        <vt:i4>1703987</vt:i4>
      </vt:variant>
      <vt:variant>
        <vt:i4>158</vt:i4>
      </vt:variant>
      <vt:variant>
        <vt:i4>0</vt:i4>
      </vt:variant>
      <vt:variant>
        <vt:i4>5</vt:i4>
      </vt:variant>
      <vt:variant>
        <vt:lpwstr/>
      </vt:variant>
      <vt:variant>
        <vt:lpwstr>_Toc352859790</vt:lpwstr>
      </vt:variant>
      <vt:variant>
        <vt:i4>1769523</vt:i4>
      </vt:variant>
      <vt:variant>
        <vt:i4>152</vt:i4>
      </vt:variant>
      <vt:variant>
        <vt:i4>0</vt:i4>
      </vt:variant>
      <vt:variant>
        <vt:i4>5</vt:i4>
      </vt:variant>
      <vt:variant>
        <vt:lpwstr/>
      </vt:variant>
      <vt:variant>
        <vt:lpwstr>_Toc352859789</vt:lpwstr>
      </vt:variant>
      <vt:variant>
        <vt:i4>1769523</vt:i4>
      </vt:variant>
      <vt:variant>
        <vt:i4>146</vt:i4>
      </vt:variant>
      <vt:variant>
        <vt:i4>0</vt:i4>
      </vt:variant>
      <vt:variant>
        <vt:i4>5</vt:i4>
      </vt:variant>
      <vt:variant>
        <vt:lpwstr/>
      </vt:variant>
      <vt:variant>
        <vt:lpwstr>_Toc352859788</vt:lpwstr>
      </vt:variant>
      <vt:variant>
        <vt:i4>1769523</vt:i4>
      </vt:variant>
      <vt:variant>
        <vt:i4>140</vt:i4>
      </vt:variant>
      <vt:variant>
        <vt:i4>0</vt:i4>
      </vt:variant>
      <vt:variant>
        <vt:i4>5</vt:i4>
      </vt:variant>
      <vt:variant>
        <vt:lpwstr/>
      </vt:variant>
      <vt:variant>
        <vt:lpwstr>_Toc352859787</vt:lpwstr>
      </vt:variant>
      <vt:variant>
        <vt:i4>1769523</vt:i4>
      </vt:variant>
      <vt:variant>
        <vt:i4>134</vt:i4>
      </vt:variant>
      <vt:variant>
        <vt:i4>0</vt:i4>
      </vt:variant>
      <vt:variant>
        <vt:i4>5</vt:i4>
      </vt:variant>
      <vt:variant>
        <vt:lpwstr/>
      </vt:variant>
      <vt:variant>
        <vt:lpwstr>_Toc352859786</vt:lpwstr>
      </vt:variant>
      <vt:variant>
        <vt:i4>1769523</vt:i4>
      </vt:variant>
      <vt:variant>
        <vt:i4>128</vt:i4>
      </vt:variant>
      <vt:variant>
        <vt:i4>0</vt:i4>
      </vt:variant>
      <vt:variant>
        <vt:i4>5</vt:i4>
      </vt:variant>
      <vt:variant>
        <vt:lpwstr/>
      </vt:variant>
      <vt:variant>
        <vt:lpwstr>_Toc352859785</vt:lpwstr>
      </vt:variant>
      <vt:variant>
        <vt:i4>1769523</vt:i4>
      </vt:variant>
      <vt:variant>
        <vt:i4>122</vt:i4>
      </vt:variant>
      <vt:variant>
        <vt:i4>0</vt:i4>
      </vt:variant>
      <vt:variant>
        <vt:i4>5</vt:i4>
      </vt:variant>
      <vt:variant>
        <vt:lpwstr/>
      </vt:variant>
      <vt:variant>
        <vt:lpwstr>_Toc352859784</vt:lpwstr>
      </vt:variant>
      <vt:variant>
        <vt:i4>1769523</vt:i4>
      </vt:variant>
      <vt:variant>
        <vt:i4>113</vt:i4>
      </vt:variant>
      <vt:variant>
        <vt:i4>0</vt:i4>
      </vt:variant>
      <vt:variant>
        <vt:i4>5</vt:i4>
      </vt:variant>
      <vt:variant>
        <vt:lpwstr/>
      </vt:variant>
      <vt:variant>
        <vt:lpwstr>_Toc352859783</vt:lpwstr>
      </vt:variant>
      <vt:variant>
        <vt:i4>1769523</vt:i4>
      </vt:variant>
      <vt:variant>
        <vt:i4>107</vt:i4>
      </vt:variant>
      <vt:variant>
        <vt:i4>0</vt:i4>
      </vt:variant>
      <vt:variant>
        <vt:i4>5</vt:i4>
      </vt:variant>
      <vt:variant>
        <vt:lpwstr/>
      </vt:variant>
      <vt:variant>
        <vt:lpwstr>_Toc352859782</vt:lpwstr>
      </vt:variant>
      <vt:variant>
        <vt:i4>1769523</vt:i4>
      </vt:variant>
      <vt:variant>
        <vt:i4>101</vt:i4>
      </vt:variant>
      <vt:variant>
        <vt:i4>0</vt:i4>
      </vt:variant>
      <vt:variant>
        <vt:i4>5</vt:i4>
      </vt:variant>
      <vt:variant>
        <vt:lpwstr/>
      </vt:variant>
      <vt:variant>
        <vt:lpwstr>_Toc352859781</vt:lpwstr>
      </vt:variant>
      <vt:variant>
        <vt:i4>1769523</vt:i4>
      </vt:variant>
      <vt:variant>
        <vt:i4>95</vt:i4>
      </vt:variant>
      <vt:variant>
        <vt:i4>0</vt:i4>
      </vt:variant>
      <vt:variant>
        <vt:i4>5</vt:i4>
      </vt:variant>
      <vt:variant>
        <vt:lpwstr/>
      </vt:variant>
      <vt:variant>
        <vt:lpwstr>_Toc352859780</vt:lpwstr>
      </vt:variant>
      <vt:variant>
        <vt:i4>1310771</vt:i4>
      </vt:variant>
      <vt:variant>
        <vt:i4>86</vt:i4>
      </vt:variant>
      <vt:variant>
        <vt:i4>0</vt:i4>
      </vt:variant>
      <vt:variant>
        <vt:i4>5</vt:i4>
      </vt:variant>
      <vt:variant>
        <vt:lpwstr/>
      </vt:variant>
      <vt:variant>
        <vt:lpwstr>_Toc352859779</vt:lpwstr>
      </vt:variant>
      <vt:variant>
        <vt:i4>1310771</vt:i4>
      </vt:variant>
      <vt:variant>
        <vt:i4>80</vt:i4>
      </vt:variant>
      <vt:variant>
        <vt:i4>0</vt:i4>
      </vt:variant>
      <vt:variant>
        <vt:i4>5</vt:i4>
      </vt:variant>
      <vt:variant>
        <vt:lpwstr/>
      </vt:variant>
      <vt:variant>
        <vt:lpwstr>_Toc352859778</vt:lpwstr>
      </vt:variant>
      <vt:variant>
        <vt:i4>1310771</vt:i4>
      </vt:variant>
      <vt:variant>
        <vt:i4>74</vt:i4>
      </vt:variant>
      <vt:variant>
        <vt:i4>0</vt:i4>
      </vt:variant>
      <vt:variant>
        <vt:i4>5</vt:i4>
      </vt:variant>
      <vt:variant>
        <vt:lpwstr/>
      </vt:variant>
      <vt:variant>
        <vt:lpwstr>_Toc352859777</vt:lpwstr>
      </vt:variant>
      <vt:variant>
        <vt:i4>1310771</vt:i4>
      </vt:variant>
      <vt:variant>
        <vt:i4>68</vt:i4>
      </vt:variant>
      <vt:variant>
        <vt:i4>0</vt:i4>
      </vt:variant>
      <vt:variant>
        <vt:i4>5</vt:i4>
      </vt:variant>
      <vt:variant>
        <vt:lpwstr/>
      </vt:variant>
      <vt:variant>
        <vt:lpwstr>_Toc352859776</vt:lpwstr>
      </vt:variant>
      <vt:variant>
        <vt:i4>1310771</vt:i4>
      </vt:variant>
      <vt:variant>
        <vt:i4>62</vt:i4>
      </vt:variant>
      <vt:variant>
        <vt:i4>0</vt:i4>
      </vt:variant>
      <vt:variant>
        <vt:i4>5</vt:i4>
      </vt:variant>
      <vt:variant>
        <vt:lpwstr/>
      </vt:variant>
      <vt:variant>
        <vt:lpwstr>_Toc352859775</vt:lpwstr>
      </vt:variant>
      <vt:variant>
        <vt:i4>1310771</vt:i4>
      </vt:variant>
      <vt:variant>
        <vt:i4>56</vt:i4>
      </vt:variant>
      <vt:variant>
        <vt:i4>0</vt:i4>
      </vt:variant>
      <vt:variant>
        <vt:i4>5</vt:i4>
      </vt:variant>
      <vt:variant>
        <vt:lpwstr/>
      </vt:variant>
      <vt:variant>
        <vt:lpwstr>_Toc352859774</vt:lpwstr>
      </vt:variant>
      <vt:variant>
        <vt:i4>1310771</vt:i4>
      </vt:variant>
      <vt:variant>
        <vt:i4>50</vt:i4>
      </vt:variant>
      <vt:variant>
        <vt:i4>0</vt:i4>
      </vt:variant>
      <vt:variant>
        <vt:i4>5</vt:i4>
      </vt:variant>
      <vt:variant>
        <vt:lpwstr/>
      </vt:variant>
      <vt:variant>
        <vt:lpwstr>_Toc352859773</vt:lpwstr>
      </vt:variant>
      <vt:variant>
        <vt:i4>1310771</vt:i4>
      </vt:variant>
      <vt:variant>
        <vt:i4>44</vt:i4>
      </vt:variant>
      <vt:variant>
        <vt:i4>0</vt:i4>
      </vt:variant>
      <vt:variant>
        <vt:i4>5</vt:i4>
      </vt:variant>
      <vt:variant>
        <vt:lpwstr/>
      </vt:variant>
      <vt:variant>
        <vt:lpwstr>_Toc352859772</vt:lpwstr>
      </vt:variant>
      <vt:variant>
        <vt:i4>1310771</vt:i4>
      </vt:variant>
      <vt:variant>
        <vt:i4>38</vt:i4>
      </vt:variant>
      <vt:variant>
        <vt:i4>0</vt:i4>
      </vt:variant>
      <vt:variant>
        <vt:i4>5</vt:i4>
      </vt:variant>
      <vt:variant>
        <vt:lpwstr/>
      </vt:variant>
      <vt:variant>
        <vt:lpwstr>_Toc352859771</vt:lpwstr>
      </vt:variant>
      <vt:variant>
        <vt:i4>1310771</vt:i4>
      </vt:variant>
      <vt:variant>
        <vt:i4>32</vt:i4>
      </vt:variant>
      <vt:variant>
        <vt:i4>0</vt:i4>
      </vt:variant>
      <vt:variant>
        <vt:i4>5</vt:i4>
      </vt:variant>
      <vt:variant>
        <vt:lpwstr/>
      </vt:variant>
      <vt:variant>
        <vt:lpwstr>_Toc352859770</vt:lpwstr>
      </vt:variant>
      <vt:variant>
        <vt:i4>1376307</vt:i4>
      </vt:variant>
      <vt:variant>
        <vt:i4>26</vt:i4>
      </vt:variant>
      <vt:variant>
        <vt:i4>0</vt:i4>
      </vt:variant>
      <vt:variant>
        <vt:i4>5</vt:i4>
      </vt:variant>
      <vt:variant>
        <vt:lpwstr/>
      </vt:variant>
      <vt:variant>
        <vt:lpwstr>_Toc352859769</vt:lpwstr>
      </vt:variant>
      <vt:variant>
        <vt:i4>1376307</vt:i4>
      </vt:variant>
      <vt:variant>
        <vt:i4>20</vt:i4>
      </vt:variant>
      <vt:variant>
        <vt:i4>0</vt:i4>
      </vt:variant>
      <vt:variant>
        <vt:i4>5</vt:i4>
      </vt:variant>
      <vt:variant>
        <vt:lpwstr/>
      </vt:variant>
      <vt:variant>
        <vt:lpwstr>_Toc352859768</vt:lpwstr>
      </vt:variant>
      <vt:variant>
        <vt:i4>1376307</vt:i4>
      </vt:variant>
      <vt:variant>
        <vt:i4>14</vt:i4>
      </vt:variant>
      <vt:variant>
        <vt:i4>0</vt:i4>
      </vt:variant>
      <vt:variant>
        <vt:i4>5</vt:i4>
      </vt:variant>
      <vt:variant>
        <vt:lpwstr/>
      </vt:variant>
      <vt:variant>
        <vt:lpwstr>_Toc352859767</vt:lpwstr>
      </vt:variant>
      <vt:variant>
        <vt:i4>1376307</vt:i4>
      </vt:variant>
      <vt:variant>
        <vt:i4>8</vt:i4>
      </vt:variant>
      <vt:variant>
        <vt:i4>0</vt:i4>
      </vt:variant>
      <vt:variant>
        <vt:i4>5</vt:i4>
      </vt:variant>
      <vt:variant>
        <vt:lpwstr/>
      </vt:variant>
      <vt:variant>
        <vt:lpwstr>_Toc352859766</vt:lpwstr>
      </vt:variant>
      <vt:variant>
        <vt:i4>1376307</vt:i4>
      </vt:variant>
      <vt:variant>
        <vt:i4>2</vt:i4>
      </vt:variant>
      <vt:variant>
        <vt:i4>0</vt:i4>
      </vt:variant>
      <vt:variant>
        <vt:i4>5</vt:i4>
      </vt:variant>
      <vt:variant>
        <vt:lpwstr/>
      </vt:variant>
      <vt:variant>
        <vt:lpwstr>_Toc352859765</vt:lpwstr>
      </vt:variant>
      <vt:variant>
        <vt:i4>6094903</vt:i4>
      </vt:variant>
      <vt:variant>
        <vt:i4>0</vt:i4>
      </vt:variant>
      <vt:variant>
        <vt:i4>0</vt:i4>
      </vt:variant>
      <vt:variant>
        <vt:i4>5</vt:i4>
      </vt:variant>
      <vt:variant>
        <vt:lpwstr>http://en.wikipedia.org/wiki/Domestic_violence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Environment and Enterprises Sector Development</dc:title>
  <dc:creator>wb81452</dc:creator>
  <cp:lastModifiedBy>Jurgita Campbell</cp:lastModifiedBy>
  <cp:revision>2</cp:revision>
  <cp:lastPrinted>2014-04-15T18:22:00Z</cp:lastPrinted>
  <dcterms:created xsi:type="dcterms:W3CDTF">2014-04-15T18:25:00Z</dcterms:created>
  <dcterms:modified xsi:type="dcterms:W3CDTF">2014-04-15T18:25:00Z</dcterms:modified>
</cp:coreProperties>
</file>