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16" w:rsidRPr="001B07D6" w:rsidRDefault="000E193E" w:rsidP="00B13C16">
      <w:pPr>
        <w:jc w:val="center"/>
        <w:rPr>
          <w:lang w:val="en-US"/>
        </w:rPr>
      </w:pPr>
      <w:r>
        <w:rPr>
          <w:b/>
          <w:noProof/>
          <w:sz w:val="36"/>
          <w:szCs w:val="36"/>
          <w:lang w:val="en-US" w:eastAsia="en-US"/>
        </w:rPr>
        <mc:AlternateContent>
          <mc:Choice Requires="wps">
            <w:drawing>
              <wp:anchor distT="0" distB="0" distL="114300" distR="114300" simplePos="0" relativeHeight="251659264" behindDoc="0" locked="0" layoutInCell="1" allowOverlap="1">
                <wp:simplePos x="0" y="0"/>
                <wp:positionH relativeFrom="column">
                  <wp:posOffset>5638800</wp:posOffset>
                </wp:positionH>
                <wp:positionV relativeFrom="paragraph">
                  <wp:posOffset>-866775</wp:posOffset>
                </wp:positionV>
                <wp:extent cx="1152525" cy="390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525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193E" w:rsidRPr="000E193E" w:rsidRDefault="000E193E">
                            <w:pPr>
                              <w:rPr>
                                <w:rFonts w:ascii="Arial" w:hAnsi="Arial" w:cs="Arial"/>
                                <w:sz w:val="44"/>
                                <w:szCs w:val="44"/>
                              </w:rPr>
                            </w:pPr>
                            <w:r>
                              <w:rPr>
                                <w:rFonts w:ascii="Arial" w:hAnsi="Arial" w:cs="Arial"/>
                                <w:sz w:val="44"/>
                                <w:szCs w:val="44"/>
                              </w:rPr>
                              <w:t>95752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4pt;margin-top:-68.25pt;width:90.75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" fillcolor="white [3201]" stroked="f" strokeweight=".5pt">
                <v:textbox>
                  <w:txbxContent>
                    <w:p w:rsidR="000E193E" w:rsidRPr="000E193E" w:rsidRDefault="000E193E">
                      <w:pPr>
                        <w:rPr>
                          <w:rFonts w:ascii="Arial" w:hAnsi="Arial" w:cs="Arial"/>
                          <w:sz w:val="44"/>
                          <w:szCs w:val="44"/>
                        </w:rPr>
                      </w:pPr>
                      <w:r>
                        <w:rPr>
                          <w:rFonts w:ascii="Arial" w:hAnsi="Arial" w:cs="Arial"/>
                          <w:sz w:val="44"/>
                          <w:szCs w:val="44"/>
                        </w:rPr>
                        <w:t>95752</w:t>
                      </w:r>
                    </w:p>
                  </w:txbxContent>
                </v:textbox>
              </v:shape>
            </w:pict>
          </mc:Fallback>
        </mc:AlternateContent>
      </w:r>
      <w:r w:rsidR="001B07D6" w:rsidRPr="001B07D6">
        <w:rPr>
          <w:b/>
          <w:sz w:val="36"/>
          <w:szCs w:val="36"/>
          <w:lang w:val="en-US"/>
        </w:rPr>
        <w:t>In</w:t>
      </w:r>
      <w:bookmarkStart w:id="0" w:name="_GoBack"/>
      <w:bookmarkEnd w:id="0"/>
      <w:r w:rsidR="001B07D6" w:rsidRPr="001B07D6">
        <w:rPr>
          <w:b/>
          <w:sz w:val="36"/>
          <w:szCs w:val="36"/>
          <w:lang w:val="en-US"/>
        </w:rPr>
        <w:t>tegrated Logistics Centers</w:t>
      </w:r>
      <w:r w:rsidR="00D26987" w:rsidRPr="001B07D6">
        <w:rPr>
          <w:b/>
          <w:sz w:val="36"/>
          <w:szCs w:val="36"/>
          <w:lang w:val="en-US"/>
        </w:rPr>
        <w:br/>
      </w:r>
      <w:r w:rsidR="001B07D6" w:rsidRPr="001B07D6">
        <w:rPr>
          <w:sz w:val="32"/>
          <w:szCs w:val="36"/>
          <w:lang w:val="en-US"/>
        </w:rPr>
        <w:t>Experience from North America and Options for China</w:t>
      </w:r>
    </w:p>
    <w:p w:rsidR="00B13C16" w:rsidRPr="001B07D6" w:rsidRDefault="00D26987" w:rsidP="00B13C16">
      <w:pPr>
        <w:spacing w:before="280"/>
        <w:jc w:val="center"/>
        <w:rPr>
          <w:b/>
          <w:lang w:val="en-US"/>
        </w:rPr>
      </w:pPr>
      <w:r w:rsidRPr="001B07D6">
        <w:rPr>
          <w:b/>
          <w:lang w:val="en-US"/>
        </w:rPr>
        <w:t>Luis C. Blancas</w:t>
      </w:r>
      <w:r w:rsidR="00AC7DA5">
        <w:rPr>
          <w:b/>
          <w:lang w:val="en-US"/>
        </w:rPr>
        <w:t>, Gerald Ollivier, Richard Bullock</w:t>
      </w:r>
    </w:p>
    <w:p w:rsidR="005569E2" w:rsidRDefault="00EC797B" w:rsidP="005569E2">
      <w:pPr>
        <w:spacing w:before="100"/>
        <w:jc w:val="center"/>
        <w:rPr>
          <w:lang w:val="en-US"/>
        </w:rPr>
      </w:pPr>
      <w:r w:rsidRPr="00D9653F">
        <w:rPr>
          <w:lang w:val="en-US"/>
        </w:rPr>
        <w:t xml:space="preserve">The </w:t>
      </w:r>
      <w:r w:rsidR="00B13C16" w:rsidRPr="00D9653F">
        <w:rPr>
          <w:lang w:val="en-US"/>
        </w:rPr>
        <w:t xml:space="preserve">World Bank, </w:t>
      </w:r>
      <w:r w:rsidR="00D26987" w:rsidRPr="00D9653F">
        <w:rPr>
          <w:lang w:val="en-US"/>
        </w:rPr>
        <w:t>Washington D.C.</w:t>
      </w:r>
    </w:p>
    <w:p w:rsidR="005569E2" w:rsidRPr="00802035" w:rsidRDefault="005569E2" w:rsidP="005569E2">
      <w:pPr>
        <w:spacing w:before="100"/>
        <w:jc w:val="center"/>
        <w:rPr>
          <w:sz w:val="12"/>
          <w:szCs w:val="12"/>
          <w:lang w:val="en-US"/>
        </w:rPr>
      </w:pPr>
    </w:p>
    <w:p w:rsidR="005569E2" w:rsidRPr="00F93283" w:rsidRDefault="009F7B30" w:rsidP="00F93283">
      <w:pPr>
        <w:spacing w:before="100"/>
        <w:rPr>
          <w:i/>
          <w:lang w:val="en-US"/>
        </w:rPr>
      </w:pPr>
      <w:r w:rsidRPr="00851193">
        <w:rPr>
          <w:i/>
          <w:lang w:val="en-US"/>
        </w:rPr>
        <w:t>China’s shif</w:t>
      </w:r>
      <w:r w:rsidR="00114BA9" w:rsidRPr="003340E9">
        <w:rPr>
          <w:i/>
          <w:lang w:val="en-US"/>
        </w:rPr>
        <w:t>t toward accelerated economic growth in central and western pro</w:t>
      </w:r>
      <w:r w:rsidR="00D639FB" w:rsidRPr="00851193">
        <w:rPr>
          <w:i/>
          <w:lang w:val="en-US"/>
        </w:rPr>
        <w:t>vinces</w:t>
      </w:r>
      <w:r w:rsidRPr="00851193">
        <w:rPr>
          <w:i/>
          <w:lang w:val="en-US"/>
        </w:rPr>
        <w:t xml:space="preserve"> and increasing levels</w:t>
      </w:r>
      <w:r w:rsidRPr="009F7B30">
        <w:rPr>
          <w:i/>
          <w:lang w:val="en-US"/>
        </w:rPr>
        <w:t xml:space="preserve"> of personal income and consumption are all consistent with the need for rail-enabled Integrated Logistics Centers (ILCs). Yet, while hundreds of logistics clusters have been developed in China over the past few years, modern, international standard rail- and multimodal-transport enabled ILCs are less common. </w:t>
      </w:r>
      <w:r>
        <w:rPr>
          <w:i/>
          <w:lang w:val="en-US"/>
        </w:rPr>
        <w:t>Close, long-term</w:t>
      </w:r>
      <w:r w:rsidRPr="009F7B30">
        <w:rPr>
          <w:i/>
          <w:lang w:val="en-US"/>
        </w:rPr>
        <w:t xml:space="preserve"> collaboration between public sector authorities and private sector specialized firms, such as real estate developers, have proven effective in the development of North America’s focused network of ILCs </w:t>
      </w:r>
      <w:r>
        <w:rPr>
          <w:i/>
          <w:lang w:val="en-US"/>
        </w:rPr>
        <w:t>critical to facilitating</w:t>
      </w:r>
      <w:r w:rsidRPr="009F7B30">
        <w:rPr>
          <w:i/>
          <w:lang w:val="en-US"/>
        </w:rPr>
        <w:t xml:space="preserve"> transcontinental and other freight itineraries. </w:t>
      </w:r>
      <w:r w:rsidR="00F93283">
        <w:rPr>
          <w:i/>
          <w:lang w:val="en-US"/>
        </w:rPr>
        <w:t xml:space="preserve">This model can succeed in China as well. </w:t>
      </w:r>
    </w:p>
    <w:p w:rsidR="005569E2" w:rsidRPr="001B07D6" w:rsidRDefault="005569E2" w:rsidP="00B13C16">
      <w:pPr>
        <w:rPr>
          <w:lang w:val="en-US"/>
        </w:rPr>
      </w:pPr>
    </w:p>
    <w:p w:rsidR="00B13C16" w:rsidRPr="001B07D6" w:rsidRDefault="00B13C16" w:rsidP="00B13C16">
      <w:pPr>
        <w:rPr>
          <w:color w:val="002060"/>
          <w:lang w:val="en-US"/>
        </w:rPr>
        <w:sectPr w:rsidR="00B13C16" w:rsidRPr="001B07D6" w:rsidSect="00F52F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6" w:footer="706" w:gutter="0"/>
          <w:cols w:space="708"/>
          <w:docGrid w:linePitch="326"/>
        </w:sectPr>
      </w:pPr>
    </w:p>
    <w:p w:rsidR="001B07D6" w:rsidRPr="001B07D6" w:rsidRDefault="001B07D6" w:rsidP="001B07D6">
      <w:pPr>
        <w:pStyle w:val="ListParagraph"/>
        <w:spacing w:after="200"/>
        <w:ind w:left="0"/>
        <w:rPr>
          <w:rFonts w:asciiTheme="minorHAnsi" w:hAnsiTheme="minorHAnsi" w:cs="Times New Roman"/>
          <w:lang w:val="en-US"/>
        </w:rPr>
      </w:pPr>
      <w:r w:rsidRPr="001B07D6">
        <w:rPr>
          <w:rFonts w:asciiTheme="minorHAnsi" w:hAnsiTheme="minorHAnsi" w:cs="Times New Roman"/>
          <w:b/>
          <w:lang w:val="en-US"/>
        </w:rPr>
        <w:lastRenderedPageBreak/>
        <w:t xml:space="preserve">Integrated Logistics Centers (ILCs)—well-connected clusters of multimodal </w:t>
      </w:r>
      <w:r w:rsidR="008147B0">
        <w:rPr>
          <w:rFonts w:asciiTheme="minorHAnsi" w:hAnsiTheme="minorHAnsi" w:cs="Times New Roman"/>
          <w:b/>
          <w:lang w:val="en-US"/>
        </w:rPr>
        <w:t>transport</w:t>
      </w:r>
      <w:r w:rsidRPr="001B07D6">
        <w:rPr>
          <w:rFonts w:asciiTheme="minorHAnsi" w:hAnsiTheme="minorHAnsi" w:cs="Times New Roman"/>
          <w:b/>
          <w:lang w:val="en-US"/>
        </w:rPr>
        <w:t xml:space="preserve">, logistics, light assembly, manufacturing, and supporting services—play an increasingly important role in the logistics networks of North America and Western Europe. </w:t>
      </w:r>
      <w:r w:rsidRPr="001B07D6">
        <w:rPr>
          <w:rFonts w:asciiTheme="minorHAnsi" w:hAnsiTheme="minorHAnsi" w:cs="Times New Roman"/>
          <w:lang w:val="en-US"/>
        </w:rPr>
        <w:t xml:space="preserve">In the particular case of the U.S. logistics system, the most comparable to China based on lengths of haul, ILCs have facilitated </w:t>
      </w:r>
      <w:r w:rsidR="00B572C6">
        <w:rPr>
          <w:rFonts w:asciiTheme="minorHAnsi" w:hAnsiTheme="minorHAnsi" w:cs="Times New Roman"/>
          <w:lang w:val="en-US"/>
        </w:rPr>
        <w:t>“</w:t>
      </w:r>
      <w:r w:rsidRPr="001B07D6">
        <w:rPr>
          <w:rFonts w:asciiTheme="minorHAnsi" w:hAnsiTheme="minorHAnsi" w:cs="Times New Roman"/>
          <w:lang w:val="en-US"/>
        </w:rPr>
        <w:t>mini land bridge</w:t>
      </w:r>
      <w:r w:rsidR="00B572C6">
        <w:rPr>
          <w:rFonts w:asciiTheme="minorHAnsi" w:hAnsiTheme="minorHAnsi" w:cs="Times New Roman"/>
          <w:lang w:val="en-US"/>
        </w:rPr>
        <w:t>” (i.e., transcontinental)</w:t>
      </w:r>
      <w:r w:rsidRPr="001B07D6">
        <w:rPr>
          <w:rFonts w:asciiTheme="minorHAnsi" w:hAnsiTheme="minorHAnsi" w:cs="Times New Roman"/>
          <w:lang w:val="en-US"/>
        </w:rPr>
        <w:t xml:space="preserve"> and other domestic and international long-haul containerized shipments supported by the country’s rail intermodal network.</w:t>
      </w:r>
      <w:r w:rsidR="002B5A24">
        <w:rPr>
          <w:rStyle w:val="FootnoteReference"/>
          <w:rFonts w:asciiTheme="minorHAnsi" w:hAnsiTheme="minorHAnsi" w:cs="Times New Roman"/>
          <w:lang w:val="en-US"/>
        </w:rPr>
        <w:footnoteReference w:id="1"/>
      </w:r>
      <w:r w:rsidRPr="001B07D6">
        <w:rPr>
          <w:rFonts w:asciiTheme="minorHAnsi" w:hAnsiTheme="minorHAnsi" w:cs="Times New Roman"/>
          <w:lang w:val="en-US"/>
        </w:rPr>
        <w:t xml:space="preserve"> This has allowed shippers and logistics service providers to operate extended supply chains more efficiently, despite the increased operational complexity posed by longer distances, multiple modes, and several cargo hand-off points. But the role ILCs have played goes well beyond reducing logistics costs for firms. North American ILCs have become strategic tools for local and state governments to generate employment, stimulate economic activity, strengthen regional competitiveness, </w:t>
      </w:r>
      <w:r w:rsidRPr="001B07D6">
        <w:rPr>
          <w:rFonts w:asciiTheme="minorHAnsi" w:hAnsiTheme="minorHAnsi" w:cs="Times New Roman"/>
          <w:lang w:val="en-US"/>
        </w:rPr>
        <w:lastRenderedPageBreak/>
        <w:t>reduce urban congestion, and, critically, leverage limited public sector capital expenditures through pu</w:t>
      </w:r>
      <w:r w:rsidR="00B63946">
        <w:rPr>
          <w:rFonts w:asciiTheme="minorHAnsi" w:hAnsiTheme="minorHAnsi" w:cs="Times New Roman"/>
          <w:lang w:val="en-US"/>
        </w:rPr>
        <w:t>blic-</w:t>
      </w:r>
      <w:r w:rsidRPr="001B07D6">
        <w:rPr>
          <w:rFonts w:asciiTheme="minorHAnsi" w:hAnsiTheme="minorHAnsi" w:cs="Times New Roman"/>
          <w:lang w:val="en-US"/>
        </w:rPr>
        <w:t xml:space="preserve">private partnerships. </w:t>
      </w:r>
    </w:p>
    <w:p w:rsidR="001B07D6" w:rsidRPr="001B07D6" w:rsidRDefault="001B07D6" w:rsidP="001B07D6">
      <w:pPr>
        <w:pStyle w:val="ListParagraph"/>
        <w:ind w:left="0"/>
        <w:rPr>
          <w:rFonts w:asciiTheme="minorHAnsi" w:hAnsiTheme="minorHAnsi" w:cs="Times New Roman"/>
          <w:lang w:val="en-US"/>
        </w:rPr>
      </w:pPr>
    </w:p>
    <w:p w:rsidR="001B07D6" w:rsidRPr="001B07D6" w:rsidRDefault="001B07D6" w:rsidP="001B07D6">
      <w:pPr>
        <w:pStyle w:val="ListParagraph"/>
        <w:spacing w:after="200"/>
        <w:ind w:left="0"/>
        <w:rPr>
          <w:rFonts w:asciiTheme="minorHAnsi" w:hAnsiTheme="minorHAnsi" w:cs="Times New Roman"/>
          <w:lang w:val="en-US"/>
        </w:rPr>
      </w:pPr>
      <w:r w:rsidRPr="001B07D6">
        <w:rPr>
          <w:rFonts w:asciiTheme="minorHAnsi" w:hAnsiTheme="minorHAnsi" w:cs="Times New Roman"/>
          <w:b/>
          <w:lang w:val="en-US"/>
        </w:rPr>
        <w:t>While logistics parks have proliferated in China at breakneck speed over recent years, true ILCs are less common, and in fact the likely over-supply of logistics parks at present may reduce ILCs</w:t>
      </w:r>
      <w:r w:rsidR="00BE02F0">
        <w:rPr>
          <w:rFonts w:asciiTheme="minorHAnsi" w:hAnsiTheme="minorHAnsi" w:cs="Times New Roman"/>
          <w:b/>
          <w:lang w:val="en-US"/>
        </w:rPr>
        <w:t>’</w:t>
      </w:r>
      <w:r w:rsidRPr="001B07D6">
        <w:rPr>
          <w:rFonts w:asciiTheme="minorHAnsi" w:hAnsiTheme="minorHAnsi" w:cs="Times New Roman"/>
          <w:b/>
          <w:lang w:val="en-US"/>
        </w:rPr>
        <w:t xml:space="preserve"> potential in the country. </w:t>
      </w:r>
      <w:r w:rsidRPr="001B07D6">
        <w:rPr>
          <w:rFonts w:asciiTheme="minorHAnsi" w:hAnsiTheme="minorHAnsi" w:cs="Times New Roman"/>
          <w:lang w:val="en-US"/>
        </w:rPr>
        <w:t xml:space="preserve">According to the China Federation of Logistics and Purchasing (CFLP), the number of logistics parks, loosely defined, in China—whether in the planning stage, under construction or fully operational—grew at an average annual rate of </w:t>
      </w:r>
      <w:r w:rsidR="00C7782E">
        <w:rPr>
          <w:rFonts w:asciiTheme="minorHAnsi" w:hAnsiTheme="minorHAnsi" w:cs="Times New Roman"/>
          <w:lang w:val="en-US"/>
        </w:rPr>
        <w:t>24</w:t>
      </w:r>
      <w:r w:rsidR="00C7782E" w:rsidRPr="001B07D6">
        <w:rPr>
          <w:rFonts w:asciiTheme="minorHAnsi" w:hAnsiTheme="minorHAnsi" w:cs="Times New Roman"/>
          <w:lang w:val="en-US"/>
        </w:rPr>
        <w:t xml:space="preserve"> </w:t>
      </w:r>
      <w:r w:rsidRPr="001B07D6">
        <w:rPr>
          <w:rFonts w:asciiTheme="minorHAnsi" w:hAnsiTheme="minorHAnsi" w:cs="Times New Roman"/>
          <w:lang w:val="en-US"/>
        </w:rPr>
        <w:t>percent between 2006 and 201</w:t>
      </w:r>
      <w:r w:rsidR="00C7782E">
        <w:rPr>
          <w:rFonts w:asciiTheme="minorHAnsi" w:hAnsiTheme="minorHAnsi" w:cs="Times New Roman"/>
          <w:lang w:val="en-US"/>
        </w:rPr>
        <w:t>2</w:t>
      </w:r>
      <w:r w:rsidRPr="001B07D6">
        <w:rPr>
          <w:rFonts w:asciiTheme="minorHAnsi" w:hAnsiTheme="minorHAnsi" w:cs="Times New Roman"/>
          <w:lang w:val="en-US"/>
        </w:rPr>
        <w:t xml:space="preserve">. That is approximately </w:t>
      </w:r>
      <w:r w:rsidR="00C7782E">
        <w:rPr>
          <w:rFonts w:asciiTheme="minorHAnsi" w:hAnsiTheme="minorHAnsi" w:cs="Times New Roman"/>
          <w:lang w:val="en-US"/>
        </w:rPr>
        <w:t>two and a half</w:t>
      </w:r>
      <w:r w:rsidR="00C7782E" w:rsidRPr="001B07D6">
        <w:rPr>
          <w:rFonts w:asciiTheme="minorHAnsi" w:hAnsiTheme="minorHAnsi" w:cs="Times New Roman"/>
          <w:lang w:val="en-US"/>
        </w:rPr>
        <w:t xml:space="preserve"> </w:t>
      </w:r>
      <w:r w:rsidRPr="001B07D6">
        <w:rPr>
          <w:rFonts w:asciiTheme="minorHAnsi" w:hAnsiTheme="minorHAnsi" w:cs="Times New Roman"/>
          <w:lang w:val="en-US"/>
        </w:rPr>
        <w:t xml:space="preserve">times the rate of growth of the overall Chinese economy during the same period. By </w:t>
      </w:r>
      <w:r w:rsidR="00C7782E">
        <w:rPr>
          <w:rFonts w:asciiTheme="minorHAnsi" w:hAnsiTheme="minorHAnsi" w:cs="Times New Roman"/>
          <w:lang w:val="en-US"/>
        </w:rPr>
        <w:t>June</w:t>
      </w:r>
      <w:r w:rsidRPr="001B07D6">
        <w:rPr>
          <w:rFonts w:asciiTheme="minorHAnsi" w:hAnsiTheme="minorHAnsi" w:cs="Times New Roman"/>
          <w:lang w:val="en-US"/>
        </w:rPr>
        <w:t xml:space="preserve"> </w:t>
      </w:r>
      <w:r w:rsidR="00C7782E" w:rsidRPr="001B07D6">
        <w:rPr>
          <w:rFonts w:asciiTheme="minorHAnsi" w:hAnsiTheme="minorHAnsi" w:cs="Times New Roman"/>
          <w:lang w:val="en-US"/>
        </w:rPr>
        <w:t>201</w:t>
      </w:r>
      <w:r w:rsidR="00C7782E">
        <w:rPr>
          <w:rFonts w:asciiTheme="minorHAnsi" w:hAnsiTheme="minorHAnsi" w:cs="Times New Roman"/>
          <w:lang w:val="en-US"/>
        </w:rPr>
        <w:t>2</w:t>
      </w:r>
      <w:r w:rsidR="00C7782E" w:rsidRPr="001B07D6">
        <w:rPr>
          <w:rFonts w:asciiTheme="minorHAnsi" w:hAnsiTheme="minorHAnsi" w:cs="Times New Roman"/>
          <w:lang w:val="en-US"/>
        </w:rPr>
        <w:t xml:space="preserve"> </w:t>
      </w:r>
      <w:r w:rsidRPr="001B07D6">
        <w:rPr>
          <w:rFonts w:asciiTheme="minorHAnsi" w:hAnsiTheme="minorHAnsi" w:cs="Times New Roman"/>
          <w:lang w:val="en-US"/>
        </w:rPr>
        <w:t>there reportedly were 754 logistics parks in China, approximately half of which operational, about a third under construction, and the rest in the planning and design phase. The challenge is that, according to trade journal reports,</w:t>
      </w:r>
      <w:r w:rsidRPr="001B07D6">
        <w:rPr>
          <w:rStyle w:val="FootnoteReference"/>
          <w:rFonts w:asciiTheme="minorHAnsi" w:hAnsiTheme="minorHAnsi"/>
          <w:lang w:val="en-US"/>
        </w:rPr>
        <w:footnoteReference w:id="2"/>
      </w:r>
      <w:r w:rsidRPr="001B07D6">
        <w:rPr>
          <w:rFonts w:asciiTheme="minorHAnsi" w:hAnsiTheme="minorHAnsi" w:cs="Times New Roman"/>
          <w:lang w:val="en-US"/>
        </w:rPr>
        <w:t xml:space="preserve"> the performance of many such parks is constrained </w:t>
      </w:r>
      <w:r w:rsidR="008F6356" w:rsidRPr="001B07D6">
        <w:rPr>
          <w:rFonts w:asciiTheme="minorHAnsi" w:hAnsiTheme="minorHAnsi" w:cs="Times New Roman"/>
          <w:lang w:val="en-US"/>
        </w:rPr>
        <w:t xml:space="preserve">in practice </w:t>
      </w:r>
      <w:r w:rsidRPr="001B07D6">
        <w:rPr>
          <w:rFonts w:asciiTheme="minorHAnsi" w:hAnsiTheme="minorHAnsi" w:cs="Times New Roman"/>
          <w:lang w:val="en-US"/>
        </w:rPr>
        <w:t xml:space="preserve">by a lack of capable logistics service providers and insufficient availability of basic infrastructure, such as utility (power, sewage, water) and telecommunication services. The sheer number of logistics parks being built casts doubt over the </w:t>
      </w:r>
      <w:r w:rsidRPr="001B07D6">
        <w:rPr>
          <w:rFonts w:asciiTheme="minorHAnsi" w:hAnsiTheme="minorHAnsi" w:cs="Times New Roman"/>
          <w:lang w:val="en-US"/>
        </w:rPr>
        <w:lastRenderedPageBreak/>
        <w:t>robustness of the economic, financial, and technical appraisals underpinning them (the presence of multiple, likely overlapping facilities within the same conurbation is reportedly not uncommon). And the fragmentation of logistics facilities negates one of the key advantages of logistics parks in general and ILCs in particular: economies of agglomeration. As Chen and Lee (2013) note, “many Chinese logistics parks were built in a rush, without sufficient justification and with no definitive objectives [. . .] the value of current logistics parks in China needs to be reevaluated.”</w:t>
      </w:r>
    </w:p>
    <w:p w:rsidR="001B07D6" w:rsidRPr="001B07D6" w:rsidRDefault="001B07D6" w:rsidP="001B07D6">
      <w:pPr>
        <w:pStyle w:val="ListParagraph"/>
        <w:ind w:left="0"/>
        <w:rPr>
          <w:rFonts w:asciiTheme="minorHAnsi" w:hAnsiTheme="minorHAnsi" w:cs="Times New Roman"/>
          <w:lang w:val="en-US"/>
        </w:rPr>
      </w:pPr>
    </w:p>
    <w:p w:rsidR="001B07D6" w:rsidRPr="001B07D6" w:rsidRDefault="001B07D6" w:rsidP="001B07D6">
      <w:pPr>
        <w:pStyle w:val="ListParagraph"/>
        <w:spacing w:after="200"/>
        <w:ind w:left="0"/>
        <w:rPr>
          <w:rFonts w:asciiTheme="minorHAnsi" w:hAnsiTheme="minorHAnsi" w:cs="Times New Roman"/>
          <w:lang w:val="en-US"/>
        </w:rPr>
      </w:pPr>
      <w:r w:rsidRPr="001B07D6">
        <w:rPr>
          <w:rFonts w:asciiTheme="minorHAnsi" w:hAnsiTheme="minorHAnsi" w:cs="Times New Roman"/>
          <w:b/>
          <w:lang w:val="en-US"/>
        </w:rPr>
        <w:t>This note will argue that China could substantially benefit from developing a focused network of well-planned, economically justified, financially viable, and carefully implemented ILCs supported by rail intermodal operations.</w:t>
      </w:r>
      <w:r w:rsidRPr="001B07D6">
        <w:rPr>
          <w:rFonts w:asciiTheme="minorHAnsi" w:hAnsiTheme="minorHAnsi" w:cs="Times New Roman"/>
          <w:lang w:val="en-US"/>
        </w:rPr>
        <w:t xml:space="preserve"> Such a network could become a facilitator of manufacturing and services activity in China’s rapidly-growing </w:t>
      </w:r>
      <w:r w:rsidR="00C7782E">
        <w:rPr>
          <w:rFonts w:asciiTheme="minorHAnsi" w:hAnsiTheme="minorHAnsi" w:cs="Times New Roman"/>
          <w:lang w:val="en-US"/>
        </w:rPr>
        <w:t>w</w:t>
      </w:r>
      <w:r w:rsidRPr="001B07D6">
        <w:rPr>
          <w:rFonts w:asciiTheme="minorHAnsi" w:hAnsiTheme="minorHAnsi" w:cs="Times New Roman"/>
          <w:lang w:val="en-US"/>
        </w:rPr>
        <w:t xml:space="preserve">estern provinces. The note will first define ILCs in the context of myriad similar terms in logistics. It will then describe the nature of agglomeration economies made possible by ILCs.  It will then </w:t>
      </w:r>
      <w:r w:rsidR="000C22EB">
        <w:rPr>
          <w:rFonts w:asciiTheme="minorHAnsi" w:hAnsiTheme="minorHAnsi" w:cs="Times New Roman"/>
          <w:lang w:val="en-US"/>
        </w:rPr>
        <w:t>share</w:t>
      </w:r>
      <w:r w:rsidRPr="001B07D6">
        <w:rPr>
          <w:rFonts w:asciiTheme="minorHAnsi" w:hAnsiTheme="minorHAnsi" w:cs="Times New Roman"/>
          <w:lang w:val="en-US"/>
        </w:rPr>
        <w:t xml:space="preserve"> the experience and lessons learned in public policy from two of the most successful ILCs in North America: the CenterPoint Intermodal Centers near Chicago, Illinois; and the AllianceTexas development near Fort Worth, Texas. Last, the note will derive implications for China.</w:t>
      </w:r>
    </w:p>
    <w:p w:rsidR="001B07D6" w:rsidRPr="001B07D6" w:rsidRDefault="001B07D6" w:rsidP="001B07D6">
      <w:pPr>
        <w:pStyle w:val="ListParagraph"/>
        <w:ind w:left="0"/>
        <w:rPr>
          <w:rFonts w:asciiTheme="minorHAnsi" w:hAnsiTheme="minorHAnsi" w:cs="Times New Roman"/>
          <w:lang w:val="en-US"/>
        </w:rPr>
      </w:pPr>
    </w:p>
    <w:p w:rsidR="001B07D6" w:rsidRPr="001B07D6" w:rsidRDefault="001B07D6" w:rsidP="00B63946">
      <w:pPr>
        <w:pStyle w:val="ListParagraph"/>
        <w:spacing w:after="120"/>
        <w:ind w:left="0"/>
        <w:rPr>
          <w:rFonts w:asciiTheme="minorHAnsi" w:hAnsiTheme="minorHAnsi" w:cs="Times New Roman"/>
          <w:b/>
          <w:lang w:val="en-US"/>
        </w:rPr>
      </w:pPr>
      <w:r w:rsidRPr="001B07D6">
        <w:rPr>
          <w:rFonts w:asciiTheme="minorHAnsi" w:hAnsiTheme="minorHAnsi" w:cs="Times New Roman"/>
          <w:b/>
          <w:lang w:val="en-US"/>
        </w:rPr>
        <w:t>Key Definitions</w:t>
      </w:r>
    </w:p>
    <w:p w:rsidR="00B63946" w:rsidRDefault="00B63946" w:rsidP="00B63946">
      <w:pPr>
        <w:pStyle w:val="ListParagraph"/>
        <w:spacing w:after="120"/>
        <w:ind w:left="0"/>
        <w:rPr>
          <w:rFonts w:asciiTheme="minorHAnsi" w:hAnsiTheme="minorHAnsi" w:cs="Times New Roman"/>
          <w:b/>
          <w:lang w:val="en-US"/>
        </w:rPr>
      </w:pPr>
    </w:p>
    <w:p w:rsidR="001B07D6" w:rsidRPr="001B07D6" w:rsidRDefault="001B07D6" w:rsidP="00B63946">
      <w:pPr>
        <w:pStyle w:val="ListParagraph"/>
        <w:spacing w:after="120"/>
        <w:ind w:left="0"/>
        <w:rPr>
          <w:rFonts w:asciiTheme="minorHAnsi" w:hAnsiTheme="minorHAnsi" w:cs="Times New Roman"/>
          <w:lang w:val="en-US"/>
        </w:rPr>
      </w:pPr>
      <w:r w:rsidRPr="001B07D6">
        <w:rPr>
          <w:rFonts w:asciiTheme="minorHAnsi" w:hAnsiTheme="minorHAnsi" w:cs="Times New Roman"/>
          <w:b/>
          <w:lang w:val="en-US"/>
        </w:rPr>
        <w:t>Logistics as a discipline is ripe with technical jargon that all too often obscures points without necessarily adding analytical value to decision making; the agglomeration of containerized logistics activities is a case in point.</w:t>
      </w:r>
      <w:r w:rsidRPr="001B07D6">
        <w:rPr>
          <w:rFonts w:asciiTheme="minorHAnsi" w:hAnsiTheme="minorHAnsi" w:cs="Times New Roman"/>
          <w:lang w:val="en-US"/>
        </w:rPr>
        <w:t xml:space="preserve"> The terms logistics village, logistics park, logistics cluster, logistics platform, logistics center, dry port, inland port, inland container depot (ICD), container freight station (CFS), and consolidation/deconsolidation center all refer to the agglomeration of a given set of logistics activities at a particular, well-defined location. And while there may be technical differences </w:t>
      </w:r>
      <w:r w:rsidRPr="001B07D6">
        <w:rPr>
          <w:rFonts w:asciiTheme="minorHAnsi" w:hAnsiTheme="minorHAnsi" w:cs="Times New Roman"/>
          <w:lang w:val="en-US"/>
        </w:rPr>
        <w:lastRenderedPageBreak/>
        <w:t xml:space="preserve">between these terms, it can be argued that these differences exist, primarily, at the margin. From a policymaking point of view, these terms refer, fundamentally, to the physical organization of logistics activities where co-location of—and collaboration among—complementary activities creates value. In this vein, the key distinction between logistics clusters is the extent of this co-location (“agglomeration”) along the dimensions of multimodal transport connectivity, infra- and supra-structures to facilitate logistics services, and availability of human and technical (e.g., information technology) resources. For the purposes of this note, an ILC will be understood as an agglomeration of containerized logistics activities where the extent of activity co-location is </w:t>
      </w:r>
      <w:r w:rsidRPr="001B07D6">
        <w:rPr>
          <w:rFonts w:asciiTheme="minorHAnsi" w:hAnsiTheme="minorHAnsi" w:cs="Times New Roman"/>
          <w:i/>
          <w:lang w:val="en-US"/>
        </w:rPr>
        <w:t>substantial and comprehensive</w:t>
      </w:r>
      <w:r w:rsidRPr="001B07D6">
        <w:rPr>
          <w:rFonts w:asciiTheme="minorHAnsi" w:hAnsiTheme="minorHAnsi" w:cs="Times New Roman"/>
          <w:lang w:val="en-US"/>
        </w:rPr>
        <w:t xml:space="preserve"> rather than limited.</w:t>
      </w:r>
    </w:p>
    <w:p w:rsidR="001B07D6" w:rsidRPr="001B07D6" w:rsidRDefault="001B07D6" w:rsidP="001B07D6">
      <w:pPr>
        <w:pStyle w:val="ListParagraph"/>
        <w:ind w:left="0"/>
        <w:rPr>
          <w:rFonts w:asciiTheme="minorHAnsi" w:hAnsiTheme="minorHAnsi" w:cs="Times New Roman"/>
          <w:lang w:val="en-US"/>
        </w:rPr>
      </w:pPr>
    </w:p>
    <w:p w:rsidR="001B07D6" w:rsidRPr="001B07D6" w:rsidRDefault="001B07D6" w:rsidP="001B07D6">
      <w:pPr>
        <w:pStyle w:val="ListParagraph"/>
        <w:spacing w:after="200"/>
        <w:ind w:left="0"/>
        <w:rPr>
          <w:rFonts w:asciiTheme="minorHAnsi" w:hAnsiTheme="minorHAnsi" w:cs="Times New Roman"/>
          <w:lang w:val="en-US"/>
        </w:rPr>
      </w:pPr>
      <w:r w:rsidRPr="001B07D6">
        <w:rPr>
          <w:rFonts w:asciiTheme="minorHAnsi" w:hAnsiTheme="minorHAnsi" w:cs="Times New Roman"/>
          <w:b/>
          <w:lang w:val="en-US"/>
        </w:rPr>
        <w:t xml:space="preserve">The ready availability of multimodal transport connectivity is the most critical component of any cluster of logistics activities. </w:t>
      </w:r>
      <w:r w:rsidRPr="001B07D6">
        <w:rPr>
          <w:rFonts w:asciiTheme="minorHAnsi" w:hAnsiTheme="minorHAnsi" w:cs="Times New Roman"/>
          <w:lang w:val="en-US"/>
        </w:rPr>
        <w:t xml:space="preserve">In particular, successful North American ILCs are </w:t>
      </w:r>
      <w:r w:rsidRPr="001B07D6">
        <w:rPr>
          <w:rFonts w:asciiTheme="minorHAnsi" w:hAnsiTheme="minorHAnsi" w:cs="Times New Roman"/>
          <w:i/>
          <w:lang w:val="en-US"/>
        </w:rPr>
        <w:t>anchored</w:t>
      </w:r>
      <w:r w:rsidRPr="001B07D6">
        <w:rPr>
          <w:rFonts w:asciiTheme="minorHAnsi" w:hAnsiTheme="minorHAnsi" w:cs="Times New Roman"/>
          <w:lang w:val="en-US"/>
        </w:rPr>
        <w:t xml:space="preserve"> by one or more rail intermodal </w:t>
      </w:r>
      <w:r w:rsidR="009E023B">
        <w:rPr>
          <w:rFonts w:asciiTheme="minorHAnsi" w:hAnsiTheme="minorHAnsi" w:cs="Times New Roman"/>
          <w:lang w:val="en-US"/>
        </w:rPr>
        <w:t>terminals</w:t>
      </w:r>
      <w:r w:rsidRPr="001B07D6">
        <w:rPr>
          <w:rFonts w:asciiTheme="minorHAnsi" w:hAnsiTheme="minorHAnsi" w:cs="Times New Roman"/>
          <w:lang w:val="en-US"/>
        </w:rPr>
        <w:t xml:space="preserve">, supported by access to national and regional highways and the presence, with varying degrees of proximity, of one or more airports. In this context, “ready availability” of multimodal transport alludes to the fact that congestion, whether in highways or on rail, must be avoided or kept to a minimum for an ILC to become attractive. As a result, successful ILCs tend to be located in suburban locations, close enough to large conurbations </w:t>
      </w:r>
      <w:r w:rsidR="00EE50C4">
        <w:rPr>
          <w:rFonts w:asciiTheme="minorHAnsi" w:hAnsiTheme="minorHAnsi" w:cs="Times New Roman"/>
          <w:lang w:val="en-US"/>
        </w:rPr>
        <w:t xml:space="preserve">so that these may </w:t>
      </w:r>
      <w:r w:rsidRPr="001B07D6">
        <w:rPr>
          <w:rFonts w:asciiTheme="minorHAnsi" w:hAnsiTheme="minorHAnsi" w:cs="Times New Roman"/>
          <w:lang w:val="en-US"/>
        </w:rPr>
        <w:t xml:space="preserve">act as natural volume-generating hinterlands but away from the congested access arteries to major cities. </w:t>
      </w:r>
    </w:p>
    <w:p w:rsidR="001B07D6" w:rsidRPr="001B07D6" w:rsidRDefault="001B07D6" w:rsidP="001B07D6">
      <w:pPr>
        <w:pStyle w:val="ListParagraph"/>
        <w:rPr>
          <w:rFonts w:asciiTheme="minorHAnsi" w:hAnsiTheme="minorHAnsi" w:cs="Times New Roman"/>
          <w:lang w:val="en-US"/>
        </w:rPr>
      </w:pPr>
    </w:p>
    <w:p w:rsidR="001B07D6" w:rsidRPr="001B07D6" w:rsidRDefault="001B07D6" w:rsidP="001B07D6">
      <w:pPr>
        <w:pStyle w:val="ListParagraph"/>
        <w:spacing w:after="200"/>
        <w:ind w:left="0"/>
        <w:rPr>
          <w:rFonts w:asciiTheme="minorHAnsi" w:hAnsiTheme="minorHAnsi" w:cs="Times New Roman"/>
          <w:lang w:val="en-US"/>
        </w:rPr>
      </w:pPr>
      <w:r w:rsidRPr="001B07D6">
        <w:rPr>
          <w:rFonts w:asciiTheme="minorHAnsi" w:hAnsiTheme="minorHAnsi" w:cs="Times New Roman"/>
          <w:b/>
          <w:lang w:val="en-US"/>
        </w:rPr>
        <w:t>The presence of multimodal transport connectivity enables an ecosystem of logistics activities that allow ILCs to bring together an integrated—</w:t>
      </w:r>
      <w:r w:rsidR="00430633">
        <w:rPr>
          <w:rFonts w:asciiTheme="minorHAnsi" w:hAnsiTheme="minorHAnsi" w:cs="Times New Roman"/>
          <w:b/>
          <w:lang w:val="en-US"/>
        </w:rPr>
        <w:t>in other words,</w:t>
      </w:r>
      <w:r w:rsidRPr="001B07D6">
        <w:rPr>
          <w:rFonts w:asciiTheme="minorHAnsi" w:hAnsiTheme="minorHAnsi" w:cs="Times New Roman"/>
          <w:b/>
          <w:lang w:val="en-US"/>
        </w:rPr>
        <w:t xml:space="preserve"> comprehensive—set of services and logistics solutions.</w:t>
      </w:r>
      <w:r w:rsidRPr="001B07D6">
        <w:rPr>
          <w:rFonts w:asciiTheme="minorHAnsi" w:hAnsiTheme="minorHAnsi" w:cs="Times New Roman"/>
          <w:lang w:val="en-US"/>
        </w:rPr>
        <w:t xml:space="preserve"> The latter include asset-based trucking, air, and rail </w:t>
      </w:r>
      <w:r w:rsidRPr="001B07D6">
        <w:rPr>
          <w:rFonts w:asciiTheme="minorHAnsi" w:hAnsiTheme="minorHAnsi" w:cs="Times New Roman"/>
          <w:lang w:val="en-US"/>
        </w:rPr>
        <w:lastRenderedPageBreak/>
        <w:t>transport services;</w:t>
      </w:r>
      <w:r w:rsidR="008819C9" w:rsidRPr="008819C9">
        <w:rPr>
          <w:rStyle w:val="FootnoteReference"/>
          <w:rFonts w:asciiTheme="minorHAnsi" w:hAnsiTheme="minorHAnsi" w:cs="Times New Roman"/>
          <w:lang w:val="en-US"/>
        </w:rPr>
        <w:t xml:space="preserve"> </w:t>
      </w:r>
      <w:r w:rsidR="008819C9">
        <w:rPr>
          <w:rStyle w:val="FootnoteReference"/>
          <w:rFonts w:asciiTheme="minorHAnsi" w:hAnsiTheme="minorHAnsi" w:cs="Times New Roman"/>
          <w:lang w:val="en-US"/>
        </w:rPr>
        <w:footnoteReference w:id="3"/>
      </w:r>
      <w:r w:rsidRPr="001B07D6">
        <w:rPr>
          <w:rFonts w:asciiTheme="minorHAnsi" w:hAnsiTheme="minorHAnsi" w:cs="Times New Roman"/>
          <w:lang w:val="en-US"/>
        </w:rPr>
        <w:t xml:space="preserve"> freight forwarding and other non-asset based transportation services; dedicated and </w:t>
      </w:r>
      <w:r w:rsidR="00430633">
        <w:rPr>
          <w:rFonts w:asciiTheme="minorHAnsi" w:hAnsiTheme="minorHAnsi" w:cs="Times New Roman"/>
          <w:lang w:val="en-US"/>
        </w:rPr>
        <w:t>multi-tenant</w:t>
      </w:r>
      <w:r w:rsidRPr="001B07D6">
        <w:rPr>
          <w:rFonts w:asciiTheme="minorHAnsi" w:hAnsiTheme="minorHAnsi" w:cs="Times New Roman"/>
          <w:lang w:val="en-US"/>
        </w:rPr>
        <w:t xml:space="preserve"> warehousing and distrib</w:t>
      </w:r>
      <w:r w:rsidR="00430633">
        <w:rPr>
          <w:rFonts w:asciiTheme="minorHAnsi" w:hAnsiTheme="minorHAnsi" w:cs="Times New Roman"/>
          <w:lang w:val="en-US"/>
        </w:rPr>
        <w:t>ution facilities; consolidation-</w:t>
      </w:r>
      <w:r w:rsidRPr="001B07D6">
        <w:rPr>
          <w:rFonts w:asciiTheme="minorHAnsi" w:hAnsiTheme="minorHAnsi" w:cs="Times New Roman"/>
          <w:lang w:val="en-US"/>
        </w:rPr>
        <w:t xml:space="preserve">deconsolidation facilities </w:t>
      </w:r>
      <w:r w:rsidR="008B01DC">
        <w:rPr>
          <w:rFonts w:asciiTheme="minorHAnsi" w:hAnsiTheme="minorHAnsi" w:cs="Times New Roman"/>
          <w:lang w:val="en-US"/>
        </w:rPr>
        <w:t xml:space="preserve">and </w:t>
      </w:r>
      <w:r w:rsidRPr="001B07D6">
        <w:rPr>
          <w:rFonts w:asciiTheme="minorHAnsi" w:hAnsiTheme="minorHAnsi" w:cs="Times New Roman"/>
          <w:lang w:val="en-US"/>
        </w:rPr>
        <w:t xml:space="preserve">container freight stations; light manufacturing and other industrial facilities; financial, insurance, and managerial office space; container storage, repair and scrapping facilities; chassis pools; and other support services. </w:t>
      </w:r>
    </w:p>
    <w:p w:rsidR="00802035" w:rsidRDefault="00802035" w:rsidP="001B07D6">
      <w:pPr>
        <w:rPr>
          <w:rFonts w:asciiTheme="minorHAnsi" w:hAnsiTheme="minorHAnsi" w:cs="Times New Roman"/>
          <w:b/>
          <w:lang w:val="en-US"/>
        </w:rPr>
      </w:pPr>
    </w:p>
    <w:p w:rsidR="001B07D6" w:rsidRPr="001B07D6" w:rsidRDefault="001B07D6" w:rsidP="001B07D6">
      <w:pPr>
        <w:rPr>
          <w:rFonts w:asciiTheme="minorHAnsi" w:hAnsiTheme="minorHAnsi" w:cs="Times New Roman"/>
          <w:b/>
          <w:lang w:val="en-US"/>
        </w:rPr>
      </w:pPr>
      <w:r w:rsidRPr="001B07D6">
        <w:rPr>
          <w:rFonts w:asciiTheme="minorHAnsi" w:hAnsiTheme="minorHAnsi" w:cs="Times New Roman"/>
          <w:b/>
          <w:lang w:val="en-US"/>
        </w:rPr>
        <w:t>Why Agglomeration Creates Value in Logistics</w:t>
      </w:r>
    </w:p>
    <w:p w:rsidR="00802035" w:rsidRDefault="00802035" w:rsidP="001B07D6">
      <w:pPr>
        <w:pStyle w:val="ListParagraph"/>
        <w:spacing w:after="200"/>
        <w:ind w:left="0"/>
        <w:rPr>
          <w:rFonts w:asciiTheme="minorHAnsi" w:hAnsiTheme="minorHAnsi" w:cs="Times New Roman"/>
          <w:b/>
          <w:lang w:val="en-US"/>
        </w:rPr>
      </w:pPr>
    </w:p>
    <w:p w:rsidR="001B07D6" w:rsidRPr="001B07D6" w:rsidRDefault="001B07D6" w:rsidP="001B07D6">
      <w:pPr>
        <w:pStyle w:val="ListParagraph"/>
        <w:spacing w:after="200"/>
        <w:ind w:left="0"/>
        <w:rPr>
          <w:rFonts w:asciiTheme="minorHAnsi" w:hAnsiTheme="minorHAnsi" w:cs="Times New Roman"/>
          <w:lang w:val="en-US"/>
        </w:rPr>
      </w:pPr>
      <w:r w:rsidRPr="001B07D6">
        <w:rPr>
          <w:rFonts w:asciiTheme="minorHAnsi" w:hAnsiTheme="minorHAnsi" w:cs="Times New Roman"/>
          <w:b/>
          <w:lang w:val="en-US"/>
        </w:rPr>
        <w:t>There is a vast literature</w:t>
      </w:r>
      <w:r w:rsidR="008819C9">
        <w:rPr>
          <w:rFonts w:asciiTheme="minorHAnsi" w:hAnsiTheme="minorHAnsi" w:cs="Times New Roman"/>
          <w:b/>
          <w:lang w:val="en-US"/>
        </w:rPr>
        <w:t xml:space="preserve"> in economics and management</w:t>
      </w:r>
      <w:r w:rsidRPr="001B07D6">
        <w:rPr>
          <w:rFonts w:asciiTheme="minorHAnsi" w:hAnsiTheme="minorHAnsi" w:cs="Times New Roman"/>
          <w:b/>
          <w:lang w:val="en-US"/>
        </w:rPr>
        <w:t xml:space="preserve"> that demonstrates the advantages generated by industrial clusters (e.g., Silicon Valley in software);</w:t>
      </w:r>
      <w:r w:rsidR="008819C9" w:rsidRPr="008819C9">
        <w:rPr>
          <w:rStyle w:val="FootnoteReference"/>
          <w:rFonts w:asciiTheme="minorHAnsi" w:hAnsiTheme="minorHAnsi"/>
          <w:b/>
          <w:lang w:val="en-US"/>
        </w:rPr>
        <w:t xml:space="preserve"> </w:t>
      </w:r>
      <w:r w:rsidR="008819C9" w:rsidRPr="001B07D6">
        <w:rPr>
          <w:rStyle w:val="FootnoteReference"/>
          <w:rFonts w:asciiTheme="minorHAnsi" w:hAnsiTheme="minorHAnsi"/>
          <w:b/>
          <w:lang w:val="en-US"/>
        </w:rPr>
        <w:footnoteReference w:id="4"/>
      </w:r>
      <w:r w:rsidRPr="001B07D6">
        <w:rPr>
          <w:rFonts w:asciiTheme="minorHAnsi" w:hAnsiTheme="minorHAnsi" w:cs="Times New Roman"/>
          <w:b/>
          <w:lang w:val="en-US"/>
        </w:rPr>
        <w:t xml:space="preserve"> logistics clusters are no different.</w:t>
      </w:r>
      <w:r w:rsidRPr="001B07D6">
        <w:rPr>
          <w:rFonts w:asciiTheme="minorHAnsi" w:hAnsiTheme="minorHAnsi" w:cs="Times New Roman"/>
          <w:lang w:val="en-US"/>
        </w:rPr>
        <w:t xml:space="preserve"> According to Sheffi (2013), logistics clusters generate value</w:t>
      </w:r>
      <w:r w:rsidRPr="001B07D6">
        <w:rPr>
          <w:rStyle w:val="FootnoteReference"/>
          <w:rFonts w:asciiTheme="minorHAnsi" w:hAnsiTheme="minorHAnsi"/>
          <w:lang w:val="en-US"/>
        </w:rPr>
        <w:footnoteReference w:id="5"/>
      </w:r>
      <w:r w:rsidRPr="001B07D6">
        <w:rPr>
          <w:rFonts w:asciiTheme="minorHAnsi" w:hAnsiTheme="minorHAnsi" w:cs="Times New Roman"/>
          <w:lang w:val="en-US"/>
        </w:rPr>
        <w:t xml:space="preserve"> through (a) transportation-related operational advantages; and (b) inter-firm collaboration in the form of asset sharing. Sheffi observes that the agglomeration of transportation activities in a logistics cluster results in economies of scope, scale, density, and frequency, as follows:</w:t>
      </w:r>
      <w:r w:rsidR="008B01DC">
        <w:rPr>
          <w:rFonts w:asciiTheme="minorHAnsi" w:hAnsiTheme="minorHAnsi" w:cs="Times New Roman"/>
          <w:lang w:val="en-US"/>
        </w:rPr>
        <w:t xml:space="preserve"> </w:t>
      </w:r>
      <w:r w:rsidR="008819C9">
        <w:rPr>
          <w:rFonts w:asciiTheme="minorHAnsi" w:hAnsiTheme="minorHAnsi" w:cs="Times New Roman"/>
          <w:lang w:val="en-US"/>
        </w:rPr>
        <w:t xml:space="preserve"> </w:t>
      </w:r>
    </w:p>
    <w:p w:rsidR="001B07D6" w:rsidRPr="001B07D6" w:rsidRDefault="001B07D6" w:rsidP="001B07D6">
      <w:pPr>
        <w:pStyle w:val="ListParagraph"/>
        <w:ind w:left="0"/>
        <w:rPr>
          <w:rFonts w:asciiTheme="minorHAnsi" w:hAnsiTheme="minorHAnsi" w:cs="Times New Roman"/>
          <w:lang w:val="en-US"/>
        </w:rPr>
      </w:pPr>
    </w:p>
    <w:p w:rsidR="001B07D6" w:rsidRPr="001B07D6" w:rsidRDefault="001B07D6" w:rsidP="008147B0">
      <w:pPr>
        <w:pStyle w:val="ListParagraph"/>
        <w:numPr>
          <w:ilvl w:val="0"/>
          <w:numId w:val="28"/>
        </w:numPr>
        <w:spacing w:after="200"/>
        <w:ind w:left="0" w:firstLine="0"/>
        <w:rPr>
          <w:rFonts w:asciiTheme="minorHAnsi" w:hAnsiTheme="minorHAnsi" w:cs="Times New Roman"/>
          <w:lang w:val="en-US"/>
        </w:rPr>
      </w:pPr>
      <w:r w:rsidRPr="001B07D6">
        <w:rPr>
          <w:rFonts w:asciiTheme="minorHAnsi" w:hAnsiTheme="minorHAnsi" w:cs="Times New Roman"/>
          <w:i/>
          <w:lang w:val="en-US"/>
        </w:rPr>
        <w:t>Economies of Scope</w:t>
      </w:r>
      <w:r w:rsidRPr="001B07D6">
        <w:rPr>
          <w:rFonts w:asciiTheme="minorHAnsi" w:hAnsiTheme="minorHAnsi" w:cs="Times New Roman"/>
          <w:lang w:val="en-US"/>
        </w:rPr>
        <w:t xml:space="preserve"> are generated from the directionally balanced nature of freight flows moving in and out of the cluster, which reduces the cost of transportation service provision. Non-clustered, fragmented logistics operations are </w:t>
      </w:r>
      <w:r w:rsidRPr="001B07D6">
        <w:rPr>
          <w:rFonts w:asciiTheme="minorHAnsi" w:hAnsiTheme="minorHAnsi" w:cs="Times New Roman"/>
          <w:lang w:val="en-US"/>
        </w:rPr>
        <w:lastRenderedPageBreak/>
        <w:t>typically characterized by imbalanced flows between headhaul and backhaul lanes. This forces carriers to incur high rates of empty (“deadhead”) or low-load-factor moves in backhauls, which generate little or no revenue and therefore reduce operating efficiency.  As the number of firms located in the cluster grows, increasing cluster density, the cluster’s multi-directional freight generation potential rises and the incidence of economies of scope increases.</w:t>
      </w:r>
    </w:p>
    <w:p w:rsidR="001B07D6" w:rsidRPr="001B07D6" w:rsidRDefault="001B07D6" w:rsidP="008147B0">
      <w:pPr>
        <w:pStyle w:val="ListParagraph"/>
        <w:ind w:left="0"/>
        <w:rPr>
          <w:rFonts w:asciiTheme="minorHAnsi" w:hAnsiTheme="minorHAnsi" w:cs="Times New Roman"/>
          <w:lang w:val="en-US"/>
        </w:rPr>
      </w:pPr>
    </w:p>
    <w:p w:rsidR="001B07D6" w:rsidRPr="001B07D6" w:rsidRDefault="001B07D6" w:rsidP="008147B0">
      <w:pPr>
        <w:pStyle w:val="ListParagraph"/>
        <w:numPr>
          <w:ilvl w:val="0"/>
          <w:numId w:val="28"/>
        </w:numPr>
        <w:spacing w:after="200"/>
        <w:ind w:left="0" w:firstLine="0"/>
        <w:rPr>
          <w:rFonts w:asciiTheme="minorHAnsi" w:hAnsiTheme="minorHAnsi" w:cs="Times New Roman"/>
          <w:lang w:val="en-US"/>
        </w:rPr>
      </w:pPr>
      <w:r w:rsidRPr="001B07D6">
        <w:rPr>
          <w:rFonts w:asciiTheme="minorHAnsi" w:hAnsiTheme="minorHAnsi" w:cs="Times New Roman"/>
          <w:i/>
          <w:lang w:val="en-US"/>
        </w:rPr>
        <w:t xml:space="preserve">Economies of Scale </w:t>
      </w:r>
      <w:r w:rsidRPr="001B07D6">
        <w:rPr>
          <w:rFonts w:asciiTheme="minorHAnsi" w:hAnsiTheme="minorHAnsi" w:cs="Times New Roman"/>
          <w:lang w:val="en-US"/>
        </w:rPr>
        <w:t xml:space="preserve">arise from the larger freight volumes that a logistics cluster can generate relative to non-clustered operations. Larger volumes result in higher load factors, the use of larger transport units (e.g., </w:t>
      </w:r>
      <w:r w:rsidR="008B01DC">
        <w:rPr>
          <w:rFonts w:asciiTheme="minorHAnsi" w:hAnsiTheme="minorHAnsi" w:cs="Times New Roman"/>
          <w:lang w:val="en-US"/>
        </w:rPr>
        <w:t xml:space="preserve">larger </w:t>
      </w:r>
      <w:r w:rsidRPr="001B07D6">
        <w:rPr>
          <w:rFonts w:asciiTheme="minorHAnsi" w:hAnsiTheme="minorHAnsi" w:cs="Times New Roman"/>
          <w:lang w:val="en-US"/>
        </w:rPr>
        <w:t>-trailers, unit trains, vessels, and the like), and a higher incidence of direct point-to-point service, all of which reduce the cost of transportation service provision</w:t>
      </w:r>
      <w:r w:rsidR="008B01DC">
        <w:t>—</w:t>
      </w:r>
      <w:r w:rsidR="008B01DC">
        <w:rPr>
          <w:rFonts w:asciiTheme="minorHAnsi" w:hAnsiTheme="minorHAnsi" w:cs="Times New Roman"/>
          <w:lang w:val="en-US"/>
        </w:rPr>
        <w:t>including environmental externalities</w:t>
      </w:r>
      <w:r w:rsidR="008B01DC">
        <w:t>—</w:t>
      </w:r>
      <w:r w:rsidRPr="001B07D6">
        <w:rPr>
          <w:rFonts w:asciiTheme="minorHAnsi" w:hAnsiTheme="minorHAnsi" w:cs="Times New Roman"/>
          <w:lang w:val="en-US"/>
        </w:rPr>
        <w:t>per ton-kilometer transported. This may also result in further reductions in overall logistics costs for shippers via lower inventory carrying costs.</w:t>
      </w:r>
      <w:r w:rsidR="008B01DC">
        <w:rPr>
          <w:rFonts w:asciiTheme="minorHAnsi" w:hAnsiTheme="minorHAnsi" w:cs="Times New Roman"/>
          <w:lang w:val="en-US"/>
        </w:rPr>
        <w:t xml:space="preserve"> </w:t>
      </w:r>
    </w:p>
    <w:p w:rsidR="001B07D6" w:rsidRPr="001B07D6" w:rsidRDefault="001B07D6" w:rsidP="008147B0">
      <w:pPr>
        <w:pStyle w:val="ListParagraph"/>
        <w:ind w:left="0"/>
        <w:rPr>
          <w:rFonts w:asciiTheme="minorHAnsi" w:hAnsiTheme="minorHAnsi" w:cs="Times New Roman"/>
          <w:lang w:val="en-US"/>
        </w:rPr>
      </w:pPr>
    </w:p>
    <w:p w:rsidR="001B07D6" w:rsidRPr="001B07D6" w:rsidRDefault="001B07D6" w:rsidP="008147B0">
      <w:pPr>
        <w:pStyle w:val="ListParagraph"/>
        <w:numPr>
          <w:ilvl w:val="0"/>
          <w:numId w:val="28"/>
        </w:numPr>
        <w:spacing w:after="200"/>
        <w:ind w:left="0" w:firstLine="0"/>
        <w:rPr>
          <w:rFonts w:asciiTheme="minorHAnsi" w:hAnsiTheme="minorHAnsi" w:cs="Times New Roman"/>
          <w:lang w:val="en-US"/>
        </w:rPr>
      </w:pPr>
      <w:r w:rsidRPr="001B07D6">
        <w:rPr>
          <w:rFonts w:asciiTheme="minorHAnsi" w:hAnsiTheme="minorHAnsi" w:cs="Times New Roman"/>
          <w:i/>
          <w:lang w:val="en-US"/>
        </w:rPr>
        <w:t>Economies of Density</w:t>
      </w:r>
      <w:r w:rsidRPr="001B07D6">
        <w:rPr>
          <w:rFonts w:asciiTheme="minorHAnsi" w:hAnsiTheme="minorHAnsi" w:cs="Times New Roman"/>
          <w:lang w:val="en-US"/>
        </w:rPr>
        <w:t xml:space="preserve"> result from the agglomeration of freight-generating firms in close physical proximity, which reduces the cost of first- and last-mile consolidated logistics, such as the provision of less-than-truckload (LTL) services.</w:t>
      </w:r>
      <w:r w:rsidR="00DE68A1">
        <w:rPr>
          <w:rStyle w:val="FootnoteReference"/>
          <w:rFonts w:asciiTheme="minorHAnsi" w:hAnsiTheme="minorHAnsi" w:cs="Times New Roman"/>
          <w:lang w:val="en-US"/>
        </w:rPr>
        <w:footnoteReference w:id="6"/>
      </w:r>
    </w:p>
    <w:p w:rsidR="001B07D6" w:rsidRPr="001B07D6" w:rsidRDefault="001B07D6" w:rsidP="008147B0">
      <w:pPr>
        <w:pStyle w:val="ListParagraph"/>
        <w:ind w:left="0"/>
        <w:rPr>
          <w:rFonts w:asciiTheme="minorHAnsi" w:hAnsiTheme="minorHAnsi" w:cs="Times New Roman"/>
          <w:lang w:val="en-US"/>
        </w:rPr>
      </w:pPr>
    </w:p>
    <w:p w:rsidR="001B07D6" w:rsidRPr="001B07D6" w:rsidRDefault="001B07D6" w:rsidP="008147B0">
      <w:pPr>
        <w:pStyle w:val="ListParagraph"/>
        <w:numPr>
          <w:ilvl w:val="0"/>
          <w:numId w:val="28"/>
        </w:numPr>
        <w:spacing w:after="200"/>
        <w:ind w:left="0" w:firstLine="0"/>
        <w:rPr>
          <w:rFonts w:asciiTheme="minorHAnsi" w:hAnsiTheme="minorHAnsi" w:cs="Times New Roman"/>
          <w:lang w:val="en-US"/>
        </w:rPr>
      </w:pPr>
      <w:r w:rsidRPr="001B07D6">
        <w:rPr>
          <w:rFonts w:asciiTheme="minorHAnsi" w:hAnsiTheme="minorHAnsi" w:cs="Times New Roman"/>
          <w:i/>
          <w:lang w:val="en-US"/>
        </w:rPr>
        <w:t>Economies of Frequency</w:t>
      </w:r>
      <w:r w:rsidRPr="001B07D6">
        <w:rPr>
          <w:rFonts w:asciiTheme="minorHAnsi" w:hAnsiTheme="minorHAnsi" w:cs="Times New Roman"/>
          <w:lang w:val="en-US"/>
        </w:rPr>
        <w:t xml:space="preserve">, like those of density, also apply to consolidated (or less-than-full-load) logistics operations, whereby the presence of numerous freight-generating entities in a cluster will be able to fill a specific transport unit load (say, a marine container) more frequently by pooling their freight. This can </w:t>
      </w:r>
      <w:r w:rsidRPr="001B07D6">
        <w:rPr>
          <w:rFonts w:asciiTheme="minorHAnsi" w:hAnsiTheme="minorHAnsi" w:cs="Times New Roman"/>
          <w:lang w:val="en-US"/>
        </w:rPr>
        <w:lastRenderedPageBreak/>
        <w:t xml:space="preserve">shave days out of supply chain cycles by preventing individual firms from having to wait until enough freight is generated on their own to fill a given unit load before commencing transportation. </w:t>
      </w:r>
    </w:p>
    <w:p w:rsidR="001B07D6" w:rsidRPr="001B07D6" w:rsidRDefault="001B07D6" w:rsidP="001B07D6">
      <w:pPr>
        <w:rPr>
          <w:rFonts w:asciiTheme="minorHAnsi" w:hAnsiTheme="minorHAnsi" w:cs="Times New Roman"/>
          <w:lang w:val="en-US"/>
        </w:rPr>
      </w:pPr>
      <w:r w:rsidRPr="001B07D6">
        <w:rPr>
          <w:rFonts w:asciiTheme="minorHAnsi" w:hAnsiTheme="minorHAnsi" w:cs="Times New Roman"/>
          <w:lang w:val="en-US"/>
        </w:rPr>
        <w:t xml:space="preserve">The sharing of high-fixed cost physical assets and other valuable resources, such as human resources, is a fifth value-creation advantage of logistics clusters. This can be referred to as the generation of </w:t>
      </w:r>
      <w:r w:rsidRPr="001B07D6">
        <w:rPr>
          <w:rFonts w:asciiTheme="minorHAnsi" w:hAnsiTheme="minorHAnsi" w:cs="Times New Roman"/>
          <w:i/>
          <w:lang w:val="en-US"/>
        </w:rPr>
        <w:t>Economies of Co-location</w:t>
      </w:r>
      <w:r w:rsidRPr="001B07D6">
        <w:rPr>
          <w:rFonts w:asciiTheme="minorHAnsi" w:hAnsiTheme="minorHAnsi" w:cs="Times New Roman"/>
          <w:lang w:val="en-US"/>
        </w:rPr>
        <w:t>. For example, logistics clusters facilitate the optimal allocation of transportation capacity (say, airfreight carrying capacity) among carriers or third-party logistics service providers (3PLs) when they are co-located. If a carrier has spare capacity, it can make it available to a competing carrier in need of capacity at the same location, capacity that would have otherwise moved empty (and therefore been lost) in a non-clustered setting. Similarly, clusters facilitate the sharing of labor resources, such as qualified warehousing and cargo handling staff, either through staffing agencies acting as middleman between service providers or organized by the service providers themselves. All these cases result in better capacity utilization, higher return on capital employed, and value creation.</w:t>
      </w:r>
    </w:p>
    <w:p w:rsidR="001B07D6" w:rsidRPr="001B07D6" w:rsidRDefault="001B07D6" w:rsidP="001B07D6">
      <w:pPr>
        <w:pStyle w:val="ListParagraph"/>
        <w:spacing w:after="200"/>
        <w:ind w:left="0"/>
        <w:rPr>
          <w:rFonts w:asciiTheme="minorHAnsi" w:hAnsiTheme="minorHAnsi" w:cs="Times New Roman"/>
          <w:b/>
          <w:lang w:val="en-US"/>
        </w:rPr>
      </w:pPr>
    </w:p>
    <w:p w:rsidR="001B07D6" w:rsidRPr="001B07D6" w:rsidRDefault="001B07D6" w:rsidP="001B07D6">
      <w:pPr>
        <w:pStyle w:val="ListParagraph"/>
        <w:spacing w:after="200"/>
        <w:ind w:left="0"/>
        <w:rPr>
          <w:rFonts w:asciiTheme="minorHAnsi" w:hAnsiTheme="minorHAnsi" w:cs="Times New Roman"/>
          <w:b/>
          <w:lang w:val="en-US"/>
        </w:rPr>
      </w:pPr>
      <w:r w:rsidRPr="001B07D6">
        <w:rPr>
          <w:rFonts w:asciiTheme="minorHAnsi" w:hAnsiTheme="minorHAnsi" w:cs="Times New Roman"/>
          <w:b/>
          <w:lang w:val="en-US"/>
        </w:rPr>
        <w:t>Given that the above advantages build on and increase with scale, more integrated (i.e., more comprehensive) logistics clusters—such as ILCs—</w:t>
      </w:r>
      <w:r w:rsidR="00B63946">
        <w:rPr>
          <w:rFonts w:asciiTheme="minorHAnsi" w:hAnsiTheme="minorHAnsi" w:cs="Times New Roman"/>
          <w:b/>
          <w:lang w:val="en-US"/>
        </w:rPr>
        <w:t>are more conducive to</w:t>
      </w:r>
      <w:r w:rsidRPr="001B07D6">
        <w:rPr>
          <w:rFonts w:asciiTheme="minorHAnsi" w:hAnsiTheme="minorHAnsi" w:cs="Times New Roman"/>
          <w:b/>
          <w:lang w:val="en-US"/>
        </w:rPr>
        <w:t xml:space="preserve"> generating operational and resource utilization efficiencies than less integrated clusters. </w:t>
      </w:r>
      <w:r w:rsidRPr="001B07D6">
        <w:rPr>
          <w:rFonts w:asciiTheme="minorHAnsi" w:hAnsiTheme="minorHAnsi" w:cs="Times New Roman"/>
          <w:lang w:val="en-US"/>
        </w:rPr>
        <w:t>This is the primary distinction between ILCs and other clusters, as the latter may lack one or more critical elements of transport infrastructure (e.g., rail connectivity) and/or service provision.</w:t>
      </w:r>
    </w:p>
    <w:p w:rsidR="001B07D6" w:rsidRPr="001B07D6" w:rsidRDefault="008147B0" w:rsidP="00B63946">
      <w:pPr>
        <w:spacing w:after="120"/>
        <w:rPr>
          <w:rFonts w:asciiTheme="minorHAnsi" w:hAnsiTheme="minorHAnsi" w:cs="Times New Roman"/>
          <w:b/>
          <w:lang w:val="en-US"/>
        </w:rPr>
      </w:pPr>
      <w:r>
        <w:rPr>
          <w:rFonts w:asciiTheme="minorHAnsi" w:hAnsiTheme="minorHAnsi" w:cs="Times New Roman"/>
          <w:b/>
          <w:lang w:val="en-US"/>
        </w:rPr>
        <w:br/>
      </w:r>
      <w:r w:rsidR="001B07D6" w:rsidRPr="001B07D6">
        <w:rPr>
          <w:rFonts w:asciiTheme="minorHAnsi" w:hAnsiTheme="minorHAnsi" w:cs="Times New Roman"/>
          <w:b/>
          <w:lang w:val="en-US"/>
        </w:rPr>
        <w:t>Developing ILCs in Practice</w:t>
      </w:r>
    </w:p>
    <w:p w:rsidR="00802035" w:rsidRDefault="001B07D6" w:rsidP="001B07D6">
      <w:pPr>
        <w:pStyle w:val="ListParagraph"/>
        <w:spacing w:after="200"/>
        <w:ind w:left="0"/>
        <w:rPr>
          <w:rFonts w:asciiTheme="minorHAnsi" w:hAnsiTheme="minorHAnsi" w:cs="Times New Roman"/>
          <w:lang w:val="en-US"/>
        </w:rPr>
      </w:pPr>
      <w:r w:rsidRPr="001B07D6">
        <w:rPr>
          <w:rFonts w:asciiTheme="minorHAnsi" w:hAnsiTheme="minorHAnsi" w:cs="Times New Roman"/>
          <w:b/>
          <w:lang w:val="en-US"/>
        </w:rPr>
        <w:t xml:space="preserve">CenterPoint Intermodal Centers Elwood-Joliet (CIC) and AllianceTexas (AT) are the two most important ILCs in North America. </w:t>
      </w:r>
      <w:r w:rsidRPr="001B07D6">
        <w:rPr>
          <w:rFonts w:asciiTheme="minorHAnsi" w:hAnsiTheme="minorHAnsi" w:cs="Times New Roman"/>
          <w:lang w:val="en-US"/>
        </w:rPr>
        <w:t xml:space="preserve">Both ILCs share many of the definitional characteristics outlined above: they are anchored by two rail intermodal terminals operated by the Class 1 </w:t>
      </w:r>
      <w:r w:rsidRPr="001B07D6">
        <w:rPr>
          <w:rFonts w:asciiTheme="minorHAnsi" w:hAnsiTheme="minorHAnsi" w:cs="Times New Roman"/>
          <w:lang w:val="en-US"/>
        </w:rPr>
        <w:lastRenderedPageBreak/>
        <w:t>railroads BNSF and Union Pacific;</w:t>
      </w:r>
      <w:r w:rsidR="0023191D">
        <w:rPr>
          <w:rStyle w:val="FootnoteReference"/>
          <w:rFonts w:asciiTheme="minorHAnsi" w:hAnsiTheme="minorHAnsi" w:cs="Times New Roman"/>
          <w:lang w:val="en-US"/>
        </w:rPr>
        <w:footnoteReference w:id="7"/>
      </w:r>
      <w:r w:rsidRPr="001B07D6">
        <w:rPr>
          <w:rFonts w:asciiTheme="minorHAnsi" w:hAnsiTheme="minorHAnsi" w:cs="Times New Roman"/>
          <w:lang w:val="en-US"/>
        </w:rPr>
        <w:t xml:space="preserve"> they have ready access to major east-west and north-south highways; they are in close proximity to large airports (in the case of AT, the cluster itself houses an airport); they are home to an extended, densely arranged ecosystem of warehousing, distribution, manufacturing, and service facilities; they are located in suburban locations that are both close to major freight-generating hinterlands and well located relative to their broader regional and national connectivity; and they both play a key role in the rail intermodal, long-haul supply chains that have been essential to the everyday functioning of the U.S. economy over the past 15 years.  </w:t>
      </w:r>
    </w:p>
    <w:p w:rsidR="00802035" w:rsidRDefault="00802035" w:rsidP="001B07D6">
      <w:pPr>
        <w:pStyle w:val="ListParagraph"/>
        <w:spacing w:after="200"/>
        <w:ind w:left="0"/>
        <w:rPr>
          <w:rFonts w:asciiTheme="minorHAnsi" w:hAnsiTheme="minorHAnsi" w:cs="Times New Roman"/>
          <w:lang w:val="en-US"/>
        </w:rPr>
      </w:pPr>
    </w:p>
    <w:p w:rsidR="001B07D6" w:rsidRPr="001B07D6" w:rsidRDefault="001B07D6" w:rsidP="001B07D6">
      <w:pPr>
        <w:pStyle w:val="ListParagraph"/>
        <w:spacing w:after="200"/>
        <w:ind w:left="0"/>
        <w:rPr>
          <w:rFonts w:asciiTheme="minorHAnsi" w:hAnsiTheme="minorHAnsi" w:cs="Times New Roman"/>
          <w:b/>
          <w:lang w:val="en-US"/>
        </w:rPr>
      </w:pPr>
      <w:r w:rsidRPr="001B07D6">
        <w:rPr>
          <w:rFonts w:asciiTheme="minorHAnsi" w:hAnsiTheme="minorHAnsi" w:cs="Times New Roman"/>
          <w:lang w:val="en-US"/>
        </w:rPr>
        <w:t>By 2012, for example, CIC had become the largest inland port in the U.S. and the country’s third largest port of any kind (including all maritime ports—only Los Angeles/Long Beach and New York/New Jersey were larger), with annual handling volumes of 3.1 million TEUs and a potential capacity of up to 6 million TEUs. AT, however, was the pioneer ILC of North America. Developed in the late 1980s and now considered “the grandfather of U.S. inland ports,”</w:t>
      </w:r>
      <w:r w:rsidRPr="001B07D6">
        <w:rPr>
          <w:rStyle w:val="FootnoteReference"/>
          <w:rFonts w:asciiTheme="minorHAnsi" w:hAnsiTheme="minorHAnsi"/>
          <w:lang w:val="en-US"/>
        </w:rPr>
        <w:footnoteReference w:id="8"/>
      </w:r>
      <w:r w:rsidRPr="001B07D6">
        <w:rPr>
          <w:rFonts w:asciiTheme="minorHAnsi" w:hAnsiTheme="minorHAnsi" w:cs="Times New Roman"/>
          <w:lang w:val="en-US"/>
        </w:rPr>
        <w:t xml:space="preserve"> AT is a 6,800-hectare master-planned site with approximately 3 million square meters of developed mixed-use properties as of year-end 2012. Indeed, when developing its CIC intermodal terminal, BNSF used the carrier’s AT facility as prototype. </w:t>
      </w:r>
    </w:p>
    <w:p w:rsidR="001B07D6" w:rsidRPr="001B07D6" w:rsidRDefault="001B07D6" w:rsidP="001B07D6">
      <w:pPr>
        <w:pStyle w:val="ListParagraph"/>
        <w:ind w:left="0"/>
        <w:rPr>
          <w:rFonts w:asciiTheme="minorHAnsi" w:hAnsiTheme="minorHAnsi" w:cs="Times New Roman"/>
          <w:b/>
          <w:lang w:val="en-US"/>
        </w:rPr>
      </w:pPr>
    </w:p>
    <w:p w:rsidR="001B07D6" w:rsidRPr="001B07D6" w:rsidRDefault="001B07D6" w:rsidP="001B07D6">
      <w:pPr>
        <w:pStyle w:val="ListParagraph"/>
        <w:spacing w:after="200"/>
        <w:ind w:left="0"/>
        <w:rPr>
          <w:rFonts w:asciiTheme="minorHAnsi" w:hAnsiTheme="minorHAnsi" w:cs="Times New Roman"/>
          <w:b/>
          <w:lang w:val="en-US"/>
        </w:rPr>
      </w:pPr>
      <w:r w:rsidRPr="001B07D6">
        <w:rPr>
          <w:rFonts w:asciiTheme="minorHAnsi" w:hAnsiTheme="minorHAnsi" w:cs="Times New Roman"/>
          <w:b/>
          <w:lang w:val="en-US"/>
        </w:rPr>
        <w:t xml:space="preserve">Beyond the service delivery and operational similarities shared by CIC and AT, both ILCs were planned and developed in ways that ultimately led to their current success. </w:t>
      </w:r>
      <w:r w:rsidRPr="001B07D6">
        <w:rPr>
          <w:rFonts w:asciiTheme="minorHAnsi" w:hAnsiTheme="minorHAnsi" w:cs="Times New Roman"/>
          <w:lang w:val="en-US"/>
        </w:rPr>
        <w:t xml:space="preserve"> The key elements of this development experience are as follows:</w:t>
      </w:r>
      <w:r w:rsidR="00BF575C" w:rsidRPr="00BF575C">
        <w:rPr>
          <w:rStyle w:val="FootnoteReference"/>
          <w:rFonts w:asciiTheme="minorHAnsi" w:hAnsiTheme="minorHAnsi"/>
          <w:lang w:val="en-US"/>
        </w:rPr>
        <w:t xml:space="preserve"> </w:t>
      </w:r>
      <w:r w:rsidR="00BF575C" w:rsidRPr="001B07D6">
        <w:rPr>
          <w:rStyle w:val="FootnoteReference"/>
          <w:rFonts w:asciiTheme="minorHAnsi" w:hAnsiTheme="minorHAnsi"/>
          <w:lang w:val="en-US"/>
        </w:rPr>
        <w:footnoteReference w:id="9"/>
      </w:r>
    </w:p>
    <w:p w:rsidR="001B07D6" w:rsidRPr="00802035" w:rsidRDefault="001B07D6" w:rsidP="001B07D6">
      <w:pPr>
        <w:pStyle w:val="ListParagraph"/>
        <w:ind w:left="0"/>
        <w:rPr>
          <w:rFonts w:asciiTheme="minorHAnsi" w:hAnsiTheme="minorHAnsi" w:cs="Times New Roman"/>
          <w:b/>
          <w:sz w:val="12"/>
          <w:szCs w:val="12"/>
          <w:lang w:val="en-US"/>
        </w:rPr>
      </w:pPr>
    </w:p>
    <w:p w:rsidR="001B07D6" w:rsidRPr="001B07D6" w:rsidRDefault="001B07D6" w:rsidP="001B07D6">
      <w:pPr>
        <w:pStyle w:val="ListParagraph"/>
        <w:numPr>
          <w:ilvl w:val="0"/>
          <w:numId w:val="29"/>
        </w:numPr>
        <w:spacing w:after="200"/>
        <w:ind w:left="0" w:firstLine="0"/>
        <w:rPr>
          <w:rFonts w:asciiTheme="minorHAnsi" w:hAnsiTheme="minorHAnsi" w:cs="Times New Roman"/>
          <w:b/>
          <w:lang w:val="en-US"/>
        </w:rPr>
      </w:pPr>
      <w:r w:rsidRPr="001B07D6">
        <w:rPr>
          <w:rFonts w:asciiTheme="minorHAnsi" w:hAnsiTheme="minorHAnsi" w:cs="Times New Roman"/>
          <w:i/>
          <w:lang w:val="en-US"/>
        </w:rPr>
        <w:lastRenderedPageBreak/>
        <w:t>They are Public-Private Partnerships (PPPs).</w:t>
      </w:r>
      <w:r w:rsidRPr="001B07D6">
        <w:rPr>
          <w:rFonts w:asciiTheme="minorHAnsi" w:hAnsiTheme="minorHAnsi" w:cs="Times New Roman"/>
          <w:lang w:val="en-US"/>
        </w:rPr>
        <w:t xml:space="preserve"> Both CIC and AT were conceived of and planned jointly by a public sector authority and a private sector real estate developer. Once operational, everyday management of the center was the responsibility of the developer, while the public authority regulated service delivery and approved further development plans. At CIC, for example, the Illinois state government established the Joliet Arsenal Development Authority (JADA) in 1995 to plan the development of the land now occupied by the logistics center.  JADA produced a Strategic Plan for the development of this land and sold the land to private developers—</w:t>
      </w:r>
      <w:r w:rsidR="00B94A91">
        <w:rPr>
          <w:rFonts w:asciiTheme="minorHAnsi" w:hAnsiTheme="minorHAnsi" w:cs="Times New Roman"/>
          <w:lang w:val="en-US"/>
        </w:rPr>
        <w:t>originally</w:t>
      </w:r>
      <w:r w:rsidR="00B94A91" w:rsidRPr="001B07D6">
        <w:rPr>
          <w:rFonts w:asciiTheme="minorHAnsi" w:hAnsiTheme="minorHAnsi" w:cs="Times New Roman"/>
          <w:lang w:val="en-US"/>
        </w:rPr>
        <w:t xml:space="preserve"> </w:t>
      </w:r>
      <w:r w:rsidRPr="001B07D6">
        <w:rPr>
          <w:rFonts w:asciiTheme="minorHAnsi" w:hAnsiTheme="minorHAnsi" w:cs="Times New Roman"/>
          <w:lang w:val="en-US"/>
        </w:rPr>
        <w:t xml:space="preserve">to a company called Transport Development Group, which later sold the property to CenterPoint, the current owner and developer of the site.  In AT’s case, the site was planned and implemented as a joint effort between the City of Fort Worth, Texas, the Federal Aviation Administration (FAA), and Hillwood, a private real estate developer. The </w:t>
      </w:r>
      <w:r w:rsidR="00077D2C">
        <w:rPr>
          <w:rFonts w:asciiTheme="minorHAnsi" w:hAnsiTheme="minorHAnsi" w:cs="Times New Roman"/>
          <w:lang w:val="en-US"/>
        </w:rPr>
        <w:t xml:space="preserve">developers’ technical </w:t>
      </w:r>
      <w:r w:rsidRPr="001B07D6">
        <w:rPr>
          <w:rFonts w:asciiTheme="minorHAnsi" w:hAnsiTheme="minorHAnsi" w:cs="Times New Roman"/>
          <w:lang w:val="en-US"/>
        </w:rPr>
        <w:t xml:space="preserve">specialization, market orientation, and </w:t>
      </w:r>
      <w:r w:rsidR="003B0BF2">
        <w:rPr>
          <w:rFonts w:asciiTheme="minorHAnsi" w:hAnsiTheme="minorHAnsi" w:cs="Times New Roman"/>
          <w:lang w:val="en-US"/>
        </w:rPr>
        <w:t xml:space="preserve">shareholder </w:t>
      </w:r>
      <w:r w:rsidR="00077D2C">
        <w:rPr>
          <w:rFonts w:asciiTheme="minorHAnsi" w:hAnsiTheme="minorHAnsi" w:cs="Times New Roman"/>
          <w:lang w:val="en-US"/>
        </w:rPr>
        <w:t xml:space="preserve">value creation mandate </w:t>
      </w:r>
      <w:r w:rsidRPr="001B07D6">
        <w:rPr>
          <w:rFonts w:asciiTheme="minorHAnsi" w:hAnsiTheme="minorHAnsi" w:cs="Times New Roman"/>
          <w:lang w:val="en-US"/>
        </w:rPr>
        <w:t xml:space="preserve">were and continue to be a primary driver of success </w:t>
      </w:r>
      <w:r w:rsidR="00077D2C">
        <w:rPr>
          <w:rFonts w:asciiTheme="minorHAnsi" w:hAnsiTheme="minorHAnsi" w:cs="Times New Roman"/>
          <w:lang w:val="en-US"/>
        </w:rPr>
        <w:t>for</w:t>
      </w:r>
      <w:r w:rsidR="00077D2C" w:rsidRPr="001B07D6">
        <w:rPr>
          <w:rFonts w:asciiTheme="minorHAnsi" w:hAnsiTheme="minorHAnsi" w:cs="Times New Roman"/>
          <w:lang w:val="en-US"/>
        </w:rPr>
        <w:t xml:space="preserve"> </w:t>
      </w:r>
      <w:r w:rsidRPr="001B07D6">
        <w:rPr>
          <w:rFonts w:asciiTheme="minorHAnsi" w:hAnsiTheme="minorHAnsi" w:cs="Times New Roman"/>
          <w:lang w:val="en-US"/>
        </w:rPr>
        <w:t>the sites</w:t>
      </w:r>
      <w:r w:rsidR="00077D2C">
        <w:rPr>
          <w:rFonts w:asciiTheme="minorHAnsi" w:hAnsiTheme="minorHAnsi" w:cs="Times New Roman"/>
          <w:lang w:val="en-US"/>
        </w:rPr>
        <w:t xml:space="preserve">: such attributes, which public sector authorities </w:t>
      </w:r>
      <w:r w:rsidR="003B0BF2">
        <w:rPr>
          <w:rFonts w:asciiTheme="minorHAnsi" w:hAnsiTheme="minorHAnsi" w:cs="Times New Roman"/>
          <w:lang w:val="en-US"/>
        </w:rPr>
        <w:t>generally</w:t>
      </w:r>
      <w:r w:rsidR="00077D2C">
        <w:rPr>
          <w:rFonts w:asciiTheme="minorHAnsi" w:hAnsiTheme="minorHAnsi" w:cs="Times New Roman"/>
          <w:lang w:val="en-US"/>
        </w:rPr>
        <w:t xml:space="preserve"> lack,</w:t>
      </w:r>
      <w:r w:rsidR="00B572C6">
        <w:rPr>
          <w:rFonts w:asciiTheme="minorHAnsi" w:hAnsiTheme="minorHAnsi" w:cs="Times New Roman"/>
          <w:lang w:val="en-US"/>
        </w:rPr>
        <w:t xml:space="preserve"> </w:t>
      </w:r>
      <w:r w:rsidR="003B0BF2">
        <w:rPr>
          <w:rFonts w:asciiTheme="minorHAnsi" w:hAnsiTheme="minorHAnsi" w:cs="Times New Roman"/>
          <w:lang w:val="en-US"/>
        </w:rPr>
        <w:t>reduce</w:t>
      </w:r>
      <w:r w:rsidR="00077D2C">
        <w:rPr>
          <w:rFonts w:asciiTheme="minorHAnsi" w:hAnsiTheme="minorHAnsi" w:cs="Times New Roman"/>
          <w:lang w:val="en-US"/>
        </w:rPr>
        <w:t xml:space="preserve"> the risk of </w:t>
      </w:r>
      <w:r w:rsidR="003B0BF2">
        <w:rPr>
          <w:rFonts w:asciiTheme="minorHAnsi" w:hAnsiTheme="minorHAnsi" w:cs="Times New Roman"/>
          <w:lang w:val="en-US"/>
        </w:rPr>
        <w:t>building</w:t>
      </w:r>
      <w:r w:rsidR="00077D2C">
        <w:rPr>
          <w:rFonts w:asciiTheme="minorHAnsi" w:hAnsiTheme="minorHAnsi" w:cs="Times New Roman"/>
          <w:lang w:val="en-US"/>
        </w:rPr>
        <w:t xml:space="preserve"> redundant</w:t>
      </w:r>
      <w:r w:rsidR="003B0BF2">
        <w:rPr>
          <w:rFonts w:asciiTheme="minorHAnsi" w:hAnsiTheme="minorHAnsi" w:cs="Times New Roman"/>
          <w:lang w:val="en-US"/>
        </w:rPr>
        <w:t xml:space="preserve"> facilities</w:t>
      </w:r>
      <w:r w:rsidR="00077D2C">
        <w:rPr>
          <w:rFonts w:asciiTheme="minorHAnsi" w:hAnsiTheme="minorHAnsi" w:cs="Times New Roman"/>
          <w:lang w:val="en-US"/>
        </w:rPr>
        <w:t xml:space="preserve"> in crowded market</w:t>
      </w:r>
      <w:r w:rsidR="003B0BF2">
        <w:rPr>
          <w:rFonts w:asciiTheme="minorHAnsi" w:hAnsiTheme="minorHAnsi" w:cs="Times New Roman"/>
          <w:lang w:val="en-US"/>
        </w:rPr>
        <w:t>s and prevent policy making based on choosing ‘winners’</w:t>
      </w:r>
      <w:r w:rsidRPr="001B07D6">
        <w:rPr>
          <w:rFonts w:asciiTheme="minorHAnsi" w:hAnsiTheme="minorHAnsi" w:cs="Times New Roman"/>
          <w:lang w:val="en-US"/>
        </w:rPr>
        <w:t>.</w:t>
      </w:r>
      <w:r w:rsidR="00077D2C">
        <w:rPr>
          <w:rFonts w:asciiTheme="minorHAnsi" w:hAnsiTheme="minorHAnsi" w:cs="Times New Roman"/>
          <w:lang w:val="en-US"/>
        </w:rPr>
        <w:t xml:space="preserve"> </w:t>
      </w:r>
      <w:r w:rsidR="00B572C6">
        <w:rPr>
          <w:rFonts w:asciiTheme="minorHAnsi" w:hAnsiTheme="minorHAnsi" w:cs="Times New Roman"/>
          <w:lang w:val="en-US"/>
        </w:rPr>
        <w:t xml:space="preserve"> </w:t>
      </w:r>
      <w:r w:rsidR="003B0BF2">
        <w:rPr>
          <w:rFonts w:asciiTheme="minorHAnsi" w:hAnsiTheme="minorHAnsi" w:cs="Times New Roman"/>
          <w:lang w:val="en-US"/>
        </w:rPr>
        <w:t xml:space="preserve">Public sector authorities, on the other hand, </w:t>
      </w:r>
      <w:r w:rsidR="000F37ED">
        <w:rPr>
          <w:rFonts w:asciiTheme="minorHAnsi" w:hAnsiTheme="minorHAnsi" w:cs="Times New Roman"/>
          <w:lang w:val="en-US"/>
        </w:rPr>
        <w:t>play critical roles of their own in integrating ILCs into the broader community, industrial, and urban fabric surrounding these facilities.</w:t>
      </w:r>
    </w:p>
    <w:p w:rsidR="001B07D6" w:rsidRPr="001B07D6" w:rsidRDefault="001B07D6" w:rsidP="001B07D6">
      <w:pPr>
        <w:pStyle w:val="ListParagraph"/>
        <w:ind w:left="360"/>
        <w:rPr>
          <w:rFonts w:asciiTheme="minorHAnsi" w:hAnsiTheme="minorHAnsi" w:cs="Times New Roman"/>
          <w:b/>
          <w:lang w:val="en-US"/>
        </w:rPr>
      </w:pPr>
    </w:p>
    <w:p w:rsidR="001B07D6" w:rsidRPr="001B07D6" w:rsidRDefault="001B07D6" w:rsidP="001B07D6">
      <w:pPr>
        <w:pStyle w:val="ListParagraph"/>
        <w:numPr>
          <w:ilvl w:val="0"/>
          <w:numId w:val="29"/>
        </w:numPr>
        <w:spacing w:after="200"/>
        <w:ind w:left="0" w:firstLine="0"/>
        <w:rPr>
          <w:rFonts w:asciiTheme="minorHAnsi" w:hAnsiTheme="minorHAnsi" w:cs="Times New Roman"/>
          <w:b/>
          <w:lang w:val="en-US"/>
        </w:rPr>
      </w:pPr>
      <w:r w:rsidRPr="001B07D6">
        <w:rPr>
          <w:rFonts w:asciiTheme="minorHAnsi" w:hAnsiTheme="minorHAnsi" w:cs="Times New Roman"/>
          <w:i/>
          <w:lang w:val="en-US"/>
        </w:rPr>
        <w:t>Their development required substantial collaboration among public sector entities and consultations with local communities</w:t>
      </w:r>
      <w:r w:rsidRPr="001B07D6">
        <w:rPr>
          <w:rFonts w:asciiTheme="minorHAnsi" w:hAnsiTheme="minorHAnsi" w:cs="Times New Roman"/>
          <w:lang w:val="en-US"/>
        </w:rPr>
        <w:t xml:space="preserve">. It is estimated that CenterPoint, the developer of CIC, directly worked with 50 national, state, and local government agencies over the course of developing this project. This included agreements, inter alia, to (a) demolish existing structures at the target site; (b) donate land to minimize the center’s impact on nearby residential and environmentally protected areas; (c) issue a “flexible zoning” designation for the site to allow both manufacturing and distribution </w:t>
      </w:r>
      <w:r w:rsidRPr="001B07D6">
        <w:rPr>
          <w:rFonts w:asciiTheme="minorHAnsi" w:hAnsiTheme="minorHAnsi" w:cs="Times New Roman"/>
          <w:lang w:val="en-US"/>
        </w:rPr>
        <w:lastRenderedPageBreak/>
        <w:t xml:space="preserve">activities within it; and (d) provide CenterPoint with tax incentives for development of the land. In all, planning and approving the development of CIC took approximately five years. </w:t>
      </w:r>
    </w:p>
    <w:p w:rsidR="001B07D6" w:rsidRPr="001B07D6" w:rsidRDefault="001B07D6" w:rsidP="001B07D6">
      <w:pPr>
        <w:pStyle w:val="ListParagraph"/>
        <w:ind w:left="0"/>
        <w:rPr>
          <w:rFonts w:asciiTheme="minorHAnsi" w:hAnsiTheme="minorHAnsi" w:cs="Times New Roman"/>
          <w:b/>
          <w:lang w:val="en-US"/>
        </w:rPr>
      </w:pPr>
    </w:p>
    <w:p w:rsidR="001B07D6" w:rsidRPr="001B07D6" w:rsidRDefault="001B07D6" w:rsidP="001B07D6">
      <w:pPr>
        <w:pStyle w:val="ListParagraph"/>
        <w:numPr>
          <w:ilvl w:val="0"/>
          <w:numId w:val="29"/>
        </w:numPr>
        <w:spacing w:after="200"/>
        <w:ind w:left="0" w:firstLine="0"/>
        <w:rPr>
          <w:rFonts w:asciiTheme="minorHAnsi" w:hAnsiTheme="minorHAnsi" w:cs="Times New Roman"/>
          <w:b/>
          <w:lang w:val="en-US"/>
        </w:rPr>
      </w:pPr>
      <w:r w:rsidRPr="001B07D6">
        <w:rPr>
          <w:rFonts w:asciiTheme="minorHAnsi" w:hAnsiTheme="minorHAnsi" w:cs="Times New Roman"/>
          <w:i/>
          <w:lang w:val="en-US"/>
        </w:rPr>
        <w:t>The PPP structure of these sites resulted in the mobilization of substantial private sector funding compared to a relatively modest provision of public sector funds</w:t>
      </w:r>
      <w:r w:rsidRPr="001B07D6">
        <w:rPr>
          <w:rFonts w:asciiTheme="minorHAnsi" w:hAnsiTheme="minorHAnsi" w:cs="Times New Roman"/>
          <w:lang w:val="en-US"/>
        </w:rPr>
        <w:t>. In the case of AT, for example, approximately US$160 million in public sector contributions were required to develop the site during the early stages of planning and construction (1986-1989).  On its part, Hillwood contributed the acquisition of land, financed and conducted project design and preparation, and was responsible for marketing and business development activities. Between 1989 and 1995, however, as tenants (shippers and logistics service providers) began to establish a presence at AT, the investment contribution from these private entities reached US$1.25 billion, dwarfing the initial investment by public agencies. By year-end 2012, public sector investment accounted for only 5.4 percent of the US$7.7 billion in cumulative investments at AT since inception</w:t>
      </w:r>
      <w:r w:rsidRPr="001B07D6">
        <w:rPr>
          <w:rFonts w:asciiTheme="minorHAnsi" w:hAnsiTheme="minorHAnsi" w:cs="Times New Roman"/>
          <w:b/>
          <w:lang w:val="en-US"/>
        </w:rPr>
        <w:t xml:space="preserve">. </w:t>
      </w:r>
    </w:p>
    <w:p w:rsidR="001B07D6" w:rsidRPr="001B07D6" w:rsidRDefault="001B07D6" w:rsidP="001B07D6">
      <w:pPr>
        <w:pStyle w:val="ListParagraph"/>
        <w:ind w:left="0"/>
        <w:rPr>
          <w:rFonts w:asciiTheme="minorHAnsi" w:hAnsiTheme="minorHAnsi" w:cs="Times New Roman"/>
          <w:b/>
          <w:lang w:val="en-US"/>
        </w:rPr>
      </w:pPr>
    </w:p>
    <w:p w:rsidR="001B07D6" w:rsidRPr="001B07D6" w:rsidRDefault="001B07D6" w:rsidP="001B07D6">
      <w:pPr>
        <w:pStyle w:val="ListParagraph"/>
        <w:numPr>
          <w:ilvl w:val="0"/>
          <w:numId w:val="29"/>
        </w:numPr>
        <w:spacing w:after="200"/>
        <w:ind w:left="0" w:firstLine="0"/>
        <w:rPr>
          <w:rFonts w:asciiTheme="minorHAnsi" w:hAnsiTheme="minorHAnsi" w:cs="Times New Roman"/>
          <w:b/>
          <w:lang w:val="en-US"/>
        </w:rPr>
      </w:pPr>
      <w:r w:rsidRPr="001B07D6">
        <w:rPr>
          <w:rFonts w:asciiTheme="minorHAnsi" w:hAnsiTheme="minorHAnsi" w:cs="Times New Roman"/>
          <w:i/>
          <w:lang w:val="en-US"/>
        </w:rPr>
        <w:t>Among the objectives pursued by the establishment of these centers, public sector aims were as important as</w:t>
      </w:r>
      <w:r w:rsidR="000F37ED" w:rsidRPr="000F37ED">
        <w:rPr>
          <w:rFonts w:asciiTheme="minorHAnsi" w:hAnsiTheme="minorHAnsi" w:cs="Times New Roman"/>
          <w:i/>
          <w:lang w:val="en-US"/>
        </w:rPr>
        <w:t>—and highly complementary of—</w:t>
      </w:r>
      <w:r w:rsidRPr="001B07D6">
        <w:rPr>
          <w:rFonts w:asciiTheme="minorHAnsi" w:hAnsiTheme="minorHAnsi" w:cs="Times New Roman"/>
          <w:i/>
          <w:lang w:val="en-US"/>
        </w:rPr>
        <w:t xml:space="preserve">private sector aims. </w:t>
      </w:r>
      <w:r w:rsidRPr="001B07D6">
        <w:rPr>
          <w:rFonts w:asciiTheme="minorHAnsi" w:hAnsiTheme="minorHAnsi" w:cs="Times New Roman"/>
          <w:lang w:val="en-US"/>
        </w:rPr>
        <w:t>For example, in the case of CIC, JADA was created by the state government of Illinois with the explicit goal of generating private sector jobs and boosting tax revenues.  As for AT, the FAA was interested in relieving congestion at Dallas-Fort Worth International Airport (DFW) by developing a general aviation and freight-focused airport in the vicinity of DFW. Similarly, the City of Fort Worth was interested in promoting local and regional economic growth.</w:t>
      </w:r>
      <w:r w:rsidR="00D815BD">
        <w:rPr>
          <w:rFonts w:asciiTheme="minorHAnsi" w:hAnsiTheme="minorHAnsi" w:cs="Times New Roman"/>
          <w:lang w:val="en-US"/>
        </w:rPr>
        <w:t xml:space="preserve"> </w:t>
      </w:r>
    </w:p>
    <w:p w:rsidR="001B07D6" w:rsidRPr="001B07D6" w:rsidRDefault="001B07D6" w:rsidP="001B07D6">
      <w:pPr>
        <w:pStyle w:val="ListParagraph"/>
        <w:ind w:left="0"/>
        <w:rPr>
          <w:rFonts w:asciiTheme="minorHAnsi" w:hAnsiTheme="minorHAnsi" w:cs="Times New Roman"/>
          <w:b/>
          <w:lang w:val="en-US"/>
        </w:rPr>
      </w:pPr>
    </w:p>
    <w:p w:rsidR="001B07D6" w:rsidRPr="001B07D6" w:rsidRDefault="001B07D6" w:rsidP="001B07D6">
      <w:pPr>
        <w:pStyle w:val="ListParagraph"/>
        <w:numPr>
          <w:ilvl w:val="0"/>
          <w:numId w:val="29"/>
        </w:numPr>
        <w:spacing w:after="200"/>
        <w:ind w:left="0" w:firstLine="0"/>
        <w:rPr>
          <w:rFonts w:asciiTheme="minorHAnsi" w:hAnsiTheme="minorHAnsi" w:cs="Times New Roman"/>
          <w:b/>
          <w:lang w:val="en-US"/>
        </w:rPr>
      </w:pPr>
      <w:r w:rsidRPr="001B07D6">
        <w:rPr>
          <w:rFonts w:asciiTheme="minorHAnsi" w:hAnsiTheme="minorHAnsi" w:cs="Times New Roman"/>
          <w:i/>
          <w:lang w:val="en-US"/>
        </w:rPr>
        <w:t>While small compared to the size of private sector investments over time, initial public sector capital expenditure contributions were critical to the early stages of development</w:t>
      </w:r>
      <w:r w:rsidRPr="001B07D6">
        <w:rPr>
          <w:rFonts w:asciiTheme="minorHAnsi" w:hAnsiTheme="minorHAnsi" w:cs="Times New Roman"/>
          <w:lang w:val="en-US"/>
        </w:rPr>
        <w:t xml:space="preserve">. During the planning phase of CIC, the project obtained funding from the Illinois Department of </w:t>
      </w:r>
      <w:r w:rsidRPr="001B07D6">
        <w:rPr>
          <w:rFonts w:asciiTheme="minorHAnsi" w:hAnsiTheme="minorHAnsi" w:cs="Times New Roman"/>
          <w:lang w:val="en-US"/>
        </w:rPr>
        <w:lastRenderedPageBreak/>
        <w:t>Commerce and Community Affairs (DCCA) to replace the site’s water and sewage system. DCCA, in conjunction with the Illinois Department of Transport (IDOT), also financed improvements to the site’s access roads. At AT, the Texas state government provided US$30 million in funding for improvements to state roads; the City of Fort Worth contributed US$45 million towards the construction of local roads and basic utility infrastructure (water, sewage, gas, and power); and the FAA contributed US$85 million towards the con</w:t>
      </w:r>
      <w:r w:rsidR="00B94A91">
        <w:rPr>
          <w:rFonts w:asciiTheme="minorHAnsi" w:hAnsiTheme="minorHAnsi" w:cs="Times New Roman"/>
          <w:lang w:val="en-US"/>
        </w:rPr>
        <w:t xml:space="preserve">struction of Alliance airport. </w:t>
      </w:r>
      <w:r w:rsidRPr="001B07D6">
        <w:rPr>
          <w:rFonts w:asciiTheme="minorHAnsi" w:hAnsiTheme="minorHAnsi" w:cs="Times New Roman"/>
          <w:lang w:val="en-US"/>
        </w:rPr>
        <w:t>The timely and well-coordinated provision of such basic infrastructure proved critical to the development of the sites and their ability to facilitate multimodal connectivity and reliable logistics services.</w:t>
      </w:r>
    </w:p>
    <w:p w:rsidR="001B07D6" w:rsidRPr="001B07D6" w:rsidRDefault="001B07D6" w:rsidP="001B07D6">
      <w:pPr>
        <w:pStyle w:val="ListParagraph"/>
        <w:ind w:left="0"/>
        <w:rPr>
          <w:rFonts w:asciiTheme="minorHAnsi" w:hAnsiTheme="minorHAnsi" w:cs="Times New Roman"/>
          <w:b/>
          <w:i/>
          <w:lang w:val="en-US"/>
        </w:rPr>
      </w:pPr>
    </w:p>
    <w:p w:rsidR="001B07D6" w:rsidRPr="001B07D6" w:rsidRDefault="001B07D6" w:rsidP="001B07D6">
      <w:pPr>
        <w:pStyle w:val="ListParagraph"/>
        <w:numPr>
          <w:ilvl w:val="0"/>
          <w:numId w:val="29"/>
        </w:numPr>
        <w:spacing w:after="200"/>
        <w:ind w:left="0" w:firstLine="0"/>
        <w:rPr>
          <w:rFonts w:asciiTheme="minorHAnsi" w:hAnsiTheme="minorHAnsi" w:cs="Times New Roman"/>
          <w:b/>
          <w:lang w:val="en-US"/>
        </w:rPr>
      </w:pPr>
      <w:r w:rsidRPr="001B07D6">
        <w:rPr>
          <w:rFonts w:asciiTheme="minorHAnsi" w:hAnsiTheme="minorHAnsi" w:cs="Times New Roman"/>
          <w:i/>
          <w:lang w:val="en-US"/>
        </w:rPr>
        <w:t xml:space="preserve">Government </w:t>
      </w:r>
      <w:r w:rsidR="00D815BD">
        <w:rPr>
          <w:rFonts w:asciiTheme="minorHAnsi" w:hAnsiTheme="minorHAnsi" w:cs="Times New Roman"/>
          <w:i/>
          <w:lang w:val="en-US"/>
        </w:rPr>
        <w:t>oversight</w:t>
      </w:r>
      <w:r w:rsidR="00D815BD" w:rsidRPr="001B07D6">
        <w:rPr>
          <w:rFonts w:asciiTheme="minorHAnsi" w:hAnsiTheme="minorHAnsi" w:cs="Times New Roman"/>
          <w:i/>
          <w:lang w:val="en-US"/>
        </w:rPr>
        <w:t xml:space="preserve"> </w:t>
      </w:r>
      <w:r w:rsidRPr="001B07D6">
        <w:rPr>
          <w:rFonts w:asciiTheme="minorHAnsi" w:hAnsiTheme="minorHAnsi" w:cs="Times New Roman"/>
          <w:i/>
          <w:lang w:val="en-US"/>
        </w:rPr>
        <w:t xml:space="preserve">of the sites has been an important component of their operational effectiveness. </w:t>
      </w:r>
      <w:r w:rsidRPr="001B07D6">
        <w:rPr>
          <w:rFonts w:asciiTheme="minorHAnsi" w:hAnsiTheme="minorHAnsi" w:cs="Times New Roman"/>
          <w:lang w:val="en-US"/>
        </w:rPr>
        <w:t>There is no doubt that the ability of these ILCs to capture increasing volumes of freight and logistics activity results from the specialized, best-in-class operations of asset-based carriers (such as Class 1 railroads) and non-asset based logistics services providers (such as global freight forwarders and other 3PLs) located at the sites.  But government oversight has been a critical facilitator of this in the background. At CIC, JADA developed a transportation plan to address increasing concerns of congestion risk in and around the cluster. First developed in 2004 and later updated in 2010, the plan brought together numerous local stakeholders under the JADA Study Oversight Committee (SOC), which facilitated decision making. The plan recommended a shortlist of transportation projects to alleviate congestion and called for the creation of a public entity to promote and coordinate the implementation of these projects.</w:t>
      </w:r>
    </w:p>
    <w:p w:rsidR="001B07D6" w:rsidRPr="001B07D6" w:rsidRDefault="001B07D6" w:rsidP="001B07D6">
      <w:pPr>
        <w:pStyle w:val="ListParagraph"/>
        <w:ind w:left="0"/>
        <w:rPr>
          <w:rFonts w:asciiTheme="minorHAnsi" w:hAnsiTheme="minorHAnsi" w:cs="Times New Roman"/>
          <w:b/>
          <w:lang w:val="en-US"/>
        </w:rPr>
      </w:pPr>
    </w:p>
    <w:p w:rsidR="001B07D6" w:rsidRPr="001B07D6" w:rsidRDefault="001B07D6" w:rsidP="001B07D6">
      <w:pPr>
        <w:pStyle w:val="ListParagraph"/>
        <w:numPr>
          <w:ilvl w:val="0"/>
          <w:numId w:val="29"/>
        </w:numPr>
        <w:spacing w:after="200"/>
        <w:ind w:left="0" w:firstLine="0"/>
        <w:rPr>
          <w:rFonts w:asciiTheme="minorHAnsi" w:hAnsiTheme="minorHAnsi" w:cs="Times New Roman"/>
          <w:b/>
          <w:lang w:val="en-US"/>
        </w:rPr>
      </w:pPr>
      <w:r w:rsidRPr="001B07D6">
        <w:rPr>
          <w:rFonts w:asciiTheme="minorHAnsi" w:hAnsiTheme="minorHAnsi" w:cs="Times New Roman"/>
          <w:i/>
          <w:lang w:val="en-US"/>
        </w:rPr>
        <w:t>The economic impact of these sites eventually became enormous</w:t>
      </w:r>
      <w:r w:rsidRPr="001B07D6">
        <w:rPr>
          <w:rFonts w:asciiTheme="minorHAnsi" w:hAnsiTheme="minorHAnsi" w:cs="Times New Roman"/>
          <w:lang w:val="en-US"/>
        </w:rPr>
        <w:t>. According to Hillwood,</w:t>
      </w:r>
      <w:r w:rsidRPr="001B07D6">
        <w:rPr>
          <w:rStyle w:val="FootnoteReference"/>
          <w:rFonts w:asciiTheme="minorHAnsi" w:hAnsiTheme="minorHAnsi"/>
          <w:lang w:val="en-US"/>
        </w:rPr>
        <w:footnoteReference w:id="10"/>
      </w:r>
      <w:r w:rsidRPr="001B07D6">
        <w:rPr>
          <w:rFonts w:asciiTheme="minorHAnsi" w:hAnsiTheme="minorHAnsi" w:cs="Times New Roman"/>
          <w:lang w:val="en-US"/>
        </w:rPr>
        <w:t xml:space="preserve"> by year-end 2012 AT had generated </w:t>
      </w:r>
      <w:r w:rsidRPr="001B07D6">
        <w:rPr>
          <w:rFonts w:asciiTheme="minorHAnsi" w:hAnsiTheme="minorHAnsi" w:cs="Times New Roman"/>
          <w:lang w:val="en-US"/>
        </w:rPr>
        <w:lastRenderedPageBreak/>
        <w:t xml:space="preserve">approximately US$43 billion in business sales and paid slightly more than US$1 billion in cumulative property taxes since inception. In 2012 alone the cluster reached annual sales of US$3 billion, paid US$22 million in taxes, and directly employed 35,000 people. Meanwhile, by the same year CIC had generated US$2 billion </w:t>
      </w:r>
      <w:r w:rsidR="00114BA9">
        <w:rPr>
          <w:rFonts w:asciiTheme="minorHAnsi" w:hAnsiTheme="minorHAnsi" w:cs="Times New Roman"/>
          <w:lang w:val="en-US"/>
        </w:rPr>
        <w:t xml:space="preserve">in </w:t>
      </w:r>
      <w:r w:rsidRPr="001B07D6">
        <w:rPr>
          <w:rFonts w:asciiTheme="minorHAnsi" w:hAnsiTheme="minorHAnsi" w:cs="Times New Roman"/>
          <w:lang w:val="en-US"/>
        </w:rPr>
        <w:t>invest</w:t>
      </w:r>
      <w:r w:rsidR="00114BA9">
        <w:rPr>
          <w:rFonts w:asciiTheme="minorHAnsi" w:hAnsiTheme="minorHAnsi" w:cs="Times New Roman"/>
          <w:lang w:val="en-US"/>
        </w:rPr>
        <w:t>ments</w:t>
      </w:r>
      <w:r w:rsidRPr="001B07D6">
        <w:rPr>
          <w:rFonts w:asciiTheme="minorHAnsi" w:hAnsiTheme="minorHAnsi" w:cs="Times New Roman"/>
          <w:lang w:val="en-US"/>
        </w:rPr>
        <w:t xml:space="preserve"> since inception, approximately 90 percent of which provided by private sector sources, and housed 1 million square meters of industrial facilities.</w:t>
      </w:r>
      <w:r w:rsidRPr="001B07D6">
        <w:rPr>
          <w:rStyle w:val="FootnoteReference"/>
          <w:rFonts w:asciiTheme="minorHAnsi" w:hAnsiTheme="minorHAnsi"/>
          <w:lang w:val="en-US"/>
        </w:rPr>
        <w:footnoteReference w:id="11"/>
      </w:r>
      <w:r w:rsidRPr="001B07D6">
        <w:rPr>
          <w:rFonts w:asciiTheme="minorHAnsi" w:hAnsiTheme="minorHAnsi" w:cs="Times New Roman"/>
          <w:lang w:val="en-US"/>
        </w:rPr>
        <w:t xml:space="preserve">  </w:t>
      </w:r>
    </w:p>
    <w:p w:rsidR="001B07D6" w:rsidRPr="001B07D6" w:rsidRDefault="001B07D6" w:rsidP="00B63946">
      <w:pPr>
        <w:spacing w:after="120"/>
        <w:rPr>
          <w:rFonts w:asciiTheme="minorHAnsi" w:hAnsiTheme="minorHAnsi" w:cs="Times New Roman"/>
          <w:b/>
          <w:lang w:val="en-US"/>
        </w:rPr>
      </w:pPr>
      <w:r w:rsidRPr="001B07D6">
        <w:rPr>
          <w:rFonts w:asciiTheme="minorHAnsi" w:hAnsiTheme="minorHAnsi" w:cs="Times New Roman"/>
          <w:b/>
          <w:lang w:val="en-US"/>
        </w:rPr>
        <w:t>Implications for China</w:t>
      </w:r>
    </w:p>
    <w:p w:rsidR="001B07D6" w:rsidRPr="001B07D6" w:rsidRDefault="001B07D6" w:rsidP="001B07D6">
      <w:pPr>
        <w:pStyle w:val="ListParagraph"/>
        <w:spacing w:after="200"/>
        <w:ind w:left="0"/>
        <w:rPr>
          <w:rFonts w:asciiTheme="minorHAnsi" w:hAnsiTheme="minorHAnsi" w:cs="Times New Roman"/>
          <w:lang w:val="en-US"/>
        </w:rPr>
      </w:pPr>
      <w:r w:rsidRPr="001B07D6">
        <w:rPr>
          <w:rFonts w:asciiTheme="minorHAnsi" w:hAnsiTheme="minorHAnsi" w:cs="Times New Roman"/>
          <w:b/>
          <w:lang w:val="en-US"/>
        </w:rPr>
        <w:t>From an economic geography point of view, China’s transportation network is closest to that of North America, suggesting that the same principles that made ILCs successful in the latter can w</w:t>
      </w:r>
      <w:r w:rsidRPr="00851193">
        <w:rPr>
          <w:rFonts w:asciiTheme="minorHAnsi" w:hAnsiTheme="minorHAnsi" w:cs="Times New Roman"/>
          <w:b/>
          <w:lang w:val="en-US"/>
        </w:rPr>
        <w:t>ork in China as well.</w:t>
      </w:r>
      <w:r w:rsidRPr="00114BA9">
        <w:rPr>
          <w:rFonts w:asciiTheme="minorHAnsi" w:hAnsiTheme="minorHAnsi" w:cs="Times New Roman"/>
          <w:lang w:val="en-US"/>
        </w:rPr>
        <w:t xml:space="preserve">  As economic activity </w:t>
      </w:r>
      <w:r w:rsidR="00B94A91">
        <w:rPr>
          <w:rFonts w:asciiTheme="minorHAnsi" w:hAnsiTheme="minorHAnsi" w:cs="Times New Roman"/>
          <w:lang w:val="en-US"/>
        </w:rPr>
        <w:t>is</w:t>
      </w:r>
      <w:r w:rsidR="00B94A91" w:rsidRPr="003340E9">
        <w:rPr>
          <w:rFonts w:asciiTheme="minorHAnsi" w:hAnsiTheme="minorHAnsi" w:cs="Times New Roman"/>
          <w:lang w:val="en-US"/>
        </w:rPr>
        <w:t xml:space="preserve"> </w:t>
      </w:r>
      <w:r w:rsidR="00114BA9" w:rsidRPr="003340E9">
        <w:rPr>
          <w:rFonts w:asciiTheme="minorHAnsi" w:hAnsiTheme="minorHAnsi" w:cs="Times New Roman"/>
          <w:lang w:val="en-US"/>
        </w:rPr>
        <w:t xml:space="preserve">progressively transferred </w:t>
      </w:r>
      <w:r w:rsidRPr="00114BA9">
        <w:rPr>
          <w:rFonts w:asciiTheme="minorHAnsi" w:hAnsiTheme="minorHAnsi" w:cs="Times New Roman"/>
          <w:lang w:val="en-US"/>
        </w:rPr>
        <w:t xml:space="preserve">from China’s </w:t>
      </w:r>
      <w:r w:rsidR="00C7782E">
        <w:rPr>
          <w:rFonts w:asciiTheme="minorHAnsi" w:hAnsiTheme="minorHAnsi" w:cs="Times New Roman"/>
          <w:lang w:val="en-US"/>
        </w:rPr>
        <w:t>e</w:t>
      </w:r>
      <w:r w:rsidRPr="00114BA9">
        <w:rPr>
          <w:rFonts w:asciiTheme="minorHAnsi" w:hAnsiTheme="minorHAnsi" w:cs="Times New Roman"/>
          <w:lang w:val="en-US"/>
        </w:rPr>
        <w:t xml:space="preserve">astern seaboard towards </w:t>
      </w:r>
      <w:r w:rsidR="00C7782E">
        <w:rPr>
          <w:rFonts w:asciiTheme="minorHAnsi" w:hAnsiTheme="minorHAnsi" w:cs="Times New Roman"/>
          <w:lang w:val="en-US"/>
        </w:rPr>
        <w:t>w</w:t>
      </w:r>
      <w:r w:rsidRPr="00114BA9">
        <w:rPr>
          <w:rFonts w:asciiTheme="minorHAnsi" w:hAnsiTheme="minorHAnsi" w:cs="Times New Roman"/>
          <w:lang w:val="en-US"/>
        </w:rPr>
        <w:t>estern provinces—</w:t>
      </w:r>
      <w:r w:rsidRPr="001B07D6">
        <w:rPr>
          <w:rFonts w:asciiTheme="minorHAnsi" w:hAnsiTheme="minorHAnsi" w:cs="Times New Roman"/>
          <w:lang w:val="en-US"/>
        </w:rPr>
        <w:t xml:space="preserve">a result of not only labor cost pressure in large </w:t>
      </w:r>
      <w:r w:rsidR="00C7782E">
        <w:rPr>
          <w:rFonts w:asciiTheme="minorHAnsi" w:hAnsiTheme="minorHAnsi" w:cs="Times New Roman"/>
          <w:lang w:val="en-US"/>
        </w:rPr>
        <w:t>e</w:t>
      </w:r>
      <w:r w:rsidRPr="001B07D6">
        <w:rPr>
          <w:rFonts w:asciiTheme="minorHAnsi" w:hAnsiTheme="minorHAnsi" w:cs="Times New Roman"/>
          <w:lang w:val="en-US"/>
        </w:rPr>
        <w:t xml:space="preserve">astern cities but also explicit government policies to support this shift—the long-distance supply chains that this is generating </w:t>
      </w:r>
      <w:r w:rsidR="00B94A91">
        <w:rPr>
          <w:rFonts w:asciiTheme="minorHAnsi" w:hAnsiTheme="minorHAnsi" w:cs="Times New Roman"/>
          <w:lang w:val="en-US"/>
        </w:rPr>
        <w:t>could</w:t>
      </w:r>
      <w:r w:rsidR="00B94A91" w:rsidRPr="001B07D6">
        <w:rPr>
          <w:rFonts w:asciiTheme="minorHAnsi" w:hAnsiTheme="minorHAnsi" w:cs="Times New Roman"/>
          <w:lang w:val="en-US"/>
        </w:rPr>
        <w:t xml:space="preserve"> </w:t>
      </w:r>
      <w:r w:rsidRPr="001B07D6">
        <w:rPr>
          <w:rFonts w:asciiTheme="minorHAnsi" w:hAnsiTheme="minorHAnsi" w:cs="Times New Roman"/>
          <w:lang w:val="en-US"/>
        </w:rPr>
        <w:t>increasingly rely on rail-enabled ILCs, while being less reliant on the mono-modal or single-commodity focused logistics parks that appear to be the norm at present.</w:t>
      </w:r>
    </w:p>
    <w:p w:rsidR="001B07D6" w:rsidRPr="001B07D6" w:rsidRDefault="001B07D6" w:rsidP="001B07D6">
      <w:pPr>
        <w:pStyle w:val="ListParagraph"/>
        <w:ind w:left="0"/>
        <w:rPr>
          <w:rFonts w:asciiTheme="minorHAnsi" w:hAnsiTheme="minorHAnsi" w:cs="Times New Roman"/>
          <w:lang w:val="en-US"/>
        </w:rPr>
      </w:pPr>
    </w:p>
    <w:p w:rsidR="001B07D6" w:rsidRPr="001B07D6" w:rsidRDefault="001B07D6" w:rsidP="001B07D6">
      <w:pPr>
        <w:pStyle w:val="ListParagraph"/>
        <w:spacing w:after="200"/>
        <w:ind w:left="0"/>
        <w:rPr>
          <w:rFonts w:asciiTheme="minorHAnsi" w:hAnsiTheme="minorHAnsi" w:cs="Times New Roman"/>
          <w:lang w:val="en-US"/>
        </w:rPr>
      </w:pPr>
      <w:r w:rsidRPr="001B07D6">
        <w:rPr>
          <w:rFonts w:asciiTheme="minorHAnsi" w:hAnsiTheme="minorHAnsi" w:cs="Times New Roman"/>
          <w:b/>
          <w:lang w:val="en-US"/>
        </w:rPr>
        <w:t>CRIntermodal, the rail intermodal arm of China Railway Corporation (CRC),</w:t>
      </w:r>
      <w:r w:rsidRPr="001B07D6">
        <w:rPr>
          <w:rStyle w:val="FootnoteReference"/>
          <w:rFonts w:asciiTheme="minorHAnsi" w:hAnsiTheme="minorHAnsi"/>
          <w:b/>
          <w:lang w:val="en-US"/>
        </w:rPr>
        <w:footnoteReference w:id="12"/>
      </w:r>
      <w:r w:rsidRPr="001B07D6">
        <w:rPr>
          <w:rFonts w:asciiTheme="minorHAnsi" w:hAnsiTheme="minorHAnsi" w:cs="Times New Roman"/>
          <w:b/>
          <w:lang w:val="en-US"/>
        </w:rPr>
        <w:t xml:space="preserve"> has had some success in developing rail-enabled logistics centers.</w:t>
      </w:r>
      <w:r w:rsidRPr="001B07D6">
        <w:rPr>
          <w:rFonts w:asciiTheme="minorHAnsi" w:hAnsiTheme="minorHAnsi" w:cs="Times New Roman"/>
          <w:lang w:val="en-US"/>
        </w:rPr>
        <w:t xml:space="preserve">  CRIntermodal has announced plans to build and operate a network of 18 intermodal terminals across China. Nine of these terminals are currently in operation at the key logistics markets of Shanghai, Chongqing, Chengdu, Wuhan, Xi’an, Qingdao, Dalian, Zhengzhou, and Kunming. All of these terminals, as built, have elements of ILCs.  For example, in Chongqing, a market that has attracted sizable investments by major multinational manufacturers like Foxconn </w:t>
      </w:r>
      <w:r w:rsidRPr="001B07D6">
        <w:rPr>
          <w:rFonts w:asciiTheme="minorHAnsi" w:hAnsiTheme="minorHAnsi" w:cs="Times New Roman"/>
          <w:lang w:val="en-US"/>
        </w:rPr>
        <w:lastRenderedPageBreak/>
        <w:t xml:space="preserve">and Hewlett-Packard, CRIntermodal’s terminal is equipped with a unit-train capable, 850-meter long loading/unloading terminal and is strategically located in the vicinity of several logistics and industrial parks, as well as major highways. Similar setups have been implemented at the other operational terminals, although </w:t>
      </w:r>
      <w:r w:rsidR="00B83226">
        <w:rPr>
          <w:rFonts w:asciiTheme="minorHAnsi" w:hAnsiTheme="minorHAnsi" w:cs="Times New Roman"/>
          <w:lang w:val="en-US"/>
        </w:rPr>
        <w:t xml:space="preserve">limited </w:t>
      </w:r>
      <w:r w:rsidRPr="001B07D6">
        <w:rPr>
          <w:rFonts w:asciiTheme="minorHAnsi" w:hAnsiTheme="minorHAnsi" w:cs="Times New Roman"/>
          <w:lang w:val="en-US"/>
        </w:rPr>
        <w:t xml:space="preserve">data on the terminals’ actual performance (e.g., freight volumes, productivity metrics, regional economic impact, and the like) </w:t>
      </w:r>
      <w:r w:rsidR="00B83226">
        <w:rPr>
          <w:rFonts w:asciiTheme="minorHAnsi" w:hAnsiTheme="minorHAnsi" w:cs="Times New Roman"/>
          <w:lang w:val="en-US"/>
        </w:rPr>
        <w:t>are</w:t>
      </w:r>
      <w:r w:rsidRPr="001B07D6">
        <w:rPr>
          <w:rFonts w:asciiTheme="minorHAnsi" w:hAnsiTheme="minorHAnsi" w:cs="Times New Roman"/>
          <w:lang w:val="en-US"/>
        </w:rPr>
        <w:t xml:space="preserve"> </w:t>
      </w:r>
      <w:r w:rsidR="00A808F3">
        <w:rPr>
          <w:rFonts w:asciiTheme="minorHAnsi" w:hAnsiTheme="minorHAnsi" w:cs="Times New Roman"/>
          <w:lang w:val="en-US"/>
        </w:rPr>
        <w:t>not</w:t>
      </w:r>
      <w:r w:rsidR="00A808F3" w:rsidRPr="001B07D6">
        <w:rPr>
          <w:rFonts w:asciiTheme="minorHAnsi" w:hAnsiTheme="minorHAnsi" w:cs="Times New Roman"/>
          <w:lang w:val="en-US"/>
        </w:rPr>
        <w:t xml:space="preserve"> </w:t>
      </w:r>
      <w:r w:rsidRPr="001B07D6">
        <w:rPr>
          <w:rFonts w:asciiTheme="minorHAnsi" w:hAnsiTheme="minorHAnsi" w:cs="Times New Roman"/>
          <w:lang w:val="en-US"/>
        </w:rPr>
        <w:t xml:space="preserve">yet available. </w:t>
      </w:r>
    </w:p>
    <w:p w:rsidR="001B07D6" w:rsidRPr="001B07D6" w:rsidRDefault="001B07D6" w:rsidP="001B07D6">
      <w:pPr>
        <w:pStyle w:val="ListParagraph"/>
        <w:ind w:left="0"/>
        <w:rPr>
          <w:rFonts w:asciiTheme="minorHAnsi" w:hAnsiTheme="minorHAnsi" w:cs="Times New Roman"/>
          <w:lang w:val="en-US"/>
        </w:rPr>
      </w:pPr>
    </w:p>
    <w:p w:rsidR="001B07D6" w:rsidRPr="001B07D6" w:rsidRDefault="001B07D6" w:rsidP="001B07D6">
      <w:pPr>
        <w:pStyle w:val="ListParagraph"/>
        <w:spacing w:after="200"/>
        <w:ind w:left="0"/>
        <w:rPr>
          <w:rFonts w:asciiTheme="minorHAnsi" w:hAnsiTheme="minorHAnsi" w:cs="Times New Roman"/>
          <w:b/>
          <w:lang w:val="en-US"/>
        </w:rPr>
      </w:pPr>
      <w:r w:rsidRPr="001B07D6">
        <w:rPr>
          <w:rFonts w:asciiTheme="minorHAnsi" w:hAnsiTheme="minorHAnsi" w:cs="Times New Roman"/>
          <w:b/>
          <w:lang w:val="en-US"/>
        </w:rPr>
        <w:t>The extent to which the development of CRIntermodal terminals was planned in con</w:t>
      </w:r>
      <w:r w:rsidR="00D36987">
        <w:rPr>
          <w:rFonts w:asciiTheme="minorHAnsi" w:hAnsiTheme="minorHAnsi" w:cs="Times New Roman"/>
          <w:b/>
          <w:lang w:val="en-US"/>
        </w:rPr>
        <w:t>sensus</w:t>
      </w:r>
      <w:r w:rsidRPr="001B07D6">
        <w:rPr>
          <w:rFonts w:asciiTheme="minorHAnsi" w:hAnsiTheme="minorHAnsi" w:cs="Times New Roman"/>
          <w:b/>
          <w:lang w:val="en-US"/>
        </w:rPr>
        <w:t xml:space="preserve"> with local, provincial, and national government agencies</w:t>
      </w:r>
      <w:r w:rsidR="00D36987">
        <w:rPr>
          <w:rFonts w:asciiTheme="minorHAnsi" w:hAnsiTheme="minorHAnsi" w:cs="Times New Roman"/>
          <w:b/>
          <w:lang w:val="en-US"/>
        </w:rPr>
        <w:t>, with a focus on joint operational planning</w:t>
      </w:r>
      <w:r w:rsidRPr="001B07D6">
        <w:rPr>
          <w:rFonts w:asciiTheme="minorHAnsi" w:hAnsiTheme="minorHAnsi" w:cs="Times New Roman"/>
          <w:b/>
          <w:lang w:val="en-US"/>
        </w:rPr>
        <w:t xml:space="preserve">, and in collaboration with nearby existing logistics parks, is less clear. </w:t>
      </w:r>
      <w:r w:rsidRPr="001B07D6">
        <w:rPr>
          <w:rFonts w:asciiTheme="minorHAnsi" w:hAnsiTheme="minorHAnsi" w:cs="Times New Roman"/>
          <w:lang w:val="en-US"/>
        </w:rPr>
        <w:t xml:space="preserve"> It would be beneficial for CRIntermodal and government agencies at the relevant levels to work together towards maximizing the impact of the CRIntermodal terminals, particularly for those currently at the planning stage.  This can result in better multimodal connectivity at the terminals and a more robust resolution of conflicting uses of land. The creation of authorities tasked with overseeing, planning, and regulating the intermodal terminals and their hinterland can be an effective way of promoting the development of the ecosystem of infrastructure and services that can turn isolated assets—such as a rail intermodal terminal—into integrated logistics centers.</w:t>
      </w:r>
    </w:p>
    <w:p w:rsidR="001B07D6" w:rsidRPr="001B07D6" w:rsidRDefault="001B07D6" w:rsidP="001B07D6">
      <w:pPr>
        <w:pStyle w:val="ListParagraph"/>
        <w:rPr>
          <w:rFonts w:asciiTheme="minorHAnsi" w:hAnsiTheme="minorHAnsi" w:cs="Times New Roman"/>
          <w:lang w:val="en-US"/>
        </w:rPr>
      </w:pPr>
    </w:p>
    <w:p w:rsidR="001B07D6" w:rsidRPr="001B07D6" w:rsidRDefault="001B07D6" w:rsidP="001B07D6">
      <w:pPr>
        <w:pStyle w:val="ListParagraph"/>
        <w:spacing w:after="200"/>
        <w:ind w:left="0"/>
        <w:rPr>
          <w:rFonts w:asciiTheme="minorHAnsi" w:hAnsiTheme="minorHAnsi" w:cs="Times New Roman"/>
          <w:b/>
          <w:lang w:val="en-US"/>
        </w:rPr>
      </w:pPr>
      <w:r w:rsidRPr="001B07D6">
        <w:rPr>
          <w:rFonts w:asciiTheme="minorHAnsi" w:hAnsiTheme="minorHAnsi" w:cs="Times New Roman"/>
          <w:b/>
          <w:lang w:val="en-US"/>
        </w:rPr>
        <w:t xml:space="preserve">Perhaps the most important lesson from North America applicable to China is the use of privately-held, specialized real estate developers—overseen and regulated by a designated public authority with aligned goals—to develop and manage future ILCs.  </w:t>
      </w:r>
      <w:r w:rsidRPr="001B07D6">
        <w:rPr>
          <w:rFonts w:asciiTheme="minorHAnsi" w:hAnsiTheme="minorHAnsi" w:cs="Times New Roman"/>
          <w:lang w:val="en-US"/>
        </w:rPr>
        <w:t xml:space="preserve">These developers can be the mechanism by which limited public sector funds can be leveraged into substantial private sector investment. They can also facilitate the task of attracting “flagship” shippers and logistics service providers to the cluster.  International experience, not least in North America, has shown that once 1 or 2 critical tenants join the </w:t>
      </w:r>
      <w:r w:rsidRPr="001B07D6">
        <w:rPr>
          <w:rFonts w:asciiTheme="minorHAnsi" w:hAnsiTheme="minorHAnsi" w:cs="Times New Roman"/>
          <w:lang w:val="en-US"/>
        </w:rPr>
        <w:lastRenderedPageBreak/>
        <w:t>cluster, others quickly follow. In the case of AT, for example, once Nokia, the cellular phone manufacturer, decided early on to invest in a distribution center at AT in 1994, several supporting companies followed. Securing Nokia’s commitment, however, required a concerted marketing and business development effort on the part of Hillwood, the real estate developer.  Private sector participation is also more likely to result in adequate financial and economic appraisals in support of the planning and development of ILCs on the basis of cargo volume expectations</w:t>
      </w:r>
      <w:r w:rsidR="00A808F3">
        <w:rPr>
          <w:rFonts w:asciiTheme="minorHAnsi" w:hAnsiTheme="minorHAnsi" w:cs="Times New Roman"/>
          <w:lang w:val="en-US"/>
        </w:rPr>
        <w:t xml:space="preserve"> rather than supply-driven considerations</w:t>
      </w:r>
      <w:r w:rsidRPr="001B07D6">
        <w:rPr>
          <w:rFonts w:asciiTheme="minorHAnsi" w:hAnsiTheme="minorHAnsi" w:cs="Times New Roman"/>
          <w:lang w:val="en-US"/>
        </w:rPr>
        <w:t xml:space="preserve">. </w:t>
      </w:r>
    </w:p>
    <w:p w:rsidR="001B07D6" w:rsidRPr="001B07D6" w:rsidRDefault="001B07D6" w:rsidP="001B07D6">
      <w:pPr>
        <w:pStyle w:val="ListParagraph"/>
        <w:rPr>
          <w:rFonts w:asciiTheme="minorHAnsi" w:hAnsiTheme="minorHAnsi" w:cs="Times New Roman"/>
          <w:b/>
          <w:lang w:val="en-US"/>
        </w:rPr>
      </w:pPr>
    </w:p>
    <w:p w:rsidR="001B07D6" w:rsidRPr="001B07D6" w:rsidRDefault="001B07D6" w:rsidP="001B07D6">
      <w:pPr>
        <w:pStyle w:val="ListParagraph"/>
        <w:spacing w:after="200"/>
        <w:ind w:left="0"/>
        <w:rPr>
          <w:rFonts w:asciiTheme="minorHAnsi" w:hAnsiTheme="minorHAnsi" w:cs="Times New Roman"/>
          <w:b/>
          <w:lang w:val="en-US"/>
        </w:rPr>
      </w:pPr>
      <w:r w:rsidRPr="001B07D6">
        <w:rPr>
          <w:rFonts w:asciiTheme="minorHAnsi" w:hAnsiTheme="minorHAnsi" w:cs="Times New Roman"/>
          <w:b/>
          <w:lang w:val="en-US"/>
        </w:rPr>
        <w:t xml:space="preserve">ILCs should be seen as strategic nodes in the logistics network—not to be confused with the more limited clustering extent of more traditional “logistics parks”—and managed accordingly. </w:t>
      </w:r>
      <w:r w:rsidRPr="001B07D6">
        <w:rPr>
          <w:rFonts w:asciiTheme="minorHAnsi" w:hAnsiTheme="minorHAnsi" w:cs="Times New Roman"/>
          <w:lang w:val="en-US"/>
        </w:rPr>
        <w:t xml:space="preserve">China has so far developed hundreds of logistics parks, although the true capabilities and economic viability of these is not well known. Not all logistics parks can or should be ILCs. In the U.S., for example, it is estimated that there are fewer than 12 full-fledged ILCs.  Local, provincial, and national governments in China should coordinate their efforts towards managing viable existing clusters as ILCs or developing future ones on the basis of PPPs, ideally headed by specialized developers. CRIntermodal could then be an </w:t>
      </w:r>
      <w:r w:rsidRPr="001B07D6">
        <w:rPr>
          <w:rFonts w:asciiTheme="minorHAnsi" w:hAnsiTheme="minorHAnsi" w:cs="Times New Roman"/>
          <w:i/>
          <w:lang w:val="en-US"/>
        </w:rPr>
        <w:t>anchor tenant</w:t>
      </w:r>
      <w:r w:rsidRPr="001B07D6">
        <w:rPr>
          <w:rFonts w:asciiTheme="minorHAnsi" w:hAnsiTheme="minorHAnsi" w:cs="Times New Roman"/>
          <w:lang w:val="en-US"/>
        </w:rPr>
        <w:t xml:space="preserve"> of some or all such centers.</w:t>
      </w:r>
    </w:p>
    <w:p w:rsidR="00FF2EE8" w:rsidRPr="001B07D6" w:rsidRDefault="001B07D6" w:rsidP="001B07D6">
      <w:pPr>
        <w:spacing w:after="120"/>
        <w:jc w:val="left"/>
        <w:rPr>
          <w:b/>
          <w:lang w:val="en-US" w:eastAsia="zh-CN"/>
        </w:rPr>
      </w:pPr>
      <w:r w:rsidRPr="001B07D6">
        <w:rPr>
          <w:b/>
          <w:lang w:val="en-US" w:eastAsia="zh-CN"/>
        </w:rPr>
        <w:br/>
      </w:r>
      <w:r w:rsidR="00FF2EE8" w:rsidRPr="001B07D6">
        <w:rPr>
          <w:b/>
          <w:lang w:val="en-US" w:eastAsia="zh-CN"/>
        </w:rPr>
        <w:t>References</w:t>
      </w:r>
    </w:p>
    <w:p w:rsidR="001B07D6" w:rsidRPr="001B07D6" w:rsidRDefault="001B07D6" w:rsidP="001A5934">
      <w:pPr>
        <w:spacing w:after="180"/>
        <w:rPr>
          <w:rFonts w:asciiTheme="minorHAnsi" w:hAnsiTheme="minorHAnsi" w:cs="Times New Roman"/>
          <w:szCs w:val="24"/>
          <w:lang w:val="en-US"/>
        </w:rPr>
      </w:pPr>
      <w:r w:rsidRPr="001B07D6">
        <w:rPr>
          <w:rFonts w:asciiTheme="minorHAnsi" w:hAnsiTheme="minorHAnsi" w:cs="Times New Roman"/>
          <w:szCs w:val="24"/>
          <w:lang w:val="en-US"/>
        </w:rPr>
        <w:t xml:space="preserve">AllianceTexas (2013), “Field of Dreams Realized,” </w:t>
      </w:r>
      <w:r w:rsidRPr="001B07D6">
        <w:rPr>
          <w:rFonts w:asciiTheme="minorHAnsi" w:hAnsiTheme="minorHAnsi" w:cs="Times New Roman"/>
          <w:i/>
          <w:szCs w:val="24"/>
          <w:lang w:val="en-US"/>
        </w:rPr>
        <w:t>AllianceTexas Magazine</w:t>
      </w:r>
      <w:r w:rsidRPr="001B07D6">
        <w:rPr>
          <w:rFonts w:asciiTheme="minorHAnsi" w:hAnsiTheme="minorHAnsi" w:cs="Times New Roman"/>
          <w:szCs w:val="24"/>
          <w:lang w:val="en-US"/>
        </w:rPr>
        <w:t xml:space="preserve">, Volume XIII. </w:t>
      </w:r>
    </w:p>
    <w:p w:rsidR="001B07D6" w:rsidRPr="001B07D6" w:rsidRDefault="001B07D6" w:rsidP="001A5934">
      <w:pPr>
        <w:spacing w:after="180"/>
        <w:rPr>
          <w:rFonts w:asciiTheme="minorHAnsi" w:hAnsiTheme="minorHAnsi" w:cs="Times New Roman"/>
          <w:szCs w:val="24"/>
          <w:lang w:val="en-US"/>
        </w:rPr>
      </w:pPr>
      <w:r w:rsidRPr="001B07D6">
        <w:rPr>
          <w:rFonts w:asciiTheme="minorHAnsi" w:hAnsiTheme="minorHAnsi" w:cs="Times New Roman"/>
          <w:szCs w:val="24"/>
          <w:lang w:val="en-US"/>
        </w:rPr>
        <w:t>CenterPoint Properties (2013), “Joliet Arsenal Redevelopment: A Public-Private Partnership Success Story”, Presentation by Eric Gilbert, Senior Vice President for Infrastructure and Logistics, June 13, 2013.</w:t>
      </w:r>
    </w:p>
    <w:p w:rsidR="001B07D6" w:rsidRPr="001B07D6" w:rsidRDefault="001B07D6" w:rsidP="001A5934">
      <w:pPr>
        <w:spacing w:after="180"/>
        <w:rPr>
          <w:rFonts w:asciiTheme="minorHAnsi" w:hAnsiTheme="minorHAnsi" w:cs="Times New Roman"/>
          <w:szCs w:val="24"/>
          <w:lang w:val="en-US"/>
        </w:rPr>
      </w:pPr>
      <w:r w:rsidRPr="001B07D6">
        <w:rPr>
          <w:rFonts w:asciiTheme="minorHAnsi" w:hAnsiTheme="minorHAnsi" w:cs="Times New Roman"/>
          <w:szCs w:val="24"/>
          <w:lang w:val="en-US"/>
        </w:rPr>
        <w:t xml:space="preserve">Chen, Feng and Chung-Yee Lee (2013), “Logistics in China,” in Bookbinder, James H. (Editor), </w:t>
      </w:r>
      <w:r w:rsidRPr="001B07D6">
        <w:rPr>
          <w:rFonts w:asciiTheme="minorHAnsi" w:hAnsiTheme="minorHAnsi" w:cs="Times New Roman"/>
          <w:i/>
          <w:szCs w:val="24"/>
          <w:lang w:val="en-US"/>
        </w:rPr>
        <w:t>Handbook of Global Logistics</w:t>
      </w:r>
      <w:r w:rsidRPr="001B07D6">
        <w:rPr>
          <w:rFonts w:asciiTheme="minorHAnsi" w:hAnsiTheme="minorHAnsi" w:cs="Times New Roman"/>
          <w:szCs w:val="24"/>
          <w:lang w:val="en-US"/>
        </w:rPr>
        <w:t>, Chapter 1, Springer Science+Business Media: New York.</w:t>
      </w:r>
    </w:p>
    <w:p w:rsidR="001B07D6" w:rsidRPr="001B07D6" w:rsidRDefault="001B07D6" w:rsidP="001A5934">
      <w:pPr>
        <w:spacing w:after="180"/>
        <w:rPr>
          <w:rFonts w:asciiTheme="minorHAnsi" w:hAnsiTheme="minorHAnsi" w:cs="Times New Roman"/>
          <w:szCs w:val="24"/>
          <w:lang w:val="en-US"/>
        </w:rPr>
      </w:pPr>
      <w:r w:rsidRPr="001B07D6">
        <w:rPr>
          <w:rFonts w:asciiTheme="minorHAnsi" w:hAnsiTheme="minorHAnsi" w:cs="Times New Roman"/>
          <w:szCs w:val="24"/>
          <w:lang w:val="en-US"/>
        </w:rPr>
        <w:lastRenderedPageBreak/>
        <w:t>Envision Freight (2011), “Case Study: The Relocation of Intermodal Facilities,” National Cooperative Freight Research Program (NCFRP), Transport Research Board (TRB), available at: http://www.envisionfreight.com/issues/pdf/Joliet_Austell.pdf</w:t>
      </w:r>
    </w:p>
    <w:p w:rsidR="001B07D6" w:rsidRPr="001B07D6" w:rsidRDefault="001B07D6" w:rsidP="001A5934">
      <w:pPr>
        <w:spacing w:after="180"/>
        <w:rPr>
          <w:rFonts w:asciiTheme="minorHAnsi" w:hAnsiTheme="minorHAnsi" w:cs="Times New Roman"/>
          <w:szCs w:val="24"/>
          <w:lang w:val="en-US"/>
        </w:rPr>
      </w:pPr>
      <w:r w:rsidRPr="001B07D6">
        <w:rPr>
          <w:rFonts w:asciiTheme="minorHAnsi" w:hAnsiTheme="minorHAnsi" w:cs="Times New Roman"/>
          <w:szCs w:val="24"/>
          <w:lang w:val="en-US"/>
        </w:rPr>
        <w:t xml:space="preserve">Geng, Susan (2008), “Too Many Parks Pose Threat to Supply Chain,” </w:t>
      </w:r>
      <w:r w:rsidRPr="001B07D6">
        <w:rPr>
          <w:rFonts w:asciiTheme="minorHAnsi" w:hAnsiTheme="minorHAnsi" w:cs="Times New Roman"/>
          <w:i/>
          <w:szCs w:val="24"/>
          <w:lang w:val="en-US"/>
        </w:rPr>
        <w:t>Cargonews Asia</w:t>
      </w:r>
      <w:r w:rsidRPr="001B07D6">
        <w:rPr>
          <w:rFonts w:asciiTheme="minorHAnsi" w:hAnsiTheme="minorHAnsi" w:cs="Times New Roman"/>
          <w:szCs w:val="24"/>
          <w:lang w:val="en-US"/>
        </w:rPr>
        <w:t>, available at: http://www.cargonewsasia.com/</w:t>
      </w:r>
      <w:r w:rsidRPr="001B07D6">
        <w:rPr>
          <w:rFonts w:asciiTheme="minorHAnsi" w:hAnsiTheme="minorHAnsi" w:cs="Times New Roman"/>
          <w:szCs w:val="24"/>
          <w:lang w:val="en-US"/>
        </w:rPr>
        <w:br/>
        <w:t>secured/article.aspx?article=17459.</w:t>
      </w:r>
    </w:p>
    <w:p w:rsidR="001B07D6" w:rsidRPr="001B07D6" w:rsidRDefault="001B07D6" w:rsidP="001A5934">
      <w:pPr>
        <w:pStyle w:val="FootnoteText"/>
        <w:spacing w:after="180"/>
        <w:rPr>
          <w:rFonts w:asciiTheme="minorHAnsi" w:hAnsiTheme="minorHAnsi" w:cs="Times New Roman"/>
          <w:sz w:val="22"/>
          <w:szCs w:val="24"/>
          <w:lang w:val="en-US"/>
        </w:rPr>
      </w:pPr>
      <w:r w:rsidRPr="001B07D6">
        <w:rPr>
          <w:rFonts w:asciiTheme="minorHAnsi" w:hAnsiTheme="minorHAnsi" w:cs="Times New Roman"/>
          <w:sz w:val="22"/>
          <w:szCs w:val="24"/>
          <w:lang w:val="en-US"/>
        </w:rPr>
        <w:t xml:space="preserve">Jones Lang LaSalle (2011), “The Emergence of the Inland Port,” </w:t>
      </w:r>
      <w:r w:rsidRPr="001B07D6">
        <w:rPr>
          <w:rFonts w:asciiTheme="minorHAnsi" w:hAnsiTheme="minorHAnsi" w:cs="Times New Roman"/>
          <w:i/>
          <w:sz w:val="22"/>
          <w:szCs w:val="24"/>
          <w:lang w:val="en-US"/>
        </w:rPr>
        <w:t>Perspectives on the Global Supply Chain</w:t>
      </w:r>
      <w:r w:rsidRPr="001B07D6">
        <w:rPr>
          <w:rFonts w:asciiTheme="minorHAnsi" w:hAnsiTheme="minorHAnsi" w:cs="Times New Roman"/>
          <w:sz w:val="22"/>
          <w:szCs w:val="24"/>
          <w:lang w:val="en-US"/>
        </w:rPr>
        <w:t xml:space="preserve">, Spring 2011. </w:t>
      </w:r>
    </w:p>
    <w:p w:rsidR="001B07D6" w:rsidRPr="001B07D6" w:rsidRDefault="001B07D6" w:rsidP="001A5934">
      <w:pPr>
        <w:pStyle w:val="FootnoteText"/>
        <w:spacing w:after="180"/>
        <w:rPr>
          <w:rFonts w:asciiTheme="minorHAnsi" w:hAnsiTheme="minorHAnsi" w:cs="Times New Roman"/>
          <w:sz w:val="22"/>
          <w:szCs w:val="24"/>
          <w:lang w:val="en-US"/>
        </w:rPr>
      </w:pPr>
      <w:r w:rsidRPr="001B07D6">
        <w:rPr>
          <w:rFonts w:asciiTheme="minorHAnsi" w:hAnsiTheme="minorHAnsi" w:cs="Times New Roman"/>
          <w:sz w:val="22"/>
          <w:szCs w:val="24"/>
          <w:lang w:val="en-US"/>
        </w:rPr>
        <w:t xml:space="preserve">Porter, Michael (1998), “Clusters and the New Economics of Competition,” </w:t>
      </w:r>
      <w:r w:rsidRPr="001B07D6">
        <w:rPr>
          <w:rFonts w:asciiTheme="minorHAnsi" w:hAnsiTheme="minorHAnsi" w:cs="Times New Roman"/>
          <w:i/>
          <w:sz w:val="22"/>
          <w:szCs w:val="24"/>
          <w:lang w:val="en-US"/>
        </w:rPr>
        <w:t>Harvard Business Review</w:t>
      </w:r>
      <w:r w:rsidRPr="001B07D6">
        <w:rPr>
          <w:rFonts w:asciiTheme="minorHAnsi" w:hAnsiTheme="minorHAnsi" w:cs="Times New Roman"/>
          <w:sz w:val="22"/>
          <w:szCs w:val="24"/>
          <w:lang w:val="en-US"/>
        </w:rPr>
        <w:t>, November-December</w:t>
      </w:r>
      <w:r w:rsidR="008819C9">
        <w:rPr>
          <w:rFonts w:asciiTheme="minorHAnsi" w:hAnsiTheme="minorHAnsi" w:cs="Times New Roman"/>
          <w:sz w:val="22"/>
          <w:szCs w:val="24"/>
          <w:lang w:val="en-US"/>
        </w:rPr>
        <w:t xml:space="preserve"> 1998</w:t>
      </w:r>
      <w:r w:rsidRPr="001B07D6">
        <w:rPr>
          <w:rFonts w:asciiTheme="minorHAnsi" w:hAnsiTheme="minorHAnsi" w:cs="Times New Roman"/>
          <w:sz w:val="22"/>
          <w:szCs w:val="24"/>
          <w:lang w:val="en-US"/>
        </w:rPr>
        <w:t xml:space="preserve">. </w:t>
      </w:r>
    </w:p>
    <w:p w:rsidR="001B07D6" w:rsidRPr="001B07D6" w:rsidRDefault="001B07D6" w:rsidP="001A5934">
      <w:pPr>
        <w:spacing w:after="180"/>
        <w:rPr>
          <w:rFonts w:asciiTheme="minorHAnsi" w:hAnsiTheme="minorHAnsi" w:cs="Times New Roman"/>
          <w:szCs w:val="24"/>
          <w:lang w:val="en-US"/>
        </w:rPr>
      </w:pPr>
      <w:r w:rsidRPr="001B07D6">
        <w:rPr>
          <w:rFonts w:asciiTheme="minorHAnsi" w:hAnsiTheme="minorHAnsi" w:cs="Times New Roman"/>
          <w:szCs w:val="24"/>
          <w:lang w:val="en-US"/>
        </w:rPr>
        <w:t xml:space="preserve">Sheffi, Yossi (2013), “Logistics Intensive Clusters: Global Competitiveness and Regional Growth,” in Bookbinder, James H. (Editor), </w:t>
      </w:r>
      <w:r w:rsidRPr="001B07D6">
        <w:rPr>
          <w:rFonts w:asciiTheme="minorHAnsi" w:hAnsiTheme="minorHAnsi" w:cs="Times New Roman"/>
          <w:i/>
          <w:szCs w:val="24"/>
          <w:lang w:val="en-US"/>
        </w:rPr>
        <w:t>Handbook of Global Logistics</w:t>
      </w:r>
      <w:r w:rsidRPr="001B07D6">
        <w:rPr>
          <w:rFonts w:asciiTheme="minorHAnsi" w:hAnsiTheme="minorHAnsi" w:cs="Times New Roman"/>
          <w:szCs w:val="24"/>
          <w:lang w:val="en-US"/>
        </w:rPr>
        <w:t>, Chapter 19, Springer Science+Business Media: New York.</w:t>
      </w:r>
    </w:p>
    <w:p w:rsidR="001B07D6" w:rsidRPr="001B07D6" w:rsidRDefault="001B07D6" w:rsidP="001A5934">
      <w:pPr>
        <w:spacing w:after="180"/>
        <w:rPr>
          <w:rFonts w:asciiTheme="minorHAnsi" w:hAnsiTheme="minorHAnsi" w:cs="Times New Roman"/>
          <w:szCs w:val="24"/>
          <w:lang w:val="en-US"/>
        </w:rPr>
      </w:pPr>
      <w:r w:rsidRPr="001B07D6">
        <w:rPr>
          <w:rFonts w:asciiTheme="minorHAnsi" w:hAnsiTheme="minorHAnsi" w:cs="Times New Roman"/>
          <w:szCs w:val="24"/>
          <w:lang w:val="en-US"/>
        </w:rPr>
        <w:t xml:space="preserve">Steele, Christopher W. et al. (2011), </w:t>
      </w:r>
      <w:r w:rsidRPr="001B07D6">
        <w:rPr>
          <w:rFonts w:asciiTheme="minorHAnsi" w:hAnsiTheme="minorHAnsi" w:cs="Times New Roman"/>
          <w:i/>
          <w:szCs w:val="24"/>
          <w:lang w:val="en-US"/>
        </w:rPr>
        <w:t>Background Research Material for Freight Facility Location Selection: A Guide for Public Officials</w:t>
      </w:r>
      <w:r w:rsidRPr="001B07D6">
        <w:rPr>
          <w:rFonts w:asciiTheme="minorHAnsi" w:hAnsiTheme="minorHAnsi" w:cs="Times New Roman"/>
          <w:szCs w:val="24"/>
          <w:lang w:val="en-US"/>
        </w:rPr>
        <w:t>, National Cooperative Freight Research Program Report 13, Transport Research Board.</w:t>
      </w:r>
    </w:p>
    <w:p w:rsidR="00B13C16" w:rsidRPr="001B07D6" w:rsidRDefault="00B13C16" w:rsidP="00B13C16">
      <w:pPr>
        <w:jc w:val="center"/>
        <w:rPr>
          <w:rFonts w:asciiTheme="minorHAnsi" w:hAnsiTheme="minorHAnsi"/>
          <w:lang w:val="en-US" w:eastAsia="zh-CN"/>
        </w:rPr>
      </w:pPr>
      <w:r w:rsidRPr="001B07D6">
        <w:rPr>
          <w:rFonts w:asciiTheme="minorHAnsi" w:hAnsiTheme="minorHAnsi"/>
          <w:lang w:val="en-US" w:eastAsia="zh-CN"/>
        </w:rPr>
        <w:t xml:space="preserve">********** </w:t>
      </w:r>
    </w:p>
    <w:p w:rsidR="00B13C16" w:rsidRPr="001B07D6" w:rsidRDefault="00430633" w:rsidP="00B13C16">
      <w:pPr>
        <w:pStyle w:val="transportnoteparagraph"/>
        <w:spacing w:after="0"/>
        <w:jc w:val="both"/>
        <w:rPr>
          <w:rFonts w:asciiTheme="minorHAnsi" w:hAnsiTheme="minorHAnsi"/>
          <w:i/>
          <w:lang w:val="en-US" w:eastAsia="zh-CN"/>
        </w:rPr>
      </w:pPr>
      <w:r>
        <w:rPr>
          <w:rFonts w:asciiTheme="minorHAnsi" w:hAnsiTheme="minorHAnsi"/>
          <w:b/>
          <w:i/>
          <w:lang w:val="en-US" w:eastAsia="zh-CN"/>
        </w:rPr>
        <w:br/>
      </w:r>
      <w:r w:rsidR="00FF2EE8" w:rsidRPr="001B07D6">
        <w:rPr>
          <w:rFonts w:asciiTheme="minorHAnsi" w:hAnsiTheme="minorHAnsi"/>
          <w:b/>
          <w:i/>
          <w:lang w:val="en-US" w:eastAsia="zh-CN"/>
        </w:rPr>
        <w:t xml:space="preserve">Luis </w:t>
      </w:r>
      <w:r w:rsidR="00B572C6">
        <w:rPr>
          <w:rFonts w:asciiTheme="minorHAnsi" w:hAnsiTheme="minorHAnsi"/>
          <w:b/>
          <w:i/>
          <w:lang w:val="en-US" w:eastAsia="zh-CN"/>
        </w:rPr>
        <w:t xml:space="preserve">C. </w:t>
      </w:r>
      <w:r w:rsidR="00FF2EE8" w:rsidRPr="001B07D6">
        <w:rPr>
          <w:rFonts w:asciiTheme="minorHAnsi" w:hAnsiTheme="minorHAnsi"/>
          <w:b/>
          <w:i/>
          <w:lang w:val="en-US" w:eastAsia="zh-CN"/>
        </w:rPr>
        <w:t>Blancas</w:t>
      </w:r>
      <w:r w:rsidR="00B13C16" w:rsidRPr="001B07D6">
        <w:rPr>
          <w:rFonts w:asciiTheme="minorHAnsi" w:hAnsiTheme="minorHAnsi"/>
          <w:i/>
          <w:lang w:val="en-US" w:eastAsia="zh-CN"/>
        </w:rPr>
        <w:t xml:space="preserve"> is a </w:t>
      </w:r>
      <w:r w:rsidR="00A808F3">
        <w:rPr>
          <w:rFonts w:asciiTheme="minorHAnsi" w:hAnsiTheme="minorHAnsi"/>
          <w:i/>
          <w:lang w:val="en-US" w:eastAsia="zh-CN"/>
        </w:rPr>
        <w:t xml:space="preserve">Senior </w:t>
      </w:r>
      <w:r w:rsidR="00FF2EE8" w:rsidRPr="001B07D6">
        <w:rPr>
          <w:rFonts w:asciiTheme="minorHAnsi" w:hAnsiTheme="minorHAnsi"/>
          <w:i/>
          <w:lang w:val="en-US" w:eastAsia="zh-CN"/>
        </w:rPr>
        <w:t>Transport Specialist</w:t>
      </w:r>
      <w:r w:rsidR="00B13C16" w:rsidRPr="001B07D6">
        <w:rPr>
          <w:rFonts w:asciiTheme="minorHAnsi" w:hAnsiTheme="minorHAnsi"/>
          <w:i/>
          <w:lang w:val="en-US" w:eastAsia="zh-CN"/>
        </w:rPr>
        <w:t xml:space="preserve"> in the </w:t>
      </w:r>
      <w:r w:rsidR="00D62462" w:rsidRPr="00D62462">
        <w:rPr>
          <w:rFonts w:asciiTheme="minorHAnsi" w:hAnsiTheme="minorHAnsi"/>
          <w:i/>
          <w:lang w:val="en-US" w:eastAsia="zh-CN"/>
        </w:rPr>
        <w:t xml:space="preserve">Transport &amp; Information and Communications Technology Global Practice </w:t>
      </w:r>
      <w:r w:rsidR="00B13C16" w:rsidRPr="001B07D6">
        <w:rPr>
          <w:rFonts w:asciiTheme="minorHAnsi" w:hAnsiTheme="minorHAnsi"/>
          <w:i/>
          <w:lang w:val="en-US" w:eastAsia="zh-CN"/>
        </w:rPr>
        <w:t xml:space="preserve">at the </w:t>
      </w:r>
      <w:r w:rsidR="00FF2EE8" w:rsidRPr="001B07D6">
        <w:rPr>
          <w:rFonts w:asciiTheme="minorHAnsi" w:hAnsiTheme="minorHAnsi"/>
          <w:i/>
          <w:lang w:val="en-US" w:eastAsia="zh-CN"/>
        </w:rPr>
        <w:t>Washington D.C.</w:t>
      </w:r>
      <w:r w:rsidR="00B13C16" w:rsidRPr="001B07D6">
        <w:rPr>
          <w:rFonts w:asciiTheme="minorHAnsi" w:hAnsiTheme="minorHAnsi"/>
          <w:i/>
          <w:lang w:val="en-US" w:eastAsia="zh-CN"/>
        </w:rPr>
        <w:t xml:space="preserve"> Office of the World Bank. </w:t>
      </w:r>
      <w:r w:rsidR="00AC7DA5">
        <w:rPr>
          <w:rFonts w:asciiTheme="minorHAnsi" w:hAnsiTheme="minorHAnsi"/>
          <w:i/>
          <w:lang w:val="en-US" w:eastAsia="zh-CN"/>
        </w:rPr>
        <w:t xml:space="preserve">He is the main author </w:t>
      </w:r>
      <w:r w:rsidR="00B572C6">
        <w:rPr>
          <w:rFonts w:asciiTheme="minorHAnsi" w:hAnsiTheme="minorHAnsi"/>
          <w:i/>
          <w:lang w:val="en-US" w:eastAsia="zh-CN"/>
        </w:rPr>
        <w:t>of</w:t>
      </w:r>
      <w:r w:rsidR="00AC7DA5">
        <w:rPr>
          <w:rFonts w:asciiTheme="minorHAnsi" w:hAnsiTheme="minorHAnsi"/>
          <w:i/>
          <w:lang w:val="en-US" w:eastAsia="zh-CN"/>
        </w:rPr>
        <w:t xml:space="preserve"> t</w:t>
      </w:r>
      <w:r w:rsidR="00D62462">
        <w:rPr>
          <w:rFonts w:asciiTheme="minorHAnsi" w:hAnsiTheme="minorHAnsi"/>
          <w:i/>
          <w:lang w:val="en-US" w:eastAsia="zh-CN"/>
        </w:rPr>
        <w:t>his note</w:t>
      </w:r>
      <w:r w:rsidR="00B572C6">
        <w:rPr>
          <w:rFonts w:asciiTheme="minorHAnsi" w:hAnsiTheme="minorHAnsi"/>
          <w:i/>
          <w:lang w:val="en-US" w:eastAsia="zh-CN"/>
        </w:rPr>
        <w:t xml:space="preserve">, </w:t>
      </w:r>
      <w:r w:rsidR="00AC7DA5">
        <w:rPr>
          <w:rFonts w:asciiTheme="minorHAnsi" w:hAnsiTheme="minorHAnsi"/>
          <w:i/>
          <w:lang w:val="en-US" w:eastAsia="zh-CN"/>
        </w:rPr>
        <w:t xml:space="preserve">with contributions </w:t>
      </w:r>
      <w:r w:rsidR="00D62462">
        <w:rPr>
          <w:rFonts w:asciiTheme="minorHAnsi" w:hAnsiTheme="minorHAnsi"/>
          <w:i/>
          <w:lang w:val="en-US" w:eastAsia="zh-CN"/>
        </w:rPr>
        <w:t xml:space="preserve">from </w:t>
      </w:r>
      <w:r w:rsidR="00D62462" w:rsidRPr="001A5934">
        <w:rPr>
          <w:rFonts w:asciiTheme="minorHAnsi" w:hAnsiTheme="minorHAnsi"/>
          <w:i/>
          <w:lang w:val="en-US" w:eastAsia="zh-CN"/>
        </w:rPr>
        <w:t>Gerald Ollivier</w:t>
      </w:r>
      <w:r w:rsidR="00D62462">
        <w:rPr>
          <w:rFonts w:asciiTheme="minorHAnsi" w:hAnsiTheme="minorHAnsi"/>
          <w:i/>
          <w:lang w:val="en-US" w:eastAsia="zh-CN"/>
        </w:rPr>
        <w:t xml:space="preserve">, Senior Infrastructure Specialist at the Beijing Office of the World Bank, and </w:t>
      </w:r>
      <w:r w:rsidR="001A5934">
        <w:rPr>
          <w:rFonts w:asciiTheme="minorHAnsi" w:hAnsiTheme="minorHAnsi"/>
          <w:i/>
          <w:lang w:val="en-US" w:eastAsia="zh-CN"/>
        </w:rPr>
        <w:t>Richard Bullock, Railways consultant to the World Bank.</w:t>
      </w:r>
      <w:r w:rsidR="00D62462">
        <w:rPr>
          <w:rFonts w:asciiTheme="minorHAnsi" w:hAnsiTheme="minorHAnsi"/>
          <w:i/>
          <w:lang w:val="en-US" w:eastAsia="zh-CN"/>
        </w:rPr>
        <w:t xml:space="preserve"> </w:t>
      </w:r>
    </w:p>
    <w:p w:rsidR="00B13C16" w:rsidRPr="001B07D6" w:rsidRDefault="00B13C16" w:rsidP="00B13C16">
      <w:pPr>
        <w:pStyle w:val="transportnoteparagraph"/>
        <w:spacing w:after="0"/>
        <w:jc w:val="both"/>
        <w:rPr>
          <w:rFonts w:asciiTheme="minorHAnsi" w:hAnsiTheme="minorHAnsi"/>
          <w:i/>
          <w:lang w:val="en-US" w:eastAsia="zh-CN"/>
        </w:rPr>
      </w:pPr>
    </w:p>
    <w:p w:rsidR="00B13C16" w:rsidRPr="001B07D6" w:rsidRDefault="00B13C16" w:rsidP="00B13C16">
      <w:pPr>
        <w:pStyle w:val="transportnoteparagraph"/>
        <w:spacing w:after="0"/>
        <w:jc w:val="both"/>
        <w:rPr>
          <w:rFonts w:asciiTheme="minorHAnsi" w:hAnsiTheme="minorHAnsi"/>
          <w:i/>
          <w:lang w:val="en-US"/>
        </w:rPr>
      </w:pPr>
      <w:r w:rsidRPr="001B07D6">
        <w:rPr>
          <w:rFonts w:asciiTheme="minorHAnsi" w:hAnsiTheme="minorHAnsi"/>
          <w:i/>
          <w:lang w:val="en-US" w:eastAsia="zh-CN"/>
        </w:rPr>
        <w:t xml:space="preserve">This note is part of the China Transport Note Series to share experience about the transformation of the Chinese transport sector.  For comments, please contact </w:t>
      </w:r>
      <w:r w:rsidR="00AC7DA5">
        <w:rPr>
          <w:rFonts w:asciiTheme="minorHAnsi" w:hAnsiTheme="minorHAnsi"/>
          <w:i/>
          <w:lang w:val="en-US" w:eastAsia="zh-CN"/>
        </w:rPr>
        <w:t>Luis Blancas</w:t>
      </w:r>
      <w:r w:rsidRPr="001B07D6">
        <w:rPr>
          <w:rFonts w:asciiTheme="minorHAnsi" w:hAnsiTheme="minorHAnsi"/>
          <w:i/>
          <w:lang w:val="en-US" w:eastAsia="zh-CN"/>
        </w:rPr>
        <w:t xml:space="preserve"> (</w:t>
      </w:r>
      <w:r w:rsidR="00AC7DA5">
        <w:rPr>
          <w:rFonts w:asciiTheme="minorHAnsi" w:hAnsiTheme="minorHAnsi"/>
          <w:i/>
          <w:lang w:val="en-US"/>
        </w:rPr>
        <w:t>lblancas</w:t>
      </w:r>
      <w:r w:rsidR="00FF2EE8" w:rsidRPr="001B07D6">
        <w:rPr>
          <w:rFonts w:asciiTheme="minorHAnsi" w:hAnsiTheme="minorHAnsi"/>
          <w:i/>
          <w:lang w:val="en-US"/>
        </w:rPr>
        <w:t>@worldbank.org</w:t>
      </w:r>
      <w:r w:rsidRPr="001B07D6">
        <w:rPr>
          <w:rFonts w:asciiTheme="minorHAnsi" w:hAnsiTheme="minorHAnsi"/>
          <w:i/>
          <w:lang w:val="en-US" w:eastAsia="zh-CN"/>
        </w:rPr>
        <w:t>)</w:t>
      </w:r>
      <w:r w:rsidR="00FF2EE8" w:rsidRPr="001B07D6">
        <w:rPr>
          <w:rFonts w:asciiTheme="minorHAnsi" w:hAnsiTheme="minorHAnsi"/>
          <w:i/>
          <w:lang w:val="en-US" w:eastAsia="zh-CN"/>
        </w:rPr>
        <w:t xml:space="preserve"> or Gerald Ollivier (gollivier@worldbank.org)</w:t>
      </w:r>
      <w:r w:rsidRPr="001B07D6">
        <w:rPr>
          <w:rFonts w:asciiTheme="minorHAnsi" w:hAnsiTheme="minorHAnsi"/>
          <w:i/>
          <w:lang w:val="en-US" w:eastAsia="zh-CN"/>
        </w:rPr>
        <w:t xml:space="preserve">.   </w:t>
      </w:r>
    </w:p>
    <w:p w:rsidR="002B60BC" w:rsidRPr="001B07D6" w:rsidRDefault="00B13C16" w:rsidP="001B07D6">
      <w:pPr>
        <w:pStyle w:val="transportnoteparagraph"/>
        <w:spacing w:after="0"/>
        <w:jc w:val="both"/>
        <w:rPr>
          <w:rFonts w:asciiTheme="minorHAnsi" w:hAnsiTheme="minorHAnsi"/>
          <w:i/>
          <w:lang w:val="en-US" w:eastAsia="zh-CN"/>
        </w:rPr>
      </w:pPr>
      <w:r w:rsidRPr="001B07D6">
        <w:rPr>
          <w:rFonts w:asciiTheme="minorHAnsi" w:hAnsiTheme="minorHAnsi"/>
          <w:i/>
          <w:lang w:val="en-US" w:eastAsia="zh-CN"/>
        </w:rPr>
        <w:lastRenderedPageBreak/>
        <w:t>Any findings, interpretations, and conclusions expressed</w:t>
      </w:r>
      <w:r w:rsidR="00FF2EE8" w:rsidRPr="001B07D6">
        <w:rPr>
          <w:rFonts w:asciiTheme="minorHAnsi" w:hAnsiTheme="minorHAnsi"/>
          <w:i/>
          <w:lang w:val="en-US" w:eastAsia="zh-CN"/>
        </w:rPr>
        <w:t xml:space="preserve"> herein are those of the author</w:t>
      </w:r>
      <w:r w:rsidRPr="001B07D6">
        <w:rPr>
          <w:rFonts w:asciiTheme="minorHAnsi" w:hAnsiTheme="minorHAnsi"/>
          <w:i/>
          <w:lang w:val="en-US" w:eastAsia="zh-CN"/>
        </w:rPr>
        <w:t xml:space="preserve"> and do not necessarily reflect the views of the World Bank. Neithe</w:t>
      </w:r>
      <w:r w:rsidR="00FF2EE8" w:rsidRPr="001B07D6">
        <w:rPr>
          <w:rFonts w:asciiTheme="minorHAnsi" w:hAnsiTheme="minorHAnsi"/>
          <w:i/>
          <w:lang w:val="en-US" w:eastAsia="zh-CN"/>
        </w:rPr>
        <w:t>r the World Bank nor the author</w:t>
      </w:r>
      <w:r w:rsidRPr="001B07D6">
        <w:rPr>
          <w:rFonts w:asciiTheme="minorHAnsi" w:hAnsiTheme="minorHAnsi"/>
          <w:i/>
          <w:lang w:val="en-US" w:eastAsia="zh-CN"/>
        </w:rPr>
        <w:t xml:space="preserve"> guarantee the accuracy of any data or other information contained in this document and accept no responsibility whatsoever for any consequence of their use. </w:t>
      </w:r>
    </w:p>
    <w:sectPr w:rsidR="002B60BC" w:rsidRPr="001B07D6" w:rsidSect="00B13C16">
      <w:headerReference w:type="default" r:id="rId14"/>
      <w:headerReference w:type="first" r:id="rId15"/>
      <w:footnotePr>
        <w:pos w:val="beneathText"/>
      </w:footnotePr>
      <w:type w:val="continuous"/>
      <w:pgSz w:w="12240" w:h="15840" w:code="1"/>
      <w:pgMar w:top="1440" w:right="1440" w:bottom="1440" w:left="1440" w:header="720" w:footer="850" w:gutter="0"/>
      <w:cols w:num="2" w:space="56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A39" w:rsidRDefault="009C7A39" w:rsidP="00A02EA2">
      <w:pPr>
        <w:rPr>
          <w:rFonts w:cs="Times New Roman"/>
        </w:rPr>
      </w:pPr>
      <w:r>
        <w:rPr>
          <w:rFonts w:cs="Times New Roman"/>
        </w:rPr>
        <w:separator/>
      </w:r>
    </w:p>
  </w:endnote>
  <w:endnote w:type="continuationSeparator" w:id="0">
    <w:p w:rsidR="009C7A39" w:rsidRDefault="009C7A39" w:rsidP="00A02E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31" w:rsidRDefault="009A0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31" w:rsidRDefault="009A0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31" w:rsidRDefault="009A0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A39" w:rsidRDefault="009C7A39" w:rsidP="00A02EA2">
      <w:pPr>
        <w:rPr>
          <w:rFonts w:cs="Times New Roman"/>
        </w:rPr>
      </w:pPr>
      <w:r>
        <w:rPr>
          <w:rFonts w:cs="Times New Roman"/>
        </w:rPr>
        <w:separator/>
      </w:r>
    </w:p>
  </w:footnote>
  <w:footnote w:type="continuationSeparator" w:id="0">
    <w:p w:rsidR="009C7A39" w:rsidRDefault="009C7A39" w:rsidP="00A02EA2">
      <w:pPr>
        <w:rPr>
          <w:rFonts w:cs="Times New Roman"/>
        </w:rPr>
      </w:pPr>
      <w:r>
        <w:rPr>
          <w:rFonts w:cs="Times New Roman"/>
        </w:rPr>
        <w:continuationSeparator/>
      </w:r>
    </w:p>
  </w:footnote>
  <w:footnote w:id="1">
    <w:p w:rsidR="002B5A24" w:rsidRPr="002B5A24" w:rsidRDefault="002B5A24">
      <w:pPr>
        <w:pStyle w:val="FootnoteText"/>
        <w:rPr>
          <w:sz w:val="18"/>
        </w:rPr>
      </w:pPr>
      <w:r w:rsidRPr="002B5A24">
        <w:rPr>
          <w:rStyle w:val="FootnoteReference"/>
          <w:sz w:val="18"/>
        </w:rPr>
        <w:footnoteRef/>
      </w:r>
      <w:r w:rsidRPr="002B5A24">
        <w:rPr>
          <w:sz w:val="18"/>
        </w:rPr>
        <w:t xml:space="preserve"> The term “rail intermodal” refers to the movement of containerized cargo from origin to destination where a portion of the journey takes place on rail.</w:t>
      </w:r>
      <w:r>
        <w:rPr>
          <w:sz w:val="18"/>
        </w:rPr>
        <w:t xml:space="preserve"> </w:t>
      </w:r>
      <w:r w:rsidR="007C7C9D">
        <w:rPr>
          <w:sz w:val="18"/>
        </w:rPr>
        <w:t xml:space="preserve">The U.S. rail intermodal network comprises the rail tracks, rolling stock, </w:t>
      </w:r>
      <w:r w:rsidR="00BE02F0">
        <w:rPr>
          <w:sz w:val="18"/>
        </w:rPr>
        <w:t xml:space="preserve">rail </w:t>
      </w:r>
      <w:r w:rsidR="009E023B">
        <w:rPr>
          <w:sz w:val="18"/>
        </w:rPr>
        <w:t>terminals</w:t>
      </w:r>
      <w:r w:rsidR="007C7C9D">
        <w:rPr>
          <w:sz w:val="18"/>
        </w:rPr>
        <w:t xml:space="preserve">, and cargo handling equipment </w:t>
      </w:r>
      <w:r w:rsidR="009E023B">
        <w:rPr>
          <w:sz w:val="18"/>
        </w:rPr>
        <w:t xml:space="preserve">used to transport containerized cargo (whether in containers or trailers) throughout the country, typically over long distances (e.g., 700 miles or longer). </w:t>
      </w:r>
    </w:p>
  </w:footnote>
  <w:footnote w:id="2">
    <w:p w:rsidR="001B07D6" w:rsidRPr="001B07D6" w:rsidRDefault="001B07D6" w:rsidP="001B07D6">
      <w:pPr>
        <w:pStyle w:val="FootnoteText"/>
        <w:rPr>
          <w:rFonts w:asciiTheme="minorHAnsi" w:hAnsiTheme="minorHAnsi" w:cs="Times New Roman"/>
        </w:rPr>
      </w:pPr>
      <w:r w:rsidRPr="001B07D6">
        <w:rPr>
          <w:rStyle w:val="FootnoteReference"/>
          <w:rFonts w:asciiTheme="minorHAnsi" w:hAnsiTheme="minorHAnsi"/>
          <w:sz w:val="18"/>
        </w:rPr>
        <w:footnoteRef/>
      </w:r>
      <w:r w:rsidRPr="001B07D6">
        <w:rPr>
          <w:rFonts w:asciiTheme="minorHAnsi" w:hAnsiTheme="minorHAnsi" w:cs="Times New Roman"/>
          <w:sz w:val="18"/>
        </w:rPr>
        <w:t xml:space="preserve"> Geng (2008).</w:t>
      </w:r>
    </w:p>
  </w:footnote>
  <w:footnote w:id="3">
    <w:p w:rsidR="008819C9" w:rsidRPr="00EE50C4" w:rsidRDefault="008819C9" w:rsidP="008819C9">
      <w:pPr>
        <w:pStyle w:val="FootnoteText"/>
        <w:rPr>
          <w:sz w:val="18"/>
          <w:szCs w:val="18"/>
        </w:rPr>
      </w:pPr>
      <w:r w:rsidRPr="00EE50C4">
        <w:rPr>
          <w:rStyle w:val="FootnoteReference"/>
          <w:sz w:val="18"/>
          <w:szCs w:val="18"/>
        </w:rPr>
        <w:footnoteRef/>
      </w:r>
      <w:r w:rsidRPr="00EE50C4">
        <w:rPr>
          <w:sz w:val="18"/>
          <w:szCs w:val="18"/>
        </w:rPr>
        <w:t xml:space="preserve"> “Asset-based” transport services are provided by firms that generally own </w:t>
      </w:r>
      <w:r>
        <w:rPr>
          <w:sz w:val="18"/>
          <w:szCs w:val="18"/>
        </w:rPr>
        <w:t>(</w:t>
      </w:r>
      <w:r w:rsidRPr="00EE50C4">
        <w:rPr>
          <w:sz w:val="18"/>
          <w:szCs w:val="18"/>
        </w:rPr>
        <w:t>or lease</w:t>
      </w:r>
      <w:r>
        <w:rPr>
          <w:sz w:val="18"/>
          <w:szCs w:val="18"/>
        </w:rPr>
        <w:t>)</w:t>
      </w:r>
      <w:r w:rsidRPr="00EE50C4">
        <w:rPr>
          <w:sz w:val="18"/>
          <w:szCs w:val="18"/>
        </w:rPr>
        <w:t xml:space="preserve"> the underlying transportation assets used to move freight—such as trucks, aircraft, or rail tracks. </w:t>
      </w:r>
      <w:r>
        <w:rPr>
          <w:sz w:val="18"/>
          <w:szCs w:val="18"/>
        </w:rPr>
        <w:t>This is in contrast with “non-asset based” transport services, which are provided by firms that generally do not own (or lease) transport assets, and instead act as intermediaries between shippers and asset-based transportation carriers. In North America, non-asset based logistics service providers play critical facilitating and strategic roles in the daily functioning of supply chains, and include, for example, freight forwarders and truck brokers.</w:t>
      </w:r>
    </w:p>
  </w:footnote>
  <w:footnote w:id="4">
    <w:p w:rsidR="008819C9" w:rsidRPr="001B07D6" w:rsidRDefault="008819C9" w:rsidP="008819C9">
      <w:pPr>
        <w:pStyle w:val="FootnoteText"/>
        <w:rPr>
          <w:rFonts w:asciiTheme="minorHAnsi" w:hAnsiTheme="minorHAnsi" w:cs="Times New Roman"/>
          <w:sz w:val="18"/>
        </w:rPr>
      </w:pPr>
      <w:r w:rsidRPr="001B07D6">
        <w:rPr>
          <w:rStyle w:val="FootnoteReference"/>
          <w:rFonts w:asciiTheme="minorHAnsi" w:hAnsiTheme="minorHAnsi"/>
          <w:sz w:val="18"/>
        </w:rPr>
        <w:footnoteRef/>
      </w:r>
      <w:r w:rsidRPr="001B07D6">
        <w:rPr>
          <w:rFonts w:asciiTheme="minorHAnsi" w:hAnsiTheme="minorHAnsi" w:cs="Times New Roman"/>
          <w:sz w:val="18"/>
        </w:rPr>
        <w:t xml:space="preserve"> See, for example, Porter (1998).</w:t>
      </w:r>
    </w:p>
  </w:footnote>
  <w:footnote w:id="5">
    <w:p w:rsidR="001B07D6" w:rsidRDefault="001B07D6" w:rsidP="001B07D6">
      <w:pPr>
        <w:pStyle w:val="FootnoteText"/>
      </w:pPr>
      <w:r w:rsidRPr="001B07D6">
        <w:rPr>
          <w:rStyle w:val="FootnoteReference"/>
          <w:rFonts w:asciiTheme="minorHAnsi" w:hAnsiTheme="minorHAnsi"/>
          <w:sz w:val="18"/>
        </w:rPr>
        <w:footnoteRef/>
      </w:r>
      <w:r w:rsidRPr="001B07D6">
        <w:rPr>
          <w:rFonts w:asciiTheme="minorHAnsi" w:hAnsiTheme="minorHAnsi" w:cs="Times New Roman"/>
          <w:sz w:val="18"/>
        </w:rPr>
        <w:t xml:space="preserve"> For the purposes of this note, the term “value” denotes both </w:t>
      </w:r>
      <w:r w:rsidRPr="001B07D6">
        <w:rPr>
          <w:rFonts w:asciiTheme="minorHAnsi" w:hAnsiTheme="minorHAnsi" w:cs="Times New Roman"/>
          <w:i/>
          <w:sz w:val="18"/>
        </w:rPr>
        <w:t>enterprise value</w:t>
      </w:r>
      <w:r w:rsidRPr="001B07D6">
        <w:rPr>
          <w:rFonts w:asciiTheme="minorHAnsi" w:hAnsiTheme="minorHAnsi" w:cs="Times New Roman"/>
          <w:sz w:val="18"/>
        </w:rPr>
        <w:t xml:space="preserve"> at the firm level (typically measured by such metrics as returned on capital employed), and </w:t>
      </w:r>
      <w:r w:rsidRPr="001B07D6">
        <w:rPr>
          <w:rFonts w:asciiTheme="minorHAnsi" w:hAnsiTheme="minorHAnsi" w:cs="Times New Roman"/>
          <w:i/>
          <w:sz w:val="18"/>
        </w:rPr>
        <w:t>economic value</w:t>
      </w:r>
      <w:r w:rsidRPr="001B07D6">
        <w:rPr>
          <w:rFonts w:asciiTheme="minorHAnsi" w:hAnsiTheme="minorHAnsi" w:cs="Times New Roman"/>
          <w:sz w:val="18"/>
        </w:rPr>
        <w:t xml:space="preserve"> (typically measured by such metrics as economic internal rate of return) at the local, regional, and national level.</w:t>
      </w:r>
      <w:r w:rsidRPr="001B07D6">
        <w:rPr>
          <w:rFonts w:ascii="Times New Roman" w:hAnsi="Times New Roman" w:cs="Times New Roman"/>
          <w:sz w:val="18"/>
        </w:rPr>
        <w:t xml:space="preserve"> </w:t>
      </w:r>
    </w:p>
  </w:footnote>
  <w:footnote w:id="6">
    <w:p w:rsidR="00DE68A1" w:rsidRPr="00DE68A1" w:rsidRDefault="00DE68A1">
      <w:pPr>
        <w:pStyle w:val="FootnoteText"/>
        <w:rPr>
          <w:lang w:val="en-US"/>
        </w:rPr>
      </w:pPr>
      <w:r w:rsidRPr="00DE68A1">
        <w:rPr>
          <w:rStyle w:val="FootnoteReference"/>
          <w:sz w:val="18"/>
        </w:rPr>
        <w:footnoteRef/>
      </w:r>
      <w:r w:rsidRPr="00DE68A1">
        <w:rPr>
          <w:sz w:val="18"/>
        </w:rPr>
        <w:t xml:space="preserve"> </w:t>
      </w:r>
      <w:r w:rsidRPr="00DE68A1">
        <w:rPr>
          <w:sz w:val="18"/>
          <w:lang w:val="en-US"/>
        </w:rPr>
        <w:t>Consolidated logistics, such as less-than-truckload and less-than-containerload shipments, refer to the aggregation (“consolidation”) of cargo belonging to multiple shippers into a single unit load, such as a truckload or a container, instead of the unit load being fully allocated to a single shipper.</w:t>
      </w:r>
      <w:r>
        <w:rPr>
          <w:sz w:val="18"/>
          <w:lang w:val="en-US"/>
        </w:rPr>
        <w:t xml:space="preserve"> The co-location of multiple freight-generati</w:t>
      </w:r>
      <w:r w:rsidR="0023191D">
        <w:rPr>
          <w:sz w:val="18"/>
          <w:lang w:val="en-US"/>
        </w:rPr>
        <w:t>ng firms (</w:t>
      </w:r>
      <w:r>
        <w:rPr>
          <w:sz w:val="18"/>
          <w:lang w:val="en-US"/>
        </w:rPr>
        <w:t>such as manufacturers</w:t>
      </w:r>
      <w:r w:rsidR="0023191D">
        <w:rPr>
          <w:sz w:val="18"/>
          <w:lang w:val="en-US"/>
        </w:rPr>
        <w:t>)</w:t>
      </w:r>
      <w:r>
        <w:rPr>
          <w:sz w:val="18"/>
          <w:lang w:val="en-US"/>
        </w:rPr>
        <w:t xml:space="preserve"> that</w:t>
      </w:r>
      <w:r w:rsidR="0023191D">
        <w:rPr>
          <w:sz w:val="18"/>
          <w:lang w:val="en-US"/>
        </w:rPr>
        <w:t xml:space="preserve"> may share unit loads</w:t>
      </w:r>
      <w:r>
        <w:rPr>
          <w:sz w:val="18"/>
          <w:lang w:val="en-US"/>
        </w:rPr>
        <w:t xml:space="preserve"> reduces the cost of providing consolidated services</w:t>
      </w:r>
      <w:r w:rsidR="0023191D">
        <w:rPr>
          <w:sz w:val="18"/>
          <w:lang w:val="en-US"/>
        </w:rPr>
        <w:t xml:space="preserve">, </w:t>
      </w:r>
      <w:r>
        <w:rPr>
          <w:sz w:val="18"/>
          <w:lang w:val="en-US"/>
        </w:rPr>
        <w:t>as it</w:t>
      </w:r>
      <w:r w:rsidR="0023191D">
        <w:rPr>
          <w:sz w:val="18"/>
          <w:lang w:val="en-US"/>
        </w:rPr>
        <w:t xml:space="preserve"> increases</w:t>
      </w:r>
      <w:r>
        <w:rPr>
          <w:sz w:val="18"/>
          <w:lang w:val="en-US"/>
        </w:rPr>
        <w:t xml:space="preserve"> load factors and facilitates pickup and delivery over the “last mile”.</w:t>
      </w:r>
    </w:p>
  </w:footnote>
  <w:footnote w:id="7">
    <w:p w:rsidR="0023191D" w:rsidRPr="0023191D" w:rsidRDefault="0023191D">
      <w:pPr>
        <w:pStyle w:val="FootnoteText"/>
        <w:rPr>
          <w:lang w:val="en-US"/>
        </w:rPr>
      </w:pPr>
      <w:r w:rsidRPr="0023191D">
        <w:rPr>
          <w:rStyle w:val="FootnoteReference"/>
          <w:sz w:val="18"/>
        </w:rPr>
        <w:footnoteRef/>
      </w:r>
      <w:r w:rsidRPr="0023191D">
        <w:rPr>
          <w:sz w:val="18"/>
        </w:rPr>
        <w:t xml:space="preserve"> </w:t>
      </w:r>
      <w:r w:rsidRPr="0023191D">
        <w:rPr>
          <w:sz w:val="18"/>
          <w:lang w:val="en-US"/>
        </w:rPr>
        <w:t>In North America, Class 1 railroads are the largest railway operators by revenue</w:t>
      </w:r>
      <w:r>
        <w:rPr>
          <w:sz w:val="18"/>
          <w:lang w:val="en-US"/>
        </w:rPr>
        <w:t xml:space="preserve">. Currently, a total of 7 North American </w:t>
      </w:r>
      <w:r w:rsidR="008819C9">
        <w:rPr>
          <w:sz w:val="18"/>
          <w:lang w:val="en-US"/>
        </w:rPr>
        <w:t xml:space="preserve">railway </w:t>
      </w:r>
      <w:r>
        <w:rPr>
          <w:sz w:val="18"/>
          <w:lang w:val="en-US"/>
        </w:rPr>
        <w:t>operators are classified as Class 1.</w:t>
      </w:r>
    </w:p>
  </w:footnote>
  <w:footnote w:id="8">
    <w:p w:rsidR="001B07D6" w:rsidRPr="001B07D6" w:rsidRDefault="001B07D6" w:rsidP="001B07D6">
      <w:pPr>
        <w:pStyle w:val="FootnoteText"/>
        <w:rPr>
          <w:rFonts w:asciiTheme="minorHAnsi" w:hAnsiTheme="minorHAnsi" w:cs="Times New Roman"/>
          <w:sz w:val="18"/>
        </w:rPr>
      </w:pPr>
      <w:r w:rsidRPr="001B07D6">
        <w:rPr>
          <w:rStyle w:val="FootnoteReference"/>
          <w:rFonts w:asciiTheme="minorHAnsi" w:hAnsiTheme="minorHAnsi"/>
          <w:sz w:val="18"/>
        </w:rPr>
        <w:footnoteRef/>
      </w:r>
      <w:r w:rsidRPr="001B07D6">
        <w:rPr>
          <w:rFonts w:asciiTheme="minorHAnsi" w:hAnsiTheme="minorHAnsi" w:cs="Times New Roman"/>
          <w:sz w:val="18"/>
        </w:rPr>
        <w:t xml:space="preserve"> Jones Lang LaSalle (2011).</w:t>
      </w:r>
    </w:p>
  </w:footnote>
  <w:footnote w:id="9">
    <w:p w:rsidR="00BF575C" w:rsidRPr="00AF4B7D" w:rsidRDefault="00BF575C" w:rsidP="00BF575C">
      <w:pPr>
        <w:pStyle w:val="FootnoteText"/>
        <w:rPr>
          <w:rFonts w:ascii="Times New Roman" w:hAnsi="Times New Roman" w:cs="Times New Roman"/>
        </w:rPr>
      </w:pPr>
      <w:r w:rsidRPr="001B07D6">
        <w:rPr>
          <w:rStyle w:val="FootnoteReference"/>
          <w:rFonts w:asciiTheme="minorHAnsi" w:hAnsiTheme="minorHAnsi"/>
          <w:sz w:val="18"/>
        </w:rPr>
        <w:footnoteRef/>
      </w:r>
      <w:r w:rsidRPr="001B07D6">
        <w:rPr>
          <w:rFonts w:asciiTheme="minorHAnsi" w:hAnsiTheme="minorHAnsi" w:cs="Times New Roman"/>
          <w:sz w:val="18"/>
        </w:rPr>
        <w:t xml:space="preserve"> This section builds heavily from Envision Freight (2011) and Steele et al. (2011). The reader is referred to these sources for a detailed, chronological account of how CIC and AT were developed.</w:t>
      </w:r>
    </w:p>
  </w:footnote>
  <w:footnote w:id="10">
    <w:p w:rsidR="001B07D6" w:rsidRPr="008147B0" w:rsidRDefault="001B07D6" w:rsidP="001B07D6">
      <w:pPr>
        <w:pStyle w:val="FootnoteText"/>
        <w:rPr>
          <w:rFonts w:asciiTheme="minorHAnsi" w:hAnsiTheme="minorHAnsi" w:cs="Times New Roman"/>
        </w:rPr>
      </w:pPr>
      <w:r w:rsidRPr="008147B0">
        <w:rPr>
          <w:rStyle w:val="FootnoteReference"/>
          <w:rFonts w:asciiTheme="minorHAnsi" w:hAnsiTheme="minorHAnsi"/>
          <w:sz w:val="18"/>
        </w:rPr>
        <w:footnoteRef/>
      </w:r>
      <w:r w:rsidRPr="008147B0">
        <w:rPr>
          <w:rFonts w:asciiTheme="minorHAnsi" w:hAnsiTheme="minorHAnsi" w:cs="Times New Roman"/>
          <w:sz w:val="18"/>
        </w:rPr>
        <w:t xml:space="preserve"> AllianceTexas (2013).</w:t>
      </w:r>
    </w:p>
  </w:footnote>
  <w:footnote w:id="11">
    <w:p w:rsidR="001B07D6" w:rsidRPr="001B07D6" w:rsidRDefault="001B07D6" w:rsidP="001B07D6">
      <w:pPr>
        <w:pStyle w:val="FootnoteText"/>
        <w:rPr>
          <w:rFonts w:asciiTheme="minorHAnsi" w:hAnsiTheme="minorHAnsi" w:cs="Times New Roman"/>
          <w:sz w:val="18"/>
        </w:rPr>
      </w:pPr>
      <w:r w:rsidRPr="001B07D6">
        <w:rPr>
          <w:rStyle w:val="FootnoteReference"/>
          <w:rFonts w:asciiTheme="minorHAnsi" w:hAnsiTheme="minorHAnsi"/>
          <w:sz w:val="18"/>
        </w:rPr>
        <w:footnoteRef/>
      </w:r>
      <w:r w:rsidRPr="001B07D6">
        <w:rPr>
          <w:rFonts w:asciiTheme="minorHAnsi" w:hAnsiTheme="minorHAnsi" w:cs="Times New Roman"/>
          <w:sz w:val="18"/>
        </w:rPr>
        <w:t xml:space="preserve"> CenterPoint Properties (2013).</w:t>
      </w:r>
    </w:p>
  </w:footnote>
  <w:footnote w:id="12">
    <w:p w:rsidR="001B07D6" w:rsidRPr="009612CE" w:rsidRDefault="001B07D6" w:rsidP="001B07D6">
      <w:pPr>
        <w:pStyle w:val="FootnoteText"/>
        <w:rPr>
          <w:rFonts w:ascii="Times New Roman" w:hAnsi="Times New Roman" w:cs="Times New Roman"/>
        </w:rPr>
      </w:pPr>
      <w:r w:rsidRPr="001B07D6">
        <w:rPr>
          <w:rStyle w:val="FootnoteReference"/>
          <w:rFonts w:asciiTheme="minorHAnsi" w:hAnsiTheme="minorHAnsi"/>
          <w:sz w:val="18"/>
        </w:rPr>
        <w:footnoteRef/>
      </w:r>
      <w:r w:rsidRPr="001B07D6">
        <w:rPr>
          <w:rFonts w:asciiTheme="minorHAnsi" w:hAnsiTheme="minorHAnsi" w:cs="Times New Roman"/>
          <w:sz w:val="18"/>
        </w:rPr>
        <w:t xml:space="preserve"> CRIntermodal is a joint venture between China Railway Container Transport Co., a subsidiary of CRC; NWS Holdings; China International Marine Containers (CIMC); Luck Glory; and DBML, a subsidiary of Deutsche Bahn.</w:t>
      </w:r>
      <w:r w:rsidRPr="001B07D6">
        <w:rPr>
          <w:rFonts w:ascii="Times New Roman" w:hAnsi="Times New Roman" w:cs="Times New Roman"/>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31" w:rsidRDefault="009A0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FF" w:rsidRPr="00727A8C" w:rsidRDefault="00ED14FF" w:rsidP="00F52F7C">
    <w:pPr>
      <w:pStyle w:val="Header"/>
      <w:tabs>
        <w:tab w:val="clear" w:pos="4680"/>
      </w:tabs>
      <w:rPr>
        <w:rFonts w:ascii="Times New Roman" w:hAnsi="Times New Roman"/>
        <w:i/>
        <w:lang w:val="en-US"/>
      </w:rPr>
    </w:pPr>
    <w:r>
      <w:rPr>
        <w:rFonts w:ascii="Times New Roman" w:eastAsia="Times New Roman" w:hAnsi="Times New Roman"/>
        <w:i/>
      </w:rPr>
      <w:t>China Transport Topics No</w:t>
    </w:r>
    <w:r>
      <w:rPr>
        <w:rFonts w:ascii="Times New Roman" w:eastAsia="Times New Roman" w:hAnsi="Times New Roman"/>
        <w:i/>
        <w:lang w:val="en-US"/>
      </w:rPr>
      <w:t xml:space="preserve">. </w:t>
    </w:r>
    <w:r w:rsidR="001C1EBF">
      <w:rPr>
        <w:rFonts w:ascii="Times New Roman" w:eastAsia="Times New Roman" w:hAnsi="Times New Roman"/>
        <w:i/>
        <w:lang w:val="en-US"/>
      </w:rPr>
      <w:t>1</w:t>
    </w:r>
    <w:r w:rsidR="007017DD">
      <w:rPr>
        <w:rFonts w:ascii="Times New Roman" w:eastAsia="Times New Roman" w:hAnsi="Times New Roman"/>
        <w:i/>
        <w:lang w:val="en-US"/>
      </w:rPr>
      <w:t>3</w:t>
    </w:r>
    <w:r>
      <w:rPr>
        <w:rFonts w:ascii="Times New Roman" w:eastAsia="Times New Roman" w:hAnsi="Times New Roman"/>
        <w:i/>
        <w:lang w:val="en-US"/>
      </w:rPr>
      <w:t xml:space="preserve"> </w:t>
    </w:r>
    <w:r w:rsidRPr="00F6603B">
      <w:rPr>
        <w:rFonts w:ascii="Times New Roman" w:eastAsia="Times New Roman" w:hAnsi="Times New Roman"/>
        <w:i/>
      </w:rPr>
      <w:tab/>
    </w:r>
    <w:r w:rsidR="00BB7291">
      <w:rPr>
        <w:rFonts w:ascii="Times New Roman" w:eastAsia="Times New Roman" w:hAnsi="Times New Roman"/>
        <w:i/>
      </w:rPr>
      <w:t>April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31" w:rsidRDefault="009A0A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FF" w:rsidRPr="00F04EEE" w:rsidRDefault="00ED14FF" w:rsidP="00F04EEE">
    <w:pPr>
      <w:pStyle w:val="Header"/>
      <w:jc w:val="left"/>
      <w:rPr>
        <w:rFonts w:ascii="Times New Roman" w:hAnsi="Times New Roman" w:cs="Times New Roman"/>
        <w:i/>
      </w:rPr>
    </w:pPr>
    <w:r>
      <w:rPr>
        <w:rFonts w:ascii="Times New Roman" w:hAnsi="Times New Roman" w:cs="Times New Roman"/>
        <w:i/>
      </w:rPr>
      <w:t xml:space="preserve">China Transport Topics No. </w:t>
    </w:r>
    <w:r w:rsidR="00AC7DA5">
      <w:rPr>
        <w:rFonts w:ascii="Times New Roman" w:hAnsi="Times New Roman" w:cs="Times New Roman"/>
        <w:i/>
      </w:rPr>
      <w:t>1</w:t>
    </w:r>
    <w:r w:rsidR="009A0A31">
      <w:rPr>
        <w:rFonts w:ascii="Times New Roman" w:hAnsi="Times New Roman" w:cs="Times New Roman"/>
        <w:i/>
      </w:rPr>
      <w:t>3</w:t>
    </w:r>
    <w:r>
      <w:rPr>
        <w:rFonts w:ascii="Times New Roman" w:hAnsi="Times New Roman" w:cs="Times New Roman"/>
        <w:i/>
      </w:rPr>
      <w:t xml:space="preserve"> </w:t>
    </w:r>
    <w:r>
      <w:rPr>
        <w:rFonts w:ascii="Times New Roman" w:hAnsi="Times New Roman" w:cs="Times New Roman"/>
        <w:i/>
      </w:rPr>
      <w:tab/>
    </w:r>
    <w:r w:rsidRPr="00F04EEE">
      <w:rPr>
        <w:rFonts w:ascii="Times New Roman" w:hAnsi="Times New Roman" w:cs="Times New Roman"/>
        <w:i/>
      </w:rPr>
      <w:fldChar w:fldCharType="begin"/>
    </w:r>
    <w:r w:rsidRPr="00F04EEE">
      <w:rPr>
        <w:rFonts w:ascii="Times New Roman" w:hAnsi="Times New Roman" w:cs="Times New Roman"/>
        <w:i/>
      </w:rPr>
      <w:instrText xml:space="preserve"> PAGE   \* MERGEFORMAT </w:instrText>
    </w:r>
    <w:r w:rsidRPr="00F04EEE">
      <w:rPr>
        <w:rFonts w:ascii="Times New Roman" w:hAnsi="Times New Roman" w:cs="Times New Roman"/>
        <w:i/>
      </w:rPr>
      <w:fldChar w:fldCharType="separate"/>
    </w:r>
    <w:r w:rsidR="000E193E">
      <w:rPr>
        <w:rFonts w:ascii="Times New Roman" w:hAnsi="Times New Roman" w:cs="Times New Roman"/>
        <w:i/>
        <w:noProof/>
      </w:rPr>
      <w:t>4</w:t>
    </w:r>
    <w:r w:rsidRPr="00F04EEE">
      <w:rPr>
        <w:rFonts w:ascii="Times New Roman" w:hAnsi="Times New Roman" w:cs="Times New Roman"/>
        <w:i/>
      </w:rPr>
      <w:fldChar w:fldCharType="end"/>
    </w:r>
    <w:r>
      <w:rPr>
        <w:rFonts w:ascii="Times New Roman" w:hAnsi="Times New Roman" w:cs="Times New Roman"/>
        <w:i/>
      </w:rPr>
      <w:tab/>
    </w:r>
    <w:r w:rsidR="00C46823">
      <w:rPr>
        <w:rFonts w:ascii="Times New Roman" w:hAnsi="Times New Roman" w:cs="Times New Roman"/>
        <w:i/>
      </w:rPr>
      <w:t xml:space="preserve">The </w:t>
    </w:r>
    <w:r>
      <w:rPr>
        <w:rFonts w:ascii="Times New Roman" w:hAnsi="Times New Roman" w:cs="Times New Roman"/>
        <w:i/>
      </w:rPr>
      <w:t>World Bank</w:t>
    </w:r>
    <w:r w:rsidR="00EC797B">
      <w:rPr>
        <w:rFonts w:ascii="Times New Roman" w:hAnsi="Times New Roman" w:cs="Times New Roman"/>
        <w:i/>
      </w:rPr>
      <w:t>, Washington D.C.</w:t>
    </w:r>
    <w:r>
      <w:rPr>
        <w:rFonts w:cs="Times New Roman"/>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FF" w:rsidRPr="00F04EEE" w:rsidRDefault="00ED14FF" w:rsidP="00441519">
    <w:pPr>
      <w:pStyle w:val="Header"/>
      <w:jc w:val="left"/>
      <w:rPr>
        <w:rFonts w:ascii="Times New Roman" w:hAnsi="Times New Roman" w:cs="Times New Roman"/>
        <w:i/>
      </w:rPr>
    </w:pPr>
    <w:r>
      <w:rPr>
        <w:rFonts w:ascii="Times New Roman" w:hAnsi="Times New Roman" w:cs="Times New Roman"/>
        <w:i/>
      </w:rPr>
      <w:t xml:space="preserve">China Transport Topics No. 02 </w:t>
    </w:r>
    <w:r>
      <w:rPr>
        <w:rFonts w:ascii="Times New Roman" w:hAnsi="Times New Roman" w:cs="Times New Roman"/>
        <w:i/>
      </w:rPr>
      <w:tab/>
    </w:r>
    <w:r w:rsidRPr="00F04EEE">
      <w:rPr>
        <w:rFonts w:ascii="Times New Roman" w:hAnsi="Times New Roman" w:cs="Times New Roman"/>
        <w:i/>
      </w:rPr>
      <w:fldChar w:fldCharType="begin"/>
    </w:r>
    <w:r w:rsidRPr="00F04EEE">
      <w:rPr>
        <w:rFonts w:ascii="Times New Roman" w:hAnsi="Times New Roman" w:cs="Times New Roman"/>
        <w:i/>
      </w:rPr>
      <w:instrText xml:space="preserve"> PAGE   \* MERGEFORMAT </w:instrText>
    </w:r>
    <w:r w:rsidRPr="00F04EEE">
      <w:rPr>
        <w:rFonts w:ascii="Times New Roman" w:hAnsi="Times New Roman" w:cs="Times New Roman"/>
        <w:i/>
      </w:rPr>
      <w:fldChar w:fldCharType="separate"/>
    </w:r>
    <w:r>
      <w:rPr>
        <w:rFonts w:ascii="Times New Roman" w:hAnsi="Times New Roman" w:cs="Times New Roman"/>
        <w:i/>
        <w:noProof/>
      </w:rPr>
      <w:t>2</w:t>
    </w:r>
    <w:r w:rsidRPr="00F04EEE">
      <w:rPr>
        <w:rFonts w:ascii="Times New Roman" w:hAnsi="Times New Roman" w:cs="Times New Roman"/>
        <w:i/>
      </w:rPr>
      <w:fldChar w:fldCharType="end"/>
    </w:r>
    <w:r>
      <w:rPr>
        <w:rFonts w:ascii="Times New Roman" w:hAnsi="Times New Roman" w:cs="Times New Roman"/>
        <w:i/>
      </w:rPr>
      <w:tab/>
      <w:t>World Bank Office, Beijing</w:t>
    </w:r>
  </w:p>
  <w:p w:rsidR="00ED14FF" w:rsidRPr="00F50C09" w:rsidRDefault="00ED14FF" w:rsidP="00D7765E">
    <w:pPr>
      <w:pStyle w:val="Header"/>
      <w:tabs>
        <w:tab w:val="clear" w:pos="9360"/>
      </w:tabs>
      <w:jc w:val="lef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4EA7CA6"/>
    <w:lvl w:ilvl="0">
      <w:start w:val="1"/>
      <w:numFmt w:val="decimal"/>
      <w:lvlText w:val="%1."/>
      <w:lvlJc w:val="left"/>
      <w:pPr>
        <w:tabs>
          <w:tab w:val="num" w:pos="1492"/>
        </w:tabs>
        <w:ind w:left="1492" w:hanging="360"/>
      </w:pPr>
    </w:lvl>
  </w:abstractNum>
  <w:abstractNum w:abstractNumId="1">
    <w:nsid w:val="FFFFFF7D"/>
    <w:multiLevelType w:val="singleLevel"/>
    <w:tmpl w:val="F584672A"/>
    <w:lvl w:ilvl="0">
      <w:start w:val="1"/>
      <w:numFmt w:val="decimal"/>
      <w:lvlText w:val="%1."/>
      <w:lvlJc w:val="left"/>
      <w:pPr>
        <w:tabs>
          <w:tab w:val="num" w:pos="1209"/>
        </w:tabs>
        <w:ind w:left="1209" w:hanging="360"/>
      </w:pPr>
    </w:lvl>
  </w:abstractNum>
  <w:abstractNum w:abstractNumId="2">
    <w:nsid w:val="FFFFFF7E"/>
    <w:multiLevelType w:val="singleLevel"/>
    <w:tmpl w:val="BE74F9B0"/>
    <w:lvl w:ilvl="0">
      <w:start w:val="1"/>
      <w:numFmt w:val="decimal"/>
      <w:lvlText w:val="%1."/>
      <w:lvlJc w:val="left"/>
      <w:pPr>
        <w:tabs>
          <w:tab w:val="num" w:pos="926"/>
        </w:tabs>
        <w:ind w:left="926" w:hanging="360"/>
      </w:pPr>
    </w:lvl>
  </w:abstractNum>
  <w:abstractNum w:abstractNumId="3">
    <w:nsid w:val="FFFFFF7F"/>
    <w:multiLevelType w:val="singleLevel"/>
    <w:tmpl w:val="5740CA92"/>
    <w:lvl w:ilvl="0">
      <w:start w:val="1"/>
      <w:numFmt w:val="decimal"/>
      <w:lvlText w:val="%1."/>
      <w:lvlJc w:val="left"/>
      <w:pPr>
        <w:tabs>
          <w:tab w:val="num" w:pos="643"/>
        </w:tabs>
        <w:ind w:left="643" w:hanging="360"/>
      </w:pPr>
    </w:lvl>
  </w:abstractNum>
  <w:abstractNum w:abstractNumId="4">
    <w:nsid w:val="FFFFFF80"/>
    <w:multiLevelType w:val="singleLevel"/>
    <w:tmpl w:val="F6C23C4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B602C6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DAADBA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21A85D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2AA26BA"/>
    <w:lvl w:ilvl="0">
      <w:start w:val="1"/>
      <w:numFmt w:val="decimal"/>
      <w:lvlText w:val="%1."/>
      <w:lvlJc w:val="left"/>
      <w:pPr>
        <w:tabs>
          <w:tab w:val="num" w:pos="360"/>
        </w:tabs>
        <w:ind w:left="360" w:hanging="360"/>
      </w:pPr>
    </w:lvl>
  </w:abstractNum>
  <w:abstractNum w:abstractNumId="9">
    <w:nsid w:val="FFFFFF89"/>
    <w:multiLevelType w:val="singleLevel"/>
    <w:tmpl w:val="7178ABE6"/>
    <w:lvl w:ilvl="0">
      <w:start w:val="1"/>
      <w:numFmt w:val="bullet"/>
      <w:lvlText w:val=""/>
      <w:lvlJc w:val="left"/>
      <w:pPr>
        <w:tabs>
          <w:tab w:val="num" w:pos="360"/>
        </w:tabs>
        <w:ind w:left="360" w:hanging="360"/>
      </w:pPr>
      <w:rPr>
        <w:rFonts w:ascii="Symbol" w:hAnsi="Symbol" w:cs="Symbol" w:hint="default"/>
      </w:rPr>
    </w:lvl>
  </w:abstractNum>
  <w:abstractNum w:abstractNumId="10">
    <w:nsid w:val="02065426"/>
    <w:multiLevelType w:val="hybridMultilevel"/>
    <w:tmpl w:val="0CAC72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0AA46A43"/>
    <w:multiLevelType w:val="multilevel"/>
    <w:tmpl w:val="CA72150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F2230C4"/>
    <w:multiLevelType w:val="hybridMultilevel"/>
    <w:tmpl w:val="1E3A07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C7C789D"/>
    <w:multiLevelType w:val="hybridMultilevel"/>
    <w:tmpl w:val="E708BE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30667AF4"/>
    <w:multiLevelType w:val="hybridMultilevel"/>
    <w:tmpl w:val="178CB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19439E6"/>
    <w:multiLevelType w:val="multilevel"/>
    <w:tmpl w:val="BD48F04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6F76561"/>
    <w:multiLevelType w:val="hybridMultilevel"/>
    <w:tmpl w:val="411C5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6FB067B"/>
    <w:multiLevelType w:val="hybridMultilevel"/>
    <w:tmpl w:val="9684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01FF5"/>
    <w:multiLevelType w:val="hybridMultilevel"/>
    <w:tmpl w:val="845067B4"/>
    <w:lvl w:ilvl="0" w:tplc="F510FEA0">
      <w:start w:val="1"/>
      <w:numFmt w:val="bullet"/>
      <w:lvlText w:val=""/>
      <w:lvlJc w:val="left"/>
      <w:pPr>
        <w:ind w:left="1440" w:hanging="360"/>
      </w:pPr>
      <w:rPr>
        <w:rFonts w:ascii="Wingdings" w:hAnsi="Wingdings" w:hint="default"/>
        <w:sz w:val="24"/>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5214C0"/>
    <w:multiLevelType w:val="hybridMultilevel"/>
    <w:tmpl w:val="69C29AB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nsid w:val="4A82181B"/>
    <w:multiLevelType w:val="hybridMultilevel"/>
    <w:tmpl w:val="62105E88"/>
    <w:lvl w:ilvl="0" w:tplc="0C5C8C9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B7DD3"/>
    <w:multiLevelType w:val="hybridMultilevel"/>
    <w:tmpl w:val="8A766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43643E"/>
    <w:multiLevelType w:val="hybridMultilevel"/>
    <w:tmpl w:val="67269948"/>
    <w:lvl w:ilvl="0" w:tplc="C542EF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840F69"/>
    <w:multiLevelType w:val="hybridMultilevel"/>
    <w:tmpl w:val="C6648EB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F90669F"/>
    <w:multiLevelType w:val="hybridMultilevel"/>
    <w:tmpl w:val="5002B05A"/>
    <w:lvl w:ilvl="0" w:tplc="0F8CF1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24086B"/>
    <w:multiLevelType w:val="hybridMultilevel"/>
    <w:tmpl w:val="655E619C"/>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A0F5986"/>
    <w:multiLevelType w:val="hybridMultilevel"/>
    <w:tmpl w:val="BC325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DA61889"/>
    <w:multiLevelType w:val="hybridMultilevel"/>
    <w:tmpl w:val="FEB62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2"/>
  </w:num>
  <w:num w:numId="3">
    <w:abstractNumId w:val="2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9"/>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3"/>
  </w:num>
  <w:num w:numId="20">
    <w:abstractNumId w:val="14"/>
  </w:num>
  <w:num w:numId="21">
    <w:abstractNumId w:val="15"/>
  </w:num>
  <w:num w:numId="22">
    <w:abstractNumId w:val="16"/>
  </w:num>
  <w:num w:numId="23">
    <w:abstractNumId w:val="26"/>
  </w:num>
  <w:num w:numId="24">
    <w:abstractNumId w:val="22"/>
  </w:num>
  <w:num w:numId="25">
    <w:abstractNumId w:val="17"/>
  </w:num>
  <w:num w:numId="26">
    <w:abstractNumId w:val="18"/>
  </w:num>
  <w:num w:numId="27">
    <w:abstractNumId w:val="20"/>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BE"/>
    <w:rsid w:val="00002272"/>
    <w:rsid w:val="0000265C"/>
    <w:rsid w:val="00005128"/>
    <w:rsid w:val="00005791"/>
    <w:rsid w:val="000103E7"/>
    <w:rsid w:val="00013F84"/>
    <w:rsid w:val="00015FEA"/>
    <w:rsid w:val="000164C0"/>
    <w:rsid w:val="00022486"/>
    <w:rsid w:val="000241EA"/>
    <w:rsid w:val="00025A3F"/>
    <w:rsid w:val="00025F9F"/>
    <w:rsid w:val="000268DB"/>
    <w:rsid w:val="000319A8"/>
    <w:rsid w:val="00033EE6"/>
    <w:rsid w:val="00037200"/>
    <w:rsid w:val="0003742B"/>
    <w:rsid w:val="00047358"/>
    <w:rsid w:val="00052512"/>
    <w:rsid w:val="00052D51"/>
    <w:rsid w:val="00056663"/>
    <w:rsid w:val="000568FA"/>
    <w:rsid w:val="0006434D"/>
    <w:rsid w:val="0006651D"/>
    <w:rsid w:val="00066B06"/>
    <w:rsid w:val="000675D7"/>
    <w:rsid w:val="000774BE"/>
    <w:rsid w:val="00077D2C"/>
    <w:rsid w:val="00082417"/>
    <w:rsid w:val="00083DCE"/>
    <w:rsid w:val="00087638"/>
    <w:rsid w:val="0009175C"/>
    <w:rsid w:val="00094DAA"/>
    <w:rsid w:val="0009575B"/>
    <w:rsid w:val="00096B7D"/>
    <w:rsid w:val="00097610"/>
    <w:rsid w:val="000A51A1"/>
    <w:rsid w:val="000A5917"/>
    <w:rsid w:val="000B47D2"/>
    <w:rsid w:val="000B7F04"/>
    <w:rsid w:val="000C22EB"/>
    <w:rsid w:val="000C4659"/>
    <w:rsid w:val="000C5F04"/>
    <w:rsid w:val="000D1F52"/>
    <w:rsid w:val="000D2A90"/>
    <w:rsid w:val="000D4761"/>
    <w:rsid w:val="000D6729"/>
    <w:rsid w:val="000D6C5E"/>
    <w:rsid w:val="000E193E"/>
    <w:rsid w:val="000E2B30"/>
    <w:rsid w:val="000E3756"/>
    <w:rsid w:val="000E4D3B"/>
    <w:rsid w:val="000E63D8"/>
    <w:rsid w:val="000F000C"/>
    <w:rsid w:val="000F31CA"/>
    <w:rsid w:val="000F37ED"/>
    <w:rsid w:val="00100E72"/>
    <w:rsid w:val="001041DA"/>
    <w:rsid w:val="001074AA"/>
    <w:rsid w:val="00107A8C"/>
    <w:rsid w:val="00107E3A"/>
    <w:rsid w:val="00110934"/>
    <w:rsid w:val="001114B5"/>
    <w:rsid w:val="001146BB"/>
    <w:rsid w:val="00114BA9"/>
    <w:rsid w:val="001176E2"/>
    <w:rsid w:val="00122AAE"/>
    <w:rsid w:val="001241BE"/>
    <w:rsid w:val="0012769B"/>
    <w:rsid w:val="00127A09"/>
    <w:rsid w:val="00130813"/>
    <w:rsid w:val="001315FC"/>
    <w:rsid w:val="00132D67"/>
    <w:rsid w:val="001346D9"/>
    <w:rsid w:val="00137DC3"/>
    <w:rsid w:val="001432B8"/>
    <w:rsid w:val="00144394"/>
    <w:rsid w:val="0014441D"/>
    <w:rsid w:val="00146415"/>
    <w:rsid w:val="001465C1"/>
    <w:rsid w:val="00150A5F"/>
    <w:rsid w:val="00152B18"/>
    <w:rsid w:val="001541EF"/>
    <w:rsid w:val="00154ECF"/>
    <w:rsid w:val="00162568"/>
    <w:rsid w:val="001638B9"/>
    <w:rsid w:val="00164AB4"/>
    <w:rsid w:val="00164B6C"/>
    <w:rsid w:val="0016596C"/>
    <w:rsid w:val="00172E2A"/>
    <w:rsid w:val="00176D20"/>
    <w:rsid w:val="001772E9"/>
    <w:rsid w:val="001834B4"/>
    <w:rsid w:val="00186A54"/>
    <w:rsid w:val="0018719F"/>
    <w:rsid w:val="0019073B"/>
    <w:rsid w:val="00192367"/>
    <w:rsid w:val="00192E56"/>
    <w:rsid w:val="00194A43"/>
    <w:rsid w:val="00194B9D"/>
    <w:rsid w:val="001968FD"/>
    <w:rsid w:val="001A39B0"/>
    <w:rsid w:val="001A4505"/>
    <w:rsid w:val="001A47DA"/>
    <w:rsid w:val="001A4B30"/>
    <w:rsid w:val="001A5934"/>
    <w:rsid w:val="001A5B74"/>
    <w:rsid w:val="001A70EB"/>
    <w:rsid w:val="001B07D6"/>
    <w:rsid w:val="001B0D67"/>
    <w:rsid w:val="001B23BD"/>
    <w:rsid w:val="001B7D8C"/>
    <w:rsid w:val="001C1EBF"/>
    <w:rsid w:val="001C3C28"/>
    <w:rsid w:val="001C7272"/>
    <w:rsid w:val="001C7CA6"/>
    <w:rsid w:val="001D1B51"/>
    <w:rsid w:val="001D1FE0"/>
    <w:rsid w:val="001D3CC5"/>
    <w:rsid w:val="001D603C"/>
    <w:rsid w:val="001D67A1"/>
    <w:rsid w:val="001E3190"/>
    <w:rsid w:val="001F0405"/>
    <w:rsid w:val="001F072E"/>
    <w:rsid w:val="001F5A63"/>
    <w:rsid w:val="0020574A"/>
    <w:rsid w:val="0021258D"/>
    <w:rsid w:val="002131A5"/>
    <w:rsid w:val="00213451"/>
    <w:rsid w:val="0022115D"/>
    <w:rsid w:val="00222C8E"/>
    <w:rsid w:val="00227C93"/>
    <w:rsid w:val="0023191D"/>
    <w:rsid w:val="00231C40"/>
    <w:rsid w:val="002325B9"/>
    <w:rsid w:val="0023507A"/>
    <w:rsid w:val="0024004A"/>
    <w:rsid w:val="002450A3"/>
    <w:rsid w:val="00251EC2"/>
    <w:rsid w:val="00253724"/>
    <w:rsid w:val="00254595"/>
    <w:rsid w:val="00254767"/>
    <w:rsid w:val="002570FA"/>
    <w:rsid w:val="00264836"/>
    <w:rsid w:val="0026572C"/>
    <w:rsid w:val="00266FDA"/>
    <w:rsid w:val="00267FFE"/>
    <w:rsid w:val="00272591"/>
    <w:rsid w:val="0027440A"/>
    <w:rsid w:val="00276652"/>
    <w:rsid w:val="002773A6"/>
    <w:rsid w:val="00282940"/>
    <w:rsid w:val="00283D16"/>
    <w:rsid w:val="00286446"/>
    <w:rsid w:val="002865AC"/>
    <w:rsid w:val="0028680D"/>
    <w:rsid w:val="002907D9"/>
    <w:rsid w:val="00292D35"/>
    <w:rsid w:val="002948D2"/>
    <w:rsid w:val="0029760F"/>
    <w:rsid w:val="002A34EB"/>
    <w:rsid w:val="002A35DE"/>
    <w:rsid w:val="002A4E0B"/>
    <w:rsid w:val="002A5355"/>
    <w:rsid w:val="002A6943"/>
    <w:rsid w:val="002A6F55"/>
    <w:rsid w:val="002A785C"/>
    <w:rsid w:val="002B5A24"/>
    <w:rsid w:val="002B60BC"/>
    <w:rsid w:val="002C01E1"/>
    <w:rsid w:val="002C07D5"/>
    <w:rsid w:val="002C08F9"/>
    <w:rsid w:val="002C1F4A"/>
    <w:rsid w:val="002C21E2"/>
    <w:rsid w:val="002D1F31"/>
    <w:rsid w:val="002D36F8"/>
    <w:rsid w:val="002D486F"/>
    <w:rsid w:val="002D4900"/>
    <w:rsid w:val="002D78EA"/>
    <w:rsid w:val="002E5581"/>
    <w:rsid w:val="003037B3"/>
    <w:rsid w:val="00304CDD"/>
    <w:rsid w:val="00305113"/>
    <w:rsid w:val="00307EC6"/>
    <w:rsid w:val="0032041F"/>
    <w:rsid w:val="00321A28"/>
    <w:rsid w:val="00325343"/>
    <w:rsid w:val="003254D2"/>
    <w:rsid w:val="0033321B"/>
    <w:rsid w:val="003340E9"/>
    <w:rsid w:val="00334830"/>
    <w:rsid w:val="00336173"/>
    <w:rsid w:val="00340093"/>
    <w:rsid w:val="003408D6"/>
    <w:rsid w:val="00343B33"/>
    <w:rsid w:val="00343E62"/>
    <w:rsid w:val="00343FCE"/>
    <w:rsid w:val="00360BFD"/>
    <w:rsid w:val="0036106D"/>
    <w:rsid w:val="00361B96"/>
    <w:rsid w:val="00361C22"/>
    <w:rsid w:val="003627C2"/>
    <w:rsid w:val="00362CAD"/>
    <w:rsid w:val="00366DBB"/>
    <w:rsid w:val="00371964"/>
    <w:rsid w:val="00373E88"/>
    <w:rsid w:val="003756A8"/>
    <w:rsid w:val="003800BA"/>
    <w:rsid w:val="00384A5F"/>
    <w:rsid w:val="00385D29"/>
    <w:rsid w:val="00385FAE"/>
    <w:rsid w:val="003872E2"/>
    <w:rsid w:val="003877F3"/>
    <w:rsid w:val="00387987"/>
    <w:rsid w:val="00394367"/>
    <w:rsid w:val="00397C09"/>
    <w:rsid w:val="003A0F2A"/>
    <w:rsid w:val="003A222A"/>
    <w:rsid w:val="003A272D"/>
    <w:rsid w:val="003A4BFC"/>
    <w:rsid w:val="003A63E9"/>
    <w:rsid w:val="003B0676"/>
    <w:rsid w:val="003B0BF2"/>
    <w:rsid w:val="003B0F1E"/>
    <w:rsid w:val="003B3B92"/>
    <w:rsid w:val="003C0742"/>
    <w:rsid w:val="003C10E4"/>
    <w:rsid w:val="003C1841"/>
    <w:rsid w:val="003C4083"/>
    <w:rsid w:val="003C63DE"/>
    <w:rsid w:val="003C6482"/>
    <w:rsid w:val="003D1835"/>
    <w:rsid w:val="003D1F86"/>
    <w:rsid w:val="003D1FE2"/>
    <w:rsid w:val="003D20F2"/>
    <w:rsid w:val="003D24B8"/>
    <w:rsid w:val="003D2EF4"/>
    <w:rsid w:val="003D700A"/>
    <w:rsid w:val="003E2331"/>
    <w:rsid w:val="003E23BD"/>
    <w:rsid w:val="003E30B3"/>
    <w:rsid w:val="003E5794"/>
    <w:rsid w:val="003E5E25"/>
    <w:rsid w:val="003E6785"/>
    <w:rsid w:val="003F1730"/>
    <w:rsid w:val="003F1F8F"/>
    <w:rsid w:val="003F5865"/>
    <w:rsid w:val="003F5FA5"/>
    <w:rsid w:val="00402005"/>
    <w:rsid w:val="004035A0"/>
    <w:rsid w:val="00403803"/>
    <w:rsid w:val="0040446F"/>
    <w:rsid w:val="00406CCD"/>
    <w:rsid w:val="004070D2"/>
    <w:rsid w:val="00407A2B"/>
    <w:rsid w:val="00411125"/>
    <w:rsid w:val="00413CFE"/>
    <w:rsid w:val="00421179"/>
    <w:rsid w:val="00426185"/>
    <w:rsid w:val="004261C9"/>
    <w:rsid w:val="00430633"/>
    <w:rsid w:val="00430BF1"/>
    <w:rsid w:val="004316B1"/>
    <w:rsid w:val="00434281"/>
    <w:rsid w:val="00435A13"/>
    <w:rsid w:val="00437666"/>
    <w:rsid w:val="00437E7E"/>
    <w:rsid w:val="00440CA5"/>
    <w:rsid w:val="0044100E"/>
    <w:rsid w:val="00441519"/>
    <w:rsid w:val="004420BB"/>
    <w:rsid w:val="0044331E"/>
    <w:rsid w:val="00446B15"/>
    <w:rsid w:val="004578BC"/>
    <w:rsid w:val="0046075D"/>
    <w:rsid w:val="00463245"/>
    <w:rsid w:val="00463EDC"/>
    <w:rsid w:val="004648B2"/>
    <w:rsid w:val="004654A1"/>
    <w:rsid w:val="004659A5"/>
    <w:rsid w:val="004669B6"/>
    <w:rsid w:val="00466C81"/>
    <w:rsid w:val="004678FD"/>
    <w:rsid w:val="00467D3A"/>
    <w:rsid w:val="00467D55"/>
    <w:rsid w:val="0048050B"/>
    <w:rsid w:val="0048467B"/>
    <w:rsid w:val="00486A9D"/>
    <w:rsid w:val="004905BC"/>
    <w:rsid w:val="00491125"/>
    <w:rsid w:val="00491AE6"/>
    <w:rsid w:val="0049729E"/>
    <w:rsid w:val="004978CD"/>
    <w:rsid w:val="004A041A"/>
    <w:rsid w:val="004A31D7"/>
    <w:rsid w:val="004A4A3B"/>
    <w:rsid w:val="004A61FD"/>
    <w:rsid w:val="004A6822"/>
    <w:rsid w:val="004B0461"/>
    <w:rsid w:val="004B2E51"/>
    <w:rsid w:val="004B3BF9"/>
    <w:rsid w:val="004C0437"/>
    <w:rsid w:val="004C0534"/>
    <w:rsid w:val="004D0FF4"/>
    <w:rsid w:val="004D4EB3"/>
    <w:rsid w:val="004D77E6"/>
    <w:rsid w:val="004E38B0"/>
    <w:rsid w:val="004E4E7E"/>
    <w:rsid w:val="004E5019"/>
    <w:rsid w:val="004E61EC"/>
    <w:rsid w:val="004E6430"/>
    <w:rsid w:val="004E699D"/>
    <w:rsid w:val="004E733E"/>
    <w:rsid w:val="004F1A31"/>
    <w:rsid w:val="004F5757"/>
    <w:rsid w:val="004F73DD"/>
    <w:rsid w:val="00502769"/>
    <w:rsid w:val="005056D4"/>
    <w:rsid w:val="005062BD"/>
    <w:rsid w:val="0051289C"/>
    <w:rsid w:val="0051316F"/>
    <w:rsid w:val="005139F1"/>
    <w:rsid w:val="00515B65"/>
    <w:rsid w:val="00517C57"/>
    <w:rsid w:val="0052576A"/>
    <w:rsid w:val="00526E39"/>
    <w:rsid w:val="005308C9"/>
    <w:rsid w:val="00533771"/>
    <w:rsid w:val="0053487C"/>
    <w:rsid w:val="005354F3"/>
    <w:rsid w:val="0053777B"/>
    <w:rsid w:val="00542786"/>
    <w:rsid w:val="00542F08"/>
    <w:rsid w:val="00544CD6"/>
    <w:rsid w:val="0054522B"/>
    <w:rsid w:val="0055113E"/>
    <w:rsid w:val="00553ABE"/>
    <w:rsid w:val="005569E2"/>
    <w:rsid w:val="00560FBC"/>
    <w:rsid w:val="00566951"/>
    <w:rsid w:val="005749A2"/>
    <w:rsid w:val="0057597B"/>
    <w:rsid w:val="00580FF0"/>
    <w:rsid w:val="0058124D"/>
    <w:rsid w:val="005904B6"/>
    <w:rsid w:val="00596485"/>
    <w:rsid w:val="005A2687"/>
    <w:rsid w:val="005A33D7"/>
    <w:rsid w:val="005B5CE4"/>
    <w:rsid w:val="005B6F3C"/>
    <w:rsid w:val="005C461A"/>
    <w:rsid w:val="005C5413"/>
    <w:rsid w:val="005C66E5"/>
    <w:rsid w:val="005C68DE"/>
    <w:rsid w:val="005C7F23"/>
    <w:rsid w:val="005D182F"/>
    <w:rsid w:val="005D566E"/>
    <w:rsid w:val="005D601E"/>
    <w:rsid w:val="005E10CC"/>
    <w:rsid w:val="005E271A"/>
    <w:rsid w:val="005E52B4"/>
    <w:rsid w:val="005E689D"/>
    <w:rsid w:val="005E7835"/>
    <w:rsid w:val="005F0912"/>
    <w:rsid w:val="005F171D"/>
    <w:rsid w:val="005F4471"/>
    <w:rsid w:val="005F508A"/>
    <w:rsid w:val="005F5AD8"/>
    <w:rsid w:val="00602CBD"/>
    <w:rsid w:val="00604499"/>
    <w:rsid w:val="00604A03"/>
    <w:rsid w:val="00612C07"/>
    <w:rsid w:val="00613C95"/>
    <w:rsid w:val="00623652"/>
    <w:rsid w:val="00625FC0"/>
    <w:rsid w:val="0062710A"/>
    <w:rsid w:val="00636DC7"/>
    <w:rsid w:val="006371A5"/>
    <w:rsid w:val="00640408"/>
    <w:rsid w:val="006405CF"/>
    <w:rsid w:val="00641B82"/>
    <w:rsid w:val="00642725"/>
    <w:rsid w:val="006446DD"/>
    <w:rsid w:val="00644E80"/>
    <w:rsid w:val="00647CE7"/>
    <w:rsid w:val="00654A24"/>
    <w:rsid w:val="00654F4E"/>
    <w:rsid w:val="006557DB"/>
    <w:rsid w:val="006647F0"/>
    <w:rsid w:val="006710B7"/>
    <w:rsid w:val="006768A0"/>
    <w:rsid w:val="006810DC"/>
    <w:rsid w:val="006835A7"/>
    <w:rsid w:val="00687B70"/>
    <w:rsid w:val="00693043"/>
    <w:rsid w:val="0069758B"/>
    <w:rsid w:val="006A03EC"/>
    <w:rsid w:val="006A189F"/>
    <w:rsid w:val="006A3E0A"/>
    <w:rsid w:val="006A567A"/>
    <w:rsid w:val="006B0E7A"/>
    <w:rsid w:val="006B228C"/>
    <w:rsid w:val="006B277B"/>
    <w:rsid w:val="006B2E8E"/>
    <w:rsid w:val="006B4BFC"/>
    <w:rsid w:val="006B4F5B"/>
    <w:rsid w:val="006B5773"/>
    <w:rsid w:val="006B6D61"/>
    <w:rsid w:val="006C0B55"/>
    <w:rsid w:val="006C508B"/>
    <w:rsid w:val="006C5D62"/>
    <w:rsid w:val="006C6736"/>
    <w:rsid w:val="006D1B30"/>
    <w:rsid w:val="006D2998"/>
    <w:rsid w:val="006D452E"/>
    <w:rsid w:val="006D4F94"/>
    <w:rsid w:val="006E0359"/>
    <w:rsid w:val="006E079A"/>
    <w:rsid w:val="006E181D"/>
    <w:rsid w:val="006E1C07"/>
    <w:rsid w:val="006E222C"/>
    <w:rsid w:val="006E2442"/>
    <w:rsid w:val="006E26E6"/>
    <w:rsid w:val="006E4140"/>
    <w:rsid w:val="006E5D61"/>
    <w:rsid w:val="006E79B5"/>
    <w:rsid w:val="006F44B5"/>
    <w:rsid w:val="006F4C37"/>
    <w:rsid w:val="006F57BB"/>
    <w:rsid w:val="007017DD"/>
    <w:rsid w:val="00711AB9"/>
    <w:rsid w:val="00714AF2"/>
    <w:rsid w:val="00720820"/>
    <w:rsid w:val="00721F30"/>
    <w:rsid w:val="00722AB1"/>
    <w:rsid w:val="00722B5D"/>
    <w:rsid w:val="0072406B"/>
    <w:rsid w:val="0072767E"/>
    <w:rsid w:val="00730335"/>
    <w:rsid w:val="00730E81"/>
    <w:rsid w:val="00731D46"/>
    <w:rsid w:val="0073231F"/>
    <w:rsid w:val="00733845"/>
    <w:rsid w:val="00734C5E"/>
    <w:rsid w:val="00735421"/>
    <w:rsid w:val="00735CC3"/>
    <w:rsid w:val="007374CE"/>
    <w:rsid w:val="007453AA"/>
    <w:rsid w:val="007453EA"/>
    <w:rsid w:val="00745DC5"/>
    <w:rsid w:val="00746D02"/>
    <w:rsid w:val="00754096"/>
    <w:rsid w:val="00756B59"/>
    <w:rsid w:val="00757450"/>
    <w:rsid w:val="00762362"/>
    <w:rsid w:val="0076335F"/>
    <w:rsid w:val="0076391A"/>
    <w:rsid w:val="00764C72"/>
    <w:rsid w:val="007658EF"/>
    <w:rsid w:val="00767CE1"/>
    <w:rsid w:val="0077549D"/>
    <w:rsid w:val="0078188B"/>
    <w:rsid w:val="00781F48"/>
    <w:rsid w:val="007831D1"/>
    <w:rsid w:val="007864E6"/>
    <w:rsid w:val="0079357C"/>
    <w:rsid w:val="007A08FA"/>
    <w:rsid w:val="007A5895"/>
    <w:rsid w:val="007A73B9"/>
    <w:rsid w:val="007B3651"/>
    <w:rsid w:val="007B53E3"/>
    <w:rsid w:val="007C3693"/>
    <w:rsid w:val="007C46F0"/>
    <w:rsid w:val="007C7273"/>
    <w:rsid w:val="007C7C9D"/>
    <w:rsid w:val="007E2240"/>
    <w:rsid w:val="007E3028"/>
    <w:rsid w:val="007E3562"/>
    <w:rsid w:val="007E4648"/>
    <w:rsid w:val="007E4886"/>
    <w:rsid w:val="007F07D3"/>
    <w:rsid w:val="007F2104"/>
    <w:rsid w:val="007F2FF3"/>
    <w:rsid w:val="007F49FC"/>
    <w:rsid w:val="007F5F63"/>
    <w:rsid w:val="007F7F79"/>
    <w:rsid w:val="00802035"/>
    <w:rsid w:val="00805652"/>
    <w:rsid w:val="0080600E"/>
    <w:rsid w:val="00810476"/>
    <w:rsid w:val="00810E88"/>
    <w:rsid w:val="008122FC"/>
    <w:rsid w:val="00813863"/>
    <w:rsid w:val="008147B0"/>
    <w:rsid w:val="00821F49"/>
    <w:rsid w:val="0082208A"/>
    <w:rsid w:val="00822C71"/>
    <w:rsid w:val="0082602D"/>
    <w:rsid w:val="00827022"/>
    <w:rsid w:val="008274B4"/>
    <w:rsid w:val="0083003D"/>
    <w:rsid w:val="00830AAC"/>
    <w:rsid w:val="008326F7"/>
    <w:rsid w:val="008339CB"/>
    <w:rsid w:val="00836EA2"/>
    <w:rsid w:val="008403E4"/>
    <w:rsid w:val="00840560"/>
    <w:rsid w:val="008409E2"/>
    <w:rsid w:val="008442A8"/>
    <w:rsid w:val="008447D8"/>
    <w:rsid w:val="00851193"/>
    <w:rsid w:val="00851AFD"/>
    <w:rsid w:val="0085261C"/>
    <w:rsid w:val="00853046"/>
    <w:rsid w:val="00853FDC"/>
    <w:rsid w:val="008543DC"/>
    <w:rsid w:val="00860E07"/>
    <w:rsid w:val="008623DD"/>
    <w:rsid w:val="00864981"/>
    <w:rsid w:val="00865761"/>
    <w:rsid w:val="00866A24"/>
    <w:rsid w:val="00874104"/>
    <w:rsid w:val="0087674D"/>
    <w:rsid w:val="00877E17"/>
    <w:rsid w:val="008819C9"/>
    <w:rsid w:val="00883DFC"/>
    <w:rsid w:val="00885EBF"/>
    <w:rsid w:val="0088785E"/>
    <w:rsid w:val="0089165E"/>
    <w:rsid w:val="00894BF0"/>
    <w:rsid w:val="008976C6"/>
    <w:rsid w:val="00897CD1"/>
    <w:rsid w:val="008A0835"/>
    <w:rsid w:val="008A13F0"/>
    <w:rsid w:val="008A4FEF"/>
    <w:rsid w:val="008A70D9"/>
    <w:rsid w:val="008A7840"/>
    <w:rsid w:val="008B01DC"/>
    <w:rsid w:val="008B086D"/>
    <w:rsid w:val="008B5324"/>
    <w:rsid w:val="008B53EE"/>
    <w:rsid w:val="008B5F55"/>
    <w:rsid w:val="008C2583"/>
    <w:rsid w:val="008C57BC"/>
    <w:rsid w:val="008C7081"/>
    <w:rsid w:val="008C7A32"/>
    <w:rsid w:val="008C7D1A"/>
    <w:rsid w:val="008D10B1"/>
    <w:rsid w:val="008D451C"/>
    <w:rsid w:val="008D4B46"/>
    <w:rsid w:val="008D60A2"/>
    <w:rsid w:val="008E090C"/>
    <w:rsid w:val="008E1506"/>
    <w:rsid w:val="008E1677"/>
    <w:rsid w:val="008E25E9"/>
    <w:rsid w:val="008E3552"/>
    <w:rsid w:val="008F1A62"/>
    <w:rsid w:val="008F366A"/>
    <w:rsid w:val="008F42AF"/>
    <w:rsid w:val="008F52F5"/>
    <w:rsid w:val="008F6356"/>
    <w:rsid w:val="008F67B0"/>
    <w:rsid w:val="00901F26"/>
    <w:rsid w:val="0091068E"/>
    <w:rsid w:val="00911AEE"/>
    <w:rsid w:val="00914397"/>
    <w:rsid w:val="0091463D"/>
    <w:rsid w:val="00914F62"/>
    <w:rsid w:val="00916ED9"/>
    <w:rsid w:val="00922802"/>
    <w:rsid w:val="009245AD"/>
    <w:rsid w:val="009329D5"/>
    <w:rsid w:val="00933677"/>
    <w:rsid w:val="0094177A"/>
    <w:rsid w:val="00944C85"/>
    <w:rsid w:val="00955F22"/>
    <w:rsid w:val="00956A9E"/>
    <w:rsid w:val="00961075"/>
    <w:rsid w:val="00961833"/>
    <w:rsid w:val="00961F91"/>
    <w:rsid w:val="0096392F"/>
    <w:rsid w:val="009651B9"/>
    <w:rsid w:val="00966007"/>
    <w:rsid w:val="0097116B"/>
    <w:rsid w:val="009712E0"/>
    <w:rsid w:val="009757A3"/>
    <w:rsid w:val="009775BA"/>
    <w:rsid w:val="0098365F"/>
    <w:rsid w:val="00986B1A"/>
    <w:rsid w:val="00987F1E"/>
    <w:rsid w:val="009935E6"/>
    <w:rsid w:val="00997397"/>
    <w:rsid w:val="00997663"/>
    <w:rsid w:val="009A0A31"/>
    <w:rsid w:val="009A1973"/>
    <w:rsid w:val="009A36D2"/>
    <w:rsid w:val="009B36B5"/>
    <w:rsid w:val="009C37DC"/>
    <w:rsid w:val="009C7A39"/>
    <w:rsid w:val="009D1F87"/>
    <w:rsid w:val="009D2B12"/>
    <w:rsid w:val="009D3C5F"/>
    <w:rsid w:val="009D3E6A"/>
    <w:rsid w:val="009D75B3"/>
    <w:rsid w:val="009E023B"/>
    <w:rsid w:val="009E1CA3"/>
    <w:rsid w:val="009E2142"/>
    <w:rsid w:val="009E413B"/>
    <w:rsid w:val="009F2C38"/>
    <w:rsid w:val="009F42ED"/>
    <w:rsid w:val="009F52FB"/>
    <w:rsid w:val="009F7B30"/>
    <w:rsid w:val="00A02E8C"/>
    <w:rsid w:val="00A02EA2"/>
    <w:rsid w:val="00A04D62"/>
    <w:rsid w:val="00A109DD"/>
    <w:rsid w:val="00A13866"/>
    <w:rsid w:val="00A13A0A"/>
    <w:rsid w:val="00A14817"/>
    <w:rsid w:val="00A22078"/>
    <w:rsid w:val="00A2426E"/>
    <w:rsid w:val="00A26888"/>
    <w:rsid w:val="00A33010"/>
    <w:rsid w:val="00A33028"/>
    <w:rsid w:val="00A43B2C"/>
    <w:rsid w:val="00A45CC1"/>
    <w:rsid w:val="00A46834"/>
    <w:rsid w:val="00A524EE"/>
    <w:rsid w:val="00A548F9"/>
    <w:rsid w:val="00A565C2"/>
    <w:rsid w:val="00A5717C"/>
    <w:rsid w:val="00A57F13"/>
    <w:rsid w:val="00A65658"/>
    <w:rsid w:val="00A65D46"/>
    <w:rsid w:val="00A660FB"/>
    <w:rsid w:val="00A674E2"/>
    <w:rsid w:val="00A71615"/>
    <w:rsid w:val="00A7414F"/>
    <w:rsid w:val="00A746D8"/>
    <w:rsid w:val="00A76D40"/>
    <w:rsid w:val="00A808F3"/>
    <w:rsid w:val="00A82D37"/>
    <w:rsid w:val="00A83331"/>
    <w:rsid w:val="00A84387"/>
    <w:rsid w:val="00A846C2"/>
    <w:rsid w:val="00A846F3"/>
    <w:rsid w:val="00A912DF"/>
    <w:rsid w:val="00A9156D"/>
    <w:rsid w:val="00A92E18"/>
    <w:rsid w:val="00A939DF"/>
    <w:rsid w:val="00A97A94"/>
    <w:rsid w:val="00AA26D5"/>
    <w:rsid w:val="00AA64E3"/>
    <w:rsid w:val="00AB5B48"/>
    <w:rsid w:val="00AC21D8"/>
    <w:rsid w:val="00AC76D8"/>
    <w:rsid w:val="00AC7DA5"/>
    <w:rsid w:val="00AD01F0"/>
    <w:rsid w:val="00AD184D"/>
    <w:rsid w:val="00AD49E3"/>
    <w:rsid w:val="00AD70E2"/>
    <w:rsid w:val="00AD7C81"/>
    <w:rsid w:val="00AE567E"/>
    <w:rsid w:val="00AE5705"/>
    <w:rsid w:val="00AF02A8"/>
    <w:rsid w:val="00AF07A2"/>
    <w:rsid w:val="00B004F0"/>
    <w:rsid w:val="00B00E85"/>
    <w:rsid w:val="00B04D57"/>
    <w:rsid w:val="00B05398"/>
    <w:rsid w:val="00B071BE"/>
    <w:rsid w:val="00B10E6F"/>
    <w:rsid w:val="00B11A3A"/>
    <w:rsid w:val="00B11F68"/>
    <w:rsid w:val="00B13C16"/>
    <w:rsid w:val="00B14C3F"/>
    <w:rsid w:val="00B156EC"/>
    <w:rsid w:val="00B214D7"/>
    <w:rsid w:val="00B22ABA"/>
    <w:rsid w:val="00B22B5C"/>
    <w:rsid w:val="00B2503E"/>
    <w:rsid w:val="00B3018D"/>
    <w:rsid w:val="00B33E12"/>
    <w:rsid w:val="00B34A05"/>
    <w:rsid w:val="00B34A94"/>
    <w:rsid w:val="00B35041"/>
    <w:rsid w:val="00B3692E"/>
    <w:rsid w:val="00B37173"/>
    <w:rsid w:val="00B372E5"/>
    <w:rsid w:val="00B403FC"/>
    <w:rsid w:val="00B5044B"/>
    <w:rsid w:val="00B507B7"/>
    <w:rsid w:val="00B52DB0"/>
    <w:rsid w:val="00B52FAE"/>
    <w:rsid w:val="00B566C3"/>
    <w:rsid w:val="00B572C6"/>
    <w:rsid w:val="00B57949"/>
    <w:rsid w:val="00B6114F"/>
    <w:rsid w:val="00B617A5"/>
    <w:rsid w:val="00B62577"/>
    <w:rsid w:val="00B63946"/>
    <w:rsid w:val="00B648A0"/>
    <w:rsid w:val="00B70061"/>
    <w:rsid w:val="00B70C27"/>
    <w:rsid w:val="00B70D5F"/>
    <w:rsid w:val="00B72696"/>
    <w:rsid w:val="00B74AF3"/>
    <w:rsid w:val="00B7771E"/>
    <w:rsid w:val="00B83226"/>
    <w:rsid w:val="00B83BDF"/>
    <w:rsid w:val="00B83F87"/>
    <w:rsid w:val="00B904C2"/>
    <w:rsid w:val="00B90723"/>
    <w:rsid w:val="00B94A91"/>
    <w:rsid w:val="00B97B7F"/>
    <w:rsid w:val="00BA0070"/>
    <w:rsid w:val="00BA0417"/>
    <w:rsid w:val="00BA0E81"/>
    <w:rsid w:val="00BA6A91"/>
    <w:rsid w:val="00BB0A61"/>
    <w:rsid w:val="00BB16AB"/>
    <w:rsid w:val="00BB3F4E"/>
    <w:rsid w:val="00BB7291"/>
    <w:rsid w:val="00BC357D"/>
    <w:rsid w:val="00BC7944"/>
    <w:rsid w:val="00BD536E"/>
    <w:rsid w:val="00BD5E48"/>
    <w:rsid w:val="00BD7593"/>
    <w:rsid w:val="00BE02F0"/>
    <w:rsid w:val="00BE5956"/>
    <w:rsid w:val="00BE7AA3"/>
    <w:rsid w:val="00BE7FD9"/>
    <w:rsid w:val="00BF0231"/>
    <w:rsid w:val="00BF0A50"/>
    <w:rsid w:val="00BF1F35"/>
    <w:rsid w:val="00BF575C"/>
    <w:rsid w:val="00BF6351"/>
    <w:rsid w:val="00C004C7"/>
    <w:rsid w:val="00C02E33"/>
    <w:rsid w:val="00C03FBA"/>
    <w:rsid w:val="00C04F76"/>
    <w:rsid w:val="00C06DED"/>
    <w:rsid w:val="00C122BB"/>
    <w:rsid w:val="00C13D3C"/>
    <w:rsid w:val="00C15ECE"/>
    <w:rsid w:val="00C20AF8"/>
    <w:rsid w:val="00C2415B"/>
    <w:rsid w:val="00C27248"/>
    <w:rsid w:val="00C27BEA"/>
    <w:rsid w:val="00C32B50"/>
    <w:rsid w:val="00C35673"/>
    <w:rsid w:val="00C36212"/>
    <w:rsid w:val="00C42086"/>
    <w:rsid w:val="00C44B4A"/>
    <w:rsid w:val="00C45EA0"/>
    <w:rsid w:val="00C46823"/>
    <w:rsid w:val="00C60E15"/>
    <w:rsid w:val="00C60EF6"/>
    <w:rsid w:val="00C72957"/>
    <w:rsid w:val="00C75119"/>
    <w:rsid w:val="00C76C0E"/>
    <w:rsid w:val="00C7782E"/>
    <w:rsid w:val="00C77A14"/>
    <w:rsid w:val="00C838F8"/>
    <w:rsid w:val="00C93E2D"/>
    <w:rsid w:val="00CA0164"/>
    <w:rsid w:val="00CA4BF4"/>
    <w:rsid w:val="00CA6060"/>
    <w:rsid w:val="00CB43AB"/>
    <w:rsid w:val="00CB5A0C"/>
    <w:rsid w:val="00CB68B5"/>
    <w:rsid w:val="00CB7AB1"/>
    <w:rsid w:val="00CC12D4"/>
    <w:rsid w:val="00CC182C"/>
    <w:rsid w:val="00CC50D1"/>
    <w:rsid w:val="00CC6C04"/>
    <w:rsid w:val="00CC76C8"/>
    <w:rsid w:val="00CD1FE1"/>
    <w:rsid w:val="00CD2C34"/>
    <w:rsid w:val="00CD52D8"/>
    <w:rsid w:val="00CD5465"/>
    <w:rsid w:val="00CD58D2"/>
    <w:rsid w:val="00CE063C"/>
    <w:rsid w:val="00CE1F31"/>
    <w:rsid w:val="00CE2687"/>
    <w:rsid w:val="00CE2A79"/>
    <w:rsid w:val="00CE30F3"/>
    <w:rsid w:val="00CE3173"/>
    <w:rsid w:val="00CE399C"/>
    <w:rsid w:val="00CE644A"/>
    <w:rsid w:val="00CF0F77"/>
    <w:rsid w:val="00CF1D29"/>
    <w:rsid w:val="00CF375A"/>
    <w:rsid w:val="00CF5437"/>
    <w:rsid w:val="00CF763C"/>
    <w:rsid w:val="00CF7DC6"/>
    <w:rsid w:val="00D07EB0"/>
    <w:rsid w:val="00D11B1C"/>
    <w:rsid w:val="00D12F06"/>
    <w:rsid w:val="00D1307A"/>
    <w:rsid w:val="00D14769"/>
    <w:rsid w:val="00D163FA"/>
    <w:rsid w:val="00D20676"/>
    <w:rsid w:val="00D21DEF"/>
    <w:rsid w:val="00D22157"/>
    <w:rsid w:val="00D224D2"/>
    <w:rsid w:val="00D2328A"/>
    <w:rsid w:val="00D23B6F"/>
    <w:rsid w:val="00D254EC"/>
    <w:rsid w:val="00D26210"/>
    <w:rsid w:val="00D26987"/>
    <w:rsid w:val="00D27419"/>
    <w:rsid w:val="00D3151D"/>
    <w:rsid w:val="00D32C34"/>
    <w:rsid w:val="00D34028"/>
    <w:rsid w:val="00D34245"/>
    <w:rsid w:val="00D36987"/>
    <w:rsid w:val="00D37C53"/>
    <w:rsid w:val="00D408D0"/>
    <w:rsid w:val="00D41CC4"/>
    <w:rsid w:val="00D4293B"/>
    <w:rsid w:val="00D43C91"/>
    <w:rsid w:val="00D46165"/>
    <w:rsid w:val="00D57012"/>
    <w:rsid w:val="00D5788C"/>
    <w:rsid w:val="00D60ED4"/>
    <w:rsid w:val="00D62462"/>
    <w:rsid w:val="00D639FB"/>
    <w:rsid w:val="00D6699E"/>
    <w:rsid w:val="00D745A0"/>
    <w:rsid w:val="00D76BB3"/>
    <w:rsid w:val="00D7765E"/>
    <w:rsid w:val="00D815BD"/>
    <w:rsid w:val="00D81B8E"/>
    <w:rsid w:val="00D8216E"/>
    <w:rsid w:val="00D8406F"/>
    <w:rsid w:val="00D85059"/>
    <w:rsid w:val="00D85835"/>
    <w:rsid w:val="00D85B9E"/>
    <w:rsid w:val="00D85DA2"/>
    <w:rsid w:val="00D92E2A"/>
    <w:rsid w:val="00D93ACD"/>
    <w:rsid w:val="00D95F02"/>
    <w:rsid w:val="00D95F79"/>
    <w:rsid w:val="00D9653F"/>
    <w:rsid w:val="00DA0B8B"/>
    <w:rsid w:val="00DA1305"/>
    <w:rsid w:val="00DA1C85"/>
    <w:rsid w:val="00DB1C80"/>
    <w:rsid w:val="00DB62D8"/>
    <w:rsid w:val="00DC1168"/>
    <w:rsid w:val="00DC1823"/>
    <w:rsid w:val="00DC2AFF"/>
    <w:rsid w:val="00DC4266"/>
    <w:rsid w:val="00DC4307"/>
    <w:rsid w:val="00DC63E5"/>
    <w:rsid w:val="00DD0C9B"/>
    <w:rsid w:val="00DD32F9"/>
    <w:rsid w:val="00DD781D"/>
    <w:rsid w:val="00DE15FE"/>
    <w:rsid w:val="00DE2443"/>
    <w:rsid w:val="00DE2EB5"/>
    <w:rsid w:val="00DE4D43"/>
    <w:rsid w:val="00DE4D50"/>
    <w:rsid w:val="00DE52BF"/>
    <w:rsid w:val="00DE68A1"/>
    <w:rsid w:val="00DF051D"/>
    <w:rsid w:val="00DF1CE3"/>
    <w:rsid w:val="00E00665"/>
    <w:rsid w:val="00E0278B"/>
    <w:rsid w:val="00E027A0"/>
    <w:rsid w:val="00E04D3C"/>
    <w:rsid w:val="00E07E42"/>
    <w:rsid w:val="00E164AA"/>
    <w:rsid w:val="00E172A0"/>
    <w:rsid w:val="00E23BA0"/>
    <w:rsid w:val="00E24B51"/>
    <w:rsid w:val="00E2528C"/>
    <w:rsid w:val="00E26E74"/>
    <w:rsid w:val="00E27374"/>
    <w:rsid w:val="00E30CAE"/>
    <w:rsid w:val="00E30E24"/>
    <w:rsid w:val="00E31948"/>
    <w:rsid w:val="00E32278"/>
    <w:rsid w:val="00E331C7"/>
    <w:rsid w:val="00E3452A"/>
    <w:rsid w:val="00E34BB8"/>
    <w:rsid w:val="00E4527B"/>
    <w:rsid w:val="00E47DF1"/>
    <w:rsid w:val="00E513D2"/>
    <w:rsid w:val="00E52B9A"/>
    <w:rsid w:val="00E52FD0"/>
    <w:rsid w:val="00E55A46"/>
    <w:rsid w:val="00E55BE7"/>
    <w:rsid w:val="00E575B7"/>
    <w:rsid w:val="00E64316"/>
    <w:rsid w:val="00E6511D"/>
    <w:rsid w:val="00E65223"/>
    <w:rsid w:val="00E65465"/>
    <w:rsid w:val="00E662BC"/>
    <w:rsid w:val="00E7123B"/>
    <w:rsid w:val="00E733D9"/>
    <w:rsid w:val="00E741D3"/>
    <w:rsid w:val="00E75933"/>
    <w:rsid w:val="00E760E2"/>
    <w:rsid w:val="00E829E5"/>
    <w:rsid w:val="00E83227"/>
    <w:rsid w:val="00E847D5"/>
    <w:rsid w:val="00E857CF"/>
    <w:rsid w:val="00E9013E"/>
    <w:rsid w:val="00E9092B"/>
    <w:rsid w:val="00E940EE"/>
    <w:rsid w:val="00E95593"/>
    <w:rsid w:val="00E96FB4"/>
    <w:rsid w:val="00EA2249"/>
    <w:rsid w:val="00EA3E45"/>
    <w:rsid w:val="00EA52B8"/>
    <w:rsid w:val="00EA69C8"/>
    <w:rsid w:val="00EA763D"/>
    <w:rsid w:val="00EA785F"/>
    <w:rsid w:val="00EA7D19"/>
    <w:rsid w:val="00EB31C2"/>
    <w:rsid w:val="00EB59E3"/>
    <w:rsid w:val="00EC2116"/>
    <w:rsid w:val="00EC6EA1"/>
    <w:rsid w:val="00EC797B"/>
    <w:rsid w:val="00ED029C"/>
    <w:rsid w:val="00ED14FF"/>
    <w:rsid w:val="00ED4C68"/>
    <w:rsid w:val="00ED6B41"/>
    <w:rsid w:val="00EE50C4"/>
    <w:rsid w:val="00EE67F4"/>
    <w:rsid w:val="00EE6DE4"/>
    <w:rsid w:val="00EF3B7F"/>
    <w:rsid w:val="00EF5D3A"/>
    <w:rsid w:val="00EF5F39"/>
    <w:rsid w:val="00EF64EA"/>
    <w:rsid w:val="00F048EC"/>
    <w:rsid w:val="00F04EEE"/>
    <w:rsid w:val="00F124E4"/>
    <w:rsid w:val="00F12A8A"/>
    <w:rsid w:val="00F15615"/>
    <w:rsid w:val="00F15EBE"/>
    <w:rsid w:val="00F17B03"/>
    <w:rsid w:val="00F2160E"/>
    <w:rsid w:val="00F217A8"/>
    <w:rsid w:val="00F2456C"/>
    <w:rsid w:val="00F24900"/>
    <w:rsid w:val="00F269AF"/>
    <w:rsid w:val="00F27943"/>
    <w:rsid w:val="00F305AB"/>
    <w:rsid w:val="00F338BA"/>
    <w:rsid w:val="00F33EA0"/>
    <w:rsid w:val="00F34883"/>
    <w:rsid w:val="00F371BA"/>
    <w:rsid w:val="00F4021F"/>
    <w:rsid w:val="00F4285F"/>
    <w:rsid w:val="00F44F89"/>
    <w:rsid w:val="00F471E2"/>
    <w:rsid w:val="00F50C09"/>
    <w:rsid w:val="00F52F7C"/>
    <w:rsid w:val="00F547BF"/>
    <w:rsid w:val="00F57336"/>
    <w:rsid w:val="00F60EEB"/>
    <w:rsid w:val="00F6195D"/>
    <w:rsid w:val="00F655D7"/>
    <w:rsid w:val="00F6619F"/>
    <w:rsid w:val="00F72707"/>
    <w:rsid w:val="00F74BBA"/>
    <w:rsid w:val="00F770A3"/>
    <w:rsid w:val="00F77203"/>
    <w:rsid w:val="00F81990"/>
    <w:rsid w:val="00F825F8"/>
    <w:rsid w:val="00F827EC"/>
    <w:rsid w:val="00F832AE"/>
    <w:rsid w:val="00F835DB"/>
    <w:rsid w:val="00F86A7B"/>
    <w:rsid w:val="00F86C3C"/>
    <w:rsid w:val="00F87E0B"/>
    <w:rsid w:val="00F9324C"/>
    <w:rsid w:val="00F93283"/>
    <w:rsid w:val="00F956D8"/>
    <w:rsid w:val="00FA5AED"/>
    <w:rsid w:val="00FA7189"/>
    <w:rsid w:val="00FB04FA"/>
    <w:rsid w:val="00FB1EAB"/>
    <w:rsid w:val="00FB5FA7"/>
    <w:rsid w:val="00FB6622"/>
    <w:rsid w:val="00FB67D6"/>
    <w:rsid w:val="00FB6A50"/>
    <w:rsid w:val="00FC01FB"/>
    <w:rsid w:val="00FC09C1"/>
    <w:rsid w:val="00FC4FEC"/>
    <w:rsid w:val="00FC5DC7"/>
    <w:rsid w:val="00FC718B"/>
    <w:rsid w:val="00FD2152"/>
    <w:rsid w:val="00FD6CFF"/>
    <w:rsid w:val="00FD7069"/>
    <w:rsid w:val="00FE159D"/>
    <w:rsid w:val="00FE1DD5"/>
    <w:rsid w:val="00FE5D62"/>
    <w:rsid w:val="00FE5E23"/>
    <w:rsid w:val="00FF0347"/>
    <w:rsid w:val="00FF0F0C"/>
    <w:rsid w:val="00FF2EE8"/>
    <w:rsid w:val="00FF6366"/>
    <w:rsid w:val="00FF6AEE"/>
    <w:rsid w:val="00FF7C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2D66415-D089-476C-8197-4410C9B6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7E6"/>
    <w:pPr>
      <w:jc w:val="both"/>
    </w:pPr>
    <w:rPr>
      <w:rFonts w:cs="Calibri"/>
      <w:sz w:val="22"/>
      <w:szCs w:val="22"/>
      <w:lang w:val="en-GB" w:eastAsia="en-GB"/>
    </w:rPr>
  </w:style>
  <w:style w:type="paragraph" w:styleId="Heading1">
    <w:name w:val="heading 1"/>
    <w:basedOn w:val="Normal"/>
    <w:next w:val="Normal"/>
    <w:link w:val="Heading1Char"/>
    <w:uiPriority w:val="99"/>
    <w:qFormat/>
    <w:rsid w:val="00052D51"/>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1A39B0"/>
    <w:pPr>
      <w:keepNext/>
      <w:keepLines/>
      <w:spacing w:before="200"/>
      <w:outlineLvl w:val="1"/>
    </w:pPr>
    <w:rPr>
      <w:rFonts w:ascii="Cambria" w:hAnsi="Cambria" w:cs="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D51"/>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1A39B0"/>
    <w:rPr>
      <w:rFonts w:ascii="Cambria" w:eastAsia="SimSun" w:hAnsi="Cambria" w:cs="Cambria"/>
      <w:b/>
      <w:bCs/>
      <w:color w:val="4F81BD"/>
      <w:sz w:val="26"/>
      <w:szCs w:val="26"/>
      <w:lang w:val="en-GB" w:eastAsia="en-US"/>
    </w:rPr>
  </w:style>
  <w:style w:type="paragraph" w:customStyle="1" w:styleId="HSRmainheading">
    <w:name w:val="HSR main heading"/>
    <w:link w:val="HSRmainheadingChar"/>
    <w:uiPriority w:val="99"/>
    <w:rsid w:val="00B74AF3"/>
    <w:pPr>
      <w:spacing w:line="280" w:lineRule="exact"/>
    </w:pPr>
    <w:rPr>
      <w:rFonts w:cs="Calibri"/>
      <w:b/>
      <w:bCs/>
      <w:caps/>
      <w:sz w:val="24"/>
      <w:szCs w:val="24"/>
      <w:lang w:val="en-GB" w:eastAsia="en-GB"/>
    </w:rPr>
  </w:style>
  <w:style w:type="paragraph" w:customStyle="1" w:styleId="HSRmainbody">
    <w:name w:val="HSR main body"/>
    <w:basedOn w:val="Normal"/>
    <w:link w:val="HSRmainbodyChar"/>
    <w:uiPriority w:val="99"/>
    <w:rsid w:val="00013F84"/>
    <w:pPr>
      <w:spacing w:line="280" w:lineRule="exact"/>
    </w:pPr>
    <w:rPr>
      <w:sz w:val="24"/>
      <w:szCs w:val="24"/>
    </w:rPr>
  </w:style>
  <w:style w:type="character" w:customStyle="1" w:styleId="HSRmainheadingChar">
    <w:name w:val="HSR main heading Char"/>
    <w:basedOn w:val="DefaultParagraphFont"/>
    <w:link w:val="HSRmainheading"/>
    <w:uiPriority w:val="99"/>
    <w:locked/>
    <w:rsid w:val="00B74AF3"/>
    <w:rPr>
      <w:rFonts w:cs="Calibri"/>
      <w:b/>
      <w:bCs/>
      <w:caps/>
      <w:sz w:val="24"/>
      <w:szCs w:val="24"/>
      <w:lang w:val="en-GB" w:eastAsia="en-GB" w:bidi="ar-SA"/>
    </w:rPr>
  </w:style>
  <w:style w:type="paragraph" w:styleId="FootnoteText">
    <w:name w:val="footnote text"/>
    <w:aliases w:val="FOOTNOTES,fn,single space,footnote text,Footnote Text Char1,Footnote Text Char Char,Footnote Text Char1 Char Char,Footnote Text Char Char Char Char,Char Char Char Char Char,Char Char Char, Char Char Char Char Char, Char Char Char,ADB"/>
    <w:basedOn w:val="Normal"/>
    <w:link w:val="FootnoteTextChar"/>
    <w:uiPriority w:val="99"/>
    <w:rsid w:val="00641B82"/>
    <w:rPr>
      <w:sz w:val="20"/>
      <w:szCs w:val="20"/>
    </w:rPr>
  </w:style>
  <w:style w:type="character" w:customStyle="1" w:styleId="FootnoteTextChar">
    <w:name w:val="Footnote Text Char"/>
    <w:aliases w:val="FOOTNOTES Char,fn Char,single space Char,footnote text Char,Footnote Text Char1 Char,Footnote Text Char Char Char,Footnote Text Char1 Char Char Char,Footnote Text Char Char Char Char Char,Char Char Char Char Char Char,ADB Char"/>
    <w:basedOn w:val="DefaultParagraphFont"/>
    <w:link w:val="FootnoteText"/>
    <w:uiPriority w:val="99"/>
    <w:locked/>
    <w:rsid w:val="00641B82"/>
    <w:rPr>
      <w:sz w:val="20"/>
      <w:szCs w:val="20"/>
    </w:rPr>
  </w:style>
  <w:style w:type="character" w:customStyle="1" w:styleId="HSRmainbodyChar">
    <w:name w:val="HSR main body Char"/>
    <w:basedOn w:val="DefaultParagraphFont"/>
    <w:link w:val="HSRmainbody"/>
    <w:uiPriority w:val="99"/>
    <w:locked/>
    <w:rsid w:val="00013F84"/>
    <w:rPr>
      <w:rFonts w:ascii="Times New Roman" w:hAnsi="Times New Roman" w:cs="Times New Roman"/>
      <w:sz w:val="24"/>
      <w:szCs w:val="24"/>
    </w:rPr>
  </w:style>
  <w:style w:type="character" w:styleId="FootnoteReference">
    <w:name w:val="footnote reference"/>
    <w:aliases w:val="ftref"/>
    <w:basedOn w:val="DefaultParagraphFont"/>
    <w:uiPriority w:val="99"/>
    <w:semiHidden/>
    <w:rsid w:val="00641B82"/>
    <w:rPr>
      <w:vertAlign w:val="superscript"/>
    </w:rPr>
  </w:style>
  <w:style w:type="character" w:styleId="HTMLTypewriter">
    <w:name w:val="HTML Typewriter"/>
    <w:basedOn w:val="DefaultParagraphFont"/>
    <w:uiPriority w:val="99"/>
    <w:rsid w:val="00916ED9"/>
    <w:rPr>
      <w:rFonts w:ascii="Courier New" w:hAnsi="Courier New" w:cs="Courier New"/>
      <w:sz w:val="20"/>
      <w:szCs w:val="20"/>
    </w:rPr>
  </w:style>
  <w:style w:type="character" w:customStyle="1" w:styleId="longtext1">
    <w:name w:val="longtext1"/>
    <w:basedOn w:val="DefaultParagraphFont"/>
    <w:uiPriority w:val="99"/>
    <w:rsid w:val="00916ED9"/>
  </w:style>
  <w:style w:type="paragraph" w:styleId="BodyText3">
    <w:name w:val="Body Text 3"/>
    <w:basedOn w:val="Normal"/>
    <w:link w:val="BodyText3Char"/>
    <w:uiPriority w:val="99"/>
    <w:rsid w:val="001541EF"/>
    <w:rPr>
      <w:rFonts w:ascii="Times New Roman" w:hAnsi="Times New Roman" w:cs="Times New Roman"/>
      <w:sz w:val="20"/>
      <w:szCs w:val="20"/>
      <w:lang w:eastAsia="en-US"/>
    </w:rPr>
  </w:style>
  <w:style w:type="character" w:customStyle="1" w:styleId="BodyText3Char">
    <w:name w:val="Body Text 3 Char"/>
    <w:basedOn w:val="DefaultParagraphFont"/>
    <w:link w:val="BodyText3"/>
    <w:uiPriority w:val="99"/>
    <w:locked/>
    <w:rsid w:val="001541EF"/>
    <w:rPr>
      <w:rFonts w:ascii="Times New Roman" w:eastAsia="SimSun" w:hAnsi="Times New Roman" w:cs="Times New Roman"/>
      <w:sz w:val="20"/>
      <w:szCs w:val="20"/>
      <w:lang w:eastAsia="en-US"/>
    </w:rPr>
  </w:style>
  <w:style w:type="character" w:customStyle="1" w:styleId="apple-style-span">
    <w:name w:val="apple-style-span"/>
    <w:basedOn w:val="DefaultParagraphFont"/>
    <w:rsid w:val="00FB67D6"/>
  </w:style>
  <w:style w:type="paragraph" w:customStyle="1" w:styleId="HSRreferencetext">
    <w:name w:val="HSR reference text"/>
    <w:basedOn w:val="HSRmainbody"/>
    <w:link w:val="HSRreferencetextChar"/>
    <w:uiPriority w:val="99"/>
    <w:rsid w:val="00580FF0"/>
    <w:pPr>
      <w:jc w:val="left"/>
    </w:pPr>
  </w:style>
  <w:style w:type="paragraph" w:styleId="BalloonText">
    <w:name w:val="Balloon Text"/>
    <w:basedOn w:val="Normal"/>
    <w:link w:val="BalloonTextChar"/>
    <w:uiPriority w:val="99"/>
    <w:semiHidden/>
    <w:rsid w:val="00956A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A9E"/>
    <w:rPr>
      <w:rFonts w:ascii="Tahoma" w:hAnsi="Tahoma" w:cs="Tahoma"/>
      <w:sz w:val="16"/>
      <w:szCs w:val="16"/>
    </w:rPr>
  </w:style>
  <w:style w:type="character" w:customStyle="1" w:styleId="HSRreferencetextChar">
    <w:name w:val="HSR reference text Char"/>
    <w:basedOn w:val="HSRmainbodyChar"/>
    <w:link w:val="HSRreferencetext"/>
    <w:uiPriority w:val="99"/>
    <w:locked/>
    <w:rsid w:val="00580FF0"/>
    <w:rPr>
      <w:rFonts w:ascii="Times New Roman" w:hAnsi="Times New Roman" w:cs="Times New Roman"/>
      <w:sz w:val="24"/>
      <w:szCs w:val="24"/>
    </w:rPr>
  </w:style>
  <w:style w:type="paragraph" w:customStyle="1" w:styleId="HSRFiguretitle">
    <w:name w:val="HSR Figure title"/>
    <w:basedOn w:val="Normal"/>
    <w:link w:val="HSRFiguretitleChar"/>
    <w:uiPriority w:val="99"/>
    <w:rsid w:val="00956A9E"/>
    <w:pPr>
      <w:spacing w:line="240" w:lineRule="exact"/>
      <w:jc w:val="center"/>
    </w:pPr>
    <w:rPr>
      <w:sz w:val="20"/>
      <w:szCs w:val="20"/>
    </w:rPr>
  </w:style>
  <w:style w:type="character" w:customStyle="1" w:styleId="HSRFiguretitleChar">
    <w:name w:val="HSR Figure title Char"/>
    <w:basedOn w:val="DefaultParagraphFont"/>
    <w:link w:val="HSRFiguretitle"/>
    <w:uiPriority w:val="99"/>
    <w:locked/>
    <w:rsid w:val="00956A9E"/>
    <w:rPr>
      <w:rFonts w:ascii="Times New Roman" w:hAnsi="Times New Roman" w:cs="Times New Roman"/>
      <w:sz w:val="20"/>
      <w:szCs w:val="20"/>
    </w:rPr>
  </w:style>
  <w:style w:type="paragraph" w:styleId="Header">
    <w:name w:val="header"/>
    <w:basedOn w:val="Normal"/>
    <w:link w:val="HeaderChar"/>
    <w:uiPriority w:val="99"/>
    <w:rsid w:val="001772E9"/>
    <w:pPr>
      <w:tabs>
        <w:tab w:val="center" w:pos="4680"/>
        <w:tab w:val="right" w:pos="9360"/>
      </w:tabs>
    </w:pPr>
  </w:style>
  <w:style w:type="character" w:customStyle="1" w:styleId="HeaderChar">
    <w:name w:val="Header Char"/>
    <w:basedOn w:val="DefaultParagraphFont"/>
    <w:link w:val="Header"/>
    <w:uiPriority w:val="99"/>
    <w:locked/>
    <w:rsid w:val="001772E9"/>
  </w:style>
  <w:style w:type="paragraph" w:styleId="Footer">
    <w:name w:val="footer"/>
    <w:basedOn w:val="Normal"/>
    <w:link w:val="FooterChar"/>
    <w:uiPriority w:val="99"/>
    <w:rsid w:val="001772E9"/>
    <w:pPr>
      <w:tabs>
        <w:tab w:val="center" w:pos="4680"/>
        <w:tab w:val="right" w:pos="9360"/>
      </w:tabs>
    </w:pPr>
  </w:style>
  <w:style w:type="character" w:customStyle="1" w:styleId="FooterChar">
    <w:name w:val="Footer Char"/>
    <w:basedOn w:val="DefaultParagraphFont"/>
    <w:link w:val="Footer"/>
    <w:uiPriority w:val="99"/>
    <w:locked/>
    <w:rsid w:val="001772E9"/>
  </w:style>
  <w:style w:type="paragraph" w:styleId="NormalWeb">
    <w:name w:val="Normal (Web)"/>
    <w:basedOn w:val="Normal"/>
    <w:uiPriority w:val="99"/>
    <w:semiHidden/>
    <w:rsid w:val="004669B6"/>
    <w:rPr>
      <w:sz w:val="24"/>
      <w:szCs w:val="24"/>
    </w:rPr>
  </w:style>
  <w:style w:type="character" w:styleId="Hyperlink">
    <w:name w:val="Hyperlink"/>
    <w:basedOn w:val="DefaultParagraphFont"/>
    <w:uiPriority w:val="99"/>
    <w:rsid w:val="008122FC"/>
    <w:rPr>
      <w:color w:val="0000FF"/>
      <w:u w:val="single"/>
    </w:rPr>
  </w:style>
  <w:style w:type="character" w:customStyle="1" w:styleId="apple-converted-space">
    <w:name w:val="apple-converted-space"/>
    <w:basedOn w:val="DefaultParagraphFont"/>
    <w:uiPriority w:val="99"/>
    <w:rsid w:val="008122FC"/>
  </w:style>
  <w:style w:type="character" w:styleId="CommentReference">
    <w:name w:val="annotation reference"/>
    <w:basedOn w:val="DefaultParagraphFont"/>
    <w:uiPriority w:val="99"/>
    <w:semiHidden/>
    <w:rsid w:val="009D1F87"/>
    <w:rPr>
      <w:sz w:val="16"/>
      <w:szCs w:val="16"/>
    </w:rPr>
  </w:style>
  <w:style w:type="paragraph" w:styleId="CommentText">
    <w:name w:val="annotation text"/>
    <w:basedOn w:val="Normal"/>
    <w:link w:val="CommentTextChar"/>
    <w:uiPriority w:val="99"/>
    <w:semiHidden/>
    <w:rsid w:val="009D1F87"/>
    <w:rPr>
      <w:sz w:val="20"/>
      <w:szCs w:val="20"/>
    </w:rPr>
  </w:style>
  <w:style w:type="character" w:customStyle="1" w:styleId="CommentTextChar">
    <w:name w:val="Comment Text Char"/>
    <w:basedOn w:val="DefaultParagraphFont"/>
    <w:link w:val="CommentText"/>
    <w:uiPriority w:val="99"/>
    <w:semiHidden/>
    <w:locked/>
    <w:rsid w:val="009D1F87"/>
    <w:rPr>
      <w:sz w:val="20"/>
      <w:szCs w:val="20"/>
    </w:rPr>
  </w:style>
  <w:style w:type="paragraph" w:styleId="CommentSubject">
    <w:name w:val="annotation subject"/>
    <w:basedOn w:val="CommentText"/>
    <w:next w:val="CommentText"/>
    <w:link w:val="CommentSubjectChar"/>
    <w:uiPriority w:val="99"/>
    <w:semiHidden/>
    <w:rsid w:val="009D1F87"/>
    <w:rPr>
      <w:b/>
      <w:bCs/>
    </w:rPr>
  </w:style>
  <w:style w:type="character" w:customStyle="1" w:styleId="CommentSubjectChar">
    <w:name w:val="Comment Subject Char"/>
    <w:basedOn w:val="CommentTextChar"/>
    <w:link w:val="CommentSubject"/>
    <w:uiPriority w:val="99"/>
    <w:semiHidden/>
    <w:locked/>
    <w:rsid w:val="009D1F87"/>
    <w:rPr>
      <w:b/>
      <w:bCs/>
      <w:sz w:val="20"/>
      <w:szCs w:val="20"/>
    </w:rPr>
  </w:style>
  <w:style w:type="paragraph" w:styleId="Revision">
    <w:name w:val="Revision"/>
    <w:hidden/>
    <w:uiPriority w:val="99"/>
    <w:semiHidden/>
    <w:rsid w:val="00047358"/>
    <w:rPr>
      <w:rFonts w:cs="Calibri"/>
      <w:sz w:val="22"/>
      <w:szCs w:val="22"/>
      <w:lang w:val="en-GB" w:eastAsia="en-GB"/>
    </w:rPr>
  </w:style>
  <w:style w:type="paragraph" w:styleId="ListParagraph">
    <w:name w:val="List Paragraph"/>
    <w:basedOn w:val="Normal"/>
    <w:uiPriority w:val="34"/>
    <w:qFormat/>
    <w:rsid w:val="00CD1FE1"/>
    <w:pPr>
      <w:ind w:left="720"/>
      <w:contextualSpacing/>
    </w:pPr>
  </w:style>
  <w:style w:type="paragraph" w:customStyle="1" w:styleId="Heading1a">
    <w:name w:val="Heading 1a"/>
    <w:basedOn w:val="Normal"/>
    <w:next w:val="Normal"/>
    <w:rsid w:val="00194B9D"/>
    <w:pPr>
      <w:keepNext/>
      <w:keepLines/>
      <w:numPr>
        <w:numId w:val="21"/>
      </w:numPr>
      <w:spacing w:before="1440" w:after="240"/>
      <w:jc w:val="center"/>
      <w:outlineLvl w:val="0"/>
    </w:pPr>
    <w:rPr>
      <w:rFonts w:ascii="Times New Roman" w:eastAsia="Times New Roman" w:hAnsi="Times New Roman" w:cs="Times New Roman"/>
      <w:b/>
      <w:caps/>
      <w:sz w:val="32"/>
      <w:szCs w:val="24"/>
      <w:lang w:val="en-US" w:eastAsia="en-US"/>
    </w:rPr>
  </w:style>
  <w:style w:type="paragraph" w:customStyle="1" w:styleId="MainParanoChapter">
    <w:name w:val="Main Para no Chapter #"/>
    <w:basedOn w:val="Normal"/>
    <w:rsid w:val="00194B9D"/>
    <w:pPr>
      <w:numPr>
        <w:ilvl w:val="1"/>
        <w:numId w:val="21"/>
      </w:numPr>
      <w:spacing w:after="240"/>
      <w:jc w:val="left"/>
      <w:outlineLvl w:val="1"/>
    </w:pPr>
    <w:rPr>
      <w:rFonts w:ascii="Times New Roman" w:eastAsia="Times New Roman" w:hAnsi="Times New Roman" w:cs="Times New Roman"/>
      <w:sz w:val="24"/>
      <w:szCs w:val="24"/>
      <w:lang w:val="en-US" w:eastAsia="en-US"/>
    </w:rPr>
  </w:style>
  <w:style w:type="paragraph" w:customStyle="1" w:styleId="Sub-Para1underX">
    <w:name w:val="Sub-Para 1 under X."/>
    <w:basedOn w:val="Normal"/>
    <w:rsid w:val="00194B9D"/>
    <w:pPr>
      <w:numPr>
        <w:ilvl w:val="2"/>
        <w:numId w:val="21"/>
      </w:numPr>
      <w:spacing w:after="240"/>
      <w:jc w:val="left"/>
      <w:outlineLvl w:val="2"/>
    </w:pPr>
    <w:rPr>
      <w:rFonts w:ascii="Times New Roman" w:eastAsia="Times New Roman" w:hAnsi="Times New Roman" w:cs="Times New Roman"/>
      <w:sz w:val="24"/>
      <w:szCs w:val="24"/>
      <w:lang w:val="en-US" w:eastAsia="en-US"/>
    </w:rPr>
  </w:style>
  <w:style w:type="paragraph" w:customStyle="1" w:styleId="Sub-Para2underX">
    <w:name w:val="Sub-Para 2 under X."/>
    <w:basedOn w:val="Normal"/>
    <w:rsid w:val="00194B9D"/>
    <w:pPr>
      <w:numPr>
        <w:ilvl w:val="3"/>
        <w:numId w:val="21"/>
      </w:numPr>
      <w:spacing w:after="240"/>
      <w:jc w:val="left"/>
      <w:outlineLvl w:val="3"/>
    </w:pPr>
    <w:rPr>
      <w:rFonts w:ascii="Times New Roman" w:eastAsia="Times New Roman" w:hAnsi="Times New Roman" w:cs="Times New Roman"/>
      <w:sz w:val="24"/>
      <w:szCs w:val="24"/>
      <w:lang w:val="en-US" w:eastAsia="en-US"/>
    </w:rPr>
  </w:style>
  <w:style w:type="paragraph" w:customStyle="1" w:styleId="Sub-Para3underX">
    <w:name w:val="Sub-Para 3 under X."/>
    <w:basedOn w:val="Normal"/>
    <w:rsid w:val="00194B9D"/>
    <w:pPr>
      <w:numPr>
        <w:ilvl w:val="4"/>
        <w:numId w:val="21"/>
      </w:numPr>
      <w:spacing w:after="240"/>
      <w:jc w:val="left"/>
      <w:outlineLvl w:val="4"/>
    </w:pPr>
    <w:rPr>
      <w:rFonts w:ascii="Times New Roman" w:eastAsia="Times New Roman" w:hAnsi="Times New Roman" w:cs="Times New Roman"/>
      <w:sz w:val="24"/>
      <w:szCs w:val="24"/>
      <w:lang w:val="en-US" w:eastAsia="en-US"/>
    </w:rPr>
  </w:style>
  <w:style w:type="paragraph" w:customStyle="1" w:styleId="Sub-Para4underX">
    <w:name w:val="Sub-Para 4 under X."/>
    <w:basedOn w:val="Normal"/>
    <w:rsid w:val="00194B9D"/>
    <w:pPr>
      <w:numPr>
        <w:ilvl w:val="5"/>
        <w:numId w:val="21"/>
      </w:numPr>
      <w:spacing w:after="240"/>
      <w:jc w:val="left"/>
      <w:outlineLvl w:val="5"/>
    </w:pPr>
    <w:rPr>
      <w:rFonts w:ascii="Times New Roman" w:eastAsia="Times New Roman" w:hAnsi="Times New Roman" w:cs="Times New Roman"/>
      <w:sz w:val="24"/>
      <w:szCs w:val="24"/>
      <w:lang w:val="en-US" w:eastAsia="en-US"/>
    </w:rPr>
  </w:style>
  <w:style w:type="paragraph" w:customStyle="1" w:styleId="transportnoteparagraph">
    <w:name w:val="transport note paragraph"/>
    <w:basedOn w:val="Normal"/>
    <w:link w:val="transportnoteparagraphChar"/>
    <w:qFormat/>
    <w:rsid w:val="00B13C16"/>
    <w:pPr>
      <w:spacing w:after="120"/>
      <w:jc w:val="left"/>
    </w:pPr>
    <w:rPr>
      <w:rFonts w:cs="Times New Roman"/>
      <w:lang w:val="x-none" w:eastAsia="x-none"/>
    </w:rPr>
  </w:style>
  <w:style w:type="character" w:customStyle="1" w:styleId="transportnoteparagraphChar">
    <w:name w:val="transport note paragraph Char"/>
    <w:link w:val="transportnoteparagraph"/>
    <w:rsid w:val="00B13C16"/>
    <w:rPr>
      <w:sz w:val="22"/>
      <w:szCs w:val="22"/>
      <w:lang w:val="x-none"/>
    </w:rPr>
  </w:style>
  <w:style w:type="paragraph" w:customStyle="1" w:styleId="TransportNoteHeading2">
    <w:name w:val="Transport Note Heading 2"/>
    <w:basedOn w:val="Normal"/>
    <w:link w:val="TransportNoteHeading2Char"/>
    <w:qFormat/>
    <w:rsid w:val="00B13C16"/>
    <w:pPr>
      <w:spacing w:after="120"/>
      <w:jc w:val="left"/>
    </w:pPr>
    <w:rPr>
      <w:rFonts w:cs="Times New Roman"/>
      <w:b/>
      <w:sz w:val="24"/>
      <w:szCs w:val="24"/>
      <w:lang w:val="x-none" w:eastAsia="x-none"/>
    </w:rPr>
  </w:style>
  <w:style w:type="character" w:customStyle="1" w:styleId="TransportNoteHeading2Char">
    <w:name w:val="Transport Note Heading 2 Char"/>
    <w:link w:val="TransportNoteHeading2"/>
    <w:rsid w:val="00B13C16"/>
    <w:rPr>
      <w:b/>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1641">
      <w:marLeft w:val="0"/>
      <w:marRight w:val="0"/>
      <w:marTop w:val="0"/>
      <w:marBottom w:val="0"/>
      <w:divBdr>
        <w:top w:val="none" w:sz="0" w:space="0" w:color="auto"/>
        <w:left w:val="none" w:sz="0" w:space="0" w:color="auto"/>
        <w:bottom w:val="none" w:sz="0" w:space="0" w:color="auto"/>
        <w:right w:val="none" w:sz="0" w:space="0" w:color="auto"/>
      </w:divBdr>
    </w:div>
    <w:div w:id="162161642">
      <w:marLeft w:val="0"/>
      <w:marRight w:val="0"/>
      <w:marTop w:val="0"/>
      <w:marBottom w:val="0"/>
      <w:divBdr>
        <w:top w:val="none" w:sz="0" w:space="0" w:color="auto"/>
        <w:left w:val="none" w:sz="0" w:space="0" w:color="auto"/>
        <w:bottom w:val="none" w:sz="0" w:space="0" w:color="auto"/>
        <w:right w:val="none" w:sz="0" w:space="0" w:color="auto"/>
      </w:divBdr>
    </w:div>
    <w:div w:id="162161643">
      <w:marLeft w:val="0"/>
      <w:marRight w:val="0"/>
      <w:marTop w:val="0"/>
      <w:marBottom w:val="0"/>
      <w:divBdr>
        <w:top w:val="none" w:sz="0" w:space="0" w:color="auto"/>
        <w:left w:val="none" w:sz="0" w:space="0" w:color="auto"/>
        <w:bottom w:val="none" w:sz="0" w:space="0" w:color="auto"/>
        <w:right w:val="none" w:sz="0" w:space="0" w:color="auto"/>
      </w:divBdr>
    </w:div>
    <w:div w:id="162161644">
      <w:marLeft w:val="0"/>
      <w:marRight w:val="0"/>
      <w:marTop w:val="0"/>
      <w:marBottom w:val="0"/>
      <w:divBdr>
        <w:top w:val="none" w:sz="0" w:space="0" w:color="auto"/>
        <w:left w:val="none" w:sz="0" w:space="0" w:color="auto"/>
        <w:bottom w:val="none" w:sz="0" w:space="0" w:color="auto"/>
        <w:right w:val="none" w:sz="0" w:space="0" w:color="auto"/>
      </w:divBdr>
    </w:div>
    <w:div w:id="162161645">
      <w:marLeft w:val="0"/>
      <w:marRight w:val="0"/>
      <w:marTop w:val="0"/>
      <w:marBottom w:val="0"/>
      <w:divBdr>
        <w:top w:val="none" w:sz="0" w:space="0" w:color="auto"/>
        <w:left w:val="none" w:sz="0" w:space="0" w:color="auto"/>
        <w:bottom w:val="none" w:sz="0" w:space="0" w:color="auto"/>
        <w:right w:val="none" w:sz="0" w:space="0" w:color="auto"/>
      </w:divBdr>
    </w:div>
    <w:div w:id="162161646">
      <w:marLeft w:val="0"/>
      <w:marRight w:val="0"/>
      <w:marTop w:val="0"/>
      <w:marBottom w:val="0"/>
      <w:divBdr>
        <w:top w:val="none" w:sz="0" w:space="0" w:color="auto"/>
        <w:left w:val="none" w:sz="0" w:space="0" w:color="auto"/>
        <w:bottom w:val="none" w:sz="0" w:space="0" w:color="auto"/>
        <w:right w:val="none" w:sz="0" w:space="0" w:color="auto"/>
      </w:divBdr>
    </w:div>
    <w:div w:id="162161647">
      <w:marLeft w:val="0"/>
      <w:marRight w:val="0"/>
      <w:marTop w:val="0"/>
      <w:marBottom w:val="0"/>
      <w:divBdr>
        <w:top w:val="none" w:sz="0" w:space="0" w:color="auto"/>
        <w:left w:val="none" w:sz="0" w:space="0" w:color="auto"/>
        <w:bottom w:val="none" w:sz="0" w:space="0" w:color="auto"/>
        <w:right w:val="none" w:sz="0" w:space="0" w:color="auto"/>
      </w:divBdr>
    </w:div>
    <w:div w:id="162161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7293-EBB9-4849-971A-77954B2E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4104</Words>
  <Characters>23397</Characters>
  <Application>Microsoft Office Word</Application>
  <DocSecurity>0</DocSecurity>
  <Lines>194</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China Rail Integrated Logistics Centers</vt:lpstr>
      <vt:lpstr>China Rail Governance</vt:lpstr>
    </vt:vector>
  </TitlesOfParts>
  <Company>The World Bank Group</Company>
  <LinksUpToDate>false</LinksUpToDate>
  <CharactersWithSpaces>27447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Rail Integrated Logistics Centers</dc:title>
  <dc:creator>Luis Blancas;Gerald Ollivier;Dick bullock</dc:creator>
  <cp:keywords>rail railway china railway structure governance Paul Amos &amp; Dick Bullock John Scales Gerald Ollivier</cp:keywords>
  <cp:lastModifiedBy>Bobbie Sauer</cp:lastModifiedBy>
  <cp:revision>4</cp:revision>
  <cp:lastPrinted>2014-11-24T07:59:00Z</cp:lastPrinted>
  <dcterms:created xsi:type="dcterms:W3CDTF">2015-04-03T02:53:00Z</dcterms:created>
  <dcterms:modified xsi:type="dcterms:W3CDTF">2015-04-15T11:55:00Z</dcterms:modified>
</cp:coreProperties>
</file>