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722E" w14:textId="3FDA0C7F" w:rsidR="002151C2" w:rsidRPr="00FE7275" w:rsidRDefault="00CD6F59" w:rsidP="002151C2">
      <w:pPr>
        <w:pStyle w:val="NoSpacing"/>
        <w:jc w:val="center"/>
        <w:rPr>
          <w:b w:val="0"/>
        </w:rPr>
      </w:pPr>
      <w:r>
        <w:rPr>
          <w:noProof/>
          <w:sz w:val="22"/>
        </w:rPr>
        <mc:AlternateContent>
          <mc:Choice Requires="wps">
            <w:drawing>
              <wp:anchor distT="0" distB="0" distL="114300" distR="114300" simplePos="0" relativeHeight="251660288" behindDoc="0" locked="0" layoutInCell="1" allowOverlap="1" wp14:anchorId="2B1E4B2A" wp14:editId="64E855D0">
                <wp:simplePos x="0" y="0"/>
                <wp:positionH relativeFrom="column">
                  <wp:posOffset>4744504</wp:posOffset>
                </wp:positionH>
                <wp:positionV relativeFrom="paragraph">
                  <wp:posOffset>-586081</wp:posOffset>
                </wp:positionV>
                <wp:extent cx="2881223" cy="1449238"/>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1223" cy="1449238"/>
                        </a:xfrm>
                        <a:prstGeom prst="rect">
                          <a:avLst/>
                        </a:prstGeom>
                        <a:noFill/>
                        <a:ln w="6350">
                          <a:noFill/>
                        </a:ln>
                      </wps:spPr>
                      <wps:txbx>
                        <w:txbxContent>
                          <w:p w14:paraId="32647DD8" w14:textId="537299A2" w:rsidR="00CD6F59" w:rsidRPr="00CD6F59" w:rsidRDefault="00CD6F59">
                            <w:pPr>
                              <w:ind w:left="0"/>
                              <w:rPr>
                                <w:rFonts w:ascii="Arial" w:hAnsi="Arial" w:cs="Arial"/>
                                <w:sz w:val="44"/>
                                <w:szCs w:val="44"/>
                              </w:rPr>
                            </w:pPr>
                            <w:r>
                              <w:rPr>
                                <w:rFonts w:ascii="Arial" w:hAnsi="Arial" w:cs="Arial"/>
                                <w:sz w:val="44"/>
                                <w:szCs w:val="44"/>
                              </w:rPr>
                              <w:t>117088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1E4B2A" id="_x0000_t202" coordsize="21600,21600" o:spt="202" path="m,l,21600r21600,l21600,xe">
                <v:stroke joinstyle="miter"/>
                <v:path gradientshapeok="t" o:connecttype="rect"/>
              </v:shapetype>
              <v:shape id="Text Box 1" o:spid="_x0000_s1026" type="#_x0000_t202" style="position:absolute;left:0;text-align:left;margin-left:373.6pt;margin-top:-46.15pt;width:226.85pt;height:1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" filled="f" stroked="f" strokeweight=".5pt">
                <v:textbox>
                  <w:txbxContent>
                    <w:p w14:paraId="32647DD8" w14:textId="537299A2" w:rsidR="00CD6F59" w:rsidRPr="00CD6F59" w:rsidRDefault="00CD6F59">
                      <w:pPr>
                        <w:ind w:left="0"/>
                        <w:rPr>
                          <w:rFonts w:ascii="Arial" w:hAnsi="Arial" w:cs="Arial"/>
                          <w:sz w:val="44"/>
                          <w:szCs w:val="44"/>
                        </w:rPr>
                      </w:pPr>
                      <w:r>
                        <w:rPr>
                          <w:rFonts w:ascii="Arial" w:hAnsi="Arial" w:cs="Arial"/>
                          <w:sz w:val="44"/>
                          <w:szCs w:val="44"/>
                        </w:rPr>
                        <w:t>117088</w:t>
                      </w:r>
                    </w:p>
                  </w:txbxContent>
                </v:textbox>
              </v:shape>
            </w:pict>
          </mc:Fallback>
        </mc:AlternateContent>
      </w:r>
      <w:r w:rsidR="00D04B10" w:rsidRPr="00FE7275">
        <w:rPr>
          <w:sz w:val="22"/>
        </w:rPr>
        <w:t xml:space="preserve"> </w:t>
      </w:r>
    </w:p>
    <w:p w14:paraId="466A2661" w14:textId="77777777" w:rsidR="002151C2" w:rsidRPr="00FE7275" w:rsidRDefault="002151C2" w:rsidP="002151C2">
      <w:pPr>
        <w:pStyle w:val="NoSpacing"/>
        <w:jc w:val="center"/>
        <w:rPr>
          <w:b w:val="0"/>
        </w:rPr>
      </w:pPr>
    </w:p>
    <w:p w14:paraId="714F1EA4" w14:textId="77777777" w:rsidR="002151C2" w:rsidRPr="00FE7275" w:rsidRDefault="002151C2" w:rsidP="002151C2">
      <w:pPr>
        <w:pStyle w:val="NoSpacing"/>
        <w:jc w:val="center"/>
        <w:rPr>
          <w:b w:val="0"/>
        </w:rPr>
      </w:pPr>
    </w:p>
    <w:p w14:paraId="03577DC1" w14:textId="77777777" w:rsidR="002151C2" w:rsidRPr="00FE7275" w:rsidRDefault="002151C2" w:rsidP="002151C2">
      <w:pPr>
        <w:pStyle w:val="NoSpacing"/>
        <w:jc w:val="center"/>
        <w:rPr>
          <w:b w:val="0"/>
        </w:rPr>
      </w:pPr>
    </w:p>
    <w:p w14:paraId="4E801879" w14:textId="77777777" w:rsidR="002151C2" w:rsidRPr="00FE7275" w:rsidRDefault="002151C2" w:rsidP="002151C2">
      <w:pPr>
        <w:pStyle w:val="NoSpacing"/>
        <w:jc w:val="center"/>
        <w:rPr>
          <w:b w:val="0"/>
        </w:rPr>
      </w:pPr>
    </w:p>
    <w:p w14:paraId="2337BF1D" w14:textId="77777777" w:rsidR="002151C2" w:rsidRPr="00FE7275" w:rsidRDefault="002151C2" w:rsidP="002151C2">
      <w:pPr>
        <w:pStyle w:val="NoSpacing"/>
        <w:jc w:val="center"/>
        <w:rPr>
          <w:b w:val="0"/>
        </w:rPr>
      </w:pPr>
    </w:p>
    <w:p w14:paraId="2CAB7741" w14:textId="77777777" w:rsidR="002151C2" w:rsidRPr="00FE7275" w:rsidRDefault="002151C2" w:rsidP="002151C2">
      <w:pPr>
        <w:pStyle w:val="NoSpacing"/>
        <w:jc w:val="center"/>
        <w:rPr>
          <w:b w:val="0"/>
        </w:rPr>
      </w:pPr>
    </w:p>
    <w:p w14:paraId="4673DFC7" w14:textId="77777777" w:rsidR="00024B1C" w:rsidRPr="00563D71" w:rsidRDefault="002151C2" w:rsidP="00024B1C">
      <w:pPr>
        <w:tabs>
          <w:tab w:val="left" w:pos="7740"/>
        </w:tabs>
        <w:spacing w:before="0"/>
        <w:ind w:left="0" w:firstLine="0"/>
        <w:jc w:val="center"/>
        <w:rPr>
          <w:b/>
          <w:sz w:val="28"/>
        </w:rPr>
      </w:pPr>
      <w:r w:rsidRPr="00563D71">
        <w:rPr>
          <w:b/>
          <w:sz w:val="28"/>
        </w:rPr>
        <w:t>INDONESIA: TOURISM DEVELOPMENT PROGRAM</w:t>
      </w:r>
    </w:p>
    <w:p w14:paraId="358127F7" w14:textId="7EC4295D" w:rsidR="00024B1C" w:rsidRPr="00563D71" w:rsidRDefault="002151C2" w:rsidP="00024B1C">
      <w:pPr>
        <w:tabs>
          <w:tab w:val="left" w:pos="7740"/>
        </w:tabs>
        <w:spacing w:before="0"/>
        <w:ind w:left="0" w:firstLine="0"/>
        <w:jc w:val="center"/>
        <w:rPr>
          <w:b/>
          <w:sz w:val="28"/>
        </w:rPr>
      </w:pPr>
      <w:r w:rsidRPr="00563D71">
        <w:rPr>
          <w:b/>
          <w:sz w:val="28"/>
        </w:rPr>
        <w:t>Program-for-Results (PforR)</w:t>
      </w:r>
    </w:p>
    <w:p w14:paraId="65B2000C" w14:textId="0088825D" w:rsidR="00024B1C" w:rsidRPr="00563D71" w:rsidRDefault="002151C2" w:rsidP="00024B1C">
      <w:pPr>
        <w:tabs>
          <w:tab w:val="left" w:pos="7740"/>
        </w:tabs>
        <w:spacing w:before="0"/>
        <w:ind w:left="0" w:firstLine="0"/>
        <w:jc w:val="center"/>
        <w:rPr>
          <w:b/>
          <w:sz w:val="28"/>
        </w:rPr>
      </w:pPr>
      <w:r w:rsidRPr="00563D71">
        <w:rPr>
          <w:b/>
          <w:sz w:val="28"/>
        </w:rPr>
        <w:t>P157599</w:t>
      </w:r>
      <w:bookmarkStart w:id="0" w:name="_GoBack"/>
      <w:bookmarkEnd w:id="0"/>
    </w:p>
    <w:p w14:paraId="0FFDD41F" w14:textId="5E7A2997" w:rsidR="00024B1C" w:rsidRPr="00563D71" w:rsidRDefault="00024B1C" w:rsidP="00024B1C">
      <w:pPr>
        <w:tabs>
          <w:tab w:val="left" w:pos="7740"/>
        </w:tabs>
        <w:spacing w:before="0"/>
        <w:ind w:left="0" w:firstLine="0"/>
        <w:jc w:val="center"/>
        <w:rPr>
          <w:b/>
          <w:sz w:val="28"/>
        </w:rPr>
      </w:pPr>
    </w:p>
    <w:p w14:paraId="0F9A8191" w14:textId="77777777" w:rsidR="00024B1C" w:rsidRPr="00563D71" w:rsidRDefault="00024B1C" w:rsidP="00024B1C">
      <w:pPr>
        <w:tabs>
          <w:tab w:val="left" w:pos="7740"/>
        </w:tabs>
        <w:spacing w:before="0"/>
        <w:ind w:left="0" w:firstLine="0"/>
        <w:jc w:val="center"/>
        <w:rPr>
          <w:b/>
          <w:sz w:val="28"/>
        </w:rPr>
      </w:pPr>
    </w:p>
    <w:p w14:paraId="78B6C507" w14:textId="77777777" w:rsidR="00024B1C" w:rsidRPr="00563D71" w:rsidRDefault="002151C2" w:rsidP="00024B1C">
      <w:pPr>
        <w:tabs>
          <w:tab w:val="left" w:pos="7740"/>
        </w:tabs>
        <w:spacing w:before="0"/>
        <w:ind w:left="0" w:firstLine="0"/>
        <w:jc w:val="center"/>
        <w:rPr>
          <w:b/>
          <w:sz w:val="28"/>
        </w:rPr>
      </w:pPr>
      <w:r w:rsidRPr="00563D71">
        <w:rPr>
          <w:b/>
          <w:sz w:val="28"/>
        </w:rPr>
        <w:t>Environmental and Social Systems Assessment</w:t>
      </w:r>
    </w:p>
    <w:p w14:paraId="430D733F" w14:textId="3A1953F6" w:rsidR="00245F03" w:rsidRPr="00563D71" w:rsidRDefault="00E51570" w:rsidP="00024B1C">
      <w:pPr>
        <w:tabs>
          <w:tab w:val="left" w:pos="7740"/>
        </w:tabs>
        <w:spacing w:before="0"/>
        <w:ind w:left="0" w:firstLine="0"/>
        <w:jc w:val="center"/>
        <w:rPr>
          <w:b/>
          <w:sz w:val="28"/>
        </w:rPr>
      </w:pPr>
      <w:r w:rsidRPr="00563D71">
        <w:rPr>
          <w:b/>
          <w:sz w:val="28"/>
        </w:rPr>
        <w:t>DRAFT</w:t>
      </w:r>
    </w:p>
    <w:p w14:paraId="683064BE" w14:textId="77777777" w:rsidR="00F82CA8" w:rsidRPr="00563D71" w:rsidRDefault="00F82CA8" w:rsidP="00E51570">
      <w:pPr>
        <w:spacing w:line="259" w:lineRule="auto"/>
        <w:ind w:left="0" w:firstLine="0"/>
        <w:jc w:val="center"/>
        <w:rPr>
          <w:b/>
          <w:sz w:val="28"/>
        </w:rPr>
      </w:pPr>
    </w:p>
    <w:p w14:paraId="4CAE9661" w14:textId="77777777" w:rsidR="00F82CA8" w:rsidRPr="00563D71" w:rsidRDefault="00F82CA8" w:rsidP="00E51570">
      <w:pPr>
        <w:spacing w:line="259" w:lineRule="auto"/>
        <w:ind w:left="0" w:firstLine="0"/>
        <w:jc w:val="center"/>
        <w:rPr>
          <w:b/>
          <w:sz w:val="28"/>
        </w:rPr>
      </w:pPr>
    </w:p>
    <w:p w14:paraId="760B0343" w14:textId="6894BDDF" w:rsidR="00245F03" w:rsidRPr="00563D71" w:rsidRDefault="00245F03">
      <w:pPr>
        <w:spacing w:line="259" w:lineRule="auto"/>
        <w:ind w:left="902" w:firstLine="0"/>
        <w:jc w:val="center"/>
      </w:pPr>
    </w:p>
    <w:p w14:paraId="06694724" w14:textId="082DC7B7" w:rsidR="00246E48" w:rsidRPr="00563D71" w:rsidRDefault="00246E48" w:rsidP="00BB0277">
      <w:pPr>
        <w:spacing w:line="259" w:lineRule="auto"/>
        <w:ind w:left="902" w:firstLine="0"/>
      </w:pPr>
    </w:p>
    <w:p w14:paraId="694BF516" w14:textId="77777777" w:rsidR="00245F03" w:rsidRPr="00563D71" w:rsidRDefault="00D04B10">
      <w:pPr>
        <w:spacing w:line="259" w:lineRule="auto"/>
        <w:ind w:left="0" w:firstLine="0"/>
        <w:jc w:val="left"/>
      </w:pPr>
      <w:r w:rsidRPr="00563D71">
        <w:t xml:space="preserve"> </w:t>
      </w:r>
    </w:p>
    <w:p w14:paraId="22064CF9" w14:textId="77777777" w:rsidR="00245F03" w:rsidRPr="00563D71" w:rsidRDefault="00D04B10">
      <w:pPr>
        <w:spacing w:line="259" w:lineRule="auto"/>
        <w:ind w:left="0" w:firstLine="0"/>
        <w:jc w:val="left"/>
      </w:pPr>
      <w:r w:rsidRPr="00563D71">
        <w:t xml:space="preserve"> </w:t>
      </w:r>
    </w:p>
    <w:p w14:paraId="66C3A939" w14:textId="77777777" w:rsidR="00245F03" w:rsidRPr="00563D71" w:rsidRDefault="00D04B10">
      <w:pPr>
        <w:spacing w:line="259" w:lineRule="auto"/>
        <w:ind w:left="0" w:firstLine="0"/>
        <w:jc w:val="left"/>
      </w:pPr>
      <w:r w:rsidRPr="00563D71">
        <w:t xml:space="preserve"> </w:t>
      </w:r>
    </w:p>
    <w:p w14:paraId="7B3FD575" w14:textId="77777777" w:rsidR="00245F03" w:rsidRPr="00563D71" w:rsidRDefault="00D04B10">
      <w:pPr>
        <w:spacing w:line="259" w:lineRule="auto"/>
        <w:ind w:left="0" w:firstLine="0"/>
        <w:jc w:val="left"/>
      </w:pPr>
      <w:r w:rsidRPr="00563D71">
        <w:t xml:space="preserve"> </w:t>
      </w:r>
    </w:p>
    <w:p w14:paraId="5AECDCF8" w14:textId="77777777" w:rsidR="00245F03" w:rsidRPr="00563D71" w:rsidRDefault="00D04B10">
      <w:pPr>
        <w:spacing w:line="259" w:lineRule="auto"/>
        <w:ind w:left="0" w:firstLine="0"/>
        <w:jc w:val="left"/>
      </w:pPr>
      <w:r w:rsidRPr="00563D71">
        <w:t xml:space="preserve"> </w:t>
      </w:r>
    </w:p>
    <w:p w14:paraId="4BE5EC7C" w14:textId="77777777" w:rsidR="00245F03" w:rsidRPr="00563D71" w:rsidRDefault="00D04B10">
      <w:pPr>
        <w:spacing w:line="259" w:lineRule="auto"/>
        <w:ind w:left="0" w:firstLine="0"/>
        <w:jc w:val="left"/>
      </w:pPr>
      <w:r w:rsidRPr="00563D71">
        <w:t xml:space="preserve"> </w:t>
      </w:r>
    </w:p>
    <w:p w14:paraId="4EAE3B72" w14:textId="39A826D4" w:rsidR="00245F03" w:rsidRPr="00563D71" w:rsidRDefault="00D04B10">
      <w:pPr>
        <w:spacing w:line="259" w:lineRule="auto"/>
        <w:ind w:left="0" w:firstLine="0"/>
        <w:jc w:val="left"/>
      </w:pPr>
      <w:r w:rsidRPr="00563D71">
        <w:t xml:space="preserve"> </w:t>
      </w:r>
    </w:p>
    <w:p w14:paraId="0D2B5B8F" w14:textId="77777777" w:rsidR="00245F03" w:rsidRPr="00563D71" w:rsidRDefault="00D04B10">
      <w:pPr>
        <w:spacing w:line="259" w:lineRule="auto"/>
        <w:ind w:left="0" w:firstLine="0"/>
        <w:jc w:val="left"/>
      </w:pPr>
      <w:r w:rsidRPr="00563D71">
        <w:t xml:space="preserve"> </w:t>
      </w:r>
    </w:p>
    <w:p w14:paraId="37F26682" w14:textId="77777777" w:rsidR="002151C2" w:rsidRPr="00563D71" w:rsidRDefault="002151C2" w:rsidP="002151C2">
      <w:pPr>
        <w:pStyle w:val="NoSpacing"/>
        <w:jc w:val="center"/>
        <w:rPr>
          <w:b w:val="0"/>
        </w:rPr>
      </w:pPr>
    </w:p>
    <w:p w14:paraId="695358E0" w14:textId="77777777" w:rsidR="002151C2" w:rsidRPr="00563D71" w:rsidRDefault="002151C2" w:rsidP="002151C2">
      <w:pPr>
        <w:pStyle w:val="NoSpacing"/>
        <w:jc w:val="center"/>
        <w:rPr>
          <w:b w:val="0"/>
        </w:rPr>
      </w:pPr>
      <w:bookmarkStart w:id="1" w:name="_Toc482619074"/>
      <w:bookmarkStart w:id="2" w:name="_Toc482810894"/>
      <w:bookmarkStart w:id="3" w:name="_Toc485657639"/>
      <w:bookmarkStart w:id="4" w:name="_Toc485824760"/>
      <w:r w:rsidRPr="00563D71">
        <w:rPr>
          <w:noProof/>
        </w:rPr>
        <w:drawing>
          <wp:anchor distT="0" distB="0" distL="114300" distR="114300" simplePos="0" relativeHeight="251659264" behindDoc="1" locked="0" layoutInCell="1" allowOverlap="1" wp14:anchorId="41B7A117" wp14:editId="3CABD75B">
            <wp:simplePos x="0" y="0"/>
            <wp:positionH relativeFrom="column">
              <wp:posOffset>-32341</wp:posOffset>
            </wp:positionH>
            <wp:positionV relativeFrom="paragraph">
              <wp:posOffset>170121</wp:posOffset>
            </wp:positionV>
            <wp:extent cx="2095500" cy="412115"/>
            <wp:effectExtent l="0" t="0" r="0" b="6985"/>
            <wp:wrapTight wrapText="bothSides">
              <wp:wrapPolygon edited="0">
                <wp:start x="0" y="0"/>
                <wp:lineTo x="0" y="20968"/>
                <wp:lineTo x="21404" y="20968"/>
                <wp:lineTo x="21404" y="0"/>
                <wp:lineTo x="0" y="0"/>
              </wp:wrapPolygon>
            </wp:wrapTight>
            <wp:docPr id="269" name="Picture 14" descr="http://intresources.worldbank.org/INTGSDGRAPHICSMAPDESIGN/Resources/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resources.worldbank.org/INTGSDGRAPHICSMAPDESIGN/Resources/WBG_Horizontal-RGB-web_300x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412115"/>
                    </a:xfrm>
                    <a:prstGeom prst="rect">
                      <a:avLst/>
                    </a:prstGeom>
                    <a:noFill/>
                    <a:ln>
                      <a:noFill/>
                    </a:ln>
                  </pic:spPr>
                </pic:pic>
              </a:graphicData>
            </a:graphic>
          </wp:anchor>
        </w:drawing>
      </w:r>
      <w:bookmarkEnd w:id="1"/>
      <w:bookmarkEnd w:id="2"/>
      <w:bookmarkEnd w:id="3"/>
      <w:bookmarkEnd w:id="4"/>
    </w:p>
    <w:p w14:paraId="58ADE40F" w14:textId="4A089927" w:rsidR="002151C2" w:rsidRPr="00563D71" w:rsidRDefault="00280251" w:rsidP="002151C2">
      <w:pPr>
        <w:spacing w:before="0"/>
        <w:ind w:left="11" w:hanging="11"/>
        <w:jc w:val="right"/>
      </w:pPr>
      <w:r w:rsidRPr="00563D71">
        <w:rPr>
          <w:b/>
          <w:color w:val="auto"/>
        </w:rPr>
        <w:t xml:space="preserve">June </w:t>
      </w:r>
      <w:r w:rsidR="004429DC">
        <w:rPr>
          <w:b/>
          <w:color w:val="auto"/>
        </w:rPr>
        <w:t>2</w:t>
      </w:r>
      <w:r w:rsidRPr="00563D71">
        <w:rPr>
          <w:b/>
          <w:color w:val="auto"/>
        </w:rPr>
        <w:t>1</w:t>
      </w:r>
      <w:r w:rsidR="002151C2" w:rsidRPr="00563D71">
        <w:rPr>
          <w:b/>
          <w:color w:val="auto"/>
        </w:rPr>
        <w:t>, 2017</w:t>
      </w:r>
      <w:r w:rsidR="002151C2" w:rsidRPr="00563D71">
        <w:br w:type="page"/>
      </w:r>
    </w:p>
    <w:p w14:paraId="2DC3DC0E" w14:textId="2BC9CF7A" w:rsidR="00245F03" w:rsidRPr="00563D71" w:rsidRDefault="00D04B10" w:rsidP="002151C2">
      <w:pPr>
        <w:spacing w:before="0"/>
        <w:ind w:left="11" w:hanging="11"/>
      </w:pPr>
      <w:r w:rsidRPr="00563D71">
        <w:lastRenderedPageBreak/>
        <w:t xml:space="preserve">The Environmental and Social </w:t>
      </w:r>
      <w:r w:rsidR="000F3654" w:rsidRPr="00563D71">
        <w:t xml:space="preserve">Systems </w:t>
      </w:r>
      <w:r w:rsidRPr="00563D71">
        <w:t xml:space="preserve">Assessment (ESSA) of the Indonesia </w:t>
      </w:r>
      <w:r w:rsidR="00B24484" w:rsidRPr="00563D71">
        <w:t>Tourism</w:t>
      </w:r>
      <w:r w:rsidRPr="00563D71">
        <w:t xml:space="preserve"> Development Program</w:t>
      </w:r>
      <w:r w:rsidR="00CA71A6" w:rsidRPr="00563D71">
        <w:t>-</w:t>
      </w:r>
      <w:r w:rsidRPr="00563D71">
        <w:t>for</w:t>
      </w:r>
      <w:r w:rsidR="00CA71A6" w:rsidRPr="00563D71">
        <w:t>-</w:t>
      </w:r>
      <w:r w:rsidRPr="00563D71">
        <w:t xml:space="preserve">Results was prepared by a Bank team </w:t>
      </w:r>
      <w:r w:rsidR="00BE11AA" w:rsidRPr="00563D71">
        <w:t>composed</w:t>
      </w:r>
      <w:r w:rsidRPr="00563D71">
        <w:t xml:space="preserve"> </w:t>
      </w:r>
      <w:r w:rsidR="00BC29AA" w:rsidRPr="00563D71">
        <w:t>of Thomas E. Walton (</w:t>
      </w:r>
      <w:r w:rsidR="000F3654" w:rsidRPr="00563D71">
        <w:t xml:space="preserve">Lead </w:t>
      </w:r>
      <w:r w:rsidR="00BC29AA" w:rsidRPr="00563D71">
        <w:t>Environmental Specialist), Virza Sasmitawidjaja (Environmental Specialist), Amy Chua Fang Lim (Environmental Specialist), Jeffry Anwar (Social Safeguards Specialist)</w:t>
      </w:r>
      <w:r w:rsidR="00FE7275" w:rsidRPr="00563D71">
        <w:t>,</w:t>
      </w:r>
      <w:r w:rsidR="00BC29AA" w:rsidRPr="00563D71">
        <w:t xml:space="preserve"> and Indira Dharmapatni (Senior Social Safeguards Specialist)</w:t>
      </w:r>
      <w:r w:rsidR="00F05888" w:rsidRPr="00563D71">
        <w:t xml:space="preserve">. </w:t>
      </w:r>
      <w:r w:rsidRPr="00563D71">
        <w:rPr>
          <w:b/>
          <w:sz w:val="22"/>
        </w:rPr>
        <w:t xml:space="preserve"> </w:t>
      </w:r>
      <w:r w:rsidRPr="00563D71">
        <w:rPr>
          <w:b/>
          <w:sz w:val="22"/>
        </w:rPr>
        <w:tab/>
        <w:t xml:space="preserve"> </w:t>
      </w:r>
      <w:r w:rsidRPr="00563D71">
        <w:br w:type="page"/>
      </w:r>
    </w:p>
    <w:p w14:paraId="4DDDC4B3" w14:textId="5ECF3844" w:rsidR="00245F03" w:rsidRPr="00563D71" w:rsidRDefault="00B34CFA" w:rsidP="00B34CFA">
      <w:pPr>
        <w:pStyle w:val="Heading1"/>
        <w:jc w:val="center"/>
      </w:pPr>
      <w:bookmarkStart w:id="5" w:name="_Toc468969227"/>
      <w:bookmarkStart w:id="6" w:name="_Toc481484041"/>
      <w:bookmarkStart w:id="7" w:name="_Toc485831020"/>
      <w:r w:rsidRPr="00563D71">
        <w:lastRenderedPageBreak/>
        <w:t>ACRONYMS AND ABBREVIATIONS</w:t>
      </w:r>
      <w:bookmarkEnd w:id="5"/>
      <w:bookmarkEnd w:id="6"/>
      <w:bookmarkEnd w:id="7"/>
    </w:p>
    <w:p w14:paraId="75F9E7ED" w14:textId="6B266850" w:rsidR="008A7DF6" w:rsidRPr="00563D71" w:rsidRDefault="008A7DF6" w:rsidP="008A7DF6">
      <w:pPr>
        <w:tabs>
          <w:tab w:val="center" w:pos="2822"/>
        </w:tabs>
        <w:spacing w:after="12"/>
        <w:jc w:val="left"/>
      </w:pPr>
    </w:p>
    <w:tbl>
      <w:tblPr>
        <w:tblStyle w:val="TableGrid"/>
        <w:tblW w:w="0" w:type="auto"/>
        <w:tblInd w:w="5" w:type="dxa"/>
        <w:tblLook w:val="04A0" w:firstRow="1" w:lastRow="0" w:firstColumn="1" w:lastColumn="0" w:noHBand="0" w:noVBand="1"/>
      </w:tblPr>
      <w:tblGrid>
        <w:gridCol w:w="1439"/>
        <w:gridCol w:w="290"/>
        <w:gridCol w:w="7287"/>
      </w:tblGrid>
      <w:tr w:rsidR="00CA71A6" w:rsidRPr="00563D71" w14:paraId="50C01F69" w14:textId="77777777" w:rsidTr="00F852F3">
        <w:tc>
          <w:tcPr>
            <w:tcW w:w="1439" w:type="dxa"/>
          </w:tcPr>
          <w:p w14:paraId="712BF989"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AMDAL</w:t>
            </w:r>
          </w:p>
        </w:tc>
        <w:tc>
          <w:tcPr>
            <w:tcW w:w="290" w:type="dxa"/>
          </w:tcPr>
          <w:p w14:paraId="3F10F1CF"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819618D" w14:textId="53A4D9EA" w:rsidR="00CA71A6" w:rsidRPr="00563D71" w:rsidRDefault="00CA71A6" w:rsidP="00DE434F">
            <w:pPr>
              <w:spacing w:before="0"/>
              <w:ind w:left="0" w:firstLine="0"/>
              <w:rPr>
                <w:rFonts w:eastAsiaTheme="minorHAnsi"/>
                <w:i/>
                <w:color w:val="auto"/>
                <w:sz w:val="22"/>
              </w:rPr>
            </w:pPr>
            <w:r w:rsidRPr="00563D71">
              <w:rPr>
                <w:rFonts w:eastAsiaTheme="minorHAnsi"/>
                <w:i/>
                <w:color w:val="auto"/>
                <w:sz w:val="22"/>
              </w:rPr>
              <w:t xml:space="preserve">Analisis Mengenai Dampak Lingkungan (the Indonesian environmental </w:t>
            </w:r>
            <w:r w:rsidR="00207D60" w:rsidRPr="00563D71">
              <w:rPr>
                <w:rFonts w:eastAsiaTheme="minorHAnsi"/>
                <w:i/>
                <w:color w:val="auto"/>
                <w:sz w:val="22"/>
              </w:rPr>
              <w:t xml:space="preserve">impacts </w:t>
            </w:r>
            <w:r w:rsidRPr="00563D71">
              <w:rPr>
                <w:rFonts w:eastAsiaTheme="minorHAnsi"/>
                <w:i/>
                <w:color w:val="auto"/>
                <w:sz w:val="22"/>
              </w:rPr>
              <w:t>assessment process)</w:t>
            </w:r>
          </w:p>
        </w:tc>
      </w:tr>
      <w:tr w:rsidR="00CA71A6" w:rsidRPr="00563D71" w14:paraId="691BBB5C" w14:textId="77777777" w:rsidTr="00F852F3">
        <w:tc>
          <w:tcPr>
            <w:tcW w:w="1439" w:type="dxa"/>
          </w:tcPr>
          <w:p w14:paraId="7581DA08" w14:textId="65413EB1"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APBD</w:t>
            </w:r>
            <w:r w:rsidR="00207D60" w:rsidRPr="00563D71">
              <w:rPr>
                <w:rFonts w:eastAsiaTheme="minorHAnsi"/>
                <w:color w:val="auto"/>
                <w:sz w:val="22"/>
              </w:rPr>
              <w:t>-</w:t>
            </w:r>
            <w:r w:rsidRPr="00563D71">
              <w:rPr>
                <w:rFonts w:eastAsiaTheme="minorHAnsi"/>
                <w:color w:val="auto"/>
                <w:sz w:val="22"/>
              </w:rPr>
              <w:t>I</w:t>
            </w:r>
          </w:p>
        </w:tc>
        <w:tc>
          <w:tcPr>
            <w:tcW w:w="290" w:type="dxa"/>
          </w:tcPr>
          <w:p w14:paraId="11964B69"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4DD7C134" w14:textId="77777777" w:rsidR="00CA71A6" w:rsidRPr="00563D71" w:rsidRDefault="00CA71A6" w:rsidP="00DE434F">
            <w:pPr>
              <w:spacing w:before="0"/>
              <w:ind w:left="0" w:firstLine="0"/>
              <w:jc w:val="left"/>
              <w:rPr>
                <w:rFonts w:eastAsiaTheme="minorHAnsi"/>
                <w:i/>
                <w:color w:val="auto"/>
                <w:sz w:val="22"/>
              </w:rPr>
            </w:pPr>
            <w:r w:rsidRPr="00563D71">
              <w:rPr>
                <w:rFonts w:eastAsiaTheme="minorHAnsi"/>
                <w:i/>
                <w:color w:val="auto"/>
                <w:sz w:val="22"/>
              </w:rPr>
              <w:t xml:space="preserve">Anggaran Pendapatan dan Belanja Daerah Tingkat I (Regional Expenditure Budget for Provincial level) </w:t>
            </w:r>
          </w:p>
        </w:tc>
      </w:tr>
      <w:tr w:rsidR="00CA71A6" w:rsidRPr="00563D71" w14:paraId="04683314" w14:textId="77777777" w:rsidTr="00F852F3">
        <w:tc>
          <w:tcPr>
            <w:tcW w:w="1439" w:type="dxa"/>
          </w:tcPr>
          <w:p w14:paraId="67EF9F99" w14:textId="1B16FC91"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APBD</w:t>
            </w:r>
            <w:r w:rsidR="00207D60" w:rsidRPr="00563D71">
              <w:rPr>
                <w:rFonts w:eastAsiaTheme="minorHAnsi"/>
                <w:color w:val="auto"/>
                <w:sz w:val="22"/>
              </w:rPr>
              <w:t>-</w:t>
            </w:r>
            <w:r w:rsidRPr="00563D71">
              <w:rPr>
                <w:rFonts w:eastAsiaTheme="minorHAnsi"/>
                <w:color w:val="auto"/>
                <w:sz w:val="22"/>
              </w:rPr>
              <w:t>II</w:t>
            </w:r>
          </w:p>
        </w:tc>
        <w:tc>
          <w:tcPr>
            <w:tcW w:w="290" w:type="dxa"/>
          </w:tcPr>
          <w:p w14:paraId="6ECA8EFD"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BDC7B04" w14:textId="77777777" w:rsidR="00CA71A6" w:rsidRPr="00563D71" w:rsidRDefault="00CA71A6" w:rsidP="00DE434F">
            <w:pPr>
              <w:spacing w:before="0"/>
              <w:ind w:left="0" w:firstLine="0"/>
              <w:jc w:val="left"/>
              <w:rPr>
                <w:rFonts w:eastAsiaTheme="minorHAnsi"/>
                <w:i/>
                <w:color w:val="auto"/>
                <w:sz w:val="22"/>
              </w:rPr>
            </w:pPr>
            <w:r w:rsidRPr="00563D71">
              <w:rPr>
                <w:rFonts w:eastAsiaTheme="minorHAnsi"/>
                <w:i/>
                <w:color w:val="auto"/>
                <w:sz w:val="22"/>
              </w:rPr>
              <w:t>Anggaran Pendapatan dan Belanja Daerah Tingkat II (Regional Expenditure Budget for District level)</w:t>
            </w:r>
          </w:p>
        </w:tc>
      </w:tr>
      <w:tr w:rsidR="00CA71A6" w:rsidRPr="00563D71" w14:paraId="660D3DC9" w14:textId="77777777" w:rsidTr="00F852F3">
        <w:tc>
          <w:tcPr>
            <w:tcW w:w="1439" w:type="dxa"/>
          </w:tcPr>
          <w:p w14:paraId="2C7C4C06"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APBN</w:t>
            </w:r>
          </w:p>
        </w:tc>
        <w:tc>
          <w:tcPr>
            <w:tcW w:w="290" w:type="dxa"/>
          </w:tcPr>
          <w:p w14:paraId="377D6024"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5FDE1660" w14:textId="77777777" w:rsidR="00CA71A6" w:rsidRPr="00563D71" w:rsidRDefault="00CA71A6" w:rsidP="00DE434F">
            <w:pPr>
              <w:spacing w:before="0"/>
              <w:ind w:left="0" w:firstLine="0"/>
              <w:jc w:val="left"/>
              <w:rPr>
                <w:rFonts w:eastAsiaTheme="minorHAnsi"/>
                <w:i/>
                <w:color w:val="auto"/>
                <w:sz w:val="22"/>
              </w:rPr>
            </w:pPr>
            <w:r w:rsidRPr="00563D71">
              <w:rPr>
                <w:rFonts w:eastAsiaTheme="minorHAnsi"/>
                <w:i/>
                <w:color w:val="auto"/>
                <w:sz w:val="22"/>
              </w:rPr>
              <w:t>Anggaran Pendapatan dan Belanja Negara (State Expenditure Budget)</w:t>
            </w:r>
          </w:p>
        </w:tc>
      </w:tr>
      <w:tr w:rsidR="00CA71A6" w:rsidRPr="00563D71" w14:paraId="2DE35D3B" w14:textId="77777777" w:rsidTr="00F852F3">
        <w:tc>
          <w:tcPr>
            <w:tcW w:w="1439" w:type="dxa"/>
          </w:tcPr>
          <w:p w14:paraId="25082ADA"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BAL</w:t>
            </w:r>
          </w:p>
        </w:tc>
        <w:tc>
          <w:tcPr>
            <w:tcW w:w="290" w:type="dxa"/>
          </w:tcPr>
          <w:p w14:paraId="4560B713"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A5C317D"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Basic Agrarian Law</w:t>
            </w:r>
          </w:p>
        </w:tc>
      </w:tr>
      <w:tr w:rsidR="00CA71A6" w:rsidRPr="00563D71" w14:paraId="3F66E74D" w14:textId="77777777" w:rsidTr="00F852F3">
        <w:tc>
          <w:tcPr>
            <w:tcW w:w="1439" w:type="dxa"/>
          </w:tcPr>
          <w:p w14:paraId="067C6B97"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BAPPENAS</w:t>
            </w:r>
          </w:p>
        </w:tc>
        <w:tc>
          <w:tcPr>
            <w:tcW w:w="290" w:type="dxa"/>
          </w:tcPr>
          <w:p w14:paraId="6E383A72"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E272943" w14:textId="77777777" w:rsidR="00CA71A6" w:rsidRPr="00563D71" w:rsidRDefault="00CA71A6" w:rsidP="00DE434F">
            <w:pPr>
              <w:spacing w:before="0"/>
              <w:ind w:left="0" w:firstLine="0"/>
              <w:jc w:val="left"/>
              <w:rPr>
                <w:rFonts w:eastAsiaTheme="minorHAnsi"/>
                <w:i/>
                <w:color w:val="auto"/>
                <w:sz w:val="22"/>
              </w:rPr>
            </w:pPr>
            <w:r w:rsidRPr="00563D71">
              <w:rPr>
                <w:rFonts w:eastAsiaTheme="minorHAnsi"/>
                <w:i/>
                <w:color w:val="auto"/>
                <w:sz w:val="22"/>
              </w:rPr>
              <w:t>Badan Perancanaan Pembangunan Nasional (National Planning Agency)</w:t>
            </w:r>
          </w:p>
        </w:tc>
      </w:tr>
      <w:tr w:rsidR="00CA71A6" w:rsidRPr="00563D71" w14:paraId="36CE91CB" w14:textId="77777777" w:rsidTr="00F852F3">
        <w:tc>
          <w:tcPr>
            <w:tcW w:w="1439" w:type="dxa"/>
          </w:tcPr>
          <w:p w14:paraId="69C44777" w14:textId="1712E8BD"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BHCI</w:t>
            </w:r>
          </w:p>
        </w:tc>
        <w:tc>
          <w:tcPr>
            <w:tcW w:w="290" w:type="dxa"/>
          </w:tcPr>
          <w:p w14:paraId="29F69FE9" w14:textId="77777777" w:rsidR="00CA71A6" w:rsidRPr="00563D71" w:rsidRDefault="00CA71A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56174E6" w14:textId="77777777" w:rsidR="00CA71A6" w:rsidRPr="00563D71" w:rsidRDefault="00CA71A6" w:rsidP="00DE434F">
            <w:pPr>
              <w:spacing w:before="0"/>
              <w:ind w:left="0" w:firstLine="0"/>
              <w:jc w:val="left"/>
              <w:rPr>
                <w:rFonts w:eastAsiaTheme="minorHAnsi"/>
                <w:color w:val="auto"/>
                <w:sz w:val="22"/>
              </w:rPr>
            </w:pPr>
            <w:r w:rsidRPr="00563D71">
              <w:rPr>
                <w:rFonts w:eastAsiaTheme="minorHAnsi"/>
                <w:color w:val="auto"/>
                <w:sz w:val="22"/>
              </w:rPr>
              <w:t xml:space="preserve">Borobudur Heritage Conservation Institution </w:t>
            </w:r>
          </w:p>
        </w:tc>
      </w:tr>
      <w:tr w:rsidR="008C5B16" w:rsidRPr="00563D71" w14:paraId="08DDAAAD" w14:textId="77777777" w:rsidTr="00F852F3">
        <w:tc>
          <w:tcPr>
            <w:tcW w:w="1439" w:type="dxa"/>
          </w:tcPr>
          <w:p w14:paraId="180EBE00" w14:textId="700B007C" w:rsidR="008C5B16" w:rsidRPr="00563D71" w:rsidRDefault="008C5B16" w:rsidP="008C5B16">
            <w:pPr>
              <w:spacing w:before="0"/>
              <w:ind w:left="0" w:firstLine="0"/>
              <w:jc w:val="left"/>
              <w:rPr>
                <w:rFonts w:eastAsiaTheme="minorHAnsi"/>
                <w:color w:val="auto"/>
                <w:sz w:val="22"/>
              </w:rPr>
            </w:pPr>
            <w:r w:rsidRPr="00563D71">
              <w:rPr>
                <w:rFonts w:eastAsiaTheme="minorHAnsi"/>
                <w:color w:val="auto"/>
                <w:sz w:val="22"/>
              </w:rPr>
              <w:t>BKPM</w:t>
            </w:r>
          </w:p>
        </w:tc>
        <w:tc>
          <w:tcPr>
            <w:tcW w:w="290" w:type="dxa"/>
          </w:tcPr>
          <w:p w14:paraId="089BC7DE" w14:textId="37DF9CCA" w:rsidR="008C5B16" w:rsidRPr="00563D71" w:rsidRDefault="008C5B16" w:rsidP="00DE434F">
            <w:pPr>
              <w:pStyle w:val="ListParagraph"/>
              <w:numPr>
                <w:ilvl w:val="0"/>
                <w:numId w:val="97"/>
              </w:numPr>
              <w:spacing w:before="0"/>
              <w:jc w:val="center"/>
              <w:rPr>
                <w:rFonts w:eastAsiaTheme="minorHAnsi"/>
              </w:rPr>
            </w:pPr>
          </w:p>
        </w:tc>
        <w:tc>
          <w:tcPr>
            <w:tcW w:w="7287" w:type="dxa"/>
          </w:tcPr>
          <w:p w14:paraId="5B4F3629" w14:textId="7331CA69" w:rsidR="008C5B16" w:rsidRPr="00563D71" w:rsidRDefault="008C5B16" w:rsidP="008C5B16">
            <w:pPr>
              <w:spacing w:before="0"/>
              <w:ind w:left="0" w:firstLine="0"/>
              <w:jc w:val="left"/>
              <w:rPr>
                <w:rFonts w:eastAsiaTheme="minorHAnsi"/>
                <w:color w:val="auto"/>
                <w:sz w:val="22"/>
              </w:rPr>
            </w:pPr>
            <w:r w:rsidRPr="00563D71">
              <w:rPr>
                <w:i/>
                <w:sz w:val="22"/>
              </w:rPr>
              <w:t>Badan Koordinasi Penanaman Modal</w:t>
            </w:r>
            <w:r w:rsidRPr="00563D71">
              <w:rPr>
                <w:sz w:val="22"/>
              </w:rPr>
              <w:t xml:space="preserve"> (Indonesia’s Investment Coordinating Board)</w:t>
            </w:r>
          </w:p>
        </w:tc>
      </w:tr>
      <w:tr w:rsidR="008C5B16" w:rsidRPr="00563D71" w14:paraId="1DF5426A" w14:textId="77777777" w:rsidTr="00F852F3">
        <w:tc>
          <w:tcPr>
            <w:tcW w:w="1439" w:type="dxa"/>
          </w:tcPr>
          <w:p w14:paraId="2DBBE48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BLH/BPLHD</w:t>
            </w:r>
          </w:p>
        </w:tc>
        <w:tc>
          <w:tcPr>
            <w:tcW w:w="290" w:type="dxa"/>
          </w:tcPr>
          <w:p w14:paraId="1C39CE7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0B2FF33" w14:textId="77777777" w:rsidR="008C5B16" w:rsidRPr="00563D71" w:rsidRDefault="008C5B16" w:rsidP="00DE434F">
            <w:pPr>
              <w:spacing w:before="0"/>
              <w:ind w:left="0" w:firstLine="0"/>
              <w:jc w:val="left"/>
              <w:rPr>
                <w:rFonts w:eastAsiaTheme="minorHAnsi"/>
                <w:i/>
                <w:color w:val="auto"/>
                <w:sz w:val="22"/>
              </w:rPr>
            </w:pPr>
            <w:r w:rsidRPr="00563D71">
              <w:rPr>
                <w:rFonts w:eastAsiaTheme="minorHAnsi"/>
                <w:i/>
                <w:color w:val="auto"/>
                <w:sz w:val="22"/>
              </w:rPr>
              <w:t xml:space="preserve">Badan Lingkungan Hidup/ Badan Pengelola Lingkungan Hidup Daerah </w:t>
            </w:r>
            <w:r w:rsidRPr="00563D71">
              <w:rPr>
                <w:rFonts w:eastAsiaTheme="minorHAnsi"/>
                <w:color w:val="auto"/>
                <w:sz w:val="22"/>
              </w:rPr>
              <w:t>(provincial/district Environment Agency</w:t>
            </w:r>
            <w:r w:rsidRPr="00563D71">
              <w:rPr>
                <w:rFonts w:eastAsiaTheme="minorHAnsi"/>
                <w:i/>
                <w:color w:val="auto"/>
                <w:sz w:val="22"/>
              </w:rPr>
              <w:t>)</w:t>
            </w:r>
          </w:p>
        </w:tc>
      </w:tr>
      <w:tr w:rsidR="008C5B16" w:rsidRPr="00563D71" w14:paraId="4BB4602B" w14:textId="77777777" w:rsidTr="00F852F3">
        <w:tc>
          <w:tcPr>
            <w:tcW w:w="1439" w:type="dxa"/>
          </w:tcPr>
          <w:p w14:paraId="65018BC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BPIW</w:t>
            </w:r>
          </w:p>
        </w:tc>
        <w:tc>
          <w:tcPr>
            <w:tcW w:w="290" w:type="dxa"/>
          </w:tcPr>
          <w:p w14:paraId="075C8F77"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4F87BDC" w14:textId="274D2D7F" w:rsidR="008C5B16" w:rsidRPr="00563D71" w:rsidRDefault="008C5B16" w:rsidP="00207D60">
            <w:pPr>
              <w:spacing w:before="0"/>
              <w:ind w:left="0" w:firstLine="0"/>
              <w:jc w:val="left"/>
              <w:rPr>
                <w:rFonts w:eastAsiaTheme="minorHAnsi"/>
                <w:i/>
                <w:color w:val="auto"/>
                <w:sz w:val="22"/>
              </w:rPr>
            </w:pPr>
            <w:r w:rsidRPr="00563D71">
              <w:rPr>
                <w:rFonts w:eastAsiaTheme="minorHAnsi"/>
                <w:i/>
                <w:color w:val="auto"/>
                <w:sz w:val="22"/>
              </w:rPr>
              <w:t>Badan Pengembangan Infrastruktur Wilayah</w:t>
            </w:r>
            <w:r w:rsidRPr="00563D71">
              <w:rPr>
                <w:rFonts w:eastAsiaTheme="minorHAnsi"/>
                <w:color w:val="auto"/>
                <w:sz w:val="22"/>
              </w:rPr>
              <w:t xml:space="preserve"> (Regional Infrastructure Development </w:t>
            </w:r>
            <w:r w:rsidR="00207D60" w:rsidRPr="00563D71">
              <w:rPr>
                <w:rFonts w:eastAsiaTheme="minorHAnsi"/>
                <w:color w:val="auto"/>
                <w:sz w:val="22"/>
              </w:rPr>
              <w:t>Agency - RIDA</w:t>
            </w:r>
            <w:r w:rsidRPr="00563D71">
              <w:rPr>
                <w:rFonts w:eastAsiaTheme="minorHAnsi"/>
                <w:color w:val="auto"/>
                <w:sz w:val="22"/>
              </w:rPr>
              <w:t xml:space="preserve">) </w:t>
            </w:r>
          </w:p>
        </w:tc>
      </w:tr>
      <w:tr w:rsidR="008C5B16" w:rsidRPr="00563D71" w14:paraId="0D11ED63" w14:textId="77777777" w:rsidTr="00F852F3">
        <w:tc>
          <w:tcPr>
            <w:tcW w:w="1439" w:type="dxa"/>
          </w:tcPr>
          <w:p w14:paraId="61DA22C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BPN</w:t>
            </w:r>
          </w:p>
        </w:tc>
        <w:tc>
          <w:tcPr>
            <w:tcW w:w="290" w:type="dxa"/>
          </w:tcPr>
          <w:p w14:paraId="0874AE8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F58CF34" w14:textId="77777777" w:rsidR="008C5B16" w:rsidRPr="00563D71" w:rsidRDefault="008C5B16" w:rsidP="00DE434F">
            <w:pPr>
              <w:spacing w:before="0"/>
              <w:ind w:left="0" w:firstLine="0"/>
              <w:jc w:val="left"/>
              <w:rPr>
                <w:rFonts w:eastAsiaTheme="minorHAnsi"/>
                <w:i/>
                <w:color w:val="auto"/>
                <w:sz w:val="22"/>
              </w:rPr>
            </w:pPr>
            <w:r w:rsidRPr="00563D71">
              <w:rPr>
                <w:rFonts w:eastAsiaTheme="minorHAnsi"/>
                <w:i/>
                <w:color w:val="auto"/>
                <w:sz w:val="22"/>
              </w:rPr>
              <w:t xml:space="preserve">Badan Pertanahan Nasional </w:t>
            </w:r>
            <w:r w:rsidRPr="00563D71">
              <w:rPr>
                <w:rFonts w:eastAsiaTheme="minorHAnsi"/>
                <w:color w:val="auto"/>
                <w:sz w:val="22"/>
              </w:rPr>
              <w:t>(National Land Agency)</w:t>
            </w:r>
            <w:r w:rsidRPr="00563D71">
              <w:rPr>
                <w:rFonts w:eastAsiaTheme="minorHAnsi"/>
                <w:i/>
                <w:color w:val="auto"/>
                <w:sz w:val="22"/>
              </w:rPr>
              <w:t xml:space="preserve"> </w:t>
            </w:r>
          </w:p>
        </w:tc>
      </w:tr>
      <w:tr w:rsidR="008C5B16" w:rsidRPr="00563D71" w14:paraId="5224CD01" w14:textId="77777777" w:rsidTr="00F852F3">
        <w:tc>
          <w:tcPr>
            <w:tcW w:w="1439" w:type="dxa"/>
          </w:tcPr>
          <w:p w14:paraId="03CCAD3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CBT</w:t>
            </w:r>
          </w:p>
        </w:tc>
        <w:tc>
          <w:tcPr>
            <w:tcW w:w="290" w:type="dxa"/>
          </w:tcPr>
          <w:p w14:paraId="5E1E8819"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545814DA"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Competency-based training</w:t>
            </w:r>
          </w:p>
        </w:tc>
      </w:tr>
      <w:tr w:rsidR="008C5B16" w:rsidRPr="00563D71" w14:paraId="5A2BA4AD" w14:textId="77777777" w:rsidTr="00F852F3">
        <w:tc>
          <w:tcPr>
            <w:tcW w:w="1439" w:type="dxa"/>
          </w:tcPr>
          <w:p w14:paraId="68D9891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DAK</w:t>
            </w:r>
          </w:p>
        </w:tc>
        <w:tc>
          <w:tcPr>
            <w:tcW w:w="290" w:type="dxa"/>
          </w:tcPr>
          <w:p w14:paraId="7C6CF62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B2BCB8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Dana Alokasi Khusus</w:t>
            </w:r>
            <w:r w:rsidRPr="00563D71">
              <w:rPr>
                <w:rFonts w:eastAsiaTheme="minorHAnsi"/>
                <w:color w:val="auto"/>
                <w:sz w:val="22"/>
              </w:rPr>
              <w:t xml:space="preserve"> (special allocation fund)</w:t>
            </w:r>
          </w:p>
        </w:tc>
      </w:tr>
      <w:tr w:rsidR="008C5B16" w:rsidRPr="00563D71" w14:paraId="311685F1" w14:textId="77777777" w:rsidTr="00F852F3">
        <w:tc>
          <w:tcPr>
            <w:tcW w:w="1439" w:type="dxa"/>
          </w:tcPr>
          <w:p w14:paraId="57596853"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DED</w:t>
            </w:r>
          </w:p>
        </w:tc>
        <w:tc>
          <w:tcPr>
            <w:tcW w:w="290" w:type="dxa"/>
          </w:tcPr>
          <w:p w14:paraId="1C040C13"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24FF92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Detailed engineering design</w:t>
            </w:r>
          </w:p>
        </w:tc>
      </w:tr>
      <w:tr w:rsidR="008C5B16" w:rsidRPr="00563D71" w14:paraId="7C65DDD8" w14:textId="77777777" w:rsidTr="00F852F3">
        <w:tc>
          <w:tcPr>
            <w:tcW w:w="1439" w:type="dxa"/>
          </w:tcPr>
          <w:p w14:paraId="481D458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DLI</w:t>
            </w:r>
          </w:p>
        </w:tc>
        <w:tc>
          <w:tcPr>
            <w:tcW w:w="290" w:type="dxa"/>
          </w:tcPr>
          <w:p w14:paraId="2601BAE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B6C7F8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Disbursement-linked Indicators</w:t>
            </w:r>
          </w:p>
        </w:tc>
      </w:tr>
      <w:tr w:rsidR="008C5B16" w:rsidRPr="00563D71" w14:paraId="4DA3985E" w14:textId="77777777" w:rsidTr="00F852F3">
        <w:tc>
          <w:tcPr>
            <w:tcW w:w="1439" w:type="dxa"/>
          </w:tcPr>
          <w:p w14:paraId="6AFCAC5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ESIA</w:t>
            </w:r>
          </w:p>
        </w:tc>
        <w:tc>
          <w:tcPr>
            <w:tcW w:w="290" w:type="dxa"/>
          </w:tcPr>
          <w:p w14:paraId="7A6B7B36"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862B417"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Environmental and Social Impact Assessment</w:t>
            </w:r>
          </w:p>
        </w:tc>
      </w:tr>
      <w:tr w:rsidR="008C5B16" w:rsidRPr="00563D71" w14:paraId="724FBE2D" w14:textId="77777777" w:rsidTr="00F852F3">
        <w:tc>
          <w:tcPr>
            <w:tcW w:w="1439" w:type="dxa"/>
          </w:tcPr>
          <w:p w14:paraId="181928F7"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ESMP</w:t>
            </w:r>
          </w:p>
        </w:tc>
        <w:tc>
          <w:tcPr>
            <w:tcW w:w="290" w:type="dxa"/>
          </w:tcPr>
          <w:p w14:paraId="184544E7"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4711C1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Environmental and Social Management Plan</w:t>
            </w:r>
          </w:p>
        </w:tc>
      </w:tr>
      <w:tr w:rsidR="008C5B16" w:rsidRPr="00563D71" w14:paraId="6AA63007" w14:textId="77777777" w:rsidTr="00F852F3">
        <w:tc>
          <w:tcPr>
            <w:tcW w:w="1439" w:type="dxa"/>
          </w:tcPr>
          <w:p w14:paraId="783FAF0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ESSA</w:t>
            </w:r>
          </w:p>
        </w:tc>
        <w:tc>
          <w:tcPr>
            <w:tcW w:w="290" w:type="dxa"/>
          </w:tcPr>
          <w:p w14:paraId="3E2B2C03"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1944420A" w14:textId="17A1098C"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Environmental and Social System</w:t>
            </w:r>
            <w:r w:rsidR="00DB2444" w:rsidRPr="00563D71">
              <w:rPr>
                <w:rFonts w:eastAsiaTheme="minorHAnsi"/>
                <w:color w:val="auto"/>
                <w:sz w:val="22"/>
              </w:rPr>
              <w:t>s</w:t>
            </w:r>
            <w:r w:rsidRPr="00563D71">
              <w:rPr>
                <w:rFonts w:eastAsiaTheme="minorHAnsi"/>
                <w:color w:val="auto"/>
                <w:sz w:val="22"/>
              </w:rPr>
              <w:t xml:space="preserve"> Assessment</w:t>
            </w:r>
          </w:p>
        </w:tc>
      </w:tr>
      <w:tr w:rsidR="008C5B16" w:rsidRPr="00563D71" w14:paraId="622635F2" w14:textId="77777777" w:rsidTr="00F852F3">
        <w:tc>
          <w:tcPr>
            <w:tcW w:w="1439" w:type="dxa"/>
          </w:tcPr>
          <w:p w14:paraId="048D77CE"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FPIC</w:t>
            </w:r>
          </w:p>
        </w:tc>
        <w:tc>
          <w:tcPr>
            <w:tcW w:w="290" w:type="dxa"/>
          </w:tcPr>
          <w:p w14:paraId="4239C598"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D5E350E" w14:textId="3300D764" w:rsidR="008C5B16" w:rsidRPr="00563D71" w:rsidRDefault="008C5B16" w:rsidP="00E44845">
            <w:pPr>
              <w:spacing w:before="0"/>
              <w:ind w:left="0" w:firstLine="0"/>
              <w:jc w:val="left"/>
              <w:rPr>
                <w:rFonts w:eastAsiaTheme="minorHAnsi"/>
                <w:color w:val="auto"/>
                <w:sz w:val="22"/>
              </w:rPr>
            </w:pPr>
            <w:r w:rsidRPr="00563D71">
              <w:rPr>
                <w:rFonts w:eastAsiaTheme="minorHAnsi"/>
                <w:color w:val="auto"/>
                <w:sz w:val="22"/>
              </w:rPr>
              <w:t xml:space="preserve">Free, prior, and informed consultation </w:t>
            </w:r>
          </w:p>
        </w:tc>
      </w:tr>
      <w:tr w:rsidR="008C5B16" w:rsidRPr="00563D71" w14:paraId="7F7FC525" w14:textId="77777777" w:rsidTr="00F852F3">
        <w:tc>
          <w:tcPr>
            <w:tcW w:w="1439" w:type="dxa"/>
          </w:tcPr>
          <w:p w14:paraId="6EF0794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GOI</w:t>
            </w:r>
          </w:p>
        </w:tc>
        <w:tc>
          <w:tcPr>
            <w:tcW w:w="290" w:type="dxa"/>
          </w:tcPr>
          <w:p w14:paraId="1A697602"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5AE0DCB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Government of Indonesia</w:t>
            </w:r>
          </w:p>
        </w:tc>
      </w:tr>
      <w:tr w:rsidR="008C5B16" w:rsidRPr="00563D71" w14:paraId="24590AE9" w14:textId="77777777" w:rsidTr="00F852F3">
        <w:tc>
          <w:tcPr>
            <w:tcW w:w="1439" w:type="dxa"/>
          </w:tcPr>
          <w:p w14:paraId="63BB21E3"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IBRD</w:t>
            </w:r>
          </w:p>
        </w:tc>
        <w:tc>
          <w:tcPr>
            <w:tcW w:w="290" w:type="dxa"/>
          </w:tcPr>
          <w:p w14:paraId="1D0FEEA3"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742AFA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International Bank for Reconstruction and Development</w:t>
            </w:r>
          </w:p>
        </w:tc>
      </w:tr>
      <w:tr w:rsidR="008C5B16" w:rsidRPr="00563D71" w14:paraId="06FE7AB7" w14:textId="77777777" w:rsidTr="00F852F3">
        <w:tc>
          <w:tcPr>
            <w:tcW w:w="1439" w:type="dxa"/>
          </w:tcPr>
          <w:p w14:paraId="07044871"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IP</w:t>
            </w:r>
          </w:p>
        </w:tc>
        <w:tc>
          <w:tcPr>
            <w:tcW w:w="290" w:type="dxa"/>
          </w:tcPr>
          <w:p w14:paraId="4A5BC89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E2AB21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Indigenous People</w:t>
            </w:r>
          </w:p>
        </w:tc>
      </w:tr>
      <w:tr w:rsidR="008C5B16" w:rsidRPr="00563D71" w14:paraId="4F61DB49" w14:textId="77777777" w:rsidTr="00F852F3">
        <w:tc>
          <w:tcPr>
            <w:tcW w:w="1439" w:type="dxa"/>
          </w:tcPr>
          <w:p w14:paraId="6BB682F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IPF</w:t>
            </w:r>
          </w:p>
        </w:tc>
        <w:tc>
          <w:tcPr>
            <w:tcW w:w="290" w:type="dxa"/>
          </w:tcPr>
          <w:p w14:paraId="53CB1851"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170CC7E"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 xml:space="preserve">Investment Project Financing </w:t>
            </w:r>
          </w:p>
        </w:tc>
      </w:tr>
      <w:tr w:rsidR="008C5B16" w:rsidRPr="00563D71" w14:paraId="0BE479C6" w14:textId="77777777" w:rsidTr="00F852F3">
        <w:tc>
          <w:tcPr>
            <w:tcW w:w="1439" w:type="dxa"/>
          </w:tcPr>
          <w:p w14:paraId="78264D5E"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ITDC</w:t>
            </w:r>
          </w:p>
        </w:tc>
        <w:tc>
          <w:tcPr>
            <w:tcW w:w="290" w:type="dxa"/>
          </w:tcPr>
          <w:p w14:paraId="707304C9"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78B73C1"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 xml:space="preserve">Indonesia Tourism Development Corporation </w:t>
            </w:r>
          </w:p>
        </w:tc>
      </w:tr>
      <w:tr w:rsidR="008C5B16" w:rsidRPr="00563D71" w14:paraId="224A2F71" w14:textId="77777777" w:rsidTr="00F852F3">
        <w:tc>
          <w:tcPr>
            <w:tcW w:w="1439" w:type="dxa"/>
          </w:tcPr>
          <w:p w14:paraId="57205F6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KEK</w:t>
            </w:r>
          </w:p>
        </w:tc>
        <w:tc>
          <w:tcPr>
            <w:tcW w:w="290" w:type="dxa"/>
          </w:tcPr>
          <w:p w14:paraId="0FF97872"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08E6874" w14:textId="4253F331"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Kawasan ekonomi khusus</w:t>
            </w:r>
            <w:r w:rsidRPr="00563D71">
              <w:rPr>
                <w:rFonts w:eastAsiaTheme="minorHAnsi"/>
                <w:color w:val="auto"/>
                <w:sz w:val="22"/>
              </w:rPr>
              <w:t xml:space="preserve"> (</w:t>
            </w:r>
            <w:r w:rsidR="00DB2444" w:rsidRPr="00563D71">
              <w:rPr>
                <w:rFonts w:eastAsiaTheme="minorHAnsi"/>
                <w:color w:val="auto"/>
                <w:sz w:val="22"/>
              </w:rPr>
              <w:t>s</w:t>
            </w:r>
            <w:r w:rsidRPr="00563D71">
              <w:rPr>
                <w:rFonts w:eastAsiaTheme="minorHAnsi"/>
                <w:color w:val="auto"/>
                <w:sz w:val="22"/>
              </w:rPr>
              <w:t>pecial economic zone)</w:t>
            </w:r>
          </w:p>
        </w:tc>
      </w:tr>
      <w:tr w:rsidR="008C5B16" w:rsidRPr="00563D71" w14:paraId="72EFCDD5" w14:textId="77777777" w:rsidTr="00F852F3">
        <w:tc>
          <w:tcPr>
            <w:tcW w:w="1439" w:type="dxa"/>
          </w:tcPr>
          <w:p w14:paraId="130ABAE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KEPRES</w:t>
            </w:r>
          </w:p>
        </w:tc>
        <w:tc>
          <w:tcPr>
            <w:tcW w:w="290" w:type="dxa"/>
          </w:tcPr>
          <w:p w14:paraId="1DB1C468"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47C886FF"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Keputusan Presiden</w:t>
            </w:r>
            <w:r w:rsidRPr="00563D71">
              <w:rPr>
                <w:rFonts w:eastAsiaTheme="minorHAnsi"/>
                <w:color w:val="auto"/>
                <w:sz w:val="22"/>
              </w:rPr>
              <w:t xml:space="preserve"> (President Decree)</w:t>
            </w:r>
          </w:p>
        </w:tc>
      </w:tr>
      <w:tr w:rsidR="008C5B16" w:rsidRPr="00563D71" w14:paraId="2507A6B5" w14:textId="77777777" w:rsidTr="00F852F3">
        <w:tc>
          <w:tcPr>
            <w:tcW w:w="1439" w:type="dxa"/>
          </w:tcPr>
          <w:p w14:paraId="74B8657A"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KPPN</w:t>
            </w:r>
          </w:p>
        </w:tc>
        <w:tc>
          <w:tcPr>
            <w:tcW w:w="290" w:type="dxa"/>
          </w:tcPr>
          <w:p w14:paraId="6119F852"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C585D7F" w14:textId="56D738BA" w:rsidR="008C5B16" w:rsidRPr="00563D71" w:rsidRDefault="008C5B16" w:rsidP="00DE434F">
            <w:pPr>
              <w:spacing w:before="0"/>
              <w:ind w:left="0" w:firstLine="0"/>
              <w:jc w:val="left"/>
              <w:rPr>
                <w:rFonts w:eastAsiaTheme="minorHAnsi"/>
                <w:i/>
                <w:color w:val="auto"/>
                <w:sz w:val="22"/>
              </w:rPr>
            </w:pPr>
            <w:r w:rsidRPr="00563D71">
              <w:rPr>
                <w:rFonts w:eastAsiaTheme="minorHAnsi"/>
                <w:i/>
                <w:color w:val="auto"/>
                <w:sz w:val="22"/>
              </w:rPr>
              <w:t xml:space="preserve">Kantor Pelayanan Perbendaharaan Negara </w:t>
            </w:r>
            <w:r w:rsidRPr="00563D71">
              <w:rPr>
                <w:rFonts w:eastAsiaTheme="minorHAnsi"/>
                <w:color w:val="auto"/>
                <w:sz w:val="22"/>
              </w:rPr>
              <w:t xml:space="preserve">(State Treasury </w:t>
            </w:r>
            <w:r w:rsidR="00207D60" w:rsidRPr="00563D71">
              <w:rPr>
                <w:rFonts w:eastAsiaTheme="minorHAnsi"/>
                <w:color w:val="auto"/>
                <w:sz w:val="22"/>
              </w:rPr>
              <w:t>Services</w:t>
            </w:r>
            <w:r w:rsidRPr="00563D71">
              <w:rPr>
                <w:rFonts w:eastAsiaTheme="minorHAnsi"/>
                <w:color w:val="auto"/>
                <w:sz w:val="22"/>
              </w:rPr>
              <w:t xml:space="preserve"> Office)</w:t>
            </w:r>
          </w:p>
        </w:tc>
      </w:tr>
      <w:tr w:rsidR="008C5B16" w:rsidRPr="00563D71" w14:paraId="43D186D7" w14:textId="77777777" w:rsidTr="00F852F3">
        <w:tc>
          <w:tcPr>
            <w:tcW w:w="1439" w:type="dxa"/>
          </w:tcPr>
          <w:p w14:paraId="319331D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KSN</w:t>
            </w:r>
          </w:p>
        </w:tc>
        <w:tc>
          <w:tcPr>
            <w:tcW w:w="290" w:type="dxa"/>
          </w:tcPr>
          <w:p w14:paraId="76ECC96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4F706E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Kawasan Strategis Nasional</w:t>
            </w:r>
            <w:r w:rsidRPr="00563D71">
              <w:rPr>
                <w:rFonts w:eastAsiaTheme="minorHAnsi"/>
                <w:color w:val="auto"/>
                <w:sz w:val="22"/>
              </w:rPr>
              <w:t xml:space="preserve"> (National Strategic Areas)</w:t>
            </w:r>
          </w:p>
        </w:tc>
      </w:tr>
      <w:tr w:rsidR="008C5B16" w:rsidRPr="00563D71" w14:paraId="044838C0" w14:textId="77777777" w:rsidTr="00F852F3">
        <w:tc>
          <w:tcPr>
            <w:tcW w:w="1439" w:type="dxa"/>
          </w:tcPr>
          <w:p w14:paraId="582ED0BA"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KSPN</w:t>
            </w:r>
          </w:p>
        </w:tc>
        <w:tc>
          <w:tcPr>
            <w:tcW w:w="290" w:type="dxa"/>
          </w:tcPr>
          <w:p w14:paraId="170A5B9F"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369936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Kawasan Strategis Pariwisata National (</w:t>
            </w:r>
            <w:r w:rsidRPr="00563D71">
              <w:rPr>
                <w:rFonts w:eastAsiaTheme="minorHAnsi"/>
                <w:color w:val="auto"/>
                <w:sz w:val="22"/>
              </w:rPr>
              <w:t>National Tourism Strategic Areas)</w:t>
            </w:r>
          </w:p>
        </w:tc>
      </w:tr>
      <w:tr w:rsidR="008C5B16" w:rsidRPr="00563D71" w14:paraId="6BB8E908" w14:textId="77777777" w:rsidTr="00F852F3">
        <w:tc>
          <w:tcPr>
            <w:tcW w:w="1439" w:type="dxa"/>
          </w:tcPr>
          <w:p w14:paraId="61B5D3E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LARAP</w:t>
            </w:r>
          </w:p>
        </w:tc>
        <w:tc>
          <w:tcPr>
            <w:tcW w:w="290" w:type="dxa"/>
          </w:tcPr>
          <w:p w14:paraId="178FEB17"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73A897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Land Acquisition and Resettlement Action Plan</w:t>
            </w:r>
          </w:p>
        </w:tc>
      </w:tr>
      <w:tr w:rsidR="008C5B16" w:rsidRPr="00563D71" w14:paraId="5CE5F86F" w14:textId="77777777" w:rsidTr="00F852F3">
        <w:tc>
          <w:tcPr>
            <w:tcW w:w="1439" w:type="dxa"/>
          </w:tcPr>
          <w:p w14:paraId="2FD0BE5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MA/MHA</w:t>
            </w:r>
          </w:p>
        </w:tc>
        <w:tc>
          <w:tcPr>
            <w:tcW w:w="290" w:type="dxa"/>
          </w:tcPr>
          <w:p w14:paraId="7622A867"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AA37C58" w14:textId="77777777" w:rsidR="008C5B16" w:rsidRPr="00563D71" w:rsidRDefault="008C5B16" w:rsidP="00DE434F">
            <w:pPr>
              <w:spacing w:before="0"/>
              <w:ind w:left="0" w:firstLine="0"/>
              <w:jc w:val="left"/>
              <w:rPr>
                <w:rFonts w:eastAsiaTheme="minorHAnsi"/>
                <w:i/>
                <w:color w:val="auto"/>
                <w:sz w:val="22"/>
              </w:rPr>
            </w:pPr>
            <w:r w:rsidRPr="00563D71">
              <w:rPr>
                <w:rFonts w:eastAsiaTheme="minorHAnsi"/>
                <w:i/>
                <w:color w:val="auto"/>
                <w:sz w:val="22"/>
              </w:rPr>
              <w:t xml:space="preserve">Masyarakat Adat/Masyarakat Hukum Adat/ Masyarakat Traditional </w:t>
            </w:r>
            <w:r w:rsidRPr="00563D71">
              <w:rPr>
                <w:rFonts w:eastAsiaTheme="minorHAnsi"/>
                <w:color w:val="auto"/>
                <w:sz w:val="22"/>
              </w:rPr>
              <w:t>(Indigenous People)</w:t>
            </w:r>
          </w:p>
        </w:tc>
      </w:tr>
      <w:tr w:rsidR="008C5B16" w:rsidRPr="00563D71" w14:paraId="6E0B7CEA" w14:textId="77777777" w:rsidTr="00F852F3">
        <w:tc>
          <w:tcPr>
            <w:tcW w:w="1439" w:type="dxa"/>
          </w:tcPr>
          <w:p w14:paraId="7D78AA9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MEC</w:t>
            </w:r>
          </w:p>
        </w:tc>
        <w:tc>
          <w:tcPr>
            <w:tcW w:w="290" w:type="dxa"/>
          </w:tcPr>
          <w:p w14:paraId="19345A4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877913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Ministry of Education and Culture</w:t>
            </w:r>
          </w:p>
        </w:tc>
      </w:tr>
      <w:tr w:rsidR="008C5B16" w:rsidRPr="00563D71" w14:paraId="0B88EFA9" w14:textId="77777777" w:rsidTr="00F852F3">
        <w:tc>
          <w:tcPr>
            <w:tcW w:w="1439" w:type="dxa"/>
          </w:tcPr>
          <w:p w14:paraId="49C4203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MOEF</w:t>
            </w:r>
          </w:p>
        </w:tc>
        <w:tc>
          <w:tcPr>
            <w:tcW w:w="290" w:type="dxa"/>
          </w:tcPr>
          <w:p w14:paraId="04146D32"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1EADC5C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Ministry of Environment and Forestry</w:t>
            </w:r>
          </w:p>
        </w:tc>
      </w:tr>
      <w:tr w:rsidR="008C5B16" w:rsidRPr="00563D71" w14:paraId="629201EA" w14:textId="77777777" w:rsidTr="001A2B13">
        <w:trPr>
          <w:trHeight w:val="270"/>
        </w:trPr>
        <w:tc>
          <w:tcPr>
            <w:tcW w:w="1439" w:type="dxa"/>
          </w:tcPr>
          <w:p w14:paraId="1F5ED8C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MOM</w:t>
            </w:r>
          </w:p>
        </w:tc>
        <w:tc>
          <w:tcPr>
            <w:tcW w:w="290" w:type="dxa"/>
          </w:tcPr>
          <w:p w14:paraId="14ADF3A0"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0680B9A"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Ministry of Manpower</w:t>
            </w:r>
          </w:p>
        </w:tc>
      </w:tr>
      <w:tr w:rsidR="001A2B13" w:rsidRPr="00563D71" w14:paraId="5B42048A" w14:textId="77777777" w:rsidTr="00F852F3">
        <w:tc>
          <w:tcPr>
            <w:tcW w:w="1439" w:type="dxa"/>
          </w:tcPr>
          <w:p w14:paraId="16EBB792" w14:textId="0C6083F1" w:rsidR="001A2B13" w:rsidRPr="00563D71" w:rsidRDefault="001A2B13" w:rsidP="00DE434F">
            <w:pPr>
              <w:spacing w:before="0"/>
              <w:ind w:left="0" w:firstLine="0"/>
              <w:jc w:val="left"/>
              <w:rPr>
                <w:rFonts w:eastAsiaTheme="minorHAnsi"/>
                <w:color w:val="auto"/>
                <w:sz w:val="22"/>
              </w:rPr>
            </w:pPr>
            <w:r>
              <w:rPr>
                <w:rFonts w:eastAsiaTheme="minorHAnsi"/>
                <w:color w:val="auto"/>
                <w:sz w:val="22"/>
              </w:rPr>
              <w:t>MOT</w:t>
            </w:r>
          </w:p>
        </w:tc>
        <w:tc>
          <w:tcPr>
            <w:tcW w:w="290" w:type="dxa"/>
          </w:tcPr>
          <w:p w14:paraId="6BEE0D7D" w14:textId="6DB25F55" w:rsidR="001A2B13" w:rsidRPr="00563D71" w:rsidRDefault="001A2B13" w:rsidP="00DE434F">
            <w:pPr>
              <w:spacing w:before="0"/>
              <w:ind w:left="0" w:firstLine="0"/>
              <w:jc w:val="center"/>
              <w:rPr>
                <w:rFonts w:eastAsiaTheme="minorHAnsi"/>
                <w:color w:val="auto"/>
                <w:sz w:val="22"/>
              </w:rPr>
            </w:pPr>
            <w:r>
              <w:rPr>
                <w:rFonts w:eastAsiaTheme="minorHAnsi"/>
                <w:color w:val="auto"/>
                <w:sz w:val="22"/>
              </w:rPr>
              <w:t>-</w:t>
            </w:r>
          </w:p>
        </w:tc>
        <w:tc>
          <w:tcPr>
            <w:tcW w:w="7287" w:type="dxa"/>
          </w:tcPr>
          <w:p w14:paraId="2688701E" w14:textId="6F003537" w:rsidR="001A2B13" w:rsidRPr="00563D71" w:rsidRDefault="001A2B13" w:rsidP="00DE434F">
            <w:pPr>
              <w:spacing w:before="0"/>
              <w:ind w:left="0" w:firstLine="0"/>
              <w:jc w:val="left"/>
              <w:rPr>
                <w:rFonts w:eastAsiaTheme="minorHAnsi"/>
                <w:color w:val="auto"/>
                <w:sz w:val="22"/>
              </w:rPr>
            </w:pPr>
            <w:r>
              <w:rPr>
                <w:rFonts w:eastAsiaTheme="minorHAnsi"/>
                <w:color w:val="auto"/>
                <w:sz w:val="22"/>
              </w:rPr>
              <w:t>Ministry of Tourism</w:t>
            </w:r>
          </w:p>
        </w:tc>
      </w:tr>
      <w:tr w:rsidR="008C5B16" w:rsidRPr="00563D71" w14:paraId="75D50C0D" w14:textId="77777777" w:rsidTr="00F852F3">
        <w:tc>
          <w:tcPr>
            <w:tcW w:w="1439" w:type="dxa"/>
          </w:tcPr>
          <w:p w14:paraId="1660484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MoSA</w:t>
            </w:r>
          </w:p>
        </w:tc>
        <w:tc>
          <w:tcPr>
            <w:tcW w:w="290" w:type="dxa"/>
          </w:tcPr>
          <w:p w14:paraId="06C260B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A05A698"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Ministry of Social Affairs</w:t>
            </w:r>
          </w:p>
        </w:tc>
      </w:tr>
      <w:tr w:rsidR="008C5B16" w:rsidRPr="00563D71" w14:paraId="6F64E8C5" w14:textId="77777777" w:rsidTr="00F852F3">
        <w:tc>
          <w:tcPr>
            <w:tcW w:w="1439" w:type="dxa"/>
          </w:tcPr>
          <w:p w14:paraId="1421BEE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MPWH</w:t>
            </w:r>
          </w:p>
        </w:tc>
        <w:tc>
          <w:tcPr>
            <w:tcW w:w="290" w:type="dxa"/>
          </w:tcPr>
          <w:p w14:paraId="6DA4E3DA"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9C616C8"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Ministry of Public Works and Housing</w:t>
            </w:r>
          </w:p>
        </w:tc>
      </w:tr>
      <w:tr w:rsidR="008C5B16" w:rsidRPr="00563D71" w14:paraId="190306B8" w14:textId="77777777" w:rsidTr="00F852F3">
        <w:tc>
          <w:tcPr>
            <w:tcW w:w="1439" w:type="dxa"/>
          </w:tcPr>
          <w:p w14:paraId="0D42BFE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NGO</w:t>
            </w:r>
          </w:p>
        </w:tc>
        <w:tc>
          <w:tcPr>
            <w:tcW w:w="290" w:type="dxa"/>
          </w:tcPr>
          <w:p w14:paraId="54C90850"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F50C785" w14:textId="4A4BD1AF" w:rsidR="008C5B16" w:rsidRPr="00563D71" w:rsidRDefault="008C5B16" w:rsidP="00DB2444">
            <w:pPr>
              <w:spacing w:before="0"/>
              <w:ind w:left="0" w:firstLine="0"/>
              <w:jc w:val="left"/>
              <w:rPr>
                <w:rFonts w:eastAsiaTheme="minorHAnsi"/>
                <w:color w:val="auto"/>
                <w:sz w:val="22"/>
              </w:rPr>
            </w:pPr>
            <w:r w:rsidRPr="00563D71">
              <w:rPr>
                <w:rFonts w:eastAsiaTheme="minorHAnsi"/>
                <w:color w:val="auto"/>
                <w:sz w:val="22"/>
              </w:rPr>
              <w:t>Non-</w:t>
            </w:r>
            <w:r w:rsidR="00DB2444" w:rsidRPr="00563D71">
              <w:rPr>
                <w:rFonts w:eastAsiaTheme="minorHAnsi"/>
                <w:color w:val="auto"/>
                <w:sz w:val="22"/>
              </w:rPr>
              <w:t>g</w:t>
            </w:r>
            <w:r w:rsidRPr="00563D71">
              <w:rPr>
                <w:rFonts w:eastAsiaTheme="minorHAnsi"/>
                <w:color w:val="auto"/>
                <w:sz w:val="22"/>
              </w:rPr>
              <w:t xml:space="preserve">overnmental </w:t>
            </w:r>
            <w:r w:rsidR="00DB2444" w:rsidRPr="00563D71">
              <w:rPr>
                <w:rFonts w:eastAsiaTheme="minorHAnsi"/>
                <w:color w:val="auto"/>
                <w:sz w:val="22"/>
              </w:rPr>
              <w:t>o</w:t>
            </w:r>
            <w:r w:rsidRPr="00563D71">
              <w:rPr>
                <w:rFonts w:eastAsiaTheme="minorHAnsi"/>
                <w:color w:val="auto"/>
                <w:sz w:val="22"/>
              </w:rPr>
              <w:t>rganization</w:t>
            </w:r>
          </w:p>
        </w:tc>
      </w:tr>
      <w:tr w:rsidR="008C5B16" w:rsidRPr="00563D71" w14:paraId="3540631A" w14:textId="77777777" w:rsidTr="00F852F3">
        <w:tc>
          <w:tcPr>
            <w:tcW w:w="1439" w:type="dxa"/>
          </w:tcPr>
          <w:p w14:paraId="24258CA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OP</w:t>
            </w:r>
          </w:p>
        </w:tc>
        <w:tc>
          <w:tcPr>
            <w:tcW w:w="290" w:type="dxa"/>
          </w:tcPr>
          <w:p w14:paraId="4F92756E"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40AFD9B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Operational Policy</w:t>
            </w:r>
          </w:p>
        </w:tc>
      </w:tr>
      <w:tr w:rsidR="008C5B16" w:rsidRPr="00563D71" w14:paraId="75CEA524" w14:textId="77777777" w:rsidTr="00F852F3">
        <w:tc>
          <w:tcPr>
            <w:tcW w:w="1439" w:type="dxa"/>
          </w:tcPr>
          <w:p w14:paraId="0226AE92"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PDDP</w:t>
            </w:r>
          </w:p>
        </w:tc>
        <w:tc>
          <w:tcPr>
            <w:tcW w:w="290" w:type="dxa"/>
          </w:tcPr>
          <w:p w14:paraId="2103CD8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9EFF67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 xml:space="preserve">Power Distribution Development Program </w:t>
            </w:r>
          </w:p>
        </w:tc>
      </w:tr>
      <w:tr w:rsidR="008C5B16" w:rsidRPr="00563D71" w14:paraId="7CB7C57C" w14:textId="77777777" w:rsidTr="00F852F3">
        <w:tc>
          <w:tcPr>
            <w:tcW w:w="1439" w:type="dxa"/>
          </w:tcPr>
          <w:p w14:paraId="13A25097"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PDO</w:t>
            </w:r>
          </w:p>
        </w:tc>
        <w:tc>
          <w:tcPr>
            <w:tcW w:w="290" w:type="dxa"/>
          </w:tcPr>
          <w:p w14:paraId="54FA63BB" w14:textId="77777777" w:rsidR="008C5B16" w:rsidRPr="00563D71" w:rsidRDefault="008C5B16" w:rsidP="00DE434F">
            <w:pPr>
              <w:numPr>
                <w:ilvl w:val="0"/>
                <w:numId w:val="37"/>
              </w:numPr>
              <w:spacing w:before="0"/>
              <w:contextualSpacing/>
              <w:jc w:val="center"/>
              <w:rPr>
                <w:rFonts w:eastAsiaTheme="minorHAnsi"/>
                <w:color w:val="auto"/>
                <w:sz w:val="22"/>
              </w:rPr>
            </w:pPr>
          </w:p>
        </w:tc>
        <w:tc>
          <w:tcPr>
            <w:tcW w:w="7287" w:type="dxa"/>
          </w:tcPr>
          <w:p w14:paraId="24D0E396" w14:textId="59B7FEEA"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Pro</w:t>
            </w:r>
            <w:r w:rsidR="00DB2444" w:rsidRPr="00563D71">
              <w:rPr>
                <w:rFonts w:eastAsiaTheme="minorHAnsi"/>
                <w:color w:val="auto"/>
                <w:sz w:val="22"/>
              </w:rPr>
              <w:t>gram</w:t>
            </w:r>
            <w:r w:rsidRPr="00563D71">
              <w:rPr>
                <w:rFonts w:eastAsiaTheme="minorHAnsi"/>
                <w:color w:val="auto"/>
                <w:sz w:val="22"/>
              </w:rPr>
              <w:t xml:space="preserve"> Development Objective</w:t>
            </w:r>
          </w:p>
        </w:tc>
      </w:tr>
      <w:tr w:rsidR="008C5B16" w:rsidRPr="00563D71" w14:paraId="6D4EE34F" w14:textId="77777777" w:rsidTr="003D2E29">
        <w:trPr>
          <w:trHeight w:val="279"/>
        </w:trPr>
        <w:tc>
          <w:tcPr>
            <w:tcW w:w="1439" w:type="dxa"/>
          </w:tcPr>
          <w:p w14:paraId="312017A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lastRenderedPageBreak/>
              <w:t>PERMEN</w:t>
            </w:r>
          </w:p>
        </w:tc>
        <w:tc>
          <w:tcPr>
            <w:tcW w:w="290" w:type="dxa"/>
          </w:tcPr>
          <w:p w14:paraId="3737B02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E6D2C71"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Peraturan Menteri (Ministry Regulations)</w:t>
            </w:r>
          </w:p>
        </w:tc>
      </w:tr>
      <w:tr w:rsidR="00044840" w:rsidRPr="00563D71" w14:paraId="0C60BE9F" w14:textId="77777777" w:rsidTr="00F852F3">
        <w:tc>
          <w:tcPr>
            <w:tcW w:w="1439" w:type="dxa"/>
          </w:tcPr>
          <w:p w14:paraId="0A96DEB3" w14:textId="37C51456" w:rsidR="00044840" w:rsidRPr="00563D71" w:rsidRDefault="00044840" w:rsidP="00DE434F">
            <w:pPr>
              <w:spacing w:before="0"/>
              <w:ind w:left="0" w:firstLine="0"/>
              <w:jc w:val="left"/>
              <w:rPr>
                <w:rFonts w:eastAsiaTheme="minorHAnsi"/>
                <w:color w:val="auto"/>
                <w:sz w:val="22"/>
              </w:rPr>
            </w:pPr>
            <w:r w:rsidRPr="00563D71">
              <w:rPr>
                <w:rFonts w:eastAsiaTheme="minorHAnsi"/>
                <w:color w:val="auto"/>
                <w:sz w:val="22"/>
              </w:rPr>
              <w:t>PERPRES</w:t>
            </w:r>
          </w:p>
        </w:tc>
        <w:tc>
          <w:tcPr>
            <w:tcW w:w="290" w:type="dxa"/>
          </w:tcPr>
          <w:p w14:paraId="58EA3678" w14:textId="1EA9FDF0" w:rsidR="00044840" w:rsidRPr="00563D71" w:rsidRDefault="00044840"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C387156" w14:textId="19A81E60" w:rsidR="00044840" w:rsidRPr="00563D71" w:rsidRDefault="00044840" w:rsidP="00207D60">
            <w:pPr>
              <w:spacing w:before="0"/>
              <w:ind w:left="0" w:firstLine="0"/>
              <w:jc w:val="left"/>
              <w:rPr>
                <w:rFonts w:eastAsiaTheme="minorHAnsi"/>
                <w:color w:val="auto"/>
                <w:sz w:val="22"/>
              </w:rPr>
            </w:pPr>
            <w:r w:rsidRPr="00563D71">
              <w:rPr>
                <w:rFonts w:eastAsiaTheme="minorHAnsi"/>
                <w:color w:val="auto"/>
                <w:sz w:val="22"/>
              </w:rPr>
              <w:t xml:space="preserve">Peraturan Presiden (Presidential </w:t>
            </w:r>
            <w:r w:rsidR="00207D60" w:rsidRPr="00563D71">
              <w:rPr>
                <w:rFonts w:eastAsiaTheme="minorHAnsi"/>
                <w:color w:val="auto"/>
                <w:sz w:val="22"/>
              </w:rPr>
              <w:t>Regulations</w:t>
            </w:r>
            <w:r w:rsidRPr="00563D71">
              <w:rPr>
                <w:rFonts w:eastAsiaTheme="minorHAnsi"/>
                <w:color w:val="auto"/>
                <w:sz w:val="22"/>
              </w:rPr>
              <w:t>)</w:t>
            </w:r>
          </w:p>
        </w:tc>
      </w:tr>
      <w:tr w:rsidR="008C5B16" w:rsidRPr="00563D71" w14:paraId="720312BE" w14:textId="77777777" w:rsidTr="00F852F3">
        <w:tc>
          <w:tcPr>
            <w:tcW w:w="1439" w:type="dxa"/>
          </w:tcPr>
          <w:p w14:paraId="06733C13"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PforR</w:t>
            </w:r>
          </w:p>
        </w:tc>
        <w:tc>
          <w:tcPr>
            <w:tcW w:w="290" w:type="dxa"/>
          </w:tcPr>
          <w:p w14:paraId="0DD44773"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3C5B024" w14:textId="6330DC49"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Program</w:t>
            </w:r>
            <w:r w:rsidR="00DB2444" w:rsidRPr="00563D71">
              <w:rPr>
                <w:rFonts w:eastAsiaTheme="minorHAnsi"/>
                <w:color w:val="auto"/>
                <w:sz w:val="22"/>
              </w:rPr>
              <w:t>-</w:t>
            </w:r>
            <w:r w:rsidRPr="00563D71">
              <w:rPr>
                <w:rFonts w:eastAsiaTheme="minorHAnsi"/>
                <w:color w:val="auto"/>
                <w:sz w:val="22"/>
              </w:rPr>
              <w:t>for</w:t>
            </w:r>
            <w:r w:rsidR="00DB2444" w:rsidRPr="00563D71">
              <w:rPr>
                <w:rFonts w:eastAsiaTheme="minorHAnsi"/>
                <w:color w:val="auto"/>
                <w:sz w:val="22"/>
              </w:rPr>
              <w:t>-</w:t>
            </w:r>
            <w:r w:rsidRPr="00563D71">
              <w:rPr>
                <w:rFonts w:eastAsiaTheme="minorHAnsi"/>
                <w:color w:val="auto"/>
                <w:sz w:val="22"/>
              </w:rPr>
              <w:t>Results</w:t>
            </w:r>
          </w:p>
        </w:tc>
      </w:tr>
      <w:tr w:rsidR="008C5B16" w:rsidRPr="00563D71" w14:paraId="78018A76" w14:textId="77777777" w:rsidTr="00F852F3">
        <w:tc>
          <w:tcPr>
            <w:tcW w:w="1439" w:type="dxa"/>
          </w:tcPr>
          <w:p w14:paraId="7AF2EFA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PIU</w:t>
            </w:r>
          </w:p>
        </w:tc>
        <w:tc>
          <w:tcPr>
            <w:tcW w:w="290" w:type="dxa"/>
          </w:tcPr>
          <w:p w14:paraId="54E15BA5"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485B1C4" w14:textId="1BDE4D9D"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Program</w:t>
            </w:r>
            <w:r w:rsidR="00207D60" w:rsidRPr="00563D71">
              <w:rPr>
                <w:rFonts w:eastAsiaTheme="minorHAnsi"/>
                <w:color w:val="auto"/>
                <w:sz w:val="22"/>
              </w:rPr>
              <w:t>/Project</w:t>
            </w:r>
            <w:r w:rsidRPr="00563D71">
              <w:rPr>
                <w:rFonts w:eastAsiaTheme="minorHAnsi"/>
                <w:color w:val="auto"/>
                <w:sz w:val="22"/>
              </w:rPr>
              <w:t xml:space="preserve"> Implementation Unit</w:t>
            </w:r>
          </w:p>
        </w:tc>
      </w:tr>
      <w:tr w:rsidR="008C5B16" w:rsidRPr="00563D71" w14:paraId="6E16BC83" w14:textId="77777777" w:rsidTr="00F852F3">
        <w:tc>
          <w:tcPr>
            <w:tcW w:w="1439" w:type="dxa"/>
          </w:tcPr>
          <w:p w14:paraId="1CD346C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PP</w:t>
            </w:r>
          </w:p>
        </w:tc>
        <w:tc>
          <w:tcPr>
            <w:tcW w:w="290" w:type="dxa"/>
          </w:tcPr>
          <w:p w14:paraId="704E8014"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0E9465E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Peraturan Pemerintah</w:t>
            </w:r>
            <w:r w:rsidRPr="00563D71">
              <w:rPr>
                <w:rFonts w:eastAsiaTheme="minorHAnsi"/>
                <w:color w:val="auto"/>
                <w:sz w:val="22"/>
              </w:rPr>
              <w:t xml:space="preserve"> (government regulations)</w:t>
            </w:r>
          </w:p>
        </w:tc>
      </w:tr>
      <w:tr w:rsidR="008C5B16" w:rsidRPr="00563D71" w14:paraId="7F9C5A63" w14:textId="77777777" w:rsidTr="00B85075">
        <w:trPr>
          <w:trHeight w:val="297"/>
        </w:trPr>
        <w:tc>
          <w:tcPr>
            <w:tcW w:w="1439" w:type="dxa"/>
          </w:tcPr>
          <w:p w14:paraId="794AED1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PPE</w:t>
            </w:r>
          </w:p>
        </w:tc>
        <w:tc>
          <w:tcPr>
            <w:tcW w:w="290" w:type="dxa"/>
          </w:tcPr>
          <w:p w14:paraId="4A7777B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439270F" w14:textId="43B53A24"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Personal Protective Equipment</w:t>
            </w:r>
          </w:p>
        </w:tc>
      </w:tr>
      <w:tr w:rsidR="00EA19F3" w:rsidRPr="00563D71" w14:paraId="0844866C" w14:textId="77777777" w:rsidTr="00F852F3">
        <w:tc>
          <w:tcPr>
            <w:tcW w:w="1439" w:type="dxa"/>
          </w:tcPr>
          <w:p w14:paraId="52D1250F" w14:textId="47E5A52A" w:rsidR="00EA19F3" w:rsidRPr="00563D71" w:rsidRDefault="00EA19F3" w:rsidP="00DE434F">
            <w:pPr>
              <w:spacing w:before="0"/>
              <w:ind w:left="0" w:firstLine="0"/>
              <w:jc w:val="left"/>
              <w:rPr>
                <w:rFonts w:eastAsiaTheme="minorHAnsi"/>
                <w:color w:val="auto"/>
                <w:sz w:val="22"/>
              </w:rPr>
            </w:pPr>
            <w:r>
              <w:rPr>
                <w:rFonts w:eastAsiaTheme="minorHAnsi"/>
                <w:color w:val="auto"/>
                <w:sz w:val="22"/>
              </w:rPr>
              <w:t>PPNPPI</w:t>
            </w:r>
          </w:p>
        </w:tc>
        <w:tc>
          <w:tcPr>
            <w:tcW w:w="290" w:type="dxa"/>
          </w:tcPr>
          <w:p w14:paraId="3C879860" w14:textId="4FFE247B" w:rsidR="00EA19F3" w:rsidRPr="00563D71" w:rsidRDefault="00EA19F3" w:rsidP="00DE434F">
            <w:pPr>
              <w:spacing w:before="0"/>
              <w:ind w:left="0" w:firstLine="0"/>
              <w:jc w:val="center"/>
              <w:rPr>
                <w:rFonts w:eastAsiaTheme="minorHAnsi"/>
                <w:color w:val="auto"/>
                <w:sz w:val="22"/>
              </w:rPr>
            </w:pPr>
            <w:r>
              <w:rPr>
                <w:rFonts w:eastAsiaTheme="minorHAnsi"/>
                <w:color w:val="auto"/>
                <w:sz w:val="22"/>
              </w:rPr>
              <w:t>-</w:t>
            </w:r>
          </w:p>
        </w:tc>
        <w:tc>
          <w:tcPr>
            <w:tcW w:w="7287" w:type="dxa"/>
          </w:tcPr>
          <w:p w14:paraId="38ED723E" w14:textId="691AC682" w:rsidR="00EA19F3" w:rsidRPr="00EA19F3" w:rsidRDefault="00EA19F3" w:rsidP="00DE434F">
            <w:pPr>
              <w:spacing w:before="0"/>
              <w:ind w:left="0" w:firstLine="0"/>
              <w:jc w:val="left"/>
              <w:rPr>
                <w:rFonts w:eastAsiaTheme="minorHAnsi"/>
                <w:color w:val="auto"/>
                <w:sz w:val="22"/>
              </w:rPr>
            </w:pPr>
            <w:r>
              <w:rPr>
                <w:rFonts w:eastAsiaTheme="minorHAnsi"/>
                <w:i/>
                <w:iCs/>
                <w:color w:val="auto"/>
                <w:sz w:val="22"/>
              </w:rPr>
              <w:t xml:space="preserve">Program Prioritas Nasional Pembangunan Pariwisata Indonesia </w:t>
            </w:r>
            <w:r>
              <w:rPr>
                <w:rFonts w:eastAsiaTheme="minorHAnsi"/>
                <w:color w:val="auto"/>
                <w:sz w:val="22"/>
              </w:rPr>
              <w:t>(Indonesia Tourism Development National Priority Program)</w:t>
            </w:r>
          </w:p>
        </w:tc>
      </w:tr>
      <w:tr w:rsidR="008C5B16" w:rsidRPr="00563D71" w14:paraId="0C51D290" w14:textId="77777777" w:rsidTr="00F852F3">
        <w:tc>
          <w:tcPr>
            <w:tcW w:w="1439" w:type="dxa"/>
          </w:tcPr>
          <w:p w14:paraId="326FDA6F" w14:textId="5AF0014C" w:rsidR="008C5B16" w:rsidRPr="00563D71" w:rsidRDefault="008C5B16" w:rsidP="008C5B16">
            <w:pPr>
              <w:spacing w:before="0"/>
              <w:ind w:left="0" w:firstLine="0"/>
              <w:jc w:val="left"/>
              <w:rPr>
                <w:rFonts w:eastAsiaTheme="minorHAnsi"/>
                <w:color w:val="auto"/>
                <w:sz w:val="22"/>
              </w:rPr>
            </w:pPr>
            <w:r w:rsidRPr="00563D71">
              <w:rPr>
                <w:rFonts w:eastAsiaTheme="minorHAnsi"/>
                <w:color w:val="auto"/>
                <w:sz w:val="22"/>
              </w:rPr>
              <w:t>PTSP</w:t>
            </w:r>
          </w:p>
        </w:tc>
        <w:tc>
          <w:tcPr>
            <w:tcW w:w="290" w:type="dxa"/>
          </w:tcPr>
          <w:p w14:paraId="081B9D3C" w14:textId="77777777" w:rsidR="008C5B16" w:rsidRPr="00563D71" w:rsidRDefault="008C5B16" w:rsidP="008C5B16">
            <w:pPr>
              <w:spacing w:before="0"/>
              <w:ind w:left="0" w:firstLine="0"/>
              <w:jc w:val="center"/>
              <w:rPr>
                <w:rFonts w:eastAsiaTheme="minorHAnsi"/>
                <w:color w:val="auto"/>
                <w:sz w:val="22"/>
              </w:rPr>
            </w:pPr>
          </w:p>
        </w:tc>
        <w:tc>
          <w:tcPr>
            <w:tcW w:w="7287" w:type="dxa"/>
          </w:tcPr>
          <w:p w14:paraId="266BB029" w14:textId="647FC99E" w:rsidR="008C5B16" w:rsidRPr="00563D71" w:rsidRDefault="008C5B16" w:rsidP="008C5B16">
            <w:pPr>
              <w:spacing w:before="0"/>
              <w:ind w:left="0" w:firstLine="0"/>
              <w:jc w:val="left"/>
              <w:rPr>
                <w:rFonts w:eastAsiaTheme="minorHAnsi"/>
                <w:color w:val="auto"/>
                <w:sz w:val="22"/>
              </w:rPr>
            </w:pPr>
            <w:r w:rsidRPr="00563D71">
              <w:rPr>
                <w:i/>
                <w:sz w:val="22"/>
              </w:rPr>
              <w:t>Pelayanan Terpadu Satu Pintu</w:t>
            </w:r>
            <w:r w:rsidR="00DB2444" w:rsidRPr="00563D71">
              <w:rPr>
                <w:sz w:val="22"/>
              </w:rPr>
              <w:t xml:space="preserve"> (</w:t>
            </w:r>
            <w:r w:rsidRPr="00563D71">
              <w:rPr>
                <w:sz w:val="22"/>
              </w:rPr>
              <w:t>One-Stop Integrated Service</w:t>
            </w:r>
            <w:r w:rsidR="00DB2444" w:rsidRPr="00563D71">
              <w:rPr>
                <w:sz w:val="22"/>
              </w:rPr>
              <w:t>)</w:t>
            </w:r>
          </w:p>
        </w:tc>
      </w:tr>
      <w:tr w:rsidR="008C5B16" w:rsidRPr="00563D71" w14:paraId="5E406CDB" w14:textId="77777777" w:rsidTr="00F852F3">
        <w:tc>
          <w:tcPr>
            <w:tcW w:w="1439" w:type="dxa"/>
          </w:tcPr>
          <w:p w14:paraId="2C449668" w14:textId="61A20471" w:rsidR="008C5B16" w:rsidRPr="00563D71" w:rsidRDefault="008C5B16" w:rsidP="00207D60">
            <w:pPr>
              <w:spacing w:before="0"/>
              <w:ind w:left="0" w:firstLine="0"/>
              <w:jc w:val="left"/>
              <w:rPr>
                <w:rFonts w:eastAsiaTheme="minorHAnsi"/>
                <w:color w:val="auto"/>
                <w:sz w:val="22"/>
              </w:rPr>
            </w:pPr>
            <w:r w:rsidRPr="00563D71">
              <w:rPr>
                <w:rFonts w:eastAsiaTheme="minorHAnsi"/>
                <w:color w:val="auto"/>
                <w:sz w:val="22"/>
              </w:rPr>
              <w:t>RKL</w:t>
            </w:r>
            <w:r w:rsidR="00207D60" w:rsidRPr="00563D71">
              <w:rPr>
                <w:rFonts w:eastAsiaTheme="minorHAnsi"/>
                <w:color w:val="auto"/>
                <w:sz w:val="22"/>
              </w:rPr>
              <w:t>-</w:t>
            </w:r>
            <w:r w:rsidRPr="00563D71">
              <w:rPr>
                <w:rFonts w:eastAsiaTheme="minorHAnsi"/>
                <w:color w:val="auto"/>
                <w:sz w:val="22"/>
              </w:rPr>
              <w:t>RPL</w:t>
            </w:r>
          </w:p>
        </w:tc>
        <w:tc>
          <w:tcPr>
            <w:tcW w:w="290" w:type="dxa"/>
          </w:tcPr>
          <w:p w14:paraId="5E4AD2C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785ACBB" w14:textId="1F914C6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Environmental Management Plan</w:t>
            </w:r>
            <w:r w:rsidR="00207D60" w:rsidRPr="00563D71">
              <w:rPr>
                <w:rFonts w:eastAsiaTheme="minorHAnsi"/>
                <w:color w:val="auto"/>
                <w:sz w:val="22"/>
              </w:rPr>
              <w:t>-</w:t>
            </w:r>
            <w:r w:rsidRPr="00563D71">
              <w:rPr>
                <w:rFonts w:eastAsiaTheme="minorHAnsi"/>
                <w:color w:val="auto"/>
                <w:sz w:val="22"/>
              </w:rPr>
              <w:t>Environmental Monitoring Plan</w:t>
            </w:r>
          </w:p>
        </w:tc>
      </w:tr>
      <w:tr w:rsidR="008C5B16" w:rsidRPr="00563D71" w14:paraId="4E1805AE" w14:textId="77777777" w:rsidTr="00F852F3">
        <w:tc>
          <w:tcPr>
            <w:tcW w:w="1439" w:type="dxa"/>
          </w:tcPr>
          <w:p w14:paraId="689CEF3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RKP</w:t>
            </w:r>
          </w:p>
        </w:tc>
        <w:tc>
          <w:tcPr>
            <w:tcW w:w="290" w:type="dxa"/>
          </w:tcPr>
          <w:p w14:paraId="6790F846"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F918E97"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 xml:space="preserve">Rencana Kerja Pemerintah </w:t>
            </w:r>
            <w:r w:rsidRPr="00563D71">
              <w:rPr>
                <w:rFonts w:eastAsiaTheme="minorHAnsi"/>
                <w:color w:val="auto"/>
                <w:sz w:val="22"/>
              </w:rPr>
              <w:t>(government work plan)</w:t>
            </w:r>
          </w:p>
        </w:tc>
      </w:tr>
      <w:tr w:rsidR="008C5B16" w:rsidRPr="00563D71" w14:paraId="6195E2C6" w14:textId="77777777" w:rsidTr="00F852F3">
        <w:tc>
          <w:tcPr>
            <w:tcW w:w="1439" w:type="dxa"/>
          </w:tcPr>
          <w:p w14:paraId="0A9EC15A"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RPJMN</w:t>
            </w:r>
          </w:p>
        </w:tc>
        <w:tc>
          <w:tcPr>
            <w:tcW w:w="290" w:type="dxa"/>
          </w:tcPr>
          <w:p w14:paraId="076C44B5"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5F949145"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National Medium-Term Development Plan</w:t>
            </w:r>
          </w:p>
        </w:tc>
      </w:tr>
      <w:tr w:rsidR="008C5B16" w:rsidRPr="00563D71" w14:paraId="37CD8017" w14:textId="77777777" w:rsidTr="00F852F3">
        <w:tc>
          <w:tcPr>
            <w:tcW w:w="1439" w:type="dxa"/>
          </w:tcPr>
          <w:p w14:paraId="4E29B68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SEZ</w:t>
            </w:r>
          </w:p>
        </w:tc>
        <w:tc>
          <w:tcPr>
            <w:tcW w:w="290" w:type="dxa"/>
          </w:tcPr>
          <w:p w14:paraId="314CF2ED"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0102E4F" w14:textId="15668EDD" w:rsidR="008C5B16" w:rsidRPr="00563D71" w:rsidRDefault="00DB2444" w:rsidP="00DB2444">
            <w:pPr>
              <w:spacing w:before="0"/>
              <w:ind w:left="0" w:firstLine="0"/>
              <w:jc w:val="left"/>
              <w:rPr>
                <w:rFonts w:eastAsiaTheme="minorHAnsi"/>
                <w:color w:val="auto"/>
                <w:sz w:val="22"/>
              </w:rPr>
            </w:pPr>
            <w:r w:rsidRPr="00563D71">
              <w:rPr>
                <w:rFonts w:eastAsiaTheme="minorHAnsi"/>
                <w:color w:val="auto"/>
                <w:sz w:val="22"/>
              </w:rPr>
              <w:t>Special economic zone</w:t>
            </w:r>
          </w:p>
        </w:tc>
      </w:tr>
      <w:tr w:rsidR="008C5B16" w:rsidRPr="00563D71" w14:paraId="2DC56C31" w14:textId="77777777" w:rsidTr="00F852F3">
        <w:tc>
          <w:tcPr>
            <w:tcW w:w="1439" w:type="dxa"/>
          </w:tcPr>
          <w:p w14:paraId="61B7C1B4"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SME</w:t>
            </w:r>
          </w:p>
        </w:tc>
        <w:tc>
          <w:tcPr>
            <w:tcW w:w="290" w:type="dxa"/>
          </w:tcPr>
          <w:p w14:paraId="618EFDF1"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45B0E170"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Small and medium enterprises</w:t>
            </w:r>
          </w:p>
        </w:tc>
      </w:tr>
      <w:tr w:rsidR="008C5B16" w:rsidRPr="00563D71" w14:paraId="2474CA46" w14:textId="77777777" w:rsidTr="00F852F3">
        <w:tc>
          <w:tcPr>
            <w:tcW w:w="1439" w:type="dxa"/>
          </w:tcPr>
          <w:p w14:paraId="09D459D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SPPL</w:t>
            </w:r>
          </w:p>
        </w:tc>
        <w:tc>
          <w:tcPr>
            <w:tcW w:w="290" w:type="dxa"/>
          </w:tcPr>
          <w:p w14:paraId="32882065"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2B4F8382"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i/>
                <w:color w:val="auto"/>
                <w:sz w:val="22"/>
              </w:rPr>
              <w:t>Surat Pernyataan Kesanggupan Pengelolaan dan Pemantauan Lingkungan Hidup</w:t>
            </w:r>
            <w:r w:rsidRPr="00563D71">
              <w:rPr>
                <w:rFonts w:eastAsiaTheme="minorHAnsi"/>
                <w:color w:val="auto"/>
                <w:sz w:val="22"/>
              </w:rPr>
              <w:t xml:space="preserve"> (Commitment Letter for Environmental Management and Monitoring)</w:t>
            </w:r>
          </w:p>
        </w:tc>
      </w:tr>
      <w:tr w:rsidR="008C5B16" w:rsidRPr="00563D71" w14:paraId="6408743C" w14:textId="77777777" w:rsidTr="00F852F3">
        <w:tc>
          <w:tcPr>
            <w:tcW w:w="1439" w:type="dxa"/>
          </w:tcPr>
          <w:p w14:paraId="2F80B42D"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STO</w:t>
            </w:r>
          </w:p>
        </w:tc>
        <w:tc>
          <w:tcPr>
            <w:tcW w:w="290" w:type="dxa"/>
          </w:tcPr>
          <w:p w14:paraId="778CE688"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374D47B"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 xml:space="preserve">Sustainable Tourism Observatory </w:t>
            </w:r>
          </w:p>
        </w:tc>
      </w:tr>
      <w:tr w:rsidR="008C5B16" w:rsidRPr="00563D71" w14:paraId="41EEE3DE" w14:textId="77777777" w:rsidTr="00F852F3">
        <w:tc>
          <w:tcPr>
            <w:tcW w:w="1439" w:type="dxa"/>
          </w:tcPr>
          <w:p w14:paraId="335FFDE3"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TA</w:t>
            </w:r>
          </w:p>
        </w:tc>
        <w:tc>
          <w:tcPr>
            <w:tcW w:w="290" w:type="dxa"/>
          </w:tcPr>
          <w:p w14:paraId="049BAA03"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2D5DF93"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Technical Assistance</w:t>
            </w:r>
          </w:p>
        </w:tc>
      </w:tr>
      <w:tr w:rsidR="00446FDF" w:rsidRPr="00563D71" w14:paraId="2F16F99D" w14:textId="77777777" w:rsidTr="00F852F3">
        <w:tc>
          <w:tcPr>
            <w:tcW w:w="1439" w:type="dxa"/>
          </w:tcPr>
          <w:p w14:paraId="4545C23A" w14:textId="1F72CE62" w:rsidR="00446FDF" w:rsidRPr="00563D71" w:rsidRDefault="00446FDF" w:rsidP="00DE434F">
            <w:pPr>
              <w:spacing w:before="0"/>
              <w:ind w:left="0" w:firstLine="0"/>
              <w:jc w:val="left"/>
              <w:rPr>
                <w:rFonts w:eastAsiaTheme="minorHAnsi"/>
                <w:color w:val="auto"/>
                <w:sz w:val="22"/>
              </w:rPr>
            </w:pPr>
            <w:r>
              <w:rPr>
                <w:rFonts w:eastAsiaTheme="minorHAnsi"/>
                <w:color w:val="auto"/>
                <w:sz w:val="22"/>
              </w:rPr>
              <w:t>TDP</w:t>
            </w:r>
          </w:p>
        </w:tc>
        <w:tc>
          <w:tcPr>
            <w:tcW w:w="290" w:type="dxa"/>
          </w:tcPr>
          <w:p w14:paraId="203905BC" w14:textId="126450FC" w:rsidR="00446FDF" w:rsidRPr="00563D71" w:rsidRDefault="00446FDF" w:rsidP="00DE434F">
            <w:pPr>
              <w:spacing w:before="0"/>
              <w:ind w:left="0" w:firstLine="0"/>
              <w:jc w:val="center"/>
              <w:rPr>
                <w:rFonts w:eastAsiaTheme="minorHAnsi"/>
                <w:color w:val="auto"/>
                <w:sz w:val="22"/>
              </w:rPr>
            </w:pPr>
            <w:r>
              <w:rPr>
                <w:rFonts w:eastAsiaTheme="minorHAnsi"/>
                <w:color w:val="auto"/>
                <w:sz w:val="22"/>
              </w:rPr>
              <w:t>-</w:t>
            </w:r>
          </w:p>
        </w:tc>
        <w:tc>
          <w:tcPr>
            <w:tcW w:w="7287" w:type="dxa"/>
          </w:tcPr>
          <w:p w14:paraId="469DCEE5" w14:textId="2D837CAF" w:rsidR="00446FDF" w:rsidRPr="00563D71" w:rsidRDefault="00446FDF" w:rsidP="00DE434F">
            <w:pPr>
              <w:spacing w:before="0"/>
              <w:ind w:left="0" w:firstLine="0"/>
              <w:jc w:val="left"/>
              <w:rPr>
                <w:rFonts w:eastAsiaTheme="minorHAnsi"/>
                <w:color w:val="auto"/>
                <w:sz w:val="22"/>
              </w:rPr>
            </w:pPr>
            <w:r>
              <w:rPr>
                <w:rFonts w:eastAsiaTheme="minorHAnsi"/>
                <w:color w:val="auto"/>
                <w:sz w:val="22"/>
              </w:rPr>
              <w:t>Tourism Development Program</w:t>
            </w:r>
          </w:p>
        </w:tc>
      </w:tr>
      <w:tr w:rsidR="008C5B16" w:rsidRPr="00563D71" w14:paraId="67CD6278" w14:textId="77777777" w:rsidTr="00F852F3">
        <w:tc>
          <w:tcPr>
            <w:tcW w:w="1439" w:type="dxa"/>
          </w:tcPr>
          <w:p w14:paraId="04A890D9"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TVE</w:t>
            </w:r>
          </w:p>
        </w:tc>
        <w:tc>
          <w:tcPr>
            <w:tcW w:w="290" w:type="dxa"/>
          </w:tcPr>
          <w:p w14:paraId="51C97619"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38C48FCC" w14:textId="3F052BF1" w:rsidR="008C5B16" w:rsidRPr="00563D71" w:rsidRDefault="008C5B16" w:rsidP="00E3128E">
            <w:pPr>
              <w:spacing w:before="0"/>
              <w:ind w:left="0" w:firstLine="0"/>
              <w:jc w:val="left"/>
              <w:rPr>
                <w:rFonts w:eastAsiaTheme="minorHAnsi"/>
                <w:color w:val="auto"/>
                <w:sz w:val="22"/>
              </w:rPr>
            </w:pPr>
            <w:r w:rsidRPr="00563D71">
              <w:rPr>
                <w:rFonts w:eastAsiaTheme="minorHAnsi"/>
                <w:color w:val="auto"/>
                <w:sz w:val="22"/>
              </w:rPr>
              <w:t xml:space="preserve">Technical and </w:t>
            </w:r>
            <w:r w:rsidR="00E3128E" w:rsidRPr="00563D71">
              <w:rPr>
                <w:rFonts w:eastAsiaTheme="minorHAnsi"/>
                <w:color w:val="auto"/>
                <w:sz w:val="22"/>
              </w:rPr>
              <w:t>v</w:t>
            </w:r>
            <w:r w:rsidRPr="00563D71">
              <w:rPr>
                <w:rFonts w:eastAsiaTheme="minorHAnsi"/>
                <w:color w:val="auto"/>
                <w:sz w:val="22"/>
              </w:rPr>
              <w:t xml:space="preserve">ocational </w:t>
            </w:r>
            <w:r w:rsidR="00E3128E" w:rsidRPr="00563D71">
              <w:rPr>
                <w:rFonts w:eastAsiaTheme="minorHAnsi"/>
                <w:color w:val="auto"/>
                <w:sz w:val="22"/>
              </w:rPr>
              <w:t>e</w:t>
            </w:r>
            <w:r w:rsidRPr="00563D71">
              <w:rPr>
                <w:rFonts w:eastAsiaTheme="minorHAnsi"/>
                <w:color w:val="auto"/>
                <w:sz w:val="22"/>
              </w:rPr>
              <w:t xml:space="preserve">ducation </w:t>
            </w:r>
          </w:p>
        </w:tc>
      </w:tr>
      <w:tr w:rsidR="008C5B16" w:rsidRPr="00563D71" w14:paraId="579A226D" w14:textId="77777777" w:rsidTr="00F852F3">
        <w:tc>
          <w:tcPr>
            <w:tcW w:w="1439" w:type="dxa"/>
          </w:tcPr>
          <w:p w14:paraId="4D477BDF"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TVET</w:t>
            </w:r>
          </w:p>
        </w:tc>
        <w:tc>
          <w:tcPr>
            <w:tcW w:w="290" w:type="dxa"/>
          </w:tcPr>
          <w:p w14:paraId="4A67F187"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10A9A7E1" w14:textId="30B9BB34" w:rsidR="008C5B16" w:rsidRPr="00563D71" w:rsidRDefault="008C5B16" w:rsidP="00E3128E">
            <w:pPr>
              <w:spacing w:before="0"/>
              <w:ind w:left="0" w:firstLine="0"/>
              <w:jc w:val="left"/>
              <w:rPr>
                <w:rFonts w:eastAsiaTheme="minorHAnsi"/>
                <w:color w:val="auto"/>
                <w:sz w:val="22"/>
              </w:rPr>
            </w:pPr>
            <w:r w:rsidRPr="00563D71">
              <w:rPr>
                <w:rFonts w:eastAsiaTheme="minorHAnsi"/>
                <w:color w:val="auto"/>
                <w:sz w:val="22"/>
              </w:rPr>
              <w:t xml:space="preserve">Technical and </w:t>
            </w:r>
            <w:r w:rsidR="00E3128E" w:rsidRPr="00563D71">
              <w:rPr>
                <w:rFonts w:eastAsiaTheme="minorHAnsi"/>
                <w:color w:val="auto"/>
                <w:sz w:val="22"/>
              </w:rPr>
              <w:t>v</w:t>
            </w:r>
            <w:r w:rsidRPr="00563D71">
              <w:rPr>
                <w:rFonts w:eastAsiaTheme="minorHAnsi"/>
                <w:color w:val="auto"/>
                <w:sz w:val="22"/>
              </w:rPr>
              <w:t xml:space="preserve">ocational </w:t>
            </w:r>
            <w:r w:rsidR="00E3128E" w:rsidRPr="00563D71">
              <w:rPr>
                <w:rFonts w:eastAsiaTheme="minorHAnsi"/>
                <w:color w:val="auto"/>
                <w:sz w:val="22"/>
              </w:rPr>
              <w:t>e</w:t>
            </w:r>
            <w:r w:rsidRPr="00563D71">
              <w:rPr>
                <w:rFonts w:eastAsiaTheme="minorHAnsi"/>
                <w:color w:val="auto"/>
                <w:sz w:val="22"/>
              </w:rPr>
              <w:t xml:space="preserve">ducation and </w:t>
            </w:r>
            <w:r w:rsidR="00E3128E" w:rsidRPr="00563D71">
              <w:rPr>
                <w:rFonts w:eastAsiaTheme="minorHAnsi"/>
                <w:color w:val="auto"/>
                <w:sz w:val="22"/>
              </w:rPr>
              <w:t>t</w:t>
            </w:r>
            <w:r w:rsidRPr="00563D71">
              <w:rPr>
                <w:rFonts w:eastAsiaTheme="minorHAnsi"/>
                <w:color w:val="auto"/>
                <w:sz w:val="22"/>
              </w:rPr>
              <w:t>raining</w:t>
            </w:r>
          </w:p>
        </w:tc>
      </w:tr>
      <w:tr w:rsidR="008C5B16" w:rsidRPr="00563D71" w14:paraId="66D9B3BF" w14:textId="77777777" w:rsidTr="00F852F3">
        <w:tc>
          <w:tcPr>
            <w:tcW w:w="1439" w:type="dxa"/>
          </w:tcPr>
          <w:p w14:paraId="4F279892"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UKL-UPL</w:t>
            </w:r>
          </w:p>
        </w:tc>
        <w:tc>
          <w:tcPr>
            <w:tcW w:w="290" w:type="dxa"/>
          </w:tcPr>
          <w:p w14:paraId="3D15053C"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6A76B3B9" w14:textId="65DD4F41" w:rsidR="008C5B16" w:rsidRPr="00563D71" w:rsidRDefault="008C5B16" w:rsidP="00207D60">
            <w:pPr>
              <w:spacing w:before="0"/>
              <w:ind w:left="0" w:firstLine="0"/>
              <w:jc w:val="left"/>
              <w:rPr>
                <w:rFonts w:eastAsiaTheme="minorHAnsi"/>
                <w:color w:val="auto"/>
                <w:sz w:val="22"/>
              </w:rPr>
            </w:pPr>
            <w:r w:rsidRPr="00563D71">
              <w:rPr>
                <w:rFonts w:eastAsiaTheme="minorHAnsi"/>
                <w:i/>
                <w:color w:val="auto"/>
                <w:sz w:val="22"/>
              </w:rPr>
              <w:t>Upaya Pengelolaan Lingkungan Hidup</w:t>
            </w:r>
            <w:r w:rsidR="00207D60" w:rsidRPr="00563D71">
              <w:rPr>
                <w:rFonts w:eastAsiaTheme="minorHAnsi"/>
                <w:i/>
                <w:color w:val="auto"/>
                <w:sz w:val="22"/>
              </w:rPr>
              <w:t>-</w:t>
            </w:r>
            <w:r w:rsidRPr="00563D71">
              <w:rPr>
                <w:rFonts w:eastAsiaTheme="minorHAnsi"/>
                <w:i/>
                <w:color w:val="auto"/>
                <w:sz w:val="22"/>
              </w:rPr>
              <w:t xml:space="preserve"> Upaya Pemantauan Lingkungan Hidup</w:t>
            </w:r>
            <w:r w:rsidRPr="00563D71">
              <w:rPr>
                <w:rFonts w:eastAsiaTheme="minorHAnsi"/>
                <w:color w:val="auto"/>
                <w:sz w:val="22"/>
              </w:rPr>
              <w:t xml:space="preserve"> (Environmental Management Plan</w:t>
            </w:r>
            <w:r w:rsidR="00207D60" w:rsidRPr="00563D71">
              <w:rPr>
                <w:rFonts w:eastAsiaTheme="minorHAnsi"/>
                <w:color w:val="auto"/>
                <w:sz w:val="22"/>
              </w:rPr>
              <w:t>-</w:t>
            </w:r>
            <w:r w:rsidRPr="00563D71">
              <w:rPr>
                <w:rFonts w:eastAsiaTheme="minorHAnsi"/>
                <w:color w:val="auto"/>
                <w:sz w:val="22"/>
              </w:rPr>
              <w:t>Environmental Monitoring Plan)</w:t>
            </w:r>
          </w:p>
        </w:tc>
      </w:tr>
      <w:tr w:rsidR="008C5B16" w:rsidRPr="00563D71" w14:paraId="6DF6760F" w14:textId="77777777" w:rsidTr="00F852F3">
        <w:tc>
          <w:tcPr>
            <w:tcW w:w="1439" w:type="dxa"/>
          </w:tcPr>
          <w:p w14:paraId="48D183AC"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UNESCO</w:t>
            </w:r>
          </w:p>
        </w:tc>
        <w:tc>
          <w:tcPr>
            <w:tcW w:w="290" w:type="dxa"/>
          </w:tcPr>
          <w:p w14:paraId="28B53CCB"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4BEA1362"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United Nations Educational, Scientific and Cultural Organization</w:t>
            </w:r>
          </w:p>
        </w:tc>
      </w:tr>
      <w:tr w:rsidR="008C5B16" w:rsidRPr="00563D71" w14:paraId="4BC91484" w14:textId="77777777" w:rsidTr="00F852F3">
        <w:tc>
          <w:tcPr>
            <w:tcW w:w="1439" w:type="dxa"/>
          </w:tcPr>
          <w:p w14:paraId="231C0706"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UNWTO</w:t>
            </w:r>
          </w:p>
        </w:tc>
        <w:tc>
          <w:tcPr>
            <w:tcW w:w="290" w:type="dxa"/>
          </w:tcPr>
          <w:p w14:paraId="0546487A" w14:textId="77777777" w:rsidR="008C5B16" w:rsidRPr="00563D71" w:rsidRDefault="008C5B16" w:rsidP="00DE434F">
            <w:pPr>
              <w:spacing w:before="0"/>
              <w:ind w:left="0" w:firstLine="0"/>
              <w:jc w:val="center"/>
              <w:rPr>
                <w:rFonts w:eastAsiaTheme="minorHAnsi"/>
                <w:color w:val="auto"/>
                <w:sz w:val="22"/>
              </w:rPr>
            </w:pPr>
            <w:r w:rsidRPr="00563D71">
              <w:rPr>
                <w:rFonts w:eastAsiaTheme="minorHAnsi"/>
                <w:color w:val="auto"/>
                <w:sz w:val="22"/>
              </w:rPr>
              <w:t>-</w:t>
            </w:r>
          </w:p>
        </w:tc>
        <w:tc>
          <w:tcPr>
            <w:tcW w:w="7287" w:type="dxa"/>
          </w:tcPr>
          <w:p w14:paraId="745714E2" w14:textId="77777777" w:rsidR="008C5B16" w:rsidRPr="00563D71" w:rsidRDefault="008C5B16" w:rsidP="00DE434F">
            <w:pPr>
              <w:spacing w:before="0"/>
              <w:ind w:left="0" w:firstLine="0"/>
              <w:jc w:val="left"/>
              <w:rPr>
                <w:rFonts w:eastAsiaTheme="minorHAnsi"/>
                <w:color w:val="auto"/>
                <w:sz w:val="22"/>
              </w:rPr>
            </w:pPr>
            <w:r w:rsidRPr="00563D71">
              <w:rPr>
                <w:rFonts w:eastAsiaTheme="minorHAnsi"/>
                <w:color w:val="auto"/>
                <w:sz w:val="22"/>
              </w:rPr>
              <w:t xml:space="preserve">UN World Tourism Organization </w:t>
            </w:r>
          </w:p>
        </w:tc>
      </w:tr>
      <w:tr w:rsidR="008C5B16" w:rsidRPr="00563D71" w14:paraId="6B9A9659" w14:textId="77777777" w:rsidTr="00AA6B8F">
        <w:tc>
          <w:tcPr>
            <w:tcW w:w="1439" w:type="dxa"/>
          </w:tcPr>
          <w:p w14:paraId="363A484E" w14:textId="77777777" w:rsidR="008C5B16" w:rsidRPr="00563D71" w:rsidRDefault="008C5B16" w:rsidP="00DE434F">
            <w:pPr>
              <w:spacing w:before="0"/>
              <w:ind w:left="0" w:firstLine="0"/>
              <w:jc w:val="left"/>
              <w:rPr>
                <w:rFonts w:eastAsiaTheme="minorHAnsi"/>
                <w:color w:val="auto"/>
                <w:sz w:val="22"/>
              </w:rPr>
            </w:pPr>
          </w:p>
        </w:tc>
        <w:tc>
          <w:tcPr>
            <w:tcW w:w="290" w:type="dxa"/>
          </w:tcPr>
          <w:p w14:paraId="74F49759" w14:textId="77777777" w:rsidR="008C5B16" w:rsidRPr="00563D71" w:rsidRDefault="008C5B16" w:rsidP="00DE434F">
            <w:pPr>
              <w:spacing w:before="0"/>
              <w:ind w:left="0" w:firstLine="0"/>
              <w:jc w:val="center"/>
              <w:rPr>
                <w:rFonts w:eastAsiaTheme="minorHAnsi"/>
                <w:color w:val="auto"/>
                <w:sz w:val="22"/>
              </w:rPr>
            </w:pPr>
          </w:p>
        </w:tc>
        <w:tc>
          <w:tcPr>
            <w:tcW w:w="7287" w:type="dxa"/>
          </w:tcPr>
          <w:p w14:paraId="665F2851" w14:textId="7E357771" w:rsidR="008C5B16" w:rsidRPr="00563D71" w:rsidRDefault="008C5B16" w:rsidP="00DE434F">
            <w:pPr>
              <w:spacing w:before="0"/>
              <w:ind w:left="0" w:firstLine="0"/>
              <w:jc w:val="left"/>
              <w:rPr>
                <w:rFonts w:eastAsiaTheme="minorHAnsi"/>
                <w:color w:val="auto"/>
                <w:sz w:val="22"/>
              </w:rPr>
            </w:pPr>
          </w:p>
        </w:tc>
      </w:tr>
      <w:tr w:rsidR="008C5B16" w:rsidRPr="00563D71" w14:paraId="13661B21" w14:textId="77777777" w:rsidTr="00AA6B8F">
        <w:tc>
          <w:tcPr>
            <w:tcW w:w="1439" w:type="dxa"/>
          </w:tcPr>
          <w:p w14:paraId="2486B5E4" w14:textId="77777777" w:rsidR="008C5B16" w:rsidRPr="00563D71" w:rsidRDefault="008C5B16" w:rsidP="00DE434F">
            <w:pPr>
              <w:spacing w:before="0"/>
              <w:ind w:left="0" w:firstLine="0"/>
              <w:jc w:val="left"/>
              <w:rPr>
                <w:rFonts w:eastAsiaTheme="minorHAnsi"/>
                <w:color w:val="auto"/>
                <w:sz w:val="22"/>
              </w:rPr>
            </w:pPr>
          </w:p>
        </w:tc>
        <w:tc>
          <w:tcPr>
            <w:tcW w:w="290" w:type="dxa"/>
          </w:tcPr>
          <w:p w14:paraId="5EFCB27C" w14:textId="77777777" w:rsidR="008C5B16" w:rsidRPr="00563D71" w:rsidRDefault="008C5B16" w:rsidP="00DE434F">
            <w:pPr>
              <w:spacing w:before="0"/>
              <w:ind w:left="0" w:firstLine="0"/>
              <w:jc w:val="center"/>
              <w:rPr>
                <w:rFonts w:eastAsiaTheme="minorHAnsi"/>
                <w:color w:val="auto"/>
                <w:sz w:val="22"/>
              </w:rPr>
            </w:pPr>
          </w:p>
        </w:tc>
        <w:tc>
          <w:tcPr>
            <w:tcW w:w="7287" w:type="dxa"/>
          </w:tcPr>
          <w:p w14:paraId="1F5823E7" w14:textId="77777777" w:rsidR="008C5B16" w:rsidRPr="00563D71" w:rsidRDefault="008C5B16" w:rsidP="00DE434F">
            <w:pPr>
              <w:spacing w:before="0"/>
              <w:ind w:left="0" w:firstLine="0"/>
              <w:jc w:val="left"/>
              <w:rPr>
                <w:rFonts w:eastAsiaTheme="minorHAnsi"/>
                <w:color w:val="auto"/>
                <w:sz w:val="22"/>
              </w:rPr>
            </w:pPr>
          </w:p>
        </w:tc>
      </w:tr>
    </w:tbl>
    <w:p w14:paraId="079D226F" w14:textId="77777777" w:rsidR="008A7DF6" w:rsidRPr="00563D71" w:rsidRDefault="008A7DF6">
      <w:pPr>
        <w:spacing w:line="259" w:lineRule="auto"/>
        <w:ind w:left="10" w:right="5"/>
        <w:jc w:val="center"/>
        <w:rPr>
          <w:b/>
          <w:sz w:val="22"/>
        </w:rPr>
      </w:pPr>
    </w:p>
    <w:p w14:paraId="28CBAA14" w14:textId="77777777" w:rsidR="008A7DF6" w:rsidRPr="00563D71" w:rsidRDefault="008A7DF6">
      <w:pPr>
        <w:spacing w:after="160" w:line="259" w:lineRule="auto"/>
        <w:ind w:left="0" w:firstLine="0"/>
        <w:jc w:val="left"/>
        <w:rPr>
          <w:b/>
          <w:sz w:val="22"/>
        </w:rPr>
      </w:pPr>
      <w:r w:rsidRPr="00563D71">
        <w:rPr>
          <w:b/>
          <w:sz w:val="22"/>
        </w:rPr>
        <w:br w:type="page"/>
      </w:r>
    </w:p>
    <w:p w14:paraId="10910910" w14:textId="323EA84F" w:rsidR="00245F03" w:rsidRPr="00563D71" w:rsidRDefault="007066E2">
      <w:pPr>
        <w:spacing w:line="259" w:lineRule="auto"/>
        <w:ind w:left="10" w:right="5"/>
        <w:jc w:val="center"/>
        <w:rPr>
          <w:sz w:val="28"/>
          <w:szCs w:val="24"/>
        </w:rPr>
      </w:pPr>
      <w:r w:rsidRPr="00563D71">
        <w:rPr>
          <w:b/>
          <w:szCs w:val="24"/>
        </w:rPr>
        <w:lastRenderedPageBreak/>
        <w:t>T</w:t>
      </w:r>
      <w:r w:rsidR="00D04B10" w:rsidRPr="00563D71">
        <w:rPr>
          <w:b/>
          <w:szCs w:val="24"/>
        </w:rPr>
        <w:t xml:space="preserve">ABLE OF CONTENTS </w:t>
      </w:r>
    </w:p>
    <w:p w14:paraId="7A292086" w14:textId="77777777" w:rsidR="00A064D5" w:rsidRPr="00A064D5" w:rsidRDefault="00B12E8A" w:rsidP="00A064D5">
      <w:pPr>
        <w:pStyle w:val="TOC1"/>
        <w:tabs>
          <w:tab w:val="right" w:leader="dot" w:pos="9350"/>
        </w:tabs>
        <w:ind w:firstLine="0"/>
        <w:rPr>
          <w:rFonts w:asciiTheme="majorBidi" w:eastAsiaTheme="minorEastAsia" w:hAnsiTheme="majorBidi" w:cstheme="majorBidi"/>
          <w:b w:val="0"/>
          <w:bCs w:val="0"/>
          <w:caps/>
          <w:noProof/>
          <w:color w:val="auto"/>
        </w:rPr>
      </w:pPr>
      <w:r w:rsidRPr="00A064D5">
        <w:rPr>
          <w:rFonts w:asciiTheme="majorBidi" w:hAnsiTheme="majorBidi" w:cstheme="majorBidi"/>
        </w:rPr>
        <w:fldChar w:fldCharType="begin"/>
      </w:r>
      <w:r w:rsidRPr="00A064D5">
        <w:rPr>
          <w:rFonts w:asciiTheme="majorBidi" w:hAnsiTheme="majorBidi" w:cstheme="majorBidi"/>
        </w:rPr>
        <w:instrText xml:space="preserve"> TOC \o "1-3" </w:instrText>
      </w:r>
      <w:r w:rsidRPr="00A064D5">
        <w:rPr>
          <w:rFonts w:asciiTheme="majorBidi" w:hAnsiTheme="majorBidi" w:cstheme="majorBidi"/>
        </w:rPr>
        <w:fldChar w:fldCharType="separate"/>
      </w:r>
    </w:p>
    <w:p w14:paraId="07A21D98" w14:textId="45E1D908"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ACRONYMS AND ABBREVIATIONS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_Toc485831020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iii</w:t>
      </w:r>
      <w:r w:rsidRPr="00A064D5">
        <w:rPr>
          <w:rFonts w:asciiTheme="majorBidi" w:hAnsiTheme="majorBidi" w:cstheme="majorBidi"/>
          <w:noProof/>
        </w:rPr>
        <w:fldChar w:fldCharType="end"/>
      </w:r>
    </w:p>
    <w:p w14:paraId="71560617" w14:textId="0A688D79"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EXECUTIVE SUMMARY</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_Toc485831021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vii</w:t>
      </w:r>
      <w:r w:rsidRPr="00A064D5">
        <w:rPr>
          <w:rFonts w:asciiTheme="majorBidi" w:hAnsiTheme="majorBidi" w:cstheme="majorBidi"/>
          <w:noProof/>
        </w:rPr>
        <w:fldChar w:fldCharType="end"/>
      </w:r>
    </w:p>
    <w:p w14:paraId="0C349133" w14:textId="17A5CF6E"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INTRODUCTION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_Toc485831022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1</w:t>
      </w:r>
      <w:r w:rsidRPr="00A064D5">
        <w:rPr>
          <w:rFonts w:asciiTheme="majorBidi" w:hAnsiTheme="majorBidi" w:cstheme="majorBidi"/>
          <w:noProof/>
        </w:rPr>
        <w:fldChar w:fldCharType="end"/>
      </w:r>
    </w:p>
    <w:p w14:paraId="57B31A48" w14:textId="38941341" w:rsidR="00A064D5" w:rsidRPr="00A064D5" w:rsidRDefault="00A064D5">
      <w:pPr>
        <w:pStyle w:val="TOC1"/>
        <w:tabs>
          <w:tab w:val="left" w:pos="480"/>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1</w:t>
      </w:r>
      <w:r w:rsidRPr="00A064D5">
        <w:rPr>
          <w:rFonts w:asciiTheme="majorBidi" w:eastAsiaTheme="minorEastAsia" w:hAnsiTheme="majorBidi" w:cstheme="majorBidi"/>
          <w:b w:val="0"/>
          <w:bCs w:val="0"/>
          <w:caps/>
          <w:noProof/>
          <w:color w:val="auto"/>
        </w:rPr>
        <w:tab/>
      </w:r>
      <w:r w:rsidRPr="00A064D5">
        <w:rPr>
          <w:rFonts w:asciiTheme="majorBidi" w:hAnsiTheme="majorBidi" w:cstheme="majorBidi"/>
          <w:noProof/>
        </w:rPr>
        <w:t>PROGRAM DESCRIPTION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_Toc485831023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4</w:t>
      </w:r>
      <w:r w:rsidRPr="00A064D5">
        <w:rPr>
          <w:rFonts w:asciiTheme="majorBidi" w:hAnsiTheme="majorBidi" w:cstheme="majorBidi"/>
          <w:noProof/>
        </w:rPr>
        <w:fldChar w:fldCharType="end"/>
      </w:r>
    </w:p>
    <w:p w14:paraId="0D04244F" w14:textId="3515DBB2"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1.1</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Program Scope</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_Toc485831024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4</w:t>
      </w:r>
      <w:r w:rsidRPr="00A064D5">
        <w:rPr>
          <w:rFonts w:asciiTheme="majorBidi" w:hAnsiTheme="majorBidi" w:cstheme="majorBidi"/>
          <w:noProof/>
        </w:rPr>
        <w:fldChar w:fldCharType="end"/>
      </w:r>
    </w:p>
    <w:p w14:paraId="72F1B09B" w14:textId="0CFB3EBF"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1.2</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Typology of Expenditures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_Toc485831025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13</w:t>
      </w:r>
      <w:r w:rsidRPr="00A064D5">
        <w:rPr>
          <w:rFonts w:asciiTheme="majorBidi" w:hAnsiTheme="majorBidi" w:cstheme="majorBidi"/>
          <w:noProof/>
        </w:rPr>
        <w:fldChar w:fldCharType="end"/>
      </w:r>
    </w:p>
    <w:p w14:paraId="3D111635" w14:textId="0994BCE9" w:rsidR="00A064D5" w:rsidRPr="00A064D5" w:rsidRDefault="00A064D5">
      <w:pPr>
        <w:pStyle w:val="TOC1"/>
        <w:tabs>
          <w:tab w:val="left" w:pos="480"/>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2</w:t>
      </w:r>
      <w:r w:rsidRPr="00A064D5">
        <w:rPr>
          <w:rFonts w:asciiTheme="majorBidi" w:eastAsiaTheme="minorEastAsia" w:hAnsiTheme="majorBidi" w:cstheme="majorBidi"/>
          <w:b w:val="0"/>
          <w:bCs w:val="0"/>
          <w:caps/>
          <w:noProof/>
          <w:color w:val="auto"/>
        </w:rPr>
        <w:tab/>
      </w:r>
      <w:r w:rsidRPr="00A064D5">
        <w:rPr>
          <w:rFonts w:asciiTheme="majorBidi" w:hAnsiTheme="majorBidi" w:cstheme="majorBidi"/>
          <w:noProof/>
        </w:rPr>
        <w:t>SCOPE AND METHODOLOGY</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_Toc485831026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19</w:t>
      </w:r>
      <w:r w:rsidRPr="00A064D5">
        <w:rPr>
          <w:rFonts w:asciiTheme="majorBidi" w:hAnsiTheme="majorBidi" w:cstheme="majorBidi"/>
          <w:noProof/>
        </w:rPr>
        <w:fldChar w:fldCharType="end"/>
      </w:r>
    </w:p>
    <w:p w14:paraId="538DB84F" w14:textId="27A45F12" w:rsidR="00A064D5" w:rsidRPr="00A064D5" w:rsidRDefault="00A064D5">
      <w:pPr>
        <w:pStyle w:val="TOC1"/>
        <w:tabs>
          <w:tab w:val="left" w:pos="480"/>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3</w:t>
      </w:r>
      <w:r w:rsidRPr="00A064D5">
        <w:rPr>
          <w:rFonts w:asciiTheme="majorBidi" w:eastAsiaTheme="minorEastAsia" w:hAnsiTheme="majorBidi" w:cstheme="majorBidi"/>
          <w:b w:val="0"/>
          <w:bCs w:val="0"/>
          <w:caps/>
          <w:noProof/>
          <w:color w:val="auto"/>
        </w:rPr>
        <w:tab/>
      </w:r>
      <w:r w:rsidRPr="00A064D5">
        <w:rPr>
          <w:rFonts w:asciiTheme="majorBidi" w:hAnsiTheme="majorBidi" w:cstheme="majorBidi"/>
          <w:noProof/>
        </w:rPr>
        <w:t>PROGRAM CONTEXT AND POTENTIAL ENVIRONMENTAL AND SOCIAL EFFECTS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_Toc485831027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21</w:t>
      </w:r>
      <w:r w:rsidRPr="00A064D5">
        <w:rPr>
          <w:rFonts w:asciiTheme="majorBidi" w:hAnsiTheme="majorBidi" w:cstheme="majorBidi"/>
          <w:noProof/>
        </w:rPr>
        <w:fldChar w:fldCharType="end"/>
      </w:r>
    </w:p>
    <w:p w14:paraId="7EE48C5B" w14:textId="16E0AEC3"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3.1</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Environmental and Social Context</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_Toc485831028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21</w:t>
      </w:r>
      <w:r w:rsidRPr="00A064D5">
        <w:rPr>
          <w:rFonts w:asciiTheme="majorBidi" w:hAnsiTheme="majorBidi" w:cstheme="majorBidi"/>
          <w:noProof/>
        </w:rPr>
        <w:fldChar w:fldCharType="end"/>
      </w:r>
    </w:p>
    <w:p w14:paraId="20E98136" w14:textId="5CCCBCFE"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3.2</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Potential Environmental Benefits, Impacts, and Mitigation Measures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_Toc485831029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25</w:t>
      </w:r>
      <w:r w:rsidRPr="00A064D5">
        <w:rPr>
          <w:rFonts w:asciiTheme="majorBidi" w:hAnsiTheme="majorBidi" w:cstheme="majorBidi"/>
          <w:noProof/>
        </w:rPr>
        <w:fldChar w:fldCharType="end"/>
      </w:r>
    </w:p>
    <w:p w14:paraId="390EBBBA" w14:textId="528D0B92"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3.3</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Potential Social Benefits, Impacts, and Mitigation Measures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_Toc485831030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29</w:t>
      </w:r>
      <w:r w:rsidRPr="00A064D5">
        <w:rPr>
          <w:rFonts w:asciiTheme="majorBidi" w:hAnsiTheme="majorBidi" w:cstheme="majorBidi"/>
          <w:noProof/>
        </w:rPr>
        <w:fldChar w:fldCharType="end"/>
      </w:r>
    </w:p>
    <w:p w14:paraId="05449083" w14:textId="4402CCE5" w:rsidR="00A064D5" w:rsidRPr="00A064D5" w:rsidRDefault="00A064D5">
      <w:pPr>
        <w:pStyle w:val="TOC1"/>
        <w:tabs>
          <w:tab w:val="left" w:pos="480"/>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4</w:t>
      </w:r>
      <w:r w:rsidRPr="00A064D5">
        <w:rPr>
          <w:rFonts w:asciiTheme="majorBidi" w:eastAsiaTheme="minorEastAsia" w:hAnsiTheme="majorBidi" w:cstheme="majorBidi"/>
          <w:b w:val="0"/>
          <w:bCs w:val="0"/>
          <w:caps/>
          <w:noProof/>
          <w:color w:val="auto"/>
        </w:rPr>
        <w:tab/>
      </w:r>
      <w:r w:rsidRPr="00A064D5">
        <w:rPr>
          <w:rFonts w:asciiTheme="majorBidi" w:hAnsiTheme="majorBidi" w:cstheme="majorBidi"/>
          <w:noProof/>
        </w:rPr>
        <w:t>NATIONAL ENVIRONMENTAL AND SOCIAL MANAGEMENT SYSTEM</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_Toc485831031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31</w:t>
      </w:r>
      <w:r w:rsidRPr="00A064D5">
        <w:rPr>
          <w:rFonts w:asciiTheme="majorBidi" w:hAnsiTheme="majorBidi" w:cstheme="majorBidi"/>
          <w:noProof/>
        </w:rPr>
        <w:fldChar w:fldCharType="end"/>
      </w:r>
    </w:p>
    <w:p w14:paraId="32689F13" w14:textId="267D8E49"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iCs/>
          <w:noProof/>
        </w:rPr>
        <w:t>4.1</w:t>
      </w:r>
      <w:r w:rsidRPr="00A064D5">
        <w:rPr>
          <w:rFonts w:asciiTheme="majorBidi" w:eastAsia="Arial" w:hAnsiTheme="majorBidi" w:cstheme="majorBidi"/>
          <w:iCs/>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iCs/>
          <w:noProof/>
        </w:rPr>
        <w:t>Policy, Legislative, and Regulatory Framework</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_Toc485831032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31</w:t>
      </w:r>
      <w:r w:rsidRPr="00A064D5">
        <w:rPr>
          <w:rFonts w:asciiTheme="majorBidi" w:hAnsiTheme="majorBidi" w:cstheme="majorBidi"/>
          <w:noProof/>
        </w:rPr>
        <w:fldChar w:fldCharType="end"/>
      </w:r>
    </w:p>
    <w:p w14:paraId="72AB5931" w14:textId="56A700C8"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iCs/>
          <w:noProof/>
        </w:rPr>
        <w:t>4.</w:t>
      </w:r>
      <w:r w:rsidRPr="00A064D5">
        <w:rPr>
          <w:rFonts w:asciiTheme="majorBidi" w:hAnsiTheme="majorBidi" w:cstheme="majorBidi"/>
          <w:noProof/>
        </w:rPr>
        <w:t>2</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iCs/>
          <w:noProof/>
        </w:rPr>
        <w:t xml:space="preserve"> </w:t>
      </w:r>
      <w:r w:rsidRPr="00A064D5">
        <w:rPr>
          <w:rFonts w:asciiTheme="majorBidi" w:hAnsiTheme="majorBidi" w:cstheme="majorBidi"/>
          <w:noProof/>
        </w:rPr>
        <w:t>Institutional Framework</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_Toc485831033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39</w:t>
      </w:r>
      <w:r w:rsidRPr="00A064D5">
        <w:rPr>
          <w:rFonts w:asciiTheme="majorBidi" w:hAnsiTheme="majorBidi" w:cstheme="majorBidi"/>
          <w:noProof/>
        </w:rPr>
        <w:fldChar w:fldCharType="end"/>
      </w:r>
    </w:p>
    <w:p w14:paraId="32899CF8" w14:textId="2D15347A"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5</w:t>
      </w:r>
      <w:r w:rsidRPr="00A064D5">
        <w:rPr>
          <w:rFonts w:asciiTheme="majorBidi" w:eastAsia="Arial" w:hAnsiTheme="majorBidi" w:cstheme="majorBidi"/>
          <w:noProof/>
        </w:rPr>
        <w:t xml:space="preserve"> </w:t>
      </w:r>
      <w:r w:rsidRPr="00A064D5">
        <w:rPr>
          <w:rFonts w:asciiTheme="majorBidi" w:hAnsiTheme="majorBidi" w:cstheme="majorBidi"/>
          <w:noProof/>
        </w:rPr>
        <w:t xml:space="preserve">  ASSESSMENT OF PROGRAM SYSTEM</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_Toc485831034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44</w:t>
      </w:r>
      <w:r w:rsidRPr="00A064D5">
        <w:rPr>
          <w:rFonts w:asciiTheme="majorBidi" w:hAnsiTheme="majorBidi" w:cstheme="majorBidi"/>
          <w:noProof/>
        </w:rPr>
        <w:fldChar w:fldCharType="end"/>
      </w:r>
    </w:p>
    <w:p w14:paraId="6457ACC9" w14:textId="6B953A4A"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5.1</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Summary of Assessment Findings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_Toc485831035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44</w:t>
      </w:r>
      <w:r w:rsidRPr="00A064D5">
        <w:rPr>
          <w:rFonts w:asciiTheme="majorBidi" w:hAnsiTheme="majorBidi" w:cstheme="majorBidi"/>
          <w:noProof/>
        </w:rPr>
        <w:fldChar w:fldCharType="end"/>
      </w:r>
    </w:p>
    <w:p w14:paraId="128C7AEE" w14:textId="706AC069"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5.2</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Details of Assessment</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_Toc485831036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45</w:t>
      </w:r>
      <w:r w:rsidRPr="00A064D5">
        <w:rPr>
          <w:rFonts w:asciiTheme="majorBidi" w:hAnsiTheme="majorBidi" w:cstheme="majorBidi"/>
          <w:noProof/>
        </w:rPr>
        <w:fldChar w:fldCharType="end"/>
      </w:r>
    </w:p>
    <w:p w14:paraId="3254C31F" w14:textId="079F4693"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6</w:t>
      </w:r>
      <w:r w:rsidRPr="00A064D5">
        <w:rPr>
          <w:rFonts w:asciiTheme="majorBidi" w:eastAsia="Arial" w:hAnsiTheme="majorBidi" w:cstheme="majorBidi"/>
          <w:noProof/>
        </w:rPr>
        <w:t xml:space="preserve"> </w:t>
      </w:r>
      <w:r w:rsidRPr="00A064D5">
        <w:rPr>
          <w:rFonts w:asciiTheme="majorBidi" w:hAnsiTheme="majorBidi" w:cstheme="majorBidi"/>
          <w:noProof/>
        </w:rPr>
        <w:t xml:space="preserve">  INPUTS TO THE PROGRAM’S DESIGN AND ACTION PLAN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_Toc485831037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77</w:t>
      </w:r>
      <w:r w:rsidRPr="00A064D5">
        <w:rPr>
          <w:rFonts w:asciiTheme="majorBidi" w:hAnsiTheme="majorBidi" w:cstheme="majorBidi"/>
          <w:noProof/>
        </w:rPr>
        <w:fldChar w:fldCharType="end"/>
      </w:r>
    </w:p>
    <w:p w14:paraId="78CE3AC0" w14:textId="6B15B20E"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7</w:t>
      </w:r>
      <w:r w:rsidRPr="00A064D5">
        <w:rPr>
          <w:rFonts w:asciiTheme="majorBidi" w:eastAsia="Arial" w:hAnsiTheme="majorBidi" w:cstheme="majorBidi"/>
          <w:noProof/>
        </w:rPr>
        <w:t xml:space="preserve"> </w:t>
      </w:r>
      <w:r w:rsidRPr="00A064D5">
        <w:rPr>
          <w:rFonts w:asciiTheme="majorBidi" w:hAnsiTheme="majorBidi" w:cstheme="majorBidi"/>
          <w:noProof/>
        </w:rPr>
        <w:t xml:space="preserve">  ENVIRONMENTAL AND SOCIAL RISKS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_Toc485831038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82</w:t>
      </w:r>
      <w:r w:rsidRPr="00A064D5">
        <w:rPr>
          <w:rFonts w:asciiTheme="majorBidi" w:hAnsiTheme="majorBidi" w:cstheme="majorBidi"/>
          <w:noProof/>
        </w:rPr>
        <w:fldChar w:fldCharType="end"/>
      </w:r>
    </w:p>
    <w:p w14:paraId="1AB0C453" w14:textId="11023EFC"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7.1</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Potential environmental and social risks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_Toc485831039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82</w:t>
      </w:r>
      <w:r w:rsidRPr="00A064D5">
        <w:rPr>
          <w:rFonts w:asciiTheme="majorBidi" w:hAnsiTheme="majorBidi" w:cstheme="majorBidi"/>
          <w:noProof/>
        </w:rPr>
        <w:fldChar w:fldCharType="end"/>
      </w:r>
    </w:p>
    <w:p w14:paraId="0A685F46" w14:textId="3F1CBAC6"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7.2</w:t>
      </w:r>
      <w:r w:rsidRPr="00A064D5">
        <w:rPr>
          <w:rFonts w:asciiTheme="majorBidi" w:eastAsia="Arial" w:hAnsiTheme="majorBidi" w:cstheme="majorBidi"/>
          <w:noProof/>
        </w:rPr>
        <w:t xml:space="preserve"> </w:t>
      </w:r>
      <w:r w:rsidRPr="00A064D5">
        <w:rPr>
          <w:rFonts w:asciiTheme="majorBidi" w:eastAsiaTheme="minorEastAsia" w:hAnsiTheme="majorBidi" w:cstheme="majorBidi"/>
          <w:b w:val="0"/>
          <w:bCs w:val="0"/>
          <w:noProof/>
          <w:color w:val="auto"/>
          <w:sz w:val="24"/>
          <w:szCs w:val="24"/>
        </w:rPr>
        <w:tab/>
      </w:r>
      <w:r w:rsidRPr="00A064D5">
        <w:rPr>
          <w:rFonts w:asciiTheme="majorBidi" w:eastAsia="Arial" w:hAnsiTheme="majorBidi" w:cstheme="majorBidi"/>
          <w:noProof/>
        </w:rPr>
        <w:t xml:space="preserve"> </w:t>
      </w:r>
      <w:r w:rsidRPr="00A064D5">
        <w:rPr>
          <w:rFonts w:asciiTheme="majorBidi" w:hAnsiTheme="majorBidi" w:cstheme="majorBidi"/>
          <w:noProof/>
        </w:rPr>
        <w:t>Risk Mitigation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_Toc485831040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82</w:t>
      </w:r>
      <w:r w:rsidRPr="00A064D5">
        <w:rPr>
          <w:rFonts w:asciiTheme="majorBidi" w:hAnsiTheme="majorBidi" w:cstheme="majorBidi"/>
          <w:noProof/>
        </w:rPr>
        <w:fldChar w:fldCharType="end"/>
      </w:r>
    </w:p>
    <w:p w14:paraId="611BBFF8" w14:textId="51E1963F" w:rsidR="00A064D5" w:rsidRPr="00A064D5" w:rsidRDefault="00A064D5">
      <w:pPr>
        <w:pStyle w:val="TOC2"/>
        <w:tabs>
          <w:tab w:val="left" w:pos="720"/>
          <w:tab w:val="right" w:leader="dot" w:pos="9350"/>
        </w:tabs>
        <w:rPr>
          <w:rFonts w:asciiTheme="majorBidi" w:eastAsiaTheme="minorEastAsia" w:hAnsiTheme="majorBidi" w:cstheme="majorBidi"/>
          <w:b w:val="0"/>
          <w:bCs w:val="0"/>
          <w:noProof/>
          <w:color w:val="auto"/>
          <w:sz w:val="24"/>
          <w:szCs w:val="24"/>
        </w:rPr>
      </w:pPr>
      <w:r w:rsidRPr="00A064D5">
        <w:rPr>
          <w:rFonts w:asciiTheme="majorBidi" w:hAnsiTheme="majorBidi" w:cstheme="majorBidi"/>
          <w:noProof/>
        </w:rPr>
        <w:t xml:space="preserve">7.3 </w:t>
      </w:r>
      <w:r w:rsidRPr="00A064D5">
        <w:rPr>
          <w:rFonts w:asciiTheme="majorBidi" w:eastAsiaTheme="minorEastAsia" w:hAnsiTheme="majorBidi" w:cstheme="majorBidi"/>
          <w:b w:val="0"/>
          <w:bCs w:val="0"/>
          <w:noProof/>
          <w:color w:val="auto"/>
          <w:sz w:val="24"/>
          <w:szCs w:val="24"/>
        </w:rPr>
        <w:tab/>
      </w:r>
      <w:r w:rsidRPr="00A064D5">
        <w:rPr>
          <w:rFonts w:asciiTheme="majorBidi" w:hAnsiTheme="majorBidi" w:cstheme="majorBidi"/>
          <w:noProof/>
        </w:rPr>
        <w:t xml:space="preserve"> Evaluation of the Environmental and Social Risks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_Toc485831041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86</w:t>
      </w:r>
      <w:r w:rsidRPr="00A064D5">
        <w:rPr>
          <w:rFonts w:asciiTheme="majorBidi" w:hAnsiTheme="majorBidi" w:cstheme="majorBidi"/>
          <w:noProof/>
        </w:rPr>
        <w:fldChar w:fldCharType="end"/>
      </w:r>
    </w:p>
    <w:p w14:paraId="00A06823" w14:textId="02EEE42B"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8</w:t>
      </w:r>
      <w:r w:rsidRPr="00A064D5">
        <w:rPr>
          <w:rFonts w:asciiTheme="majorBidi" w:eastAsia="Arial" w:hAnsiTheme="majorBidi" w:cstheme="majorBidi"/>
          <w:noProof/>
        </w:rPr>
        <w:t xml:space="preserve">  </w:t>
      </w:r>
      <w:r w:rsidRPr="00A064D5">
        <w:rPr>
          <w:rFonts w:asciiTheme="majorBidi" w:hAnsiTheme="majorBidi" w:cstheme="majorBidi"/>
          <w:noProof/>
        </w:rPr>
        <w:t>INPUTS TO THE PROGRAM IMPLEMENTATION SUPPORT PLAN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_Toc485831042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90</w:t>
      </w:r>
      <w:r w:rsidRPr="00A064D5">
        <w:rPr>
          <w:rFonts w:asciiTheme="majorBidi" w:hAnsiTheme="majorBidi" w:cstheme="majorBidi"/>
          <w:noProof/>
        </w:rPr>
        <w:fldChar w:fldCharType="end"/>
      </w:r>
    </w:p>
    <w:p w14:paraId="24C7AE6E" w14:textId="0D68884A"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9  INFORMATION DISCLOSURE, CONSULTATION AND PARTICIPATION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_Toc485831043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91</w:t>
      </w:r>
      <w:r w:rsidRPr="00A064D5">
        <w:rPr>
          <w:rFonts w:asciiTheme="majorBidi" w:hAnsiTheme="majorBidi" w:cstheme="majorBidi"/>
          <w:noProof/>
        </w:rPr>
        <w:fldChar w:fldCharType="end"/>
      </w:r>
    </w:p>
    <w:p w14:paraId="1B7B6FC8" w14:textId="27C27340"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 xml:space="preserve">ANNEX 1:  RESULTS OF </w:t>
      </w:r>
      <w:r w:rsidRPr="00A064D5">
        <w:rPr>
          <w:rFonts w:asciiTheme="majorBidi" w:eastAsia="Cambria" w:hAnsiTheme="majorBidi" w:cstheme="majorBidi"/>
          <w:noProof/>
        </w:rPr>
        <w:t>PUBLIC CONSULTATION</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_Toc485831044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93</w:t>
      </w:r>
      <w:r w:rsidRPr="00A064D5">
        <w:rPr>
          <w:rFonts w:asciiTheme="majorBidi" w:hAnsiTheme="majorBidi" w:cstheme="majorBidi"/>
          <w:noProof/>
        </w:rPr>
        <w:fldChar w:fldCharType="end"/>
      </w:r>
    </w:p>
    <w:p w14:paraId="697C0503" w14:textId="55C25361" w:rsidR="00A064D5" w:rsidRPr="00A064D5" w:rsidRDefault="00A064D5">
      <w:pPr>
        <w:pStyle w:val="TOC1"/>
        <w:tabs>
          <w:tab w:val="right" w:leader="dot" w:pos="9350"/>
        </w:tabs>
        <w:rPr>
          <w:rFonts w:asciiTheme="majorBidi" w:eastAsiaTheme="minorEastAsia" w:hAnsiTheme="majorBidi" w:cstheme="majorBidi"/>
          <w:b w:val="0"/>
          <w:bCs w:val="0"/>
          <w:caps/>
          <w:noProof/>
          <w:color w:val="auto"/>
        </w:rPr>
      </w:pPr>
      <w:r w:rsidRPr="00A064D5">
        <w:rPr>
          <w:rFonts w:asciiTheme="majorBidi" w:hAnsiTheme="majorBidi" w:cstheme="majorBidi"/>
          <w:noProof/>
        </w:rPr>
        <w:t xml:space="preserve">ANNEX 2:  </w:t>
      </w:r>
      <w:r w:rsidRPr="00A064D5">
        <w:rPr>
          <w:rFonts w:asciiTheme="majorBidi" w:eastAsia="Cambria" w:hAnsiTheme="majorBidi" w:cstheme="majorBidi"/>
          <w:noProof/>
        </w:rPr>
        <w:t>FIELD MISSIONS AND LIST OF MEETINGS</w:t>
      </w:r>
      <w:r w:rsidRPr="00A064D5">
        <w:rPr>
          <w:rFonts w:asciiTheme="majorBidi" w:hAnsiTheme="majorBidi" w:cstheme="majorBidi"/>
          <w:noProof/>
        </w:rPr>
        <w:tab/>
      </w:r>
      <w:r w:rsidRPr="00A064D5">
        <w:rPr>
          <w:rFonts w:asciiTheme="majorBidi" w:hAnsiTheme="majorBidi" w:cstheme="majorBidi"/>
          <w:noProof/>
        </w:rPr>
        <w:fldChar w:fldCharType="begin"/>
      </w:r>
      <w:r w:rsidRPr="00A064D5">
        <w:rPr>
          <w:rFonts w:asciiTheme="majorBidi" w:hAnsiTheme="majorBidi" w:cstheme="majorBidi"/>
          <w:noProof/>
        </w:rPr>
        <w:instrText xml:space="preserve"> PAGEREF _Toc485831045 \h </w:instrText>
      </w:r>
      <w:r w:rsidRPr="00A064D5">
        <w:rPr>
          <w:rFonts w:asciiTheme="majorBidi" w:hAnsiTheme="majorBidi" w:cstheme="majorBidi"/>
          <w:noProof/>
        </w:rPr>
      </w:r>
      <w:r w:rsidRPr="00A064D5">
        <w:rPr>
          <w:rFonts w:asciiTheme="majorBidi" w:hAnsiTheme="majorBidi" w:cstheme="majorBidi"/>
          <w:noProof/>
        </w:rPr>
        <w:fldChar w:fldCharType="separate"/>
      </w:r>
      <w:r w:rsidR="00C752D5">
        <w:rPr>
          <w:rFonts w:asciiTheme="majorBidi" w:hAnsiTheme="majorBidi" w:cstheme="majorBidi"/>
          <w:noProof/>
        </w:rPr>
        <w:t>94</w:t>
      </w:r>
      <w:r w:rsidRPr="00A064D5">
        <w:rPr>
          <w:rFonts w:asciiTheme="majorBidi" w:hAnsiTheme="majorBidi" w:cstheme="majorBidi"/>
          <w:noProof/>
        </w:rPr>
        <w:fldChar w:fldCharType="end"/>
      </w:r>
    </w:p>
    <w:p w14:paraId="31625835" w14:textId="4B4E2418" w:rsidR="00016542" w:rsidRPr="00563D71" w:rsidRDefault="00B12E8A" w:rsidP="00F8628D">
      <w:pPr>
        <w:spacing w:before="0"/>
        <w:ind w:left="450" w:hanging="461"/>
        <w:rPr>
          <w:b/>
          <w:bCs/>
        </w:rPr>
      </w:pPr>
      <w:r w:rsidRPr="00A064D5">
        <w:rPr>
          <w:rFonts w:asciiTheme="majorBidi" w:hAnsiTheme="majorBidi" w:cstheme="majorBidi"/>
        </w:rPr>
        <w:fldChar w:fldCharType="end"/>
      </w:r>
      <w:r w:rsidR="005D1CB8" w:rsidRPr="00563D71">
        <w:br w:type="page"/>
      </w:r>
      <w:r w:rsidR="00016542" w:rsidRPr="00563D71">
        <w:rPr>
          <w:b/>
          <w:bCs/>
        </w:rPr>
        <w:lastRenderedPageBreak/>
        <w:t>LIST OF TABLES</w:t>
      </w:r>
    </w:p>
    <w:p w14:paraId="2EB58976" w14:textId="51F5E1C9" w:rsidR="00475FA8" w:rsidRDefault="00016542" w:rsidP="00475FA8">
      <w:pPr>
        <w:pStyle w:val="TableofFigures"/>
        <w:tabs>
          <w:tab w:val="right" w:leader="dot" w:pos="9350"/>
        </w:tabs>
        <w:rPr>
          <w:rFonts w:asciiTheme="minorHAnsi" w:eastAsiaTheme="minorEastAsia" w:hAnsiTheme="minorHAnsi" w:cstheme="minorBidi"/>
          <w:noProof/>
          <w:color w:val="auto"/>
          <w:szCs w:val="24"/>
        </w:rPr>
      </w:pPr>
      <w:r w:rsidRPr="00563D71">
        <w:rPr>
          <w:b/>
          <w:bCs/>
        </w:rPr>
        <w:fldChar w:fldCharType="begin"/>
      </w:r>
      <w:r w:rsidRPr="00563D71">
        <w:rPr>
          <w:b/>
          <w:bCs/>
        </w:rPr>
        <w:instrText xml:space="preserve"> TOC \t "No Spacing" \c </w:instrText>
      </w:r>
      <w:r w:rsidRPr="00563D71">
        <w:rPr>
          <w:b/>
          <w:bCs/>
        </w:rPr>
        <w:fldChar w:fldCharType="separate"/>
      </w:r>
    </w:p>
    <w:p w14:paraId="05672CF7" w14:textId="21F9308F"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rPr>
        <w:t>Measures to Strengthen System Performance for Environmental and Social Management</w:t>
      </w:r>
      <w:r>
        <w:rPr>
          <w:noProof/>
        </w:rPr>
        <w:tab/>
      </w:r>
      <w:r>
        <w:rPr>
          <w:noProof/>
        </w:rPr>
        <w:fldChar w:fldCharType="begin"/>
      </w:r>
      <w:r>
        <w:rPr>
          <w:noProof/>
        </w:rPr>
        <w:instrText xml:space="preserve"> PAGEREF _Toc485824761 \h </w:instrText>
      </w:r>
      <w:r>
        <w:rPr>
          <w:noProof/>
        </w:rPr>
      </w:r>
      <w:r>
        <w:rPr>
          <w:noProof/>
        </w:rPr>
        <w:fldChar w:fldCharType="separate"/>
      </w:r>
      <w:r w:rsidR="00C752D5">
        <w:rPr>
          <w:noProof/>
        </w:rPr>
        <w:t>xiv</w:t>
      </w:r>
      <w:r>
        <w:rPr>
          <w:noProof/>
        </w:rPr>
        <w:fldChar w:fldCharType="end"/>
      </w:r>
    </w:p>
    <w:p w14:paraId="6234C2F0" w14:textId="7E76DDA2" w:rsidR="00475FA8" w:rsidRDefault="00475FA8" w:rsidP="00475FA8">
      <w:pPr>
        <w:pStyle w:val="TableofFigures"/>
        <w:tabs>
          <w:tab w:val="right" w:leader="dot" w:pos="9350"/>
        </w:tabs>
        <w:ind w:left="1080" w:hanging="1080"/>
        <w:rPr>
          <w:rFonts w:asciiTheme="minorHAnsi" w:eastAsiaTheme="minorEastAsia" w:hAnsiTheme="minorHAnsi" w:cstheme="minorBidi"/>
          <w:noProof/>
          <w:color w:val="auto"/>
          <w:szCs w:val="24"/>
        </w:rPr>
      </w:pPr>
      <w:r w:rsidRPr="00FE15A8">
        <w:rPr>
          <w:rFonts w:eastAsiaTheme="minorHAnsi"/>
          <w:bCs/>
          <w:iCs/>
          <w:noProof/>
        </w:rPr>
        <w:t>Table 1. Alignment of the PforR (TDP) with the government’s program (PPNPPI)</w:t>
      </w:r>
      <w:r>
        <w:rPr>
          <w:noProof/>
        </w:rPr>
        <w:tab/>
      </w:r>
      <w:r>
        <w:rPr>
          <w:noProof/>
        </w:rPr>
        <w:fldChar w:fldCharType="begin"/>
      </w:r>
      <w:r>
        <w:rPr>
          <w:noProof/>
        </w:rPr>
        <w:instrText xml:space="preserve"> PAGEREF _Toc485824762 \h </w:instrText>
      </w:r>
      <w:r>
        <w:rPr>
          <w:noProof/>
        </w:rPr>
      </w:r>
      <w:r>
        <w:rPr>
          <w:noProof/>
        </w:rPr>
        <w:fldChar w:fldCharType="separate"/>
      </w:r>
      <w:r w:rsidR="00C752D5">
        <w:rPr>
          <w:noProof/>
        </w:rPr>
        <w:t>4</w:t>
      </w:r>
      <w:r>
        <w:rPr>
          <w:noProof/>
        </w:rPr>
        <w:fldChar w:fldCharType="end"/>
      </w:r>
    </w:p>
    <w:p w14:paraId="1D276EC5" w14:textId="70B9EE28"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color w:val="auto"/>
        </w:rPr>
        <w:t>Table 2.</w:t>
      </w:r>
      <w:r w:rsidRPr="00FE15A8">
        <w:rPr>
          <w:noProof/>
          <w:color w:val="auto"/>
        </w:rPr>
        <w:t xml:space="preserve"> Results indicators and Disbursement-Linked Indicators by Results Area</w:t>
      </w:r>
      <w:r>
        <w:rPr>
          <w:noProof/>
        </w:rPr>
        <w:tab/>
      </w:r>
      <w:r>
        <w:rPr>
          <w:noProof/>
        </w:rPr>
        <w:fldChar w:fldCharType="begin"/>
      </w:r>
      <w:r>
        <w:rPr>
          <w:noProof/>
        </w:rPr>
        <w:instrText xml:space="preserve"> PAGEREF _Toc485824763 \h </w:instrText>
      </w:r>
      <w:r>
        <w:rPr>
          <w:noProof/>
        </w:rPr>
      </w:r>
      <w:r>
        <w:rPr>
          <w:noProof/>
        </w:rPr>
        <w:fldChar w:fldCharType="separate"/>
      </w:r>
      <w:r w:rsidR="00C752D5">
        <w:rPr>
          <w:noProof/>
        </w:rPr>
        <w:t>10</w:t>
      </w:r>
      <w:r>
        <w:rPr>
          <w:noProof/>
        </w:rPr>
        <w:fldChar w:fldCharType="end"/>
      </w:r>
    </w:p>
    <w:p w14:paraId="0CD13F88" w14:textId="196719A3"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3. Investment and Expenditure Menu the Program will support at priority destinations under RA1</w:t>
      </w:r>
      <w:r>
        <w:rPr>
          <w:noProof/>
        </w:rPr>
        <w:tab/>
      </w:r>
      <w:r>
        <w:rPr>
          <w:noProof/>
        </w:rPr>
        <w:fldChar w:fldCharType="begin"/>
      </w:r>
      <w:r>
        <w:rPr>
          <w:noProof/>
        </w:rPr>
        <w:instrText xml:space="preserve"> PAGEREF _Toc485824764 \h </w:instrText>
      </w:r>
      <w:r>
        <w:rPr>
          <w:noProof/>
        </w:rPr>
      </w:r>
      <w:r>
        <w:rPr>
          <w:noProof/>
        </w:rPr>
        <w:fldChar w:fldCharType="separate"/>
      </w:r>
      <w:r w:rsidR="00C752D5">
        <w:rPr>
          <w:noProof/>
        </w:rPr>
        <w:t>14</w:t>
      </w:r>
      <w:r>
        <w:rPr>
          <w:noProof/>
        </w:rPr>
        <w:fldChar w:fldCharType="end"/>
      </w:r>
    </w:p>
    <w:p w14:paraId="527EEE37" w14:textId="34830E2B"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4. Typology of activities the Program will support at priority destinations under RA2</w:t>
      </w:r>
      <w:r>
        <w:rPr>
          <w:noProof/>
        </w:rPr>
        <w:tab/>
      </w:r>
      <w:r>
        <w:rPr>
          <w:noProof/>
        </w:rPr>
        <w:fldChar w:fldCharType="begin"/>
      </w:r>
      <w:r>
        <w:rPr>
          <w:noProof/>
        </w:rPr>
        <w:instrText xml:space="preserve"> PAGEREF _Toc485824765 \h </w:instrText>
      </w:r>
      <w:r>
        <w:rPr>
          <w:noProof/>
        </w:rPr>
      </w:r>
      <w:r>
        <w:rPr>
          <w:noProof/>
        </w:rPr>
        <w:fldChar w:fldCharType="separate"/>
      </w:r>
      <w:r w:rsidR="00C752D5">
        <w:rPr>
          <w:noProof/>
        </w:rPr>
        <w:t>17</w:t>
      </w:r>
      <w:r>
        <w:rPr>
          <w:noProof/>
        </w:rPr>
        <w:fldChar w:fldCharType="end"/>
      </w:r>
    </w:p>
    <w:p w14:paraId="6A859B74" w14:textId="393A432C"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5. Typology of activities the Program will support at priority destinations under RA3</w:t>
      </w:r>
      <w:r>
        <w:rPr>
          <w:noProof/>
        </w:rPr>
        <w:tab/>
      </w:r>
      <w:r>
        <w:rPr>
          <w:noProof/>
        </w:rPr>
        <w:fldChar w:fldCharType="begin"/>
      </w:r>
      <w:r>
        <w:rPr>
          <w:noProof/>
        </w:rPr>
        <w:instrText xml:space="preserve"> PAGEREF _Toc485824766 \h </w:instrText>
      </w:r>
      <w:r>
        <w:rPr>
          <w:noProof/>
        </w:rPr>
      </w:r>
      <w:r>
        <w:rPr>
          <w:noProof/>
        </w:rPr>
        <w:fldChar w:fldCharType="separate"/>
      </w:r>
      <w:r w:rsidR="00C752D5">
        <w:rPr>
          <w:noProof/>
        </w:rPr>
        <w:t>17</w:t>
      </w:r>
      <w:r>
        <w:rPr>
          <w:noProof/>
        </w:rPr>
        <w:fldChar w:fldCharType="end"/>
      </w:r>
    </w:p>
    <w:p w14:paraId="22A9AB6D" w14:textId="44A527E6"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6. Typology of activities the Program will support at priority destinations under RA4</w:t>
      </w:r>
      <w:r>
        <w:rPr>
          <w:noProof/>
        </w:rPr>
        <w:tab/>
      </w:r>
      <w:r>
        <w:rPr>
          <w:noProof/>
        </w:rPr>
        <w:fldChar w:fldCharType="begin"/>
      </w:r>
      <w:r>
        <w:rPr>
          <w:noProof/>
        </w:rPr>
        <w:instrText xml:space="preserve"> PAGEREF _Toc485824767 \h </w:instrText>
      </w:r>
      <w:r>
        <w:rPr>
          <w:noProof/>
        </w:rPr>
      </w:r>
      <w:r>
        <w:rPr>
          <w:noProof/>
        </w:rPr>
        <w:fldChar w:fldCharType="separate"/>
      </w:r>
      <w:r w:rsidR="00C752D5">
        <w:rPr>
          <w:noProof/>
        </w:rPr>
        <w:t>18</w:t>
      </w:r>
      <w:r>
        <w:rPr>
          <w:noProof/>
        </w:rPr>
        <w:fldChar w:fldCharType="end"/>
      </w:r>
    </w:p>
    <w:p w14:paraId="622238DB" w14:textId="6FC5C978"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7. Program location and physical and demographic characteristics of the Program area include the description of natural habitats and populations.</w:t>
      </w:r>
      <w:r>
        <w:rPr>
          <w:noProof/>
        </w:rPr>
        <w:tab/>
      </w:r>
      <w:r>
        <w:rPr>
          <w:noProof/>
        </w:rPr>
        <w:fldChar w:fldCharType="begin"/>
      </w:r>
      <w:r>
        <w:rPr>
          <w:noProof/>
        </w:rPr>
        <w:instrText xml:space="preserve"> PAGEREF _Toc485824768 \h </w:instrText>
      </w:r>
      <w:r>
        <w:rPr>
          <w:noProof/>
        </w:rPr>
      </w:r>
      <w:r>
        <w:rPr>
          <w:noProof/>
        </w:rPr>
        <w:fldChar w:fldCharType="separate"/>
      </w:r>
      <w:r w:rsidR="00C752D5">
        <w:rPr>
          <w:noProof/>
        </w:rPr>
        <w:t>21</w:t>
      </w:r>
      <w:r>
        <w:rPr>
          <w:noProof/>
        </w:rPr>
        <w:fldChar w:fldCharType="end"/>
      </w:r>
    </w:p>
    <w:p w14:paraId="55EC159B" w14:textId="4D39059D"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8. Main laws and regulations applicable to the operation of the Program</w:t>
      </w:r>
      <w:r>
        <w:rPr>
          <w:noProof/>
        </w:rPr>
        <w:tab/>
      </w:r>
      <w:r>
        <w:rPr>
          <w:noProof/>
        </w:rPr>
        <w:fldChar w:fldCharType="begin"/>
      </w:r>
      <w:r>
        <w:rPr>
          <w:noProof/>
        </w:rPr>
        <w:instrText xml:space="preserve"> PAGEREF _Toc485824769 \h </w:instrText>
      </w:r>
      <w:r>
        <w:rPr>
          <w:noProof/>
        </w:rPr>
      </w:r>
      <w:r>
        <w:rPr>
          <w:noProof/>
        </w:rPr>
        <w:fldChar w:fldCharType="separate"/>
      </w:r>
      <w:r w:rsidR="00C752D5">
        <w:rPr>
          <w:noProof/>
        </w:rPr>
        <w:t>34</w:t>
      </w:r>
      <w:r>
        <w:rPr>
          <w:noProof/>
        </w:rPr>
        <w:fldChar w:fldCharType="end"/>
      </w:r>
    </w:p>
    <w:p w14:paraId="5D05B24D" w14:textId="51A860BB"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9. Evaluation of the GoI Environmental and Social Systems in Relation to the PforR Policy of the World Bank.</w:t>
      </w:r>
      <w:r>
        <w:rPr>
          <w:noProof/>
        </w:rPr>
        <w:tab/>
      </w:r>
      <w:r>
        <w:rPr>
          <w:noProof/>
        </w:rPr>
        <w:fldChar w:fldCharType="begin"/>
      </w:r>
      <w:r>
        <w:rPr>
          <w:noProof/>
        </w:rPr>
        <w:instrText xml:space="preserve"> PAGEREF _Toc485824770 \h </w:instrText>
      </w:r>
      <w:r>
        <w:rPr>
          <w:noProof/>
        </w:rPr>
      </w:r>
      <w:r>
        <w:rPr>
          <w:noProof/>
        </w:rPr>
        <w:fldChar w:fldCharType="separate"/>
      </w:r>
      <w:r w:rsidR="00C752D5">
        <w:rPr>
          <w:noProof/>
        </w:rPr>
        <w:t>46</w:t>
      </w:r>
      <w:r>
        <w:rPr>
          <w:noProof/>
        </w:rPr>
        <w:fldChar w:fldCharType="end"/>
      </w:r>
    </w:p>
    <w:p w14:paraId="3E960964" w14:textId="154DCAD2" w:rsidR="00475FA8" w:rsidRDefault="00475FA8" w:rsidP="00475FA8">
      <w:pPr>
        <w:pStyle w:val="TableofFigures"/>
        <w:tabs>
          <w:tab w:val="right" w:leader="dot" w:pos="9350"/>
        </w:tabs>
        <w:ind w:left="900" w:hanging="900"/>
        <w:rPr>
          <w:rFonts w:asciiTheme="minorHAnsi" w:eastAsiaTheme="minorEastAsia" w:hAnsiTheme="minorHAnsi" w:cstheme="minorBidi"/>
          <w:noProof/>
          <w:color w:val="auto"/>
          <w:szCs w:val="24"/>
        </w:rPr>
      </w:pPr>
      <w:r>
        <w:rPr>
          <w:noProof/>
        </w:rPr>
        <w:t>Table 10. Institutional capacity to address risks and impacts and areas that can be improved through the Program.</w:t>
      </w:r>
      <w:r>
        <w:rPr>
          <w:noProof/>
        </w:rPr>
        <w:tab/>
      </w:r>
      <w:r>
        <w:rPr>
          <w:noProof/>
        </w:rPr>
        <w:fldChar w:fldCharType="begin"/>
      </w:r>
      <w:r>
        <w:rPr>
          <w:noProof/>
        </w:rPr>
        <w:instrText xml:space="preserve"> PAGEREF _Toc485824771 \h </w:instrText>
      </w:r>
      <w:r>
        <w:rPr>
          <w:noProof/>
        </w:rPr>
      </w:r>
      <w:r>
        <w:rPr>
          <w:noProof/>
        </w:rPr>
        <w:fldChar w:fldCharType="separate"/>
      </w:r>
      <w:r w:rsidR="00C752D5">
        <w:rPr>
          <w:noProof/>
        </w:rPr>
        <w:t>65</w:t>
      </w:r>
      <w:r>
        <w:rPr>
          <w:noProof/>
        </w:rPr>
        <w:fldChar w:fldCharType="end"/>
      </w:r>
    </w:p>
    <w:p w14:paraId="1CF31DDE" w14:textId="6987EA72"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rPr>
        <w:t>Table 11. Environmental and Social Measures for the Program Design and Action Plan.</w:t>
      </w:r>
      <w:r>
        <w:rPr>
          <w:noProof/>
        </w:rPr>
        <w:tab/>
      </w:r>
      <w:r>
        <w:rPr>
          <w:noProof/>
        </w:rPr>
        <w:fldChar w:fldCharType="begin"/>
      </w:r>
      <w:r>
        <w:rPr>
          <w:noProof/>
        </w:rPr>
        <w:instrText xml:space="preserve"> PAGEREF _Toc485824772 \h </w:instrText>
      </w:r>
      <w:r>
        <w:rPr>
          <w:noProof/>
        </w:rPr>
      </w:r>
      <w:r>
        <w:rPr>
          <w:noProof/>
        </w:rPr>
        <w:fldChar w:fldCharType="separate"/>
      </w:r>
      <w:r w:rsidR="00C752D5">
        <w:rPr>
          <w:noProof/>
        </w:rPr>
        <w:t>77</w:t>
      </w:r>
      <w:r>
        <w:rPr>
          <w:noProof/>
        </w:rPr>
        <w:fldChar w:fldCharType="end"/>
      </w:r>
    </w:p>
    <w:p w14:paraId="35CD8DA3" w14:textId="34FF41B4"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rPr>
        <w:t>Table 12. Environmental and Social Risk Screening</w:t>
      </w:r>
      <w:r>
        <w:rPr>
          <w:noProof/>
        </w:rPr>
        <w:tab/>
      </w:r>
      <w:r>
        <w:rPr>
          <w:noProof/>
        </w:rPr>
        <w:fldChar w:fldCharType="begin"/>
      </w:r>
      <w:r>
        <w:rPr>
          <w:noProof/>
        </w:rPr>
        <w:instrText xml:space="preserve"> PAGEREF _Toc485824773 \h </w:instrText>
      </w:r>
      <w:r>
        <w:rPr>
          <w:noProof/>
        </w:rPr>
      </w:r>
      <w:r>
        <w:rPr>
          <w:noProof/>
        </w:rPr>
        <w:fldChar w:fldCharType="separate"/>
      </w:r>
      <w:r w:rsidR="00C752D5">
        <w:rPr>
          <w:noProof/>
        </w:rPr>
        <w:t>86</w:t>
      </w:r>
      <w:r>
        <w:rPr>
          <w:noProof/>
        </w:rPr>
        <w:fldChar w:fldCharType="end"/>
      </w:r>
    </w:p>
    <w:p w14:paraId="29BF84B3" w14:textId="6C66A5B8"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rPr>
        <w:t>Table 13. Global risk assessment of the Program.</w:t>
      </w:r>
      <w:r>
        <w:rPr>
          <w:noProof/>
        </w:rPr>
        <w:tab/>
      </w:r>
      <w:r>
        <w:rPr>
          <w:noProof/>
        </w:rPr>
        <w:fldChar w:fldCharType="begin"/>
      </w:r>
      <w:r>
        <w:rPr>
          <w:noProof/>
        </w:rPr>
        <w:instrText xml:space="preserve"> PAGEREF _Toc485824774 \h </w:instrText>
      </w:r>
      <w:r>
        <w:rPr>
          <w:noProof/>
        </w:rPr>
      </w:r>
      <w:r>
        <w:rPr>
          <w:noProof/>
        </w:rPr>
        <w:fldChar w:fldCharType="separate"/>
      </w:r>
      <w:r w:rsidR="00C752D5">
        <w:rPr>
          <w:noProof/>
        </w:rPr>
        <w:t>89</w:t>
      </w:r>
      <w:r>
        <w:rPr>
          <w:noProof/>
        </w:rPr>
        <w:fldChar w:fldCharType="end"/>
      </w:r>
    </w:p>
    <w:p w14:paraId="3352A2BE" w14:textId="7E4E6ECB" w:rsidR="00475FA8" w:rsidRDefault="00475FA8">
      <w:pPr>
        <w:pStyle w:val="TableofFigures"/>
        <w:tabs>
          <w:tab w:val="right" w:leader="dot" w:pos="9350"/>
        </w:tabs>
        <w:rPr>
          <w:rFonts w:asciiTheme="minorHAnsi" w:eastAsiaTheme="minorEastAsia" w:hAnsiTheme="minorHAnsi" w:cstheme="minorBidi"/>
          <w:noProof/>
          <w:color w:val="auto"/>
          <w:szCs w:val="24"/>
        </w:rPr>
      </w:pPr>
      <w:r>
        <w:rPr>
          <w:noProof/>
        </w:rPr>
        <w:t>Table 14. Environmental and Social Support Plan for the Implementation of the Program</w:t>
      </w:r>
      <w:r>
        <w:rPr>
          <w:noProof/>
        </w:rPr>
        <w:tab/>
      </w:r>
      <w:r>
        <w:rPr>
          <w:noProof/>
        </w:rPr>
        <w:fldChar w:fldCharType="begin"/>
      </w:r>
      <w:r>
        <w:rPr>
          <w:noProof/>
        </w:rPr>
        <w:instrText xml:space="preserve"> PAGEREF _Toc485824775 \h </w:instrText>
      </w:r>
      <w:r>
        <w:rPr>
          <w:noProof/>
        </w:rPr>
      </w:r>
      <w:r>
        <w:rPr>
          <w:noProof/>
        </w:rPr>
        <w:fldChar w:fldCharType="separate"/>
      </w:r>
      <w:r w:rsidR="00C752D5">
        <w:rPr>
          <w:noProof/>
        </w:rPr>
        <w:t>90</w:t>
      </w:r>
      <w:r>
        <w:rPr>
          <w:noProof/>
        </w:rPr>
        <w:fldChar w:fldCharType="end"/>
      </w:r>
    </w:p>
    <w:p w14:paraId="3233A457" w14:textId="724A8F24" w:rsidR="0032436E" w:rsidRPr="00563D71" w:rsidRDefault="00016542" w:rsidP="003D2E29">
      <w:pPr>
        <w:spacing w:before="0"/>
        <w:ind w:left="11" w:hanging="11"/>
        <w:jc w:val="center"/>
      </w:pPr>
      <w:r w:rsidRPr="00563D71">
        <w:rPr>
          <w:b/>
          <w:bCs/>
        </w:rPr>
        <w:fldChar w:fldCharType="end"/>
      </w:r>
      <w:r w:rsidR="0032436E" w:rsidRPr="00563D71">
        <w:br w:type="page"/>
      </w:r>
    </w:p>
    <w:p w14:paraId="56935BD2" w14:textId="7891A6FC" w:rsidR="00D273E8" w:rsidRPr="00563D71" w:rsidRDefault="00D04B10">
      <w:pPr>
        <w:pStyle w:val="Heading1"/>
        <w:spacing w:after="218"/>
        <w:ind w:right="2"/>
        <w:jc w:val="center"/>
      </w:pPr>
      <w:bookmarkStart w:id="8" w:name="_Toc468969228"/>
      <w:bookmarkStart w:id="9" w:name="_Toc481484042"/>
      <w:bookmarkStart w:id="10" w:name="_Toc485831021"/>
      <w:r w:rsidRPr="00563D71">
        <w:lastRenderedPageBreak/>
        <w:t>EXECUTIVE SUMMARY</w:t>
      </w:r>
      <w:bookmarkEnd w:id="8"/>
      <w:bookmarkEnd w:id="9"/>
      <w:bookmarkEnd w:id="10"/>
    </w:p>
    <w:p w14:paraId="75455E41" w14:textId="6B7A1353" w:rsidR="00934A88" w:rsidRPr="005010F8" w:rsidRDefault="000728B0" w:rsidP="00DE434F">
      <w:pPr>
        <w:pStyle w:val="MainParanoChapter-Ch3"/>
        <w:numPr>
          <w:ilvl w:val="0"/>
          <w:numId w:val="0"/>
        </w:numPr>
        <w:rPr>
          <w:bCs/>
        </w:rPr>
      </w:pPr>
      <w:r w:rsidRPr="005010F8">
        <w:rPr>
          <w:bCs/>
        </w:rPr>
        <w:t xml:space="preserve">The </w:t>
      </w:r>
      <w:r w:rsidR="00200506" w:rsidRPr="005010F8">
        <w:rPr>
          <w:bCs/>
        </w:rPr>
        <w:t>proposed O</w:t>
      </w:r>
      <w:r w:rsidR="00452038" w:rsidRPr="005010F8">
        <w:rPr>
          <w:bCs/>
        </w:rPr>
        <w:t>peration—</w:t>
      </w:r>
      <w:r w:rsidRPr="005010F8">
        <w:rPr>
          <w:b/>
          <w:i/>
        </w:rPr>
        <w:t>Indonesia Tourism Development Program</w:t>
      </w:r>
      <w:r w:rsidR="00071BFF" w:rsidRPr="005010F8">
        <w:rPr>
          <w:bCs/>
        </w:rPr>
        <w:t>—</w:t>
      </w:r>
      <w:r w:rsidRPr="005010F8">
        <w:rPr>
          <w:bCs/>
        </w:rPr>
        <w:t xml:space="preserve">is designed to support the Government of Indonesia’s national program to fulfill the country’s tourism potential that is afforded by its rich natural and cultural resources, thereby expanding the contribution of the tourism sector to the national economy. </w:t>
      </w:r>
      <w:r w:rsidR="00E53B47" w:rsidRPr="005010F8">
        <w:rPr>
          <w:bCs/>
        </w:rPr>
        <w:t xml:space="preserve">The </w:t>
      </w:r>
      <w:r w:rsidR="004F0FC9" w:rsidRPr="005010F8">
        <w:rPr>
          <w:bCs/>
        </w:rPr>
        <w:t>O</w:t>
      </w:r>
      <w:r w:rsidR="00E53B47" w:rsidRPr="005010F8">
        <w:rPr>
          <w:bCs/>
        </w:rPr>
        <w:t xml:space="preserve">peration is </w:t>
      </w:r>
      <w:r w:rsidR="00934A88" w:rsidRPr="005010F8">
        <w:rPr>
          <w:bCs/>
        </w:rPr>
        <w:t xml:space="preserve">a </w:t>
      </w:r>
      <w:r w:rsidR="00E53B47" w:rsidRPr="005010F8">
        <w:rPr>
          <w:bCs/>
        </w:rPr>
        <w:t>“hybrid”</w:t>
      </w:r>
      <w:r w:rsidR="00934A88" w:rsidRPr="005010F8">
        <w:rPr>
          <w:bCs/>
        </w:rPr>
        <w:t xml:space="preserve"> of two instruments</w:t>
      </w:r>
      <w:r w:rsidR="00E53B47" w:rsidRPr="005010F8">
        <w:rPr>
          <w:bCs/>
        </w:rPr>
        <w:t>—t</w:t>
      </w:r>
      <w:r w:rsidR="00E53B47" w:rsidRPr="005010F8">
        <w:rPr>
          <w:rFonts w:eastAsia="Calibri"/>
          <w:bCs/>
        </w:rPr>
        <w:t>he Program-for-Results (PforR) instrument will bring the needed results orientation, while the Investment Project Financing (IPF) instrument will finance a component of critical Consultants</w:t>
      </w:r>
      <w:r w:rsidR="00CA71A6" w:rsidRPr="005010F8">
        <w:rPr>
          <w:rFonts w:eastAsia="Calibri"/>
          <w:bCs/>
        </w:rPr>
        <w:t>’</w:t>
      </w:r>
      <w:r w:rsidR="00E53B47" w:rsidRPr="005010F8">
        <w:rPr>
          <w:rFonts w:eastAsia="Calibri"/>
          <w:bCs/>
        </w:rPr>
        <w:t xml:space="preserve"> Services for </w:t>
      </w:r>
      <w:r w:rsidR="00E23D4D" w:rsidRPr="005010F8">
        <w:rPr>
          <w:bCs/>
        </w:rPr>
        <w:t>(i) integrated tourism master plan</w:t>
      </w:r>
      <w:r w:rsidR="00051096" w:rsidRPr="005010F8">
        <w:rPr>
          <w:bCs/>
        </w:rPr>
        <w:t>s</w:t>
      </w:r>
      <w:r w:rsidR="00E23D4D" w:rsidRPr="005010F8">
        <w:rPr>
          <w:bCs/>
        </w:rPr>
        <w:t>; (ii) downstream planning documents; (iii) program management capabilities, including capacity building to strengthen natural, cultural</w:t>
      </w:r>
      <w:r w:rsidR="0020500B" w:rsidRPr="005010F8">
        <w:rPr>
          <w:bCs/>
        </w:rPr>
        <w:t>,</w:t>
      </w:r>
      <w:r w:rsidR="00E23D4D" w:rsidRPr="005010F8">
        <w:rPr>
          <w:bCs/>
        </w:rPr>
        <w:t xml:space="preserve"> and social asset monitoring and preservation capabilities; and (iv) additional studies </w:t>
      </w:r>
      <w:r w:rsidR="00FB3E00" w:rsidRPr="005010F8">
        <w:rPr>
          <w:bCs/>
        </w:rPr>
        <w:t xml:space="preserve">and capacity building </w:t>
      </w:r>
      <w:r w:rsidR="00E23D4D" w:rsidRPr="005010F8">
        <w:rPr>
          <w:bCs/>
        </w:rPr>
        <w:t xml:space="preserve">related to, amongst others, </w:t>
      </w:r>
      <w:r w:rsidR="004F0FC9" w:rsidRPr="005010F8">
        <w:rPr>
          <w:bCs/>
        </w:rPr>
        <w:t xml:space="preserve">business </w:t>
      </w:r>
      <w:r w:rsidR="00E23D4D" w:rsidRPr="005010F8">
        <w:rPr>
          <w:bCs/>
        </w:rPr>
        <w:t xml:space="preserve">and skill development and business </w:t>
      </w:r>
      <w:r w:rsidR="004C1F77" w:rsidRPr="005010F8">
        <w:rPr>
          <w:bCs/>
        </w:rPr>
        <w:t xml:space="preserve">and investment </w:t>
      </w:r>
      <w:r w:rsidR="00E23D4D" w:rsidRPr="005010F8">
        <w:rPr>
          <w:bCs/>
        </w:rPr>
        <w:t>environment improvements</w:t>
      </w:r>
      <w:r w:rsidR="00E53B47" w:rsidRPr="005010F8">
        <w:rPr>
          <w:rFonts w:eastAsia="Calibri"/>
          <w:bCs/>
        </w:rPr>
        <w:t xml:space="preserve">, following the Bank’s fiduciary rules and guidelines. </w:t>
      </w:r>
      <w:r w:rsidR="00934A88" w:rsidRPr="005010F8">
        <w:rPr>
          <w:bCs/>
        </w:rPr>
        <w:t>This Environmental and Social System</w:t>
      </w:r>
      <w:r w:rsidR="002C7A78" w:rsidRPr="005010F8">
        <w:rPr>
          <w:bCs/>
        </w:rPr>
        <w:t>s</w:t>
      </w:r>
      <w:r w:rsidR="00934A88" w:rsidRPr="005010F8">
        <w:rPr>
          <w:bCs/>
        </w:rPr>
        <w:t xml:space="preserve"> Assessment (ESSA) is prepared for the PforR</w:t>
      </w:r>
      <w:r w:rsidR="002D53D9" w:rsidRPr="005010F8">
        <w:rPr>
          <w:bCs/>
        </w:rPr>
        <w:t xml:space="preserve"> (the “Program”)</w:t>
      </w:r>
      <w:r w:rsidR="00934A88" w:rsidRPr="005010F8">
        <w:rPr>
          <w:bCs/>
        </w:rPr>
        <w:t xml:space="preserve">. </w:t>
      </w:r>
    </w:p>
    <w:p w14:paraId="36A479F6" w14:textId="53D28C3C" w:rsidR="00E62922" w:rsidRPr="00563D71" w:rsidRDefault="000728B0" w:rsidP="00AF61D8">
      <w:r w:rsidRPr="00563D71">
        <w:t xml:space="preserve">The </w:t>
      </w:r>
      <w:r w:rsidR="00BA3931" w:rsidRPr="00563D71">
        <w:t>g</w:t>
      </w:r>
      <w:r w:rsidRPr="00563D71">
        <w:t xml:space="preserve">overnment’s program </w:t>
      </w:r>
      <w:r w:rsidR="00DF7A2C" w:rsidRPr="00563D71">
        <w:t xml:space="preserve">(the “program”) </w:t>
      </w:r>
      <w:r w:rsidRPr="00563D71">
        <w:t>will support development of sustainable touris</w:t>
      </w:r>
      <w:r w:rsidR="00B119FD" w:rsidRPr="00563D71">
        <w:t>m</w:t>
      </w:r>
      <w:r w:rsidRPr="00563D71">
        <w:t xml:space="preserve"> </w:t>
      </w:r>
      <w:r w:rsidR="00934A88" w:rsidRPr="00563D71">
        <w:t xml:space="preserve">in </w:t>
      </w:r>
      <w:r w:rsidRPr="00563D71">
        <w:t xml:space="preserve">priority tourist destinations. </w:t>
      </w:r>
      <w:r w:rsidR="00E62922" w:rsidRPr="00563D71">
        <w:t>The Program will focus on three of the government’s priority destinations—Lombok, Borobudur-Yogyakarta-Prambanan</w:t>
      </w:r>
      <w:r w:rsidR="00051096" w:rsidRPr="00563D71">
        <w:t>,</w:t>
      </w:r>
      <w:r w:rsidR="00E62922" w:rsidRPr="00563D71">
        <w:t xml:space="preserve"> and Lake Toba</w:t>
      </w:r>
      <w:r w:rsidR="00E62922" w:rsidRPr="00563D71">
        <w:rPr>
          <w:b/>
        </w:rPr>
        <w:t xml:space="preserve">. </w:t>
      </w:r>
      <w:r w:rsidR="00E62922" w:rsidRPr="00563D71">
        <w:t xml:space="preserve">The government’s program includes a wider range of expenditures related to tourism development, including for international and national marketing, </w:t>
      </w:r>
      <w:r w:rsidR="00371978">
        <w:t>im</w:t>
      </w:r>
      <w:r w:rsidR="00E62922" w:rsidRPr="00563D71">
        <w:t xml:space="preserve">migration and visas, and safety and security in the destinations. Instead, the </w:t>
      </w:r>
      <w:r w:rsidR="00804A13">
        <w:t>Tourism Development Program (</w:t>
      </w:r>
      <w:r w:rsidR="00E62922" w:rsidRPr="00563D71">
        <w:t>TDP</w:t>
      </w:r>
      <w:r w:rsidR="00804A13">
        <w:t>)</w:t>
      </w:r>
      <w:r w:rsidR="00E62922" w:rsidRPr="00563D71">
        <w:t xml:space="preserve"> will focus on a critical subset of expenditures that</w:t>
      </w:r>
      <w:r w:rsidR="00AF61D8" w:rsidRPr="00563D71">
        <w:t>:</w:t>
      </w:r>
      <w:r w:rsidR="00371A2D" w:rsidRPr="00563D71">
        <w:t xml:space="preserve"> improve</w:t>
      </w:r>
      <w:r w:rsidR="00440867" w:rsidRPr="00563D71">
        <w:t xml:space="preserve"> the</w:t>
      </w:r>
      <w:r w:rsidR="00371A2D" w:rsidRPr="00563D71">
        <w:t xml:space="preserve"> sustainability and tourism carrying capacity of selected destinations</w:t>
      </w:r>
      <w:r w:rsidR="00E62922" w:rsidRPr="00563D71">
        <w:t>, focusing on addressing existing gaps and reve</w:t>
      </w:r>
      <w:r w:rsidR="00371A2D" w:rsidRPr="00563D71">
        <w:t>rsing environmental degradation; promote local participation in tourism economy</w:t>
      </w:r>
      <w:r w:rsidR="0020500B" w:rsidRPr="00563D71">
        <w:t>; enhanc</w:t>
      </w:r>
      <w:r w:rsidR="00AF61D8" w:rsidRPr="00563D71">
        <w:t>e</w:t>
      </w:r>
      <w:r w:rsidR="0020500B" w:rsidRPr="00563D71">
        <w:t xml:space="preserve"> the enabling environment for private investment and business entry in tourism; and increas</w:t>
      </w:r>
      <w:r w:rsidR="00AF61D8" w:rsidRPr="00563D71">
        <w:t>e</w:t>
      </w:r>
      <w:r w:rsidR="0020500B" w:rsidRPr="00563D71">
        <w:t xml:space="preserve"> institutional capacity to facilitate integrated and sustainable tourism development. </w:t>
      </w:r>
    </w:p>
    <w:p w14:paraId="4D27FDB8" w14:textId="123D577C" w:rsidR="005010F8" w:rsidRPr="00563D71" w:rsidRDefault="000728B0" w:rsidP="005010F8">
      <w:r w:rsidRPr="00563D71">
        <w:t xml:space="preserve">The PforR approach innovatively links the disbursement of funds directly to the delivery of defined results and builds on borrower safeguard and oversight systems. The Program Development Objective of the </w:t>
      </w:r>
      <w:r w:rsidR="004F0FC9" w:rsidRPr="00563D71">
        <w:t>O</w:t>
      </w:r>
      <w:r w:rsidRPr="00563D71">
        <w:t>peration is to promote private investment and jobs in the tourism sector in selected touris</w:t>
      </w:r>
      <w:r w:rsidR="00CC6073" w:rsidRPr="00563D71">
        <w:t>t</w:t>
      </w:r>
      <w:r w:rsidRPr="00563D71">
        <w:t xml:space="preserve"> destinations in Indonesia</w:t>
      </w:r>
      <w:r w:rsidR="00B119FD" w:rsidRPr="00563D71">
        <w:t>.</w:t>
      </w:r>
      <w:r w:rsidRPr="00563D71">
        <w:t xml:space="preserve"> The Program focus</w:t>
      </w:r>
      <w:r w:rsidR="00787070" w:rsidRPr="00563D71">
        <w:t xml:space="preserve">es </w:t>
      </w:r>
      <w:r w:rsidRPr="00563D71">
        <w:t xml:space="preserve">on three of the </w:t>
      </w:r>
      <w:r w:rsidR="00787070" w:rsidRPr="00563D71">
        <w:t xml:space="preserve">government’s </w:t>
      </w:r>
      <w:r w:rsidR="00FB3E00" w:rsidRPr="00563D71">
        <w:t xml:space="preserve">priority </w:t>
      </w:r>
      <w:r w:rsidRPr="00563D71">
        <w:t>destinations</w:t>
      </w:r>
      <w:r w:rsidR="00B119FD" w:rsidRPr="00563D71">
        <w:t>—</w:t>
      </w:r>
      <w:r w:rsidR="00141A45" w:rsidRPr="00563D71">
        <w:t xml:space="preserve">Lombok, </w:t>
      </w:r>
      <w:r w:rsidR="00B119FD" w:rsidRPr="00563D71">
        <w:t>Borobudur</w:t>
      </w:r>
      <w:r w:rsidR="00141A45" w:rsidRPr="00563D71">
        <w:t xml:space="preserve">-Yogyakarta-Prambanan and </w:t>
      </w:r>
      <w:r w:rsidR="000259BE" w:rsidRPr="00563D71">
        <w:t>Lake Toba</w:t>
      </w:r>
      <w:r w:rsidR="00B119FD" w:rsidRPr="00563D71">
        <w:t>—</w:t>
      </w:r>
      <w:r w:rsidR="008A7DF6" w:rsidRPr="00563D71">
        <w:t xml:space="preserve">but the ESSA was prepared under the assumption that any of the </w:t>
      </w:r>
      <w:r w:rsidR="004C0329" w:rsidRPr="00563D71">
        <w:t xml:space="preserve">priority tourism </w:t>
      </w:r>
      <w:r w:rsidR="008A7DF6" w:rsidRPr="00563D71">
        <w:t xml:space="preserve">destinations might be included. The Program </w:t>
      </w:r>
      <w:r w:rsidRPr="00563D71">
        <w:t xml:space="preserve">will be implemented by the </w:t>
      </w:r>
      <w:r w:rsidR="009E2175" w:rsidRPr="00563D71">
        <w:t xml:space="preserve">Ministry </w:t>
      </w:r>
      <w:r w:rsidRPr="00563D71">
        <w:t>of Public Works and Housing</w:t>
      </w:r>
      <w:r w:rsidR="00A505CB" w:rsidRPr="00563D71">
        <w:t xml:space="preserve"> (MPWH)</w:t>
      </w:r>
      <w:r w:rsidR="002D53D9" w:rsidRPr="00563D71">
        <w:t xml:space="preserve">, </w:t>
      </w:r>
      <w:r w:rsidR="008C5B16" w:rsidRPr="00563D71">
        <w:t xml:space="preserve">the </w:t>
      </w:r>
      <w:r w:rsidR="009E2175" w:rsidRPr="00563D71">
        <w:t xml:space="preserve">Ministry of </w:t>
      </w:r>
      <w:r w:rsidR="002D53D9" w:rsidRPr="00563D71">
        <w:t xml:space="preserve">Tourism, </w:t>
      </w:r>
      <w:r w:rsidR="00141A45" w:rsidRPr="00563D71">
        <w:t>the Investment Coordinating Board (</w:t>
      </w:r>
      <w:r w:rsidR="008C5B16" w:rsidRPr="00563D71">
        <w:rPr>
          <w:i/>
        </w:rPr>
        <w:t>Badan Koordinasi Penanaman Modal</w:t>
      </w:r>
      <w:r w:rsidR="008C5B16" w:rsidRPr="00563D71">
        <w:t xml:space="preserve">, </w:t>
      </w:r>
      <w:r w:rsidR="00141A45" w:rsidRPr="00563D71">
        <w:t xml:space="preserve">BKPM), </w:t>
      </w:r>
      <w:r w:rsidR="002D53D9" w:rsidRPr="00563D71">
        <w:t>and</w:t>
      </w:r>
      <w:r w:rsidR="00C67C76" w:rsidRPr="00563D71">
        <w:t xml:space="preserve"> </w:t>
      </w:r>
      <w:r w:rsidR="00CB2314" w:rsidRPr="00563D71">
        <w:t xml:space="preserve">possibly </w:t>
      </w:r>
      <w:r w:rsidR="00C67C76" w:rsidRPr="00563D71">
        <w:t>several other Ministries/Agencies</w:t>
      </w:r>
      <w:r w:rsidR="00141A45" w:rsidRPr="00563D71">
        <w:t xml:space="preserve"> (e.g. Manpower and Transmigration)</w:t>
      </w:r>
      <w:r w:rsidR="00C67C76" w:rsidRPr="00563D71">
        <w:t>, including at the subnational level</w:t>
      </w:r>
      <w:r w:rsidR="00C63DB9" w:rsidRPr="00563D71">
        <w:t xml:space="preserve"> (e.g. provincial/local Public Works Agencies, Environmental</w:t>
      </w:r>
      <w:r w:rsidR="00BD012C" w:rsidRPr="00563D71">
        <w:t xml:space="preserve"> Boards, </w:t>
      </w:r>
      <w:r w:rsidR="0081524A" w:rsidRPr="00563D71">
        <w:t>technical and vocational education and training (</w:t>
      </w:r>
      <w:r w:rsidR="00141A45" w:rsidRPr="00563D71">
        <w:t>TVET</w:t>
      </w:r>
      <w:r w:rsidR="0081524A" w:rsidRPr="00563D71">
        <w:t>)</w:t>
      </w:r>
      <w:r w:rsidR="00141A45" w:rsidRPr="00563D71">
        <w:t xml:space="preserve"> tertiary institutions,</w:t>
      </w:r>
      <w:r w:rsidR="008C5B16" w:rsidRPr="00563D71">
        <w:t xml:space="preserve"> </w:t>
      </w:r>
      <w:r w:rsidR="0081524A" w:rsidRPr="00563D71">
        <w:t xml:space="preserve">local one-stop integrated services </w:t>
      </w:r>
      <w:r w:rsidR="008C5B16" w:rsidRPr="00563D71">
        <w:t>(</w:t>
      </w:r>
      <w:r w:rsidR="008C5B16" w:rsidRPr="00563D71">
        <w:rPr>
          <w:i/>
        </w:rPr>
        <w:t>Pelayanan Terpadu Satu Pintu</w:t>
      </w:r>
      <w:r w:rsidR="008C5B16" w:rsidRPr="00563D71">
        <w:t xml:space="preserve">, </w:t>
      </w:r>
      <w:r w:rsidR="00BD012C" w:rsidRPr="00563D71">
        <w:t>PTSP-l</w:t>
      </w:r>
      <w:r w:rsidR="00C63DB9" w:rsidRPr="00563D71">
        <w:t>ocal)</w:t>
      </w:r>
      <w:r w:rsidR="0078212F" w:rsidRPr="00563D71">
        <w:t>)</w:t>
      </w:r>
      <w:r w:rsidRPr="00563D71">
        <w:t xml:space="preserve">. Specifically, the Program </w:t>
      </w:r>
      <w:r w:rsidR="000259BE" w:rsidRPr="00563D71">
        <w:t>will support activities in the following results areas</w:t>
      </w:r>
      <w:r w:rsidRPr="00563D71">
        <w:t>:</w:t>
      </w:r>
    </w:p>
    <w:p w14:paraId="1EAEB4D6" w14:textId="54F22E50" w:rsidR="00141A45" w:rsidRPr="00371978" w:rsidRDefault="00141A45" w:rsidP="005010F8">
      <w:pPr>
        <w:pStyle w:val="MainParanoChapter-Ch3"/>
        <w:numPr>
          <w:ilvl w:val="0"/>
          <w:numId w:val="0"/>
        </w:numPr>
        <w:spacing w:before="120"/>
      </w:pPr>
      <w:r w:rsidRPr="00371978">
        <w:rPr>
          <w:u w:val="single"/>
        </w:rPr>
        <w:t>Results Area 1: Improve sustainability and tourism carrying capacity of selected destinations</w:t>
      </w:r>
      <w:r w:rsidRPr="00371978">
        <w:t xml:space="preserve">. The scope of activities under this results area aims to enhance the motorized and non-motorized physical accessibility of the three priority destinations and their tourism attractions, as well as the availability and quality of services essential for a satisfactory tourist experience and for preserving natural and cultural assets. To this end, and considering the needs identified in the three destinations, </w:t>
      </w:r>
      <w:r w:rsidR="002266CC" w:rsidRPr="00371978">
        <w:t>sub-Program</w:t>
      </w:r>
      <w:r w:rsidRPr="00371978">
        <w:t xml:space="preserve"> 1 will support: </w:t>
      </w:r>
    </w:p>
    <w:p w14:paraId="2F5C2CAA" w14:textId="174A5523" w:rsidR="00141A45" w:rsidRPr="00563D71" w:rsidRDefault="00141A45" w:rsidP="00760765">
      <w:pPr>
        <w:pStyle w:val="InfoSubject"/>
        <w:numPr>
          <w:ilvl w:val="0"/>
          <w:numId w:val="93"/>
        </w:numPr>
        <w:tabs>
          <w:tab w:val="clear" w:pos="1080"/>
          <w:tab w:val="right" w:pos="-360"/>
          <w:tab w:val="right" w:pos="0"/>
          <w:tab w:val="left" w:pos="720"/>
        </w:tabs>
        <w:autoSpaceDE w:val="0"/>
        <w:autoSpaceDN w:val="0"/>
        <w:adjustRightInd w:val="0"/>
        <w:spacing w:after="120"/>
        <w:jc w:val="both"/>
        <w:rPr>
          <w:b w:val="0"/>
          <w:sz w:val="24"/>
          <w:szCs w:val="24"/>
          <w:u w:val="none"/>
        </w:rPr>
      </w:pPr>
      <w:r w:rsidRPr="00563D71">
        <w:rPr>
          <w:b w:val="0"/>
          <w:sz w:val="24"/>
          <w:szCs w:val="24"/>
          <w:u w:val="none"/>
        </w:rPr>
        <w:lastRenderedPageBreak/>
        <w:t xml:space="preserve"> Road connectivity expenditures to improve the </w:t>
      </w:r>
      <w:r w:rsidR="00116B15" w:rsidRPr="00563D71">
        <w:rPr>
          <w:b w:val="0"/>
          <w:sz w:val="24"/>
          <w:szCs w:val="24"/>
          <w:u w:val="none"/>
        </w:rPr>
        <w:t xml:space="preserve">quality and </w:t>
      </w:r>
      <w:r w:rsidRPr="00563D71">
        <w:rPr>
          <w:b w:val="0"/>
          <w:sz w:val="24"/>
          <w:szCs w:val="24"/>
          <w:u w:val="none"/>
        </w:rPr>
        <w:t xml:space="preserve">maintenance of the existing road network in the destinations. This will include improving the </w:t>
      </w:r>
      <w:r w:rsidR="00116B15" w:rsidRPr="00563D71">
        <w:rPr>
          <w:b w:val="0"/>
          <w:sz w:val="24"/>
          <w:szCs w:val="24"/>
          <w:u w:val="none"/>
        </w:rPr>
        <w:t xml:space="preserve">quality and </w:t>
      </w:r>
      <w:r w:rsidRPr="00563D71">
        <w:rPr>
          <w:b w:val="0"/>
          <w:sz w:val="24"/>
          <w:szCs w:val="24"/>
          <w:u w:val="none"/>
        </w:rPr>
        <w:t xml:space="preserve">maintenance of the </w:t>
      </w:r>
      <w:r w:rsidR="009F7A0A" w:rsidRPr="00563D71">
        <w:rPr>
          <w:b w:val="0"/>
          <w:sz w:val="24"/>
          <w:szCs w:val="24"/>
          <w:u w:val="none"/>
        </w:rPr>
        <w:t xml:space="preserve">tourism-relevant </w:t>
      </w:r>
      <w:r w:rsidRPr="00563D71">
        <w:rPr>
          <w:b w:val="0"/>
          <w:sz w:val="24"/>
          <w:szCs w:val="24"/>
          <w:u w:val="none"/>
        </w:rPr>
        <w:t xml:space="preserve">network of </w:t>
      </w:r>
      <w:r w:rsidR="00116B15" w:rsidRPr="00563D71">
        <w:rPr>
          <w:b w:val="0"/>
          <w:sz w:val="24"/>
          <w:szCs w:val="24"/>
          <w:u w:val="none"/>
        </w:rPr>
        <w:t xml:space="preserve">national, provincial and </w:t>
      </w:r>
      <w:r w:rsidR="00116B15" w:rsidRPr="00563D71">
        <w:rPr>
          <w:b w:val="0"/>
          <w:i/>
          <w:sz w:val="24"/>
          <w:szCs w:val="24"/>
          <w:u w:val="none"/>
        </w:rPr>
        <w:t>Kabupaten</w:t>
      </w:r>
      <w:r w:rsidR="00116B15" w:rsidRPr="00563D71">
        <w:rPr>
          <w:rStyle w:val="FootnoteReference"/>
          <w:rFonts w:eastAsia="Calibri"/>
          <w:u w:val="none"/>
        </w:rPr>
        <w:footnoteReference w:id="2"/>
      </w:r>
      <w:r w:rsidR="00116B15" w:rsidRPr="00563D71">
        <w:rPr>
          <w:b w:val="0"/>
          <w:sz w:val="24"/>
          <w:szCs w:val="24"/>
          <w:u w:val="none"/>
        </w:rPr>
        <w:t xml:space="preserve"> </w:t>
      </w:r>
      <w:r w:rsidRPr="00563D71">
        <w:rPr>
          <w:b w:val="0"/>
          <w:sz w:val="24"/>
          <w:szCs w:val="24"/>
          <w:u w:val="none"/>
        </w:rPr>
        <w:t>roads in the destinations in accordance with national standards and targets for stable maintenance condition (i.e. International Roughness</w:t>
      </w:r>
      <w:r w:rsidR="008C5B16" w:rsidRPr="00563D71">
        <w:rPr>
          <w:b w:val="0"/>
          <w:sz w:val="24"/>
          <w:szCs w:val="24"/>
          <w:u w:val="none"/>
        </w:rPr>
        <w:t xml:space="preserve"> Index (IRI) &lt; 6</w:t>
      </w:r>
      <w:r w:rsidRPr="00563D71">
        <w:rPr>
          <w:b w:val="0"/>
          <w:sz w:val="24"/>
          <w:szCs w:val="24"/>
          <w:u w:val="none"/>
        </w:rPr>
        <w:t xml:space="preserve">). </w:t>
      </w:r>
    </w:p>
    <w:p w14:paraId="7E2A5510" w14:textId="32851274" w:rsidR="00141A45" w:rsidRPr="00563D71" w:rsidRDefault="00141A45" w:rsidP="00141A45">
      <w:pPr>
        <w:pStyle w:val="InfoSubject"/>
        <w:numPr>
          <w:ilvl w:val="0"/>
          <w:numId w:val="93"/>
        </w:numPr>
        <w:tabs>
          <w:tab w:val="clear" w:pos="1080"/>
          <w:tab w:val="right" w:pos="-360"/>
          <w:tab w:val="right" w:pos="0"/>
          <w:tab w:val="left" w:pos="720"/>
        </w:tabs>
        <w:autoSpaceDE w:val="0"/>
        <w:autoSpaceDN w:val="0"/>
        <w:adjustRightInd w:val="0"/>
        <w:spacing w:after="120"/>
        <w:ind w:left="810"/>
        <w:jc w:val="both"/>
        <w:rPr>
          <w:b w:val="0"/>
          <w:sz w:val="24"/>
          <w:szCs w:val="24"/>
          <w:u w:val="none"/>
        </w:rPr>
      </w:pPr>
      <w:r w:rsidRPr="00563D71">
        <w:rPr>
          <w:b w:val="0"/>
          <w:sz w:val="24"/>
          <w:szCs w:val="24"/>
          <w:u w:val="none"/>
        </w:rPr>
        <w:t>Basic services and infrastructure expenditures, which include water supply, drainage</w:t>
      </w:r>
      <w:r w:rsidR="00760765" w:rsidRPr="00563D71">
        <w:rPr>
          <w:b w:val="0"/>
          <w:sz w:val="24"/>
          <w:szCs w:val="24"/>
          <w:u w:val="none"/>
        </w:rPr>
        <w:t>,</w:t>
      </w:r>
      <w:r w:rsidRPr="00563D71">
        <w:rPr>
          <w:b w:val="0"/>
          <w:sz w:val="24"/>
          <w:szCs w:val="24"/>
          <w:u w:val="none"/>
        </w:rPr>
        <w:t xml:space="preserve"> and flood control, sanitation, waste water and solid waste management and cleanliness, and traffic management and parking.  </w:t>
      </w:r>
    </w:p>
    <w:p w14:paraId="390E48D0" w14:textId="4DB3FB4D" w:rsidR="00141A45" w:rsidRPr="00563D71" w:rsidRDefault="00730E2B" w:rsidP="00141A45">
      <w:pPr>
        <w:pStyle w:val="InfoSubject"/>
        <w:numPr>
          <w:ilvl w:val="0"/>
          <w:numId w:val="93"/>
        </w:numPr>
        <w:tabs>
          <w:tab w:val="clear" w:pos="1080"/>
          <w:tab w:val="right" w:pos="-360"/>
          <w:tab w:val="right" w:pos="0"/>
          <w:tab w:val="left" w:pos="720"/>
        </w:tabs>
        <w:autoSpaceDE w:val="0"/>
        <w:autoSpaceDN w:val="0"/>
        <w:adjustRightInd w:val="0"/>
        <w:spacing w:after="120"/>
        <w:ind w:left="810"/>
        <w:jc w:val="both"/>
        <w:rPr>
          <w:b w:val="0"/>
          <w:sz w:val="24"/>
          <w:szCs w:val="24"/>
          <w:u w:val="none"/>
        </w:rPr>
      </w:pPr>
      <w:r w:rsidRPr="00563D71">
        <w:rPr>
          <w:b w:val="0"/>
          <w:sz w:val="24"/>
          <w:szCs w:val="24"/>
          <w:u w:val="none"/>
        </w:rPr>
        <w:t xml:space="preserve"> </w:t>
      </w:r>
      <w:r w:rsidR="00141A45" w:rsidRPr="00563D71">
        <w:rPr>
          <w:b w:val="0"/>
          <w:sz w:val="24"/>
          <w:szCs w:val="24"/>
          <w:u w:val="none"/>
        </w:rPr>
        <w:t>Tourism services and infrastructure expenditures, including pedestrian and non-motorized traffic facilities, visitor centers</w:t>
      </w:r>
      <w:r w:rsidR="00760765" w:rsidRPr="00563D71">
        <w:rPr>
          <w:b w:val="0"/>
          <w:sz w:val="24"/>
          <w:szCs w:val="24"/>
          <w:u w:val="none"/>
        </w:rPr>
        <w:t>,</w:t>
      </w:r>
      <w:r w:rsidR="00141A45" w:rsidRPr="00563D71">
        <w:rPr>
          <w:b w:val="0"/>
          <w:sz w:val="24"/>
          <w:szCs w:val="24"/>
          <w:u w:val="none"/>
        </w:rPr>
        <w:t xml:space="preserve"> and signage.  </w:t>
      </w:r>
    </w:p>
    <w:p w14:paraId="34688A6D" w14:textId="13DFE847" w:rsidR="00F17841" w:rsidRPr="00371978" w:rsidRDefault="00141A45" w:rsidP="00AF643E">
      <w:pPr>
        <w:pStyle w:val="MainParanoChapter-Ch3"/>
        <w:numPr>
          <w:ilvl w:val="0"/>
          <w:numId w:val="0"/>
        </w:numPr>
        <w:rPr>
          <w:rFonts w:eastAsia="Calibri"/>
        </w:rPr>
      </w:pPr>
      <w:r w:rsidRPr="00371978">
        <w:rPr>
          <w:u w:val="single"/>
        </w:rPr>
        <w:t>Results Area 2: Promote local participation in tourism economy</w:t>
      </w:r>
      <w:r w:rsidRPr="00371978">
        <w:t xml:space="preserve">. This results area aims to facilitate the participation of local firms and individuals in the economic opportunities arising from the growth of tourism. </w:t>
      </w:r>
      <w:r w:rsidRPr="00371978">
        <w:rPr>
          <w:rFonts w:eastAsia="Calibri"/>
        </w:rPr>
        <w:t xml:space="preserve">The key outcomes under this results area relate to developing the relevant workforce skills for jobs in the tourism economy, and supporting domestic firms to capture opportunities in the increasingly digitalized tourism economy. </w:t>
      </w:r>
      <w:r w:rsidR="00D347A2" w:rsidRPr="00371978">
        <w:t xml:space="preserve">To achieve increased </w:t>
      </w:r>
      <w:r w:rsidR="00B756BA" w:rsidRPr="00371978">
        <w:t xml:space="preserve">numbers of </w:t>
      </w:r>
      <w:r w:rsidR="00D347A2" w:rsidRPr="00371978">
        <w:t>trainees and professionals completing competency-based certification, the sub-Program aims to (i) improve competency-based standards and related training packages</w:t>
      </w:r>
      <w:r w:rsidR="00440867" w:rsidRPr="00371978">
        <w:t>;</w:t>
      </w:r>
      <w:r w:rsidR="00D347A2" w:rsidRPr="00371978">
        <w:t xml:space="preserve"> (ii) enhance the capacity of TVET providers to deliver tourism CBT in line with the needs of the tourism industry; (iii) enhance the capacity of tourism assessors to certify trainees and professional in these competencies</w:t>
      </w:r>
      <w:r w:rsidRPr="00371978">
        <w:t xml:space="preserve">. It will also build on the partnership between the Ministry of Tourism and </w:t>
      </w:r>
      <w:r w:rsidR="004F0FC9" w:rsidRPr="00371978">
        <w:t xml:space="preserve">a </w:t>
      </w:r>
      <w:r w:rsidRPr="00371978">
        <w:t>travel website company</w:t>
      </w:r>
      <w:r w:rsidR="004F0FC9" w:rsidRPr="00371978">
        <w:rPr>
          <w:rStyle w:val="FootnoteReference"/>
        </w:rPr>
        <w:footnoteReference w:id="3"/>
      </w:r>
      <w:r w:rsidRPr="00371978">
        <w:t xml:space="preserve"> and provide support to firms to increase their online presence and deliver targeted capacity building to firms on service and quality standard areas identified as needing improvement.</w:t>
      </w:r>
      <w:r w:rsidRPr="00371978">
        <w:rPr>
          <w:sz w:val="23"/>
          <w:szCs w:val="23"/>
        </w:rPr>
        <w:t xml:space="preserve"> </w:t>
      </w:r>
      <w:r w:rsidR="00F17841" w:rsidRPr="00371978">
        <w:t>Furthermore, this sub-Program will equip the Ministry of Tourism with the necessary structures and mechanisms for collection and management of big data sources from digital tourism.</w:t>
      </w:r>
    </w:p>
    <w:p w14:paraId="44A9D024" w14:textId="77777777" w:rsidR="00141A45" w:rsidRPr="00563D71" w:rsidRDefault="00141A45" w:rsidP="000259BE">
      <w:pPr>
        <w:pStyle w:val="MainParanoChapter-Ch3"/>
        <w:numPr>
          <w:ilvl w:val="0"/>
          <w:numId w:val="0"/>
        </w:numPr>
        <w:ind w:left="720" w:right="630"/>
      </w:pPr>
    </w:p>
    <w:p w14:paraId="376E76C5" w14:textId="706552CA" w:rsidR="00141A45" w:rsidRPr="00371978" w:rsidRDefault="00141A45" w:rsidP="00604CCC">
      <w:pPr>
        <w:pStyle w:val="MainParanoChapter-Ch3"/>
        <w:numPr>
          <w:ilvl w:val="0"/>
          <w:numId w:val="0"/>
        </w:numPr>
      </w:pPr>
      <w:r w:rsidRPr="00371978">
        <w:rPr>
          <w:u w:val="single"/>
        </w:rPr>
        <w:t xml:space="preserve">Results Area 3: Enhance </w:t>
      </w:r>
      <w:r w:rsidR="00701BF5" w:rsidRPr="00371978">
        <w:rPr>
          <w:u w:val="single"/>
        </w:rPr>
        <w:t xml:space="preserve">the </w:t>
      </w:r>
      <w:r w:rsidRPr="00371978">
        <w:rPr>
          <w:u w:val="single"/>
        </w:rPr>
        <w:t>enabling environment for private investment and business entry in tourism</w:t>
      </w:r>
      <w:r w:rsidRPr="00371978">
        <w:t xml:space="preserve">. To achieve this result, </w:t>
      </w:r>
      <w:r w:rsidR="002266CC" w:rsidRPr="00371978">
        <w:t>sub-Program</w:t>
      </w:r>
      <w:r w:rsidRPr="00371978">
        <w:t xml:space="preserve"> 3 will support the simplification of business entry and licensing requirements for the tourism sector and strengthen systems to monitor and facilitate private investments. Despite recent improvements in Indonesia’s ease of doing business, further improvements in the business </w:t>
      </w:r>
      <w:r w:rsidR="00AC3B7D" w:rsidRPr="00371978">
        <w:t xml:space="preserve">and investment </w:t>
      </w:r>
      <w:r w:rsidRPr="00371978">
        <w:t xml:space="preserve">environment will be needed to enable business entry and private investment in the tourism sector and—specifically—in the three destinations. </w:t>
      </w:r>
      <w:r w:rsidR="002266CC" w:rsidRPr="00371978">
        <w:t>Sub-Program</w:t>
      </w:r>
      <w:r w:rsidRPr="00371978">
        <w:t xml:space="preserve"> 3 will support expenditures for licensing mapping, simplification, automation, inventories, and related coordination capabilities to sustain a licensing simplification effort at the national and subnational level.</w:t>
      </w:r>
      <w:r w:rsidR="00D33A17" w:rsidRPr="00371978">
        <w:rPr>
          <w:rStyle w:val="FootnoteReference"/>
        </w:rPr>
        <w:footnoteReference w:id="4"/>
      </w:r>
      <w:r w:rsidRPr="00371978">
        <w:t xml:space="preserve"> </w:t>
      </w:r>
      <w:r w:rsidR="002266CC" w:rsidRPr="00371978">
        <w:t>Sub-Program</w:t>
      </w:r>
      <w:r w:rsidRPr="00371978">
        <w:t xml:space="preserve"> 3 will also support the development of destination-</w:t>
      </w:r>
      <w:r w:rsidRPr="00371978">
        <w:lastRenderedPageBreak/>
        <w:t>specific investment promotion strategies and the institutional capabilities to attract, facilitate, retain, and expand investment proactively.</w:t>
      </w:r>
    </w:p>
    <w:p w14:paraId="2E8AD459" w14:textId="77777777" w:rsidR="000259BE" w:rsidRPr="00371978" w:rsidRDefault="000259BE" w:rsidP="000259BE">
      <w:pPr>
        <w:pStyle w:val="MainParanoChapter-Ch3"/>
        <w:numPr>
          <w:ilvl w:val="0"/>
          <w:numId w:val="0"/>
        </w:numPr>
        <w:ind w:right="630"/>
      </w:pPr>
    </w:p>
    <w:p w14:paraId="1E9D441C" w14:textId="29F21B95" w:rsidR="00E23D4D" w:rsidRPr="00371978" w:rsidRDefault="00E23D4D" w:rsidP="00E23D4D">
      <w:pPr>
        <w:pStyle w:val="MainParanoChapter-Ch3"/>
        <w:numPr>
          <w:ilvl w:val="0"/>
          <w:numId w:val="0"/>
        </w:numPr>
        <w:rPr>
          <w:rFonts w:eastAsiaTheme="minorHAnsi"/>
        </w:rPr>
      </w:pPr>
      <w:r w:rsidRPr="00371978">
        <w:rPr>
          <w:u w:val="single"/>
        </w:rPr>
        <w:t>Results Area 4: Increase institutional capacity to facilitate integrated and sustainable tourism development</w:t>
      </w:r>
      <w:r w:rsidRPr="00371978">
        <w:t xml:space="preserve">. This results area will support the strengthening of institutional capacities at the national and </w:t>
      </w:r>
      <w:r w:rsidR="0088046A" w:rsidRPr="00371978">
        <w:t xml:space="preserve">subnational </w:t>
      </w:r>
      <w:r w:rsidRPr="00371978">
        <w:t>level</w:t>
      </w:r>
      <w:r w:rsidR="00AE6F2D" w:rsidRPr="00371978">
        <w:t xml:space="preserve"> to facilitate integrated and sustainable tourism development</w:t>
      </w:r>
      <w:r w:rsidRPr="00371978">
        <w:t>. Key outcomes under this results area include the improvement of coordination and implementation mechanisms of the tourism development agenda, reduced degradation of natural and cultural assets, and increased stakeholder engagement in</w:t>
      </w:r>
      <w:r w:rsidR="00AE6F2D" w:rsidRPr="00371978">
        <w:t>, and local community satisfaction with,</w:t>
      </w:r>
      <w:r w:rsidRPr="00371978">
        <w:t xml:space="preserve"> tourism development. Program activities towards this result include the operationalization of national-level inter-Ministry/Agency coordination</w:t>
      </w:r>
      <w:r w:rsidR="00AE6F2D" w:rsidRPr="00371978">
        <w:rPr>
          <w:rStyle w:val="FootnoteReference"/>
        </w:rPr>
        <w:footnoteReference w:id="5"/>
      </w:r>
      <w:r w:rsidRPr="00371978">
        <w:t xml:space="preserve"> under the </w:t>
      </w:r>
      <w:r w:rsidR="00AE6F2D" w:rsidRPr="00371978">
        <w:t xml:space="preserve">Ministerial-level tourism coordination team, chaired by Indonesia’s </w:t>
      </w:r>
      <w:r w:rsidRPr="00371978">
        <w:t>Vice</w:t>
      </w:r>
      <w:r w:rsidR="00DE6EE0" w:rsidRPr="00371978">
        <w:t xml:space="preserve"> </w:t>
      </w:r>
      <w:r w:rsidRPr="00371978">
        <w:t xml:space="preserve">President, as well as the establishment and operationalization of destination-specific coordination and delivery mechanisms; the establishment </w:t>
      </w:r>
      <w:r w:rsidR="0088046A" w:rsidRPr="00371978">
        <w:t xml:space="preserve">or strengthening </w:t>
      </w:r>
      <w:r w:rsidRPr="00371978">
        <w:t xml:space="preserve">of institutions </w:t>
      </w:r>
      <w:r w:rsidR="0088046A" w:rsidRPr="00371978">
        <w:t xml:space="preserve">(such as Sustainable Tourism Observatories (STOs) as part of UNWTO International Network of Sustainable Tourism Observatories (INSTO)) </w:t>
      </w:r>
      <w:r w:rsidRPr="00371978">
        <w:t>for the monitoring of cultural and natural assets in key tourism areas</w:t>
      </w:r>
      <w:r w:rsidR="00AE6F2D" w:rsidRPr="00371978">
        <w:t>;</w:t>
      </w:r>
      <w:r w:rsidRPr="00371978">
        <w:t xml:space="preserve"> </w:t>
      </w:r>
      <w:r w:rsidR="00AE6F2D" w:rsidRPr="00371978">
        <w:t xml:space="preserve">enhanced </w:t>
      </w:r>
      <w:r w:rsidRPr="00371978">
        <w:t xml:space="preserve">stakeholder involvement and </w:t>
      </w:r>
      <w:r w:rsidR="00AE6F2D" w:rsidRPr="00371978">
        <w:t xml:space="preserve">community </w:t>
      </w:r>
      <w:r w:rsidRPr="00371978">
        <w:t>awareness of tourism development</w:t>
      </w:r>
      <w:r w:rsidR="00AE6F2D" w:rsidRPr="00371978">
        <w:t>; and annual community satisfaction surveys</w:t>
      </w:r>
      <w:r w:rsidRPr="00371978">
        <w:t xml:space="preserve">. </w:t>
      </w:r>
      <w:r w:rsidR="002266CC" w:rsidRPr="00371978">
        <w:t>Sub-Program</w:t>
      </w:r>
      <w:r w:rsidRPr="00371978">
        <w:t xml:space="preserve"> 4 will ensure that the new or improved institutional arrangements are backed with clear roles and responsibilities, sufficient budget</w:t>
      </w:r>
      <w:r w:rsidR="00DE6EE0" w:rsidRPr="00371978">
        <w:t>,</w:t>
      </w:r>
      <w:r w:rsidRPr="00371978">
        <w:t xml:space="preserve"> and are adequately staffed. To this end, t</w:t>
      </w:r>
      <w:r w:rsidRPr="00371978">
        <w:rPr>
          <w:rFonts w:eastAsiaTheme="minorHAnsi"/>
        </w:rPr>
        <w:t>he Program will support expenditures for institutional development of and capabilities for integrated destination planning; natural, cultural</w:t>
      </w:r>
      <w:r w:rsidR="008704DD" w:rsidRPr="00371978">
        <w:rPr>
          <w:rFonts w:eastAsiaTheme="minorHAnsi"/>
        </w:rPr>
        <w:t>,</w:t>
      </w:r>
      <w:r w:rsidRPr="00371978">
        <w:rPr>
          <w:rFonts w:eastAsiaTheme="minorHAnsi"/>
        </w:rPr>
        <w:t xml:space="preserve"> and social asset </w:t>
      </w:r>
      <w:r w:rsidR="00AE6F2D" w:rsidRPr="00371978">
        <w:rPr>
          <w:rFonts w:eastAsiaTheme="minorHAnsi"/>
        </w:rPr>
        <w:t xml:space="preserve">monitoring and </w:t>
      </w:r>
      <w:r w:rsidRPr="00371978">
        <w:rPr>
          <w:rFonts w:eastAsiaTheme="minorHAnsi"/>
        </w:rPr>
        <w:t xml:space="preserve">preservation; local community </w:t>
      </w:r>
      <w:r w:rsidR="00AE6F2D" w:rsidRPr="00371978">
        <w:rPr>
          <w:rFonts w:eastAsiaTheme="minorHAnsi"/>
        </w:rPr>
        <w:t xml:space="preserve">awareness and </w:t>
      </w:r>
      <w:r w:rsidRPr="00371978">
        <w:rPr>
          <w:rFonts w:eastAsiaTheme="minorHAnsi"/>
        </w:rPr>
        <w:t>engagement in tourism development</w:t>
      </w:r>
      <w:r w:rsidR="00AE6F2D" w:rsidRPr="00371978">
        <w:rPr>
          <w:rFonts w:eastAsiaTheme="minorHAnsi"/>
        </w:rPr>
        <w:t>; and community satisfaction surveys</w:t>
      </w:r>
      <w:r w:rsidRPr="00371978">
        <w:rPr>
          <w:rFonts w:eastAsiaTheme="minorHAnsi"/>
        </w:rPr>
        <w:t>.</w:t>
      </w:r>
      <w:r w:rsidR="002C7A78" w:rsidRPr="00371978">
        <w:rPr>
          <w:rStyle w:val="FootnoteReference"/>
          <w:rFonts w:eastAsiaTheme="minorHAnsi"/>
        </w:rPr>
        <w:footnoteReference w:id="6"/>
      </w:r>
    </w:p>
    <w:p w14:paraId="4A1AAD7B" w14:textId="16BA32D0" w:rsidR="000728B0" w:rsidRPr="00563D71" w:rsidRDefault="000728B0" w:rsidP="000259BE">
      <w:pPr>
        <w:tabs>
          <w:tab w:val="left" w:pos="0"/>
        </w:tabs>
        <w:spacing w:after="120"/>
        <w:ind w:left="0"/>
      </w:pPr>
      <w:r w:rsidRPr="00563D71">
        <w:t xml:space="preserve">In terms of environmental and social management, PforR employs a risk management approach in which process requirements are adapted to the Program context. For each proposed PforR, the Bank assesses—at the Program level—the borrower’s authority and organizational capacity to achieve environmental and social objectives against the range of environmental and social impacts that may be associated with the Program. This ESSA </w:t>
      </w:r>
      <w:r w:rsidR="000259BE" w:rsidRPr="00563D71">
        <w:t xml:space="preserve">examines Indonesia’s </w:t>
      </w:r>
      <w:r w:rsidRPr="00563D71">
        <w:t>existing legal, regulatory, and institutional framework for environmental</w:t>
      </w:r>
      <w:r w:rsidR="00BC29AA" w:rsidRPr="00563D71">
        <w:t xml:space="preserve"> and social management systems and their implementation, </w:t>
      </w:r>
      <w:r w:rsidRPr="00563D71">
        <w:t xml:space="preserve">defines measures to strengthen the system, and integrates those measures into the overall Program. The ESSA has been undertaken to ensure consistency with </w:t>
      </w:r>
      <w:r w:rsidR="000259BE" w:rsidRPr="00563D71">
        <w:rPr>
          <w:i/>
        </w:rPr>
        <w:t>Bank Policy:</w:t>
      </w:r>
      <w:r w:rsidRPr="00563D71">
        <w:rPr>
          <w:i/>
        </w:rPr>
        <w:t xml:space="preserve"> Program-for-Results Financing</w:t>
      </w:r>
      <w:r w:rsidRPr="00563D71">
        <w:t>. This report presents the findings of the ESSA exercise and its recommendations. The ESSA process includes extensive stakeholder consultations and disclosure of the draft ESSA report following the guidelines of the World Bank’s Access to Information Policy. The ESSA consultation process and content are embedded in the Program</w:t>
      </w:r>
      <w:r w:rsidR="003F0149" w:rsidRPr="00563D71">
        <w:t>’s</w:t>
      </w:r>
      <w:r w:rsidRPr="00563D71">
        <w:t xml:space="preserve"> consultation process. </w:t>
      </w:r>
    </w:p>
    <w:p w14:paraId="7C7E3620" w14:textId="7F57A2A9" w:rsidR="000728B0" w:rsidRPr="00563D71" w:rsidRDefault="000728B0" w:rsidP="003A4370">
      <w:pPr>
        <w:tabs>
          <w:tab w:val="left" w:pos="0"/>
        </w:tabs>
        <w:spacing w:after="120"/>
        <w:ind w:left="0"/>
      </w:pPr>
      <w:r w:rsidRPr="00563D71">
        <w:lastRenderedPageBreak/>
        <w:t xml:space="preserve">The ESSA assessed the risks of the Program and concludes that the overall environmental risks are </w:t>
      </w:r>
      <w:r w:rsidR="000259BE" w:rsidRPr="00563D71">
        <w:t>moderate</w:t>
      </w:r>
      <w:r w:rsidRPr="00563D71">
        <w:t xml:space="preserve">. In accordance with </w:t>
      </w:r>
      <w:r w:rsidR="000259BE" w:rsidRPr="00563D71">
        <w:t>the PforR policy</w:t>
      </w:r>
      <w:r w:rsidRPr="00563D71">
        <w:t xml:space="preserve">, no activities likely to have significant adverse impacts on the natural or human environment that are sensitive, diverse, or unprecedented will be supported. </w:t>
      </w:r>
      <w:r w:rsidR="009560BB" w:rsidRPr="00563D71">
        <w:t>The greatest environmental risk is that infrastructure</w:t>
      </w:r>
      <w:r w:rsidR="00150936" w:rsidRPr="00563D71">
        <w:t xml:space="preserve"> necessary both to address existing adverse trends in the condition of the natural and human environment and to support future tourism development</w:t>
      </w:r>
      <w:r w:rsidR="002D3362" w:rsidRPr="00563D71">
        <w:t>—</w:t>
      </w:r>
      <w:r w:rsidR="00EB0D40" w:rsidRPr="00563D71">
        <w:t xml:space="preserve">such as </w:t>
      </w:r>
      <w:r w:rsidR="009560BB" w:rsidRPr="00563D71">
        <w:t>wastewater treatment, solid waste management, water supply, access roads and parking</w:t>
      </w:r>
      <w:r w:rsidR="002D3362" w:rsidRPr="00563D71">
        <w:t>—</w:t>
      </w:r>
      <w:r w:rsidR="00C035AA" w:rsidRPr="00563D71">
        <w:t xml:space="preserve">will </w:t>
      </w:r>
      <w:r w:rsidR="009560BB" w:rsidRPr="00563D71">
        <w:t xml:space="preserve">not be provided in tandem with </w:t>
      </w:r>
      <w:r w:rsidR="00EB0D40" w:rsidRPr="00563D71">
        <w:t xml:space="preserve">the </w:t>
      </w:r>
      <w:r w:rsidR="009560BB" w:rsidRPr="00563D71">
        <w:t xml:space="preserve">development of tourist facilities. </w:t>
      </w:r>
      <w:r w:rsidR="003A4370" w:rsidRPr="00563D71">
        <w:t>If these are not</w:t>
      </w:r>
      <w:r w:rsidR="003D2E29" w:rsidRPr="00563D71">
        <w:t xml:space="preserve"> provided</w:t>
      </w:r>
      <w:r w:rsidR="003A4370" w:rsidRPr="00563D71">
        <w:t xml:space="preserve">, the </w:t>
      </w:r>
      <w:r w:rsidR="00096C1A" w:rsidRPr="00563D71">
        <w:t xml:space="preserve">result would be </w:t>
      </w:r>
      <w:r w:rsidR="00150936" w:rsidRPr="00563D71">
        <w:t xml:space="preserve">continuing or even accelerating </w:t>
      </w:r>
      <w:r w:rsidR="00096C1A" w:rsidRPr="00563D71">
        <w:t xml:space="preserve">degradation of the natural and cultural resources that are the main attractions for </w:t>
      </w:r>
      <w:r w:rsidR="001F3066" w:rsidRPr="00563D71">
        <w:t xml:space="preserve">visitors </w:t>
      </w:r>
      <w:r w:rsidR="00096C1A" w:rsidRPr="00563D71">
        <w:t xml:space="preserve">and are important to the host communities. A related risk is that </w:t>
      </w:r>
      <w:r w:rsidR="00D512E6" w:rsidRPr="00563D71">
        <w:t xml:space="preserve">investments </w:t>
      </w:r>
      <w:r w:rsidR="00096C1A" w:rsidRPr="00563D71">
        <w:t xml:space="preserve">will not be planned and sited with sensitivity to the environmental opportunities and constraints of the destinations and their surrounding areas. The </w:t>
      </w:r>
      <w:r w:rsidR="00474703" w:rsidRPr="00563D71">
        <w:t>integrated t</w:t>
      </w:r>
      <w:r w:rsidR="00D512E6" w:rsidRPr="00563D71">
        <w:t xml:space="preserve">ourism </w:t>
      </w:r>
      <w:r w:rsidR="00474703" w:rsidRPr="00563D71">
        <w:t>m</w:t>
      </w:r>
      <w:r w:rsidR="00D512E6" w:rsidRPr="00563D71">
        <w:t>aster</w:t>
      </w:r>
      <w:r w:rsidR="00C776AD" w:rsidRPr="00563D71">
        <w:t xml:space="preserve"> </w:t>
      </w:r>
      <w:r w:rsidR="00474703" w:rsidRPr="00563D71">
        <w:t>p</w:t>
      </w:r>
      <w:r w:rsidR="00D512E6" w:rsidRPr="00563D71">
        <w:t>lanning</w:t>
      </w:r>
      <w:r w:rsidR="00474703" w:rsidRPr="00563D71">
        <w:t xml:space="preserve"> process </w:t>
      </w:r>
      <w:r w:rsidR="00096C1A" w:rsidRPr="00563D71">
        <w:t>and the establishment of natural</w:t>
      </w:r>
      <w:r w:rsidR="004F0FC9" w:rsidRPr="00563D71">
        <w:t xml:space="preserve"> and </w:t>
      </w:r>
      <w:r w:rsidR="00096C1A" w:rsidRPr="00563D71">
        <w:t>cultural resource monitoring and protection arrangements that are key part</w:t>
      </w:r>
      <w:r w:rsidR="0005768B" w:rsidRPr="00563D71">
        <w:t>s</w:t>
      </w:r>
      <w:r w:rsidR="00096C1A" w:rsidRPr="00563D71">
        <w:t xml:space="preserve"> of Results Area 4 are the measures to address these risks</w:t>
      </w:r>
      <w:r w:rsidR="00D512E6" w:rsidRPr="00563D71">
        <w:t xml:space="preserve"> (the </w:t>
      </w:r>
      <w:r w:rsidR="00D07D06" w:rsidRPr="00563D71">
        <w:t xml:space="preserve">integrated tourism master plans </w:t>
      </w:r>
      <w:r w:rsidR="00D512E6" w:rsidRPr="00563D71">
        <w:t xml:space="preserve">are financed through the IPF component of the </w:t>
      </w:r>
      <w:r w:rsidR="001F3066" w:rsidRPr="00563D71">
        <w:t>O</w:t>
      </w:r>
      <w:r w:rsidR="00D512E6" w:rsidRPr="00563D71">
        <w:t>peration)</w:t>
      </w:r>
      <w:r w:rsidR="00096C1A" w:rsidRPr="00563D71">
        <w:t xml:space="preserve">. As for the individual </w:t>
      </w:r>
      <w:r w:rsidR="00D07D06" w:rsidRPr="00563D71">
        <w:t xml:space="preserve">physical </w:t>
      </w:r>
      <w:r w:rsidR="00096C1A" w:rsidRPr="00563D71">
        <w:t xml:space="preserve">investments themselves, </w:t>
      </w:r>
      <w:r w:rsidR="00562290" w:rsidRPr="00563D71">
        <w:t xml:space="preserve">sound siting and design, </w:t>
      </w:r>
      <w:r w:rsidR="00096C1A" w:rsidRPr="00563D71">
        <w:t>r</w:t>
      </w:r>
      <w:r w:rsidRPr="00563D71">
        <w:t xml:space="preserve">outine mitigation measures, application of good practice, and supervision and enforcement of workplace health and safety rules </w:t>
      </w:r>
      <w:r w:rsidR="00C776AD" w:rsidRPr="00563D71">
        <w:t xml:space="preserve">(a responsibility of the </w:t>
      </w:r>
      <w:r w:rsidR="00B350F3" w:rsidRPr="00563D71">
        <w:t>P</w:t>
      </w:r>
      <w:r w:rsidR="001577E0" w:rsidRPr="00563D71">
        <w:t xml:space="preserve">rogram </w:t>
      </w:r>
      <w:r w:rsidR="00C776AD" w:rsidRPr="00563D71">
        <w:t xml:space="preserve">proponent) </w:t>
      </w:r>
      <w:r w:rsidRPr="00563D71">
        <w:t>will be sufficient</w:t>
      </w:r>
      <w:r w:rsidR="00096C1A" w:rsidRPr="00563D71">
        <w:t xml:space="preserve"> to manage environmental impacts.</w:t>
      </w:r>
      <w:r w:rsidR="002C7A78" w:rsidRPr="00563D71">
        <w:t xml:space="preserve"> Moreover, the expenditures to be financed under Results Area 1 focus on addressing existing gaps, aimed at reversing ongoing environmental </w:t>
      </w:r>
      <w:r w:rsidR="000E69BC" w:rsidRPr="00563D71">
        <w:t xml:space="preserve">and cultural </w:t>
      </w:r>
      <w:r w:rsidR="002C7A78" w:rsidRPr="00563D71">
        <w:t>degradation.</w:t>
      </w:r>
    </w:p>
    <w:p w14:paraId="4273F046" w14:textId="36B2C258" w:rsidR="00D744D6" w:rsidRPr="00563D71" w:rsidRDefault="00D744D6" w:rsidP="00D744D6">
      <w:pPr>
        <w:tabs>
          <w:tab w:val="left" w:pos="90"/>
        </w:tabs>
        <w:spacing w:after="120"/>
        <w:ind w:left="0" w:firstLine="0"/>
        <w:contextualSpacing/>
      </w:pPr>
      <w:r w:rsidRPr="00563D71">
        <w:t xml:space="preserve">Potential adverse social impacts and risks related to </w:t>
      </w:r>
      <w:r w:rsidR="00047CD9" w:rsidRPr="00563D71">
        <w:t xml:space="preserve">the infrastructure investment </w:t>
      </w:r>
      <w:r w:rsidRPr="00563D71">
        <w:t xml:space="preserve">activities in Results Area 1 and construction of the downstream activities that might be generated by </w:t>
      </w:r>
      <w:r w:rsidR="00C035AA" w:rsidRPr="00563D71">
        <w:t xml:space="preserve">the </w:t>
      </w:r>
      <w:r w:rsidRPr="00563D71">
        <w:t xml:space="preserve">other three results areas of the Program (such as new tourism-related businesses) are expected to be moderate. Potential social risks impacts would occur mainly </w:t>
      </w:r>
      <w:r w:rsidR="00C035AA" w:rsidRPr="00563D71">
        <w:t xml:space="preserve">due </w:t>
      </w:r>
      <w:r w:rsidRPr="00563D71">
        <w:t>to land acquisition and/or resettlement, including access restriction to public goods and natural resources, and disturbance (e.g.</w:t>
      </w:r>
      <w:r w:rsidR="00627FAF" w:rsidRPr="00563D71">
        <w:t>,</w:t>
      </w:r>
      <w:r w:rsidRPr="00563D71">
        <w:t xml:space="preserve"> livelihoods, health, convenience) during construction. </w:t>
      </w:r>
      <w:r w:rsidR="002D3362" w:rsidRPr="00563D71">
        <w:t xml:space="preserve">According to </w:t>
      </w:r>
      <w:r w:rsidR="002D3362" w:rsidRPr="00563D71">
        <w:rPr>
          <w:i/>
        </w:rPr>
        <w:t>Bank Policy: Program-for-Results Financing</w:t>
      </w:r>
      <w:r w:rsidR="002D3362" w:rsidRPr="00563D71">
        <w:t xml:space="preserve"> </w:t>
      </w:r>
      <w:r w:rsidR="00421A0D" w:rsidRPr="00563D71">
        <w:t>“</w:t>
      </w:r>
      <w:r w:rsidR="002D3362" w:rsidRPr="00563D71">
        <w:t xml:space="preserve">activities that are judged to be likely to have significant adverse impacts that are sensitive, diverse, or unprecedented on the environment and/or affected people </w:t>
      </w:r>
      <w:r w:rsidR="00907A2A" w:rsidRPr="00563D71">
        <w:t>[</w:t>
      </w:r>
      <w:r w:rsidR="002D3362" w:rsidRPr="00563D71">
        <w:t>are</w:t>
      </w:r>
      <w:r w:rsidR="00907A2A" w:rsidRPr="00563D71">
        <w:t>]</w:t>
      </w:r>
      <w:r w:rsidR="002D3362" w:rsidRPr="00563D71">
        <w:t xml:space="preserve"> not </w:t>
      </w:r>
      <w:r w:rsidR="00421A0D" w:rsidRPr="00563D71">
        <w:t>eligible</w:t>
      </w:r>
      <w:r w:rsidRPr="00563D71">
        <w:t xml:space="preserve"> </w:t>
      </w:r>
      <w:r w:rsidR="002D3362" w:rsidRPr="00563D71">
        <w:t>for Financing and excluded from the Program</w:t>
      </w:r>
      <w:r w:rsidR="00421A0D" w:rsidRPr="00563D71">
        <w:t>”</w:t>
      </w:r>
      <w:r w:rsidR="002D3362" w:rsidRPr="00563D71">
        <w:t>—</w:t>
      </w:r>
      <w:r w:rsidR="008704F0" w:rsidRPr="00563D71">
        <w:t>c</w:t>
      </w:r>
      <w:r w:rsidR="00421A0D" w:rsidRPr="00563D71">
        <w:t>onsequently, no investments involving</w:t>
      </w:r>
      <w:r w:rsidRPr="00563D71">
        <w:t xml:space="preserve"> large-scale relocation </w:t>
      </w:r>
      <w:r w:rsidR="00421A0D" w:rsidRPr="00563D71">
        <w:t>would be included in</w:t>
      </w:r>
      <w:r w:rsidRPr="00563D71">
        <w:t xml:space="preserve"> the Program.</w:t>
      </w:r>
    </w:p>
    <w:p w14:paraId="58FA19DF" w14:textId="77777777" w:rsidR="00B350F3" w:rsidRPr="00563D71" w:rsidRDefault="00B350F3" w:rsidP="00D744D6">
      <w:pPr>
        <w:tabs>
          <w:tab w:val="left" w:pos="90"/>
        </w:tabs>
        <w:spacing w:after="120"/>
        <w:ind w:left="0" w:firstLine="0"/>
        <w:contextualSpacing/>
      </w:pPr>
    </w:p>
    <w:p w14:paraId="43B28068" w14:textId="3ECB2D70" w:rsidR="00141A45" w:rsidRPr="00563D71" w:rsidRDefault="00E311BF" w:rsidP="00DE434F">
      <w:pPr>
        <w:ind w:left="0" w:firstLine="0"/>
      </w:pPr>
      <w:r w:rsidRPr="00563D71">
        <w:t xml:space="preserve">Tourism development </w:t>
      </w:r>
      <w:r w:rsidR="006F6E87" w:rsidRPr="00563D71">
        <w:t>is</w:t>
      </w:r>
      <w:r w:rsidRPr="00563D71">
        <w:t xml:space="preserve"> </w:t>
      </w:r>
      <w:r w:rsidR="00A12A22" w:rsidRPr="00563D71">
        <w:t>perceived differently by different actor</w:t>
      </w:r>
      <w:r w:rsidR="006F6E87" w:rsidRPr="00563D71">
        <w:t>s</w:t>
      </w:r>
      <w:r w:rsidR="00A12A22" w:rsidRPr="00563D71">
        <w:t xml:space="preserve"> and stakeholders along with its development stage. In</w:t>
      </w:r>
      <w:r w:rsidR="00351FA8" w:rsidRPr="00563D71">
        <w:t xml:space="preserve"> </w:t>
      </w:r>
      <w:r w:rsidR="00A12A22" w:rsidRPr="00563D71">
        <w:t xml:space="preserve">the case of Lombok, </w:t>
      </w:r>
      <w:r w:rsidR="008704F0" w:rsidRPr="00563D71">
        <w:t>over time,</w:t>
      </w:r>
      <w:r w:rsidR="00351FA8" w:rsidRPr="00563D71">
        <w:t xml:space="preserve"> </w:t>
      </w:r>
      <w:r w:rsidR="00A12A22" w:rsidRPr="00563D71">
        <w:t>local people</w:t>
      </w:r>
      <w:r w:rsidR="008704F0" w:rsidRPr="00563D71">
        <w:t xml:space="preserve"> </w:t>
      </w:r>
      <w:r w:rsidR="00D9083A" w:rsidRPr="00563D71">
        <w:t>have</w:t>
      </w:r>
      <w:r w:rsidR="00A12A22" w:rsidRPr="00563D71">
        <w:t xml:space="preserve"> slowly </w:t>
      </w:r>
      <w:r w:rsidR="00D9083A" w:rsidRPr="00563D71">
        <w:t>accepted</w:t>
      </w:r>
      <w:r w:rsidR="00A12A22" w:rsidRPr="00563D71">
        <w:t xml:space="preserve"> the </w:t>
      </w:r>
      <w:r w:rsidR="00D9083A" w:rsidRPr="00563D71">
        <w:t xml:space="preserve">positive </w:t>
      </w:r>
      <w:r w:rsidR="008704F0" w:rsidRPr="00563D71">
        <w:t xml:space="preserve">effects that </w:t>
      </w:r>
      <w:r w:rsidR="00921D9F" w:rsidRPr="00563D71">
        <w:t xml:space="preserve">tourism can </w:t>
      </w:r>
      <w:r w:rsidR="008704F0" w:rsidRPr="00563D71">
        <w:t xml:space="preserve">have </w:t>
      </w:r>
      <w:r w:rsidR="00A12A22" w:rsidRPr="00563D71">
        <w:t>in terms of job</w:t>
      </w:r>
      <w:r w:rsidR="008704F0" w:rsidRPr="00563D71">
        <w:t xml:space="preserve"> </w:t>
      </w:r>
      <w:r w:rsidR="00D9083A" w:rsidRPr="00563D71">
        <w:t>opportunit</w:t>
      </w:r>
      <w:r w:rsidR="008704F0" w:rsidRPr="00563D71">
        <w:t xml:space="preserve">ies </w:t>
      </w:r>
      <w:r w:rsidR="00A12A22" w:rsidRPr="00563D71">
        <w:t xml:space="preserve">and income </w:t>
      </w:r>
      <w:r w:rsidR="008704F0" w:rsidRPr="00563D71">
        <w:t xml:space="preserve">for local </w:t>
      </w:r>
      <w:r w:rsidR="00A12A22" w:rsidRPr="00563D71">
        <w:t>people</w:t>
      </w:r>
      <w:r w:rsidR="006754CD" w:rsidRPr="00563D71">
        <w:t xml:space="preserve">. </w:t>
      </w:r>
      <w:r w:rsidR="00E9794B" w:rsidRPr="00563D71">
        <w:t>Over the last two decades</w:t>
      </w:r>
      <w:r w:rsidR="008704F0" w:rsidRPr="00563D71">
        <w:t>,</w:t>
      </w:r>
      <w:r w:rsidR="00132D61" w:rsidRPr="00563D71">
        <w:t xml:space="preserve"> the opportunity for women</w:t>
      </w:r>
      <w:r w:rsidR="004A1851" w:rsidRPr="00563D71">
        <w:t xml:space="preserve"> to work in </w:t>
      </w:r>
      <w:r w:rsidR="006754CD" w:rsidRPr="00563D71">
        <w:t>hotel</w:t>
      </w:r>
      <w:r w:rsidR="008704F0" w:rsidRPr="00563D71">
        <w:t>s</w:t>
      </w:r>
      <w:r w:rsidR="006754CD" w:rsidRPr="00563D71">
        <w:t xml:space="preserve"> </w:t>
      </w:r>
      <w:r w:rsidR="00132D61" w:rsidRPr="00563D71">
        <w:t xml:space="preserve">has slowly </w:t>
      </w:r>
      <w:r w:rsidR="00512C15" w:rsidRPr="00563D71">
        <w:t>opened</w:t>
      </w:r>
      <w:r w:rsidR="00132D61" w:rsidRPr="00563D71">
        <w:t xml:space="preserve">. </w:t>
      </w:r>
      <w:r w:rsidR="000E69BC" w:rsidRPr="00563D71">
        <w:t>Today, l</w:t>
      </w:r>
      <w:r w:rsidR="008704F0" w:rsidRPr="00563D71">
        <w:t xml:space="preserve">ocal communities are </w:t>
      </w:r>
      <w:r w:rsidR="007D2A8A" w:rsidRPr="00563D71">
        <w:t xml:space="preserve">more </w:t>
      </w:r>
      <w:r w:rsidR="00A12A22" w:rsidRPr="00563D71">
        <w:t xml:space="preserve">open </w:t>
      </w:r>
      <w:r w:rsidR="008704F0" w:rsidRPr="00563D71">
        <w:t xml:space="preserve">to </w:t>
      </w:r>
      <w:r w:rsidR="00611F2D" w:rsidRPr="00563D71">
        <w:t>female</w:t>
      </w:r>
      <w:r w:rsidR="000E69BC" w:rsidRPr="00563D71">
        <w:t xml:space="preserve"> labor participation </w:t>
      </w:r>
      <w:r w:rsidR="00611F2D" w:rsidRPr="00563D71">
        <w:t xml:space="preserve">in the </w:t>
      </w:r>
      <w:r w:rsidR="00132D61" w:rsidRPr="00563D71">
        <w:t>tourism</w:t>
      </w:r>
      <w:r w:rsidR="00A12A22" w:rsidRPr="00563D71">
        <w:t xml:space="preserve"> industry. </w:t>
      </w:r>
      <w:r w:rsidR="00E623B2" w:rsidRPr="00563D71">
        <w:t>“</w:t>
      </w:r>
      <w:r w:rsidR="00364046" w:rsidRPr="00563D71">
        <w:t>Halal</w:t>
      </w:r>
      <w:r w:rsidR="00040C30" w:rsidRPr="00563D71">
        <w:t>,</w:t>
      </w:r>
      <w:r w:rsidR="00E623B2" w:rsidRPr="00563D71">
        <w:t>”</w:t>
      </w:r>
      <w:r w:rsidR="00364046" w:rsidRPr="00563D71">
        <w:t xml:space="preserve"> </w:t>
      </w:r>
      <w:r w:rsidR="00E623B2" w:rsidRPr="00563D71">
        <w:t>“</w:t>
      </w:r>
      <w:r w:rsidR="000E69BC" w:rsidRPr="00563D71">
        <w:t>g</w:t>
      </w:r>
      <w:r w:rsidR="009D3262" w:rsidRPr="00563D71">
        <w:t>reen</w:t>
      </w:r>
      <w:r w:rsidR="00040C30" w:rsidRPr="00563D71">
        <w:t>,</w:t>
      </w:r>
      <w:r w:rsidR="00E623B2" w:rsidRPr="00563D71">
        <w:t>”</w:t>
      </w:r>
      <w:r w:rsidR="009D3262" w:rsidRPr="00563D71">
        <w:t xml:space="preserve"> and </w:t>
      </w:r>
      <w:r w:rsidR="00E623B2" w:rsidRPr="00563D71">
        <w:t>“</w:t>
      </w:r>
      <w:r w:rsidR="000E69BC" w:rsidRPr="00563D71">
        <w:t>s</w:t>
      </w:r>
      <w:r w:rsidR="009D3262" w:rsidRPr="00563D71">
        <w:t>ustainable</w:t>
      </w:r>
      <w:r w:rsidR="00E623B2" w:rsidRPr="00563D71">
        <w:t>”</w:t>
      </w:r>
      <w:r w:rsidR="009D3262" w:rsidRPr="00563D71">
        <w:t xml:space="preserve"> </w:t>
      </w:r>
      <w:r w:rsidR="00E623B2" w:rsidRPr="00563D71">
        <w:t>t</w:t>
      </w:r>
      <w:r w:rsidR="009D3262" w:rsidRPr="00563D71">
        <w:t xml:space="preserve">ourism </w:t>
      </w:r>
      <w:r w:rsidR="00E623B2" w:rsidRPr="00563D71">
        <w:t xml:space="preserve">is </w:t>
      </w:r>
      <w:r w:rsidR="009D3262" w:rsidRPr="00563D71">
        <w:t xml:space="preserve">being </w:t>
      </w:r>
      <w:r w:rsidR="000C4CE3" w:rsidRPr="00563D71">
        <w:t>promoted in</w:t>
      </w:r>
      <w:r w:rsidR="009D3262" w:rsidRPr="00563D71">
        <w:t xml:space="preserve"> Lombok to expand </w:t>
      </w:r>
      <w:r w:rsidR="000E69BC" w:rsidRPr="00563D71">
        <w:t xml:space="preserve">the </w:t>
      </w:r>
      <w:r w:rsidR="000C4CE3" w:rsidRPr="00563D71">
        <w:t xml:space="preserve">benefits </w:t>
      </w:r>
      <w:r w:rsidR="000E69BC" w:rsidRPr="00563D71">
        <w:t xml:space="preserve">and reduce the risks </w:t>
      </w:r>
      <w:r w:rsidR="0081524A" w:rsidRPr="00563D71">
        <w:t xml:space="preserve">of tourism development for </w:t>
      </w:r>
      <w:r w:rsidR="000C4CE3" w:rsidRPr="00563D71">
        <w:t>local</w:t>
      </w:r>
      <w:r w:rsidR="000E69BC" w:rsidRPr="00563D71">
        <w:t xml:space="preserve"> communities</w:t>
      </w:r>
      <w:r w:rsidR="000C4CE3" w:rsidRPr="00563D71">
        <w:t xml:space="preserve">. </w:t>
      </w:r>
      <w:r w:rsidR="002E6C25" w:rsidRPr="00563D71">
        <w:t xml:space="preserve">In the case of </w:t>
      </w:r>
      <w:r w:rsidR="008704F0" w:rsidRPr="00563D71">
        <w:t>the Borobudur-Y</w:t>
      </w:r>
      <w:r w:rsidR="002E6C25" w:rsidRPr="00563D71">
        <w:t>ogyakarta</w:t>
      </w:r>
      <w:r w:rsidR="008704F0" w:rsidRPr="00563D71">
        <w:t xml:space="preserve">-Prambanan destination, </w:t>
      </w:r>
      <w:r w:rsidR="002E6C25" w:rsidRPr="00563D71">
        <w:t xml:space="preserve">tourism </w:t>
      </w:r>
      <w:r w:rsidR="00512C15" w:rsidRPr="00563D71">
        <w:t>development</w:t>
      </w:r>
      <w:r w:rsidR="00611F2D" w:rsidRPr="00563D71">
        <w:t xml:space="preserve"> has</w:t>
      </w:r>
      <w:r w:rsidR="002E6C25" w:rsidRPr="00563D71">
        <w:t xml:space="preserve"> </w:t>
      </w:r>
      <w:r w:rsidR="008704F0" w:rsidRPr="00563D71">
        <w:t xml:space="preserve">a </w:t>
      </w:r>
      <w:r w:rsidR="00C7419D" w:rsidRPr="00563D71">
        <w:t xml:space="preserve">long </w:t>
      </w:r>
      <w:r w:rsidR="008704F0" w:rsidRPr="00563D71">
        <w:t xml:space="preserve">history </w:t>
      </w:r>
      <w:r w:rsidR="00C7419D" w:rsidRPr="00563D71">
        <w:t xml:space="preserve">in </w:t>
      </w:r>
      <w:r w:rsidR="00750212" w:rsidRPr="00563D71">
        <w:t xml:space="preserve">expanding </w:t>
      </w:r>
      <w:r w:rsidR="002E6C25" w:rsidRPr="00563D71">
        <w:t>the opportunity</w:t>
      </w:r>
      <w:r w:rsidR="003C2911" w:rsidRPr="00563D71">
        <w:t xml:space="preserve"> </w:t>
      </w:r>
      <w:r w:rsidR="002E6C25" w:rsidRPr="00563D71">
        <w:t xml:space="preserve">to </w:t>
      </w:r>
      <w:r w:rsidR="00FC1C54" w:rsidRPr="00563D71">
        <w:t>scale up</w:t>
      </w:r>
      <w:r w:rsidR="002E6C25" w:rsidRPr="00563D71">
        <w:t xml:space="preserve"> </w:t>
      </w:r>
      <w:r w:rsidR="00C7419D" w:rsidRPr="00563D71">
        <w:t>local</w:t>
      </w:r>
      <w:r w:rsidR="00750212" w:rsidRPr="00563D71">
        <w:t xml:space="preserve"> amenities</w:t>
      </w:r>
      <w:r w:rsidR="003C2911" w:rsidRPr="00563D71">
        <w:t xml:space="preserve"> and</w:t>
      </w:r>
      <w:r w:rsidR="00040C30" w:rsidRPr="00563D71">
        <w:t xml:space="preserve"> to</w:t>
      </w:r>
      <w:r w:rsidR="000E69BC" w:rsidRPr="00563D71">
        <w:t xml:space="preserve"> </w:t>
      </w:r>
      <w:r w:rsidR="003C2911" w:rsidRPr="00563D71">
        <w:t xml:space="preserve">benefit locals. </w:t>
      </w:r>
      <w:r w:rsidR="00FC1C54" w:rsidRPr="00563D71">
        <w:t xml:space="preserve">One of the promoted </w:t>
      </w:r>
      <w:r w:rsidR="00EA54A7" w:rsidRPr="00563D71">
        <w:t xml:space="preserve">activities </w:t>
      </w:r>
      <w:r w:rsidR="00443994" w:rsidRPr="00563D71">
        <w:t xml:space="preserve">in this destination </w:t>
      </w:r>
      <w:r w:rsidR="00FC1C54" w:rsidRPr="00563D71">
        <w:t>is homestay village (</w:t>
      </w:r>
      <w:r w:rsidR="00FC1C54" w:rsidRPr="00563D71">
        <w:rPr>
          <w:i/>
        </w:rPr>
        <w:t>desa wisata</w:t>
      </w:r>
      <w:r w:rsidR="00FC1C54" w:rsidRPr="00563D71">
        <w:t>)</w:t>
      </w:r>
      <w:r w:rsidR="0033503B" w:rsidRPr="00563D71">
        <w:t xml:space="preserve">. The </w:t>
      </w:r>
      <w:r w:rsidR="00443994" w:rsidRPr="00563D71">
        <w:t xml:space="preserve">homestay </w:t>
      </w:r>
      <w:r w:rsidR="0033503B" w:rsidRPr="00563D71">
        <w:t>village</w:t>
      </w:r>
      <w:r w:rsidR="00443994" w:rsidRPr="00563D71">
        <w:t>s are part of a collaborat</w:t>
      </w:r>
      <w:r w:rsidR="00040C30" w:rsidRPr="00563D71">
        <w:t>ion</w:t>
      </w:r>
      <w:r w:rsidR="00443994" w:rsidRPr="00563D71">
        <w:t xml:space="preserve"> effort with </w:t>
      </w:r>
      <w:r w:rsidR="0033503B" w:rsidRPr="00563D71">
        <w:t>state</w:t>
      </w:r>
      <w:r w:rsidR="000E69BC" w:rsidRPr="00563D71">
        <w:t>-</w:t>
      </w:r>
      <w:r w:rsidR="0033503B" w:rsidRPr="00563D71">
        <w:t xml:space="preserve">owned </w:t>
      </w:r>
      <w:r w:rsidR="00443994" w:rsidRPr="00563D71">
        <w:t xml:space="preserve">enterprises </w:t>
      </w:r>
      <w:r w:rsidR="0033503B" w:rsidRPr="00563D71">
        <w:t>(</w:t>
      </w:r>
      <w:r w:rsidR="00443994" w:rsidRPr="00563D71">
        <w:t xml:space="preserve">SOEs, or </w:t>
      </w:r>
      <w:r w:rsidR="00B35779" w:rsidRPr="00563D71">
        <w:rPr>
          <w:i/>
        </w:rPr>
        <w:t xml:space="preserve">Badan Usaha Milik Negara, </w:t>
      </w:r>
      <w:r w:rsidR="0033503B" w:rsidRPr="00563D71">
        <w:rPr>
          <w:i/>
        </w:rPr>
        <w:t>BUMNs</w:t>
      </w:r>
      <w:r w:rsidR="0033503B" w:rsidRPr="00563D71">
        <w:t xml:space="preserve">). </w:t>
      </w:r>
      <w:r w:rsidR="00B35779" w:rsidRPr="00563D71">
        <w:t xml:space="preserve">The initiative </w:t>
      </w:r>
      <w:r w:rsidR="00EA54A7" w:rsidRPr="00563D71">
        <w:t xml:space="preserve">reportedly </w:t>
      </w:r>
      <w:r w:rsidR="00836158" w:rsidRPr="00563D71">
        <w:t xml:space="preserve">changed the mindset of local people towards attracting </w:t>
      </w:r>
      <w:r w:rsidR="00443994" w:rsidRPr="00563D71">
        <w:t xml:space="preserve">visitors </w:t>
      </w:r>
      <w:r w:rsidR="00836158" w:rsidRPr="00563D71">
        <w:t>to stay in their villages</w:t>
      </w:r>
      <w:r w:rsidR="00CB3330" w:rsidRPr="00563D71">
        <w:t xml:space="preserve"> by keeping the village environment sustainable</w:t>
      </w:r>
      <w:r w:rsidR="00D9083A" w:rsidRPr="00563D71">
        <w:t>.</w:t>
      </w:r>
    </w:p>
    <w:p w14:paraId="5176D1FE" w14:textId="27257FFF" w:rsidR="00BC10CC" w:rsidRPr="00563D71" w:rsidRDefault="00BC10CC" w:rsidP="00040C30">
      <w:r w:rsidRPr="00563D71">
        <w:lastRenderedPageBreak/>
        <w:t xml:space="preserve">More broadly, </w:t>
      </w:r>
      <w:r w:rsidR="000F2155" w:rsidRPr="00563D71">
        <w:t xml:space="preserve">tourism is recognized for its </w:t>
      </w:r>
      <w:r w:rsidRPr="00563D71">
        <w:t xml:space="preserve">large employment and income multipliers, local economic benefits, and </w:t>
      </w:r>
      <w:r w:rsidR="000F2155" w:rsidRPr="00563D71">
        <w:t>employment of a high proportion of women (worldwide, 49% of formal hospitality and restaurant i</w:t>
      </w:r>
      <w:r w:rsidRPr="00563D71">
        <w:t>ndustry employees).</w:t>
      </w:r>
      <w:r w:rsidR="000F2155" w:rsidRPr="00563D71">
        <w:rPr>
          <w:vertAlign w:val="superscript"/>
        </w:rPr>
        <w:footnoteReference w:id="7"/>
      </w:r>
      <w:r w:rsidR="00803BD0" w:rsidRPr="00563D71">
        <w:t xml:space="preserve"> </w:t>
      </w:r>
      <w:r w:rsidRPr="00563D71">
        <w:t>Data from Indonesia’s input-output tables</w:t>
      </w:r>
      <w:r w:rsidRPr="00563D71">
        <w:rPr>
          <w:rStyle w:val="FootnoteReference"/>
        </w:rPr>
        <w:footnoteReference w:id="8"/>
      </w:r>
      <w:r w:rsidRPr="00563D71">
        <w:t xml:space="preserve"> suggests that the majority of </w:t>
      </w:r>
      <w:r w:rsidR="001F3066" w:rsidRPr="00563D71">
        <w:t xml:space="preserve">visitor </w:t>
      </w:r>
      <w:r w:rsidRPr="00563D71">
        <w:t>spending stays in the Indonesian economy; around 20 percent of the spending goes towards imported goods and services. The share that stays in the economy (i.e. for local goods and services) has strong subsequent multiplier impacts as a result of indirect effects (the resulting increase in output and employment for other sectors supplying inputs to support the rise in tourism spending), and induced effects (i.e. the additional spending by those deriving income from growing tourism activity). Some studies suggest that the total impact of tourism spending can be 1.7 to 3 times its direct impact.</w:t>
      </w:r>
      <w:r w:rsidRPr="00563D71">
        <w:rPr>
          <w:rStyle w:val="FootnoteReference"/>
        </w:rPr>
        <w:footnoteReference w:id="9"/>
      </w:r>
    </w:p>
    <w:p w14:paraId="3261EFF3" w14:textId="02D6804A" w:rsidR="00D744D6" w:rsidRPr="00563D71" w:rsidRDefault="00BC10CC" w:rsidP="009215D8">
      <w:pPr>
        <w:rPr>
          <w:szCs w:val="24"/>
        </w:rPr>
      </w:pPr>
      <w:r w:rsidRPr="00563D71">
        <w:t xml:space="preserve">However, </w:t>
      </w:r>
      <w:r w:rsidR="00DC4B8C" w:rsidRPr="00563D71">
        <w:t xml:space="preserve">there are </w:t>
      </w:r>
      <w:r w:rsidRPr="00563D71">
        <w:t xml:space="preserve">also </w:t>
      </w:r>
      <w:r w:rsidR="00DC4B8C" w:rsidRPr="00563D71">
        <w:t xml:space="preserve">more complex </w:t>
      </w:r>
      <w:r w:rsidR="00D744D6" w:rsidRPr="00563D71">
        <w:t>potential adverse social impacts of tourism</w:t>
      </w:r>
      <w:r w:rsidR="005F5189" w:rsidRPr="00563D71">
        <w:t xml:space="preserve"> development and</w:t>
      </w:r>
      <w:r w:rsidR="00512C15" w:rsidRPr="00563D71">
        <w:t xml:space="preserve"> </w:t>
      </w:r>
      <w:r w:rsidR="001C2806" w:rsidRPr="00563D71">
        <w:t xml:space="preserve">the tourism </w:t>
      </w:r>
      <w:r w:rsidR="00512C15" w:rsidRPr="00563D71">
        <w:t>industry</w:t>
      </w:r>
      <w:r w:rsidR="00D744D6" w:rsidRPr="00563D71">
        <w:t xml:space="preserve">. </w:t>
      </w:r>
      <w:r w:rsidR="00081E9A" w:rsidRPr="00563D71">
        <w:t>In general, t</w:t>
      </w:r>
      <w:r w:rsidR="00D744D6" w:rsidRPr="00563D71">
        <w:t xml:space="preserve">hese include: </w:t>
      </w:r>
      <w:r w:rsidR="00BC29AA" w:rsidRPr="00563D71">
        <w:t xml:space="preserve">greater economic and social disparity and limited access </w:t>
      </w:r>
      <w:r w:rsidR="00443994" w:rsidRPr="00563D71">
        <w:t xml:space="preserve">or access restrictions </w:t>
      </w:r>
      <w:r w:rsidR="00BC29AA" w:rsidRPr="00563D71">
        <w:t>for the community to public natural resources (such as beaches)</w:t>
      </w:r>
      <w:r w:rsidRPr="00563D71">
        <w:t xml:space="preserve"> in case of </w:t>
      </w:r>
      <w:r w:rsidR="00BC29AA" w:rsidRPr="00563D71">
        <w:t xml:space="preserve">“enclave tourist resort” development; </w:t>
      </w:r>
      <w:r w:rsidR="00D744D6" w:rsidRPr="00563D71">
        <w:t>internal conflict within communit</w:t>
      </w:r>
      <w:r w:rsidR="00C035AA" w:rsidRPr="00563D71">
        <w:t>ies</w:t>
      </w:r>
      <w:r w:rsidR="00D744D6" w:rsidRPr="00563D71">
        <w:t xml:space="preserve"> due to inequality of opportunity to derive benefits, especially for vulnerable groups; loss of jobs due to conversion of agricultural </w:t>
      </w:r>
      <w:r w:rsidR="007A708F" w:rsidRPr="00563D71">
        <w:t xml:space="preserve">land </w:t>
      </w:r>
      <w:r w:rsidR="00D744D6" w:rsidRPr="00563D71">
        <w:t>into tourism-related build-up areas; disturbance and commercialization of local cultures, practices and values; loss of livelihoods and assets due to land acquisition; community health and safety related to transmitted diseases, busier traffic, and sex tourism</w:t>
      </w:r>
      <w:r w:rsidR="003647A3" w:rsidRPr="00563D71">
        <w:t>;</w:t>
      </w:r>
      <w:r w:rsidR="00D744D6" w:rsidRPr="00563D71">
        <w:t xml:space="preserve"> and induced uncontrolled growth of settlements and/or small businesses surrounding the tourist attractions.</w:t>
      </w:r>
      <w:r w:rsidR="002D3362" w:rsidRPr="00563D71">
        <w:t xml:space="preserve"> </w:t>
      </w:r>
      <w:r w:rsidR="00D744D6" w:rsidRPr="00563D71">
        <w:rPr>
          <w:color w:val="auto"/>
          <w:szCs w:val="24"/>
        </w:rPr>
        <w:t xml:space="preserve">Local governments in the tourist destinations are challenged </w:t>
      </w:r>
      <w:r w:rsidR="009215D8" w:rsidRPr="00563D71">
        <w:rPr>
          <w:color w:val="auto"/>
          <w:szCs w:val="24"/>
        </w:rPr>
        <w:t xml:space="preserve">to </w:t>
      </w:r>
      <w:r w:rsidR="00D744D6" w:rsidRPr="00563D71">
        <w:rPr>
          <w:color w:val="auto"/>
          <w:szCs w:val="24"/>
        </w:rPr>
        <w:t>control land use and building development, protect traditional markets, and promot</w:t>
      </w:r>
      <w:r w:rsidR="009215D8" w:rsidRPr="00563D71">
        <w:rPr>
          <w:color w:val="auto"/>
          <w:szCs w:val="24"/>
        </w:rPr>
        <w:t>e</w:t>
      </w:r>
      <w:r w:rsidR="00D744D6" w:rsidRPr="00563D71">
        <w:rPr>
          <w:color w:val="auto"/>
          <w:szCs w:val="24"/>
        </w:rPr>
        <w:t xml:space="preserve"> the inclusion of </w:t>
      </w:r>
      <w:r w:rsidR="002D3362" w:rsidRPr="00563D71">
        <w:rPr>
          <w:color w:val="auto"/>
          <w:szCs w:val="24"/>
        </w:rPr>
        <w:t xml:space="preserve">the </w:t>
      </w:r>
      <w:r w:rsidR="00D744D6" w:rsidRPr="00563D71">
        <w:rPr>
          <w:color w:val="auto"/>
          <w:szCs w:val="24"/>
        </w:rPr>
        <w:t>local community in tourism-related activities. Traditional or informal tourism-related businesses</w:t>
      </w:r>
      <w:r w:rsidR="00B35779" w:rsidRPr="00563D71">
        <w:rPr>
          <w:color w:val="auto"/>
          <w:szCs w:val="24"/>
        </w:rPr>
        <w:t>,</w:t>
      </w:r>
      <w:r w:rsidR="00D744D6" w:rsidRPr="00563D71">
        <w:rPr>
          <w:color w:val="auto"/>
          <w:szCs w:val="24"/>
        </w:rPr>
        <w:t xml:space="preserve"> such as local boat operators, drivers, dive and snorkeling shops, may </w:t>
      </w:r>
      <w:r w:rsidR="002D3362" w:rsidRPr="00563D71">
        <w:rPr>
          <w:color w:val="auto"/>
          <w:szCs w:val="24"/>
        </w:rPr>
        <w:t xml:space="preserve">feel </w:t>
      </w:r>
      <w:r w:rsidR="00D744D6" w:rsidRPr="00563D71">
        <w:rPr>
          <w:color w:val="auto"/>
          <w:szCs w:val="24"/>
        </w:rPr>
        <w:t xml:space="preserve">threatened by large-scale, capital-intensive players in these activities due to limited capacity to compete. </w:t>
      </w:r>
      <w:r w:rsidR="00E623B2" w:rsidRPr="00563D71">
        <w:rPr>
          <w:color w:val="auto"/>
          <w:szCs w:val="24"/>
        </w:rPr>
        <w:t>S</w:t>
      </w:r>
      <w:r w:rsidR="00C776AD" w:rsidRPr="00563D71">
        <w:rPr>
          <w:color w:val="auto"/>
          <w:szCs w:val="24"/>
        </w:rPr>
        <w:t xml:space="preserve">ome local stakeholders </w:t>
      </w:r>
      <w:r w:rsidR="00E623B2" w:rsidRPr="00563D71">
        <w:rPr>
          <w:color w:val="auto"/>
          <w:szCs w:val="24"/>
        </w:rPr>
        <w:t xml:space="preserve">expressed their concern, </w:t>
      </w:r>
      <w:r w:rsidR="00E9794B" w:rsidRPr="00563D71">
        <w:rPr>
          <w:color w:val="auto"/>
          <w:szCs w:val="24"/>
        </w:rPr>
        <w:t xml:space="preserve">in consultations </w:t>
      </w:r>
      <w:r w:rsidR="00C776AD" w:rsidRPr="00563D71">
        <w:rPr>
          <w:color w:val="auto"/>
          <w:szCs w:val="24"/>
        </w:rPr>
        <w:t xml:space="preserve">during ESSA </w:t>
      </w:r>
      <w:r w:rsidR="00E9794B" w:rsidRPr="00563D71">
        <w:rPr>
          <w:color w:val="auto"/>
          <w:szCs w:val="24"/>
        </w:rPr>
        <w:t>preparation</w:t>
      </w:r>
      <w:r w:rsidR="00E623B2" w:rsidRPr="00563D71">
        <w:rPr>
          <w:color w:val="auto"/>
          <w:szCs w:val="24"/>
        </w:rPr>
        <w:t>,</w:t>
      </w:r>
      <w:r w:rsidR="00D744D6" w:rsidRPr="00563D71">
        <w:rPr>
          <w:color w:val="auto"/>
          <w:szCs w:val="24"/>
        </w:rPr>
        <w:t xml:space="preserve"> that existing local culture, values</w:t>
      </w:r>
      <w:r w:rsidR="009215D8" w:rsidRPr="00563D71">
        <w:rPr>
          <w:color w:val="auto"/>
          <w:szCs w:val="24"/>
        </w:rPr>
        <w:t>,</w:t>
      </w:r>
      <w:r w:rsidR="00D744D6" w:rsidRPr="00563D71">
        <w:rPr>
          <w:color w:val="auto"/>
          <w:szCs w:val="24"/>
        </w:rPr>
        <w:t xml:space="preserve"> and practices </w:t>
      </w:r>
      <w:r w:rsidR="00E623B2" w:rsidRPr="00563D71">
        <w:rPr>
          <w:color w:val="auto"/>
          <w:szCs w:val="24"/>
        </w:rPr>
        <w:t xml:space="preserve">may </w:t>
      </w:r>
      <w:r w:rsidR="00D744D6" w:rsidRPr="00563D71">
        <w:rPr>
          <w:color w:val="auto"/>
          <w:szCs w:val="24"/>
        </w:rPr>
        <w:t xml:space="preserve">be degraded and replaced by </w:t>
      </w:r>
      <w:r w:rsidR="00B20C6C" w:rsidRPr="00563D71">
        <w:rPr>
          <w:color w:val="auto"/>
          <w:szCs w:val="24"/>
        </w:rPr>
        <w:t xml:space="preserve">a </w:t>
      </w:r>
      <w:r w:rsidR="00D744D6" w:rsidRPr="00563D71">
        <w:rPr>
          <w:color w:val="auto"/>
          <w:szCs w:val="24"/>
        </w:rPr>
        <w:t>modern and “imported” model for tourism development.</w:t>
      </w:r>
      <w:r w:rsidR="00E623B2" w:rsidRPr="00563D71">
        <w:rPr>
          <w:color w:val="auto"/>
          <w:szCs w:val="24"/>
        </w:rPr>
        <w:t xml:space="preserve"> </w:t>
      </w:r>
    </w:p>
    <w:p w14:paraId="0E841D2A" w14:textId="7E138CC3" w:rsidR="00D744D6" w:rsidRPr="00563D71" w:rsidRDefault="00081E9A" w:rsidP="00DE434F">
      <w:r w:rsidRPr="00563D71">
        <w:t xml:space="preserve">As mentioned above, potential adverse social impacts and risks related to the infrastructure investment activities in Results Area 1 and construction of the downstream activities that might be generated by the other three results areas of the Program (such as new tourism-related businesses) are expected to be moderate. </w:t>
      </w:r>
      <w:r w:rsidR="00D744D6" w:rsidRPr="00563D71">
        <w:t xml:space="preserve">The potential </w:t>
      </w:r>
      <w:r w:rsidRPr="00563D71">
        <w:t xml:space="preserve">adverse </w:t>
      </w:r>
      <w:r w:rsidR="00D744D6" w:rsidRPr="00563D71">
        <w:t xml:space="preserve">social risks discussed above </w:t>
      </w:r>
      <w:r w:rsidR="00DD56E6" w:rsidRPr="00563D71">
        <w:t xml:space="preserve">can </w:t>
      </w:r>
      <w:r w:rsidR="00D744D6" w:rsidRPr="00563D71">
        <w:t xml:space="preserve">be mitigated through provision </w:t>
      </w:r>
      <w:r w:rsidR="003647A3" w:rsidRPr="00563D71">
        <w:t xml:space="preserve">to the public </w:t>
      </w:r>
      <w:r w:rsidR="00D744D6" w:rsidRPr="00563D71">
        <w:t xml:space="preserve">of </w:t>
      </w:r>
      <w:r w:rsidR="003647A3" w:rsidRPr="00563D71">
        <w:t xml:space="preserve">advance </w:t>
      </w:r>
      <w:r w:rsidR="00D744D6" w:rsidRPr="00563D71">
        <w:t xml:space="preserve">information related to tourism </w:t>
      </w:r>
      <w:r w:rsidR="001F3066" w:rsidRPr="00563D71">
        <w:t xml:space="preserve">destination </w:t>
      </w:r>
      <w:r w:rsidR="00D744D6" w:rsidRPr="00563D71">
        <w:t>development activities</w:t>
      </w:r>
      <w:r w:rsidR="003647A3" w:rsidRPr="00563D71">
        <w:t>;</w:t>
      </w:r>
      <w:r w:rsidR="00D744D6" w:rsidRPr="00563D71">
        <w:t xml:space="preserve"> inclusive and meaningful consultation and participation </w:t>
      </w:r>
      <w:r w:rsidR="003647A3" w:rsidRPr="00563D71">
        <w:t xml:space="preserve">of all stakeholders </w:t>
      </w:r>
      <w:r w:rsidR="00D744D6" w:rsidRPr="00563D71">
        <w:t xml:space="preserve">in </w:t>
      </w:r>
      <w:r w:rsidR="00B35779" w:rsidRPr="00563D71">
        <w:t xml:space="preserve">the </w:t>
      </w:r>
      <w:r w:rsidR="00D744D6" w:rsidRPr="00563D71">
        <w:t>preparation, implementation</w:t>
      </w:r>
      <w:r w:rsidR="00A0522F" w:rsidRPr="00563D71">
        <w:t>,</w:t>
      </w:r>
      <w:r w:rsidR="00D744D6" w:rsidRPr="00563D71">
        <w:t xml:space="preserve"> and monitoring and evaluation of the </w:t>
      </w:r>
      <w:r w:rsidR="00EA54A7" w:rsidRPr="00563D71">
        <w:t xml:space="preserve">integrated tourism master </w:t>
      </w:r>
      <w:r w:rsidR="00EA54A7" w:rsidRPr="00563D71">
        <w:lastRenderedPageBreak/>
        <w:t>plans</w:t>
      </w:r>
      <w:r w:rsidR="003647A3" w:rsidRPr="00563D71">
        <w:t>;</w:t>
      </w:r>
      <w:r w:rsidR="00D744D6" w:rsidRPr="00563D71">
        <w:t xml:space="preserve"> </w:t>
      </w:r>
      <w:r w:rsidR="003647A3" w:rsidRPr="00563D71">
        <w:t xml:space="preserve">improving </w:t>
      </w:r>
      <w:r w:rsidR="00D744D6" w:rsidRPr="00563D71">
        <w:t>consisten</w:t>
      </w:r>
      <w:r w:rsidR="003647A3" w:rsidRPr="00563D71">
        <w:t xml:space="preserve">cy in application </w:t>
      </w:r>
      <w:r w:rsidR="00D744D6" w:rsidRPr="00563D71">
        <w:t xml:space="preserve">of the current laws and regulations pertaining to land </w:t>
      </w:r>
      <w:r w:rsidR="0034118B" w:rsidRPr="00563D71">
        <w:rPr>
          <w:szCs w:val="24"/>
        </w:rPr>
        <w:t>acquisition and</w:t>
      </w:r>
      <w:r w:rsidR="00D744D6" w:rsidRPr="00563D71">
        <w:rPr>
          <w:szCs w:val="24"/>
        </w:rPr>
        <w:t xml:space="preserve"> </w:t>
      </w:r>
      <w:r w:rsidR="00B35779" w:rsidRPr="00563D71">
        <w:rPr>
          <w:rFonts w:eastAsiaTheme="minorHAnsi"/>
          <w:color w:val="auto"/>
          <w:szCs w:val="24"/>
        </w:rPr>
        <w:t>Indigenous Peoples</w:t>
      </w:r>
      <w:r w:rsidR="00B35779" w:rsidRPr="00563D71">
        <w:t xml:space="preserve"> (</w:t>
      </w:r>
      <w:r w:rsidR="00D744D6" w:rsidRPr="00563D71">
        <w:t>IPs</w:t>
      </w:r>
      <w:r w:rsidR="00B35779" w:rsidRPr="00563D71">
        <w:t>)</w:t>
      </w:r>
      <w:r w:rsidR="00546626" w:rsidRPr="00563D71">
        <w:t>;</w:t>
      </w:r>
      <w:r w:rsidR="00A0522F" w:rsidRPr="00563D71">
        <w:t xml:space="preserve"> </w:t>
      </w:r>
      <w:r w:rsidR="0097207A" w:rsidRPr="00563D71">
        <w:t>strengthen</w:t>
      </w:r>
      <w:r w:rsidR="00546626" w:rsidRPr="00563D71">
        <w:t>ing</w:t>
      </w:r>
      <w:r w:rsidR="0097207A" w:rsidRPr="00563D71">
        <w:t xml:space="preserve"> </w:t>
      </w:r>
      <w:r w:rsidR="00D744D6" w:rsidRPr="00563D71">
        <w:t>local government</w:t>
      </w:r>
      <w:r w:rsidR="007E306E" w:rsidRPr="00563D71">
        <w:t xml:space="preserve"> and</w:t>
      </w:r>
      <w:r w:rsidR="00D744D6" w:rsidRPr="00563D71">
        <w:t xml:space="preserve"> village planning process</w:t>
      </w:r>
      <w:r w:rsidR="007E306E" w:rsidRPr="00563D71">
        <w:t>es</w:t>
      </w:r>
      <w:r w:rsidR="00D744D6" w:rsidRPr="00563D71">
        <w:t xml:space="preserve"> through development of practical guidelines</w:t>
      </w:r>
      <w:r w:rsidR="00546626" w:rsidRPr="00563D71">
        <w:t>;</w:t>
      </w:r>
      <w:r w:rsidR="0097207A" w:rsidRPr="00563D71">
        <w:t xml:space="preserve"> </w:t>
      </w:r>
      <w:r w:rsidR="00D744D6" w:rsidRPr="00563D71">
        <w:t>and capacity building</w:t>
      </w:r>
      <w:r w:rsidR="0097207A" w:rsidRPr="00563D71">
        <w:t xml:space="preserve"> and support for coordination of the involved agencies</w:t>
      </w:r>
      <w:r w:rsidR="004E0194" w:rsidRPr="00563D71">
        <w:t xml:space="preserve">. </w:t>
      </w:r>
      <w:r w:rsidR="00D744D6" w:rsidRPr="00563D71">
        <w:t xml:space="preserve">More importantly, the </w:t>
      </w:r>
      <w:r w:rsidR="00EA54A7" w:rsidRPr="00563D71">
        <w:t>integrated tourism master plan</w:t>
      </w:r>
      <w:r w:rsidR="00C361AB" w:rsidRPr="00563D71">
        <w:t>s</w:t>
      </w:r>
      <w:r w:rsidR="00EA54A7" w:rsidRPr="00563D71">
        <w:t xml:space="preserve"> </w:t>
      </w:r>
      <w:r w:rsidR="00D744D6" w:rsidRPr="00563D71">
        <w:t xml:space="preserve">and </w:t>
      </w:r>
      <w:r w:rsidR="00C361AB" w:rsidRPr="00563D71">
        <w:t xml:space="preserve">their </w:t>
      </w:r>
      <w:r w:rsidR="00D744D6" w:rsidRPr="00563D71">
        <w:t>implementation</w:t>
      </w:r>
      <w:r w:rsidR="00A0522F" w:rsidRPr="00563D71">
        <w:t>,</w:t>
      </w:r>
      <w:r w:rsidR="00D744D6" w:rsidRPr="00563D71">
        <w:t xml:space="preserve"> </w:t>
      </w:r>
      <w:r w:rsidR="00BC29AA" w:rsidRPr="00563D71">
        <w:t>as well as capacity strengthening for</w:t>
      </w:r>
      <w:r w:rsidR="00A0522F" w:rsidRPr="00563D71">
        <w:t xml:space="preserve"> the</w:t>
      </w:r>
      <w:r w:rsidR="00BC29AA" w:rsidRPr="00563D71">
        <w:t xml:space="preserve"> local government</w:t>
      </w:r>
      <w:r w:rsidR="00A0522F" w:rsidRPr="00563D71">
        <w:t>s</w:t>
      </w:r>
      <w:r w:rsidR="00BC29AA" w:rsidRPr="00563D71">
        <w:t xml:space="preserve"> and communit</w:t>
      </w:r>
      <w:r w:rsidR="00A0522F" w:rsidRPr="00563D71">
        <w:t>ies,</w:t>
      </w:r>
      <w:r w:rsidR="00BC29AA" w:rsidRPr="00563D71">
        <w:t xml:space="preserve"> </w:t>
      </w:r>
      <w:r w:rsidR="00D744D6" w:rsidRPr="00563D71">
        <w:t>should be sensitive to and built on local cultures, values</w:t>
      </w:r>
      <w:r w:rsidR="00A0522F" w:rsidRPr="00563D71">
        <w:t>,</w:t>
      </w:r>
      <w:r w:rsidR="00D744D6" w:rsidRPr="00563D71">
        <w:t xml:space="preserve"> and practices to ensure sustainable tourism development.</w:t>
      </w:r>
    </w:p>
    <w:p w14:paraId="4A3A8D17" w14:textId="3173A70C" w:rsidR="000728B0" w:rsidRPr="00563D71" w:rsidRDefault="000728B0" w:rsidP="000259BE">
      <w:pPr>
        <w:tabs>
          <w:tab w:val="left" w:pos="0"/>
        </w:tabs>
        <w:spacing w:after="120"/>
        <w:ind w:left="0"/>
      </w:pPr>
      <w:r w:rsidRPr="00563D71">
        <w:t xml:space="preserve">The key findings of the ESSA with respect to environmental and social impact assessment and management are that </w:t>
      </w:r>
      <w:r w:rsidR="0090554B" w:rsidRPr="00563D71">
        <w:t>Indonesia</w:t>
      </w:r>
      <w:r w:rsidRPr="00563D71">
        <w:t xml:space="preserve"> has the legislative and regulatory basis and the institutions to ensure consistency with </w:t>
      </w:r>
      <w:r w:rsidR="0090554B" w:rsidRPr="00563D71">
        <w:t xml:space="preserve">the </w:t>
      </w:r>
      <w:r w:rsidRPr="00563D71">
        <w:t xml:space="preserve">six </w:t>
      </w:r>
      <w:r w:rsidR="0090554B" w:rsidRPr="00563D71">
        <w:t>elements</w:t>
      </w:r>
      <w:r w:rsidRPr="00563D71">
        <w:rPr>
          <w:rStyle w:val="FootnoteReference"/>
        </w:rPr>
        <w:footnoteReference w:id="10"/>
      </w:r>
      <w:r w:rsidRPr="00563D71">
        <w:t xml:space="preserve"> outlined in the </w:t>
      </w:r>
      <w:r w:rsidR="0090554B" w:rsidRPr="00563D71">
        <w:t>B</w:t>
      </w:r>
      <w:r w:rsidRPr="00563D71">
        <w:t xml:space="preserve">ank Policy. Implementation is not consistently effective in the areas of environmental and social </w:t>
      </w:r>
      <w:r w:rsidR="00B35779" w:rsidRPr="00563D71">
        <w:t xml:space="preserve">impact </w:t>
      </w:r>
      <w:r w:rsidRPr="00563D71">
        <w:t>assessment (ESIA) preparation, review</w:t>
      </w:r>
      <w:r w:rsidR="00FF3A88" w:rsidRPr="00563D71">
        <w:t>,</w:t>
      </w:r>
      <w:r w:rsidRPr="00563D71">
        <w:t xml:space="preserve"> and approval; </w:t>
      </w:r>
      <w:r w:rsidR="00D744D6" w:rsidRPr="00563D71">
        <w:t>enforcement of compliance with environmental, health, and safety requirements;</w:t>
      </w:r>
      <w:r w:rsidRPr="00563D71">
        <w:t xml:space="preserve"> </w:t>
      </w:r>
      <w:r w:rsidR="00D744D6" w:rsidRPr="00563D71">
        <w:t xml:space="preserve">and </w:t>
      </w:r>
      <w:r w:rsidRPr="00563D71">
        <w:t>field supervis</w:t>
      </w:r>
      <w:r w:rsidR="00D744D6" w:rsidRPr="00563D71">
        <w:t>ion, monitoring</w:t>
      </w:r>
      <w:r w:rsidR="00BB7326" w:rsidRPr="00563D71">
        <w:t>,</w:t>
      </w:r>
      <w:r w:rsidR="00D744D6" w:rsidRPr="00563D71">
        <w:t xml:space="preserve"> and enforcement. </w:t>
      </w:r>
      <w:r w:rsidRPr="00563D71">
        <w:t>The ESSA includes measures t</w:t>
      </w:r>
      <w:r w:rsidR="00D744D6" w:rsidRPr="00563D71">
        <w:t>o mitigate the</w:t>
      </w:r>
      <w:r w:rsidR="00C72486" w:rsidRPr="00563D71">
        <w:t>se</w:t>
      </w:r>
      <w:r w:rsidR="00D744D6" w:rsidRPr="00563D71">
        <w:t xml:space="preserve"> risks.</w:t>
      </w:r>
      <w:r w:rsidRPr="00563D71">
        <w:t xml:space="preserve"> </w:t>
      </w:r>
    </w:p>
    <w:p w14:paraId="2F42714C" w14:textId="7FDEB075" w:rsidR="009E48CE" w:rsidRPr="00563D71" w:rsidRDefault="000728B0" w:rsidP="000259BE">
      <w:pPr>
        <w:tabs>
          <w:tab w:val="left" w:pos="0"/>
        </w:tabs>
        <w:spacing w:after="120"/>
        <w:ind w:left="0"/>
      </w:pPr>
      <w:r w:rsidRPr="00563D71">
        <w:t>The most significant social findings are</w:t>
      </w:r>
      <w:r w:rsidR="00D744D6" w:rsidRPr="00563D71">
        <w:t>, first,</w:t>
      </w:r>
      <w:r w:rsidRPr="00563D71">
        <w:t xml:space="preserve"> that </w:t>
      </w:r>
      <w:r w:rsidR="00D744D6" w:rsidRPr="00563D71">
        <w:t>Indonesia</w:t>
      </w:r>
      <w:r w:rsidRPr="00563D71">
        <w:t xml:space="preserve"> has land laws and land acquisition procedures that, if judiciously followed, would result in outcomes generally in line with </w:t>
      </w:r>
      <w:r w:rsidR="00D744D6" w:rsidRPr="00563D71">
        <w:t>Policy Element</w:t>
      </w:r>
      <w:r w:rsidRPr="00563D71">
        <w:t xml:space="preserve"> 4, provided additional attention is given to </w:t>
      </w:r>
      <w:r w:rsidR="00BC29AA" w:rsidRPr="00563D71">
        <w:t xml:space="preserve">squatters, </w:t>
      </w:r>
      <w:r w:rsidRPr="00563D71">
        <w:t>livelihood restoration</w:t>
      </w:r>
      <w:r w:rsidR="00BC29AA" w:rsidRPr="00563D71">
        <w:t>, the consultation process, and documentation</w:t>
      </w:r>
      <w:r w:rsidR="004E28E3" w:rsidRPr="00563D71">
        <w:t xml:space="preserve">. </w:t>
      </w:r>
      <w:r w:rsidR="00076D77" w:rsidRPr="00563D71">
        <w:t xml:space="preserve">The Program Management Support (through Program Management Support Consultants’ Services financed under the IPF, and/or additional qualified MPWH staff) </w:t>
      </w:r>
      <w:r w:rsidR="009E48CE" w:rsidRPr="00563D71">
        <w:t xml:space="preserve">will provide training and assistance for the agencies implementing the investment to prepare and implement the Land Acquisition </w:t>
      </w:r>
      <w:r w:rsidR="00546626" w:rsidRPr="00563D71">
        <w:t xml:space="preserve">and Resettlement </w:t>
      </w:r>
      <w:r w:rsidR="009E48CE" w:rsidRPr="00563D71">
        <w:t>Plan</w:t>
      </w:r>
      <w:r w:rsidR="00546626" w:rsidRPr="00563D71">
        <w:t xml:space="preserve">s (LARAP, </w:t>
      </w:r>
      <w:r w:rsidR="009E48CE" w:rsidRPr="00563D71">
        <w:t>as required by Law</w:t>
      </w:r>
      <w:r w:rsidR="00324835" w:rsidRPr="00563D71">
        <w:t xml:space="preserve"> No.</w:t>
      </w:r>
      <w:r w:rsidR="009E48CE" w:rsidRPr="00563D71">
        <w:t xml:space="preserve"> 2</w:t>
      </w:r>
      <w:r w:rsidR="00324835" w:rsidRPr="00563D71">
        <w:t xml:space="preserve"> Year </w:t>
      </w:r>
      <w:r w:rsidR="009E48CE" w:rsidRPr="00563D71">
        <w:t>2012) that include</w:t>
      </w:r>
      <w:r w:rsidR="00076D77" w:rsidRPr="00563D71">
        <w:t>s</w:t>
      </w:r>
      <w:r w:rsidR="009E48CE" w:rsidRPr="00563D71">
        <w:t xml:space="preserve"> assistance and/or </w:t>
      </w:r>
      <w:r w:rsidR="00076D77" w:rsidRPr="00563D71">
        <w:t xml:space="preserve">a </w:t>
      </w:r>
      <w:r w:rsidR="009E48CE" w:rsidRPr="00563D71">
        <w:t>livelihood restoration program</w:t>
      </w:r>
      <w:r w:rsidR="00076D77" w:rsidRPr="00563D71">
        <w:t xml:space="preserve">, </w:t>
      </w:r>
      <w:r w:rsidR="00E568B3" w:rsidRPr="00563D71">
        <w:t xml:space="preserve">especially </w:t>
      </w:r>
      <w:r w:rsidR="009E48CE" w:rsidRPr="00563D71">
        <w:t xml:space="preserve">for squatters and the vulnerable, with </w:t>
      </w:r>
      <w:r w:rsidR="00027E9E" w:rsidRPr="00563D71">
        <w:t xml:space="preserve">the </w:t>
      </w:r>
      <w:r w:rsidR="009E48CE" w:rsidRPr="00563D71">
        <w:t>procedures, requirements and format of an abbreviated LARAP</w:t>
      </w:r>
      <w:r w:rsidR="00E56FEF" w:rsidRPr="00563D71">
        <w:t>.</w:t>
      </w:r>
      <w:r w:rsidR="009E48CE" w:rsidRPr="00563D71">
        <w:rPr>
          <w:rStyle w:val="FootnoteReference"/>
        </w:rPr>
        <w:footnoteReference w:id="11"/>
      </w:r>
      <w:r w:rsidR="009E48CE" w:rsidRPr="00563D71">
        <w:t xml:space="preserve"> </w:t>
      </w:r>
      <w:r w:rsidR="00AD6400" w:rsidRPr="00563D71">
        <w:t xml:space="preserve">In addition, </w:t>
      </w:r>
      <w:r w:rsidR="00076D77" w:rsidRPr="00563D71">
        <w:t xml:space="preserve">the </w:t>
      </w:r>
      <w:r w:rsidR="00AD6400" w:rsidRPr="00563D71">
        <w:t>Program Management Support Consultants</w:t>
      </w:r>
      <w:r w:rsidR="00076D77" w:rsidRPr="00563D71">
        <w:t>’</w:t>
      </w:r>
      <w:r w:rsidR="00AD6400" w:rsidRPr="00563D71">
        <w:t xml:space="preserve"> Services </w:t>
      </w:r>
      <w:r w:rsidR="00076D77" w:rsidRPr="00563D71">
        <w:t xml:space="preserve">includes a </w:t>
      </w:r>
      <w:r w:rsidR="00AD6400" w:rsidRPr="00563D71">
        <w:t>Social Development Specialist</w:t>
      </w:r>
      <w:r w:rsidR="00076D77" w:rsidRPr="00563D71">
        <w:t xml:space="preserve">. This specialist will </w:t>
      </w:r>
      <w:r w:rsidR="00AD6400" w:rsidRPr="00563D71">
        <w:t>help provid</w:t>
      </w:r>
      <w:r w:rsidR="00076D77" w:rsidRPr="00563D71">
        <w:t>e</w:t>
      </w:r>
      <w:r w:rsidR="00AD6400" w:rsidRPr="00563D71">
        <w:t xml:space="preserve"> training</w:t>
      </w:r>
      <w:r w:rsidR="008C7DAF" w:rsidRPr="00563D71">
        <w:t xml:space="preserve"> and</w:t>
      </w:r>
      <w:r w:rsidR="00AD6400" w:rsidRPr="00563D71">
        <w:t xml:space="preserve"> assistance to the involved agencies implementing the investment, </w:t>
      </w:r>
      <w:r w:rsidR="00076D77" w:rsidRPr="00563D71">
        <w:t xml:space="preserve">and </w:t>
      </w:r>
      <w:r w:rsidR="00AD6400" w:rsidRPr="00563D71">
        <w:t>review and monitor the implementation of the assistance and/or livelihood restoration program as specified in the abbreviated LARAP</w:t>
      </w:r>
      <w:r w:rsidR="00076D77" w:rsidRPr="00563D71">
        <w:t xml:space="preserve">. </w:t>
      </w:r>
      <w:r w:rsidR="00E44845" w:rsidRPr="00563D71">
        <w:t>This will help in</w:t>
      </w:r>
      <w:r w:rsidR="00AD6400" w:rsidRPr="00563D71">
        <w:t xml:space="preserve"> ensuring that the involved agencies have sufficient</w:t>
      </w:r>
      <w:r w:rsidR="00E44845" w:rsidRPr="00563D71">
        <w:t xml:space="preserve"> and </w:t>
      </w:r>
      <w:r w:rsidR="00AD6400" w:rsidRPr="00563D71">
        <w:t xml:space="preserve">qualified staff and budget to prepare and consistently implement the abbreviated LARAP. </w:t>
      </w:r>
      <w:r w:rsidR="00E44845" w:rsidRPr="00563D71">
        <w:t>The specialist</w:t>
      </w:r>
      <w:r w:rsidR="00AD6400" w:rsidRPr="00563D71">
        <w:t xml:space="preserve"> will </w:t>
      </w:r>
      <w:r w:rsidR="00E44845" w:rsidRPr="00563D71">
        <w:t xml:space="preserve">also </w:t>
      </w:r>
      <w:r w:rsidR="00AD6400" w:rsidRPr="00563D71">
        <w:t xml:space="preserve">facilitate the </w:t>
      </w:r>
      <w:r w:rsidR="00AD6400" w:rsidRPr="00563D71">
        <w:lastRenderedPageBreak/>
        <w:t xml:space="preserve">collaborative work among involved agencies to effectively prepare and implement the abbreviated LARAP. </w:t>
      </w:r>
    </w:p>
    <w:p w14:paraId="13985B77" w14:textId="14F8CFFB" w:rsidR="000728B0" w:rsidRPr="00563D71" w:rsidRDefault="0060352E" w:rsidP="000259BE">
      <w:pPr>
        <w:tabs>
          <w:tab w:val="left" w:pos="0"/>
        </w:tabs>
        <w:spacing w:after="120"/>
        <w:ind w:left="0"/>
        <w:rPr>
          <w:rFonts w:eastAsia="Arial Unicode MS"/>
        </w:rPr>
      </w:pPr>
      <w:r w:rsidRPr="00563D71">
        <w:t>Second, t</w:t>
      </w:r>
      <w:r w:rsidR="000728B0" w:rsidRPr="00563D71">
        <w:t xml:space="preserve">he ESSA also found that </w:t>
      </w:r>
      <w:r w:rsidRPr="00563D71">
        <w:t>Indonesia has</w:t>
      </w:r>
      <w:r w:rsidR="000728B0" w:rsidRPr="00563D71">
        <w:t xml:space="preserve"> </w:t>
      </w:r>
      <w:r w:rsidR="00081E9A" w:rsidRPr="00563D71">
        <w:t xml:space="preserve">sectoral </w:t>
      </w:r>
      <w:r w:rsidR="000728B0" w:rsidRPr="00563D71">
        <w:t xml:space="preserve">laws </w:t>
      </w:r>
      <w:r w:rsidR="00081E9A" w:rsidRPr="00563D71">
        <w:t xml:space="preserve">and regulations </w:t>
      </w:r>
      <w:r w:rsidR="000728B0" w:rsidRPr="00563D71">
        <w:t>specifically aimed at protecting the rights of indigenous peoples</w:t>
      </w:r>
      <w:r w:rsidR="00BC29AA" w:rsidRPr="00563D71">
        <w:t xml:space="preserve"> (</w:t>
      </w:r>
      <w:r w:rsidR="00BC29AA" w:rsidRPr="00563D71">
        <w:rPr>
          <w:i/>
        </w:rPr>
        <w:t>Masyarakat Hukum Adat</w:t>
      </w:r>
      <w:r w:rsidR="00BC29AA" w:rsidRPr="00563D71">
        <w:t>, or MHA)</w:t>
      </w:r>
      <w:r w:rsidR="000728B0" w:rsidRPr="00563D71">
        <w:t xml:space="preserve">. </w:t>
      </w:r>
      <w:r w:rsidR="00BC29AA" w:rsidRPr="00563D71">
        <w:t>Existing r</w:t>
      </w:r>
      <w:r w:rsidRPr="00563D71">
        <w:t xml:space="preserve">egulations </w:t>
      </w:r>
      <w:r w:rsidR="00BC29AA" w:rsidRPr="00563D71">
        <w:t xml:space="preserve">for land rights to MHA are difficult to implement in some circumstances due to overly bureaucratic arrangements, </w:t>
      </w:r>
      <w:r w:rsidRPr="00563D71">
        <w:t xml:space="preserve">and guidelines for consultation are lacking, </w:t>
      </w:r>
      <w:r w:rsidR="00BC29AA" w:rsidRPr="00563D71">
        <w:t xml:space="preserve">both </w:t>
      </w:r>
      <w:r w:rsidRPr="00563D71">
        <w:t>resulting in differing le</w:t>
      </w:r>
      <w:r w:rsidR="00C75AEB" w:rsidRPr="00563D71">
        <w:t>v</w:t>
      </w:r>
      <w:r w:rsidRPr="00563D71">
        <w:t xml:space="preserve">els of opportunity to </w:t>
      </w:r>
      <w:r w:rsidR="00BC29AA" w:rsidRPr="00563D71">
        <w:t xml:space="preserve">benefit from resources and to </w:t>
      </w:r>
      <w:r w:rsidRPr="00563D71">
        <w:t xml:space="preserve">participate in planning activities. </w:t>
      </w:r>
      <w:r w:rsidR="00BC29AA" w:rsidRPr="00563D71">
        <w:rPr>
          <w:color w:val="auto"/>
        </w:rPr>
        <w:t>In addition, understanding of regulations around the rights of MHA varies among government stakeholders, leading to diverse perceptions and political buy-in. T</w:t>
      </w:r>
      <w:r w:rsidR="000728B0" w:rsidRPr="00563D71">
        <w:t xml:space="preserve">he measures identified in the ESSA </w:t>
      </w:r>
      <w:r w:rsidRPr="00563D71">
        <w:t>will fill these gaps within the Program</w:t>
      </w:r>
      <w:r w:rsidR="00DB6A35" w:rsidRPr="00563D71">
        <w:t>.</w:t>
      </w:r>
      <w:r w:rsidR="00FF1892" w:rsidRPr="00563D71">
        <w:rPr>
          <w:rStyle w:val="FootnoteReference"/>
        </w:rPr>
        <w:footnoteReference w:id="12"/>
      </w:r>
      <w:r w:rsidR="008C7DAF" w:rsidRPr="00563D71">
        <w:t xml:space="preserve"> </w:t>
      </w:r>
      <w:r w:rsidRPr="00563D71">
        <w:t xml:space="preserve"> </w:t>
      </w:r>
      <w:r w:rsidR="00DB6A35" w:rsidRPr="00563D71">
        <w:t>F</w:t>
      </w:r>
      <w:r w:rsidR="008C7DAF" w:rsidRPr="00563D71">
        <w:t xml:space="preserve">ree, prior, informed consultations </w:t>
      </w:r>
      <w:r w:rsidR="00DB6A35" w:rsidRPr="00563D71">
        <w:t xml:space="preserve">will be carried out </w:t>
      </w:r>
      <w:r w:rsidR="008C7DAF" w:rsidRPr="00563D71">
        <w:t xml:space="preserve">that lead to broad community support during the preparation of the Integrated Tourism Master Plans (ITMPs)—under </w:t>
      </w:r>
      <w:r w:rsidR="0034118B" w:rsidRPr="00563D71">
        <w:t xml:space="preserve">the </w:t>
      </w:r>
      <w:r w:rsidR="008C7DAF" w:rsidRPr="00563D71">
        <w:t>IPF</w:t>
      </w:r>
      <w:r w:rsidR="0004026E" w:rsidRPr="00563D71">
        <w:t>—</w:t>
      </w:r>
      <w:r w:rsidR="008C7DAF" w:rsidRPr="00563D71">
        <w:t xml:space="preserve">and downstream plans ensuring the cultural appropriateness of, and equitable access to, Program benefits. Further, </w:t>
      </w:r>
      <w:r w:rsidR="00E44845" w:rsidRPr="00563D71">
        <w:t xml:space="preserve">the Program Management Support (through Program Management Support Consultants’ Services financed under the IPF, and/or additional qualified MPWH staff) </w:t>
      </w:r>
      <w:r w:rsidR="008C7DAF" w:rsidRPr="00563D71">
        <w:t xml:space="preserve">will provide training and assistance to involved agencies implementing the investments </w:t>
      </w:r>
      <w:r w:rsidR="00EA7F5C" w:rsidRPr="00563D71">
        <w:t xml:space="preserve">in areas where there is IPs presence, </w:t>
      </w:r>
      <w:r w:rsidR="008C7DAF" w:rsidRPr="00563D71">
        <w:t>in</w:t>
      </w:r>
      <w:r w:rsidR="00DB6A35" w:rsidRPr="00563D71">
        <w:t xml:space="preserve"> </w:t>
      </w:r>
      <w:r w:rsidR="008C7DAF" w:rsidRPr="00563D71">
        <w:t>carrying out free, prior, informed consultations that lead to broad community support</w:t>
      </w:r>
      <w:r w:rsidR="00FF1892" w:rsidRPr="00563D71">
        <w:t xml:space="preserve"> to the Program</w:t>
      </w:r>
      <w:r w:rsidR="008C7DAF" w:rsidRPr="00563D71">
        <w:t xml:space="preserve"> during the social assessment and</w:t>
      </w:r>
      <w:r w:rsidR="00EA7F5C" w:rsidRPr="00563D71">
        <w:t xml:space="preserve"> </w:t>
      </w:r>
      <w:r w:rsidR="008C7DAF" w:rsidRPr="00563D71">
        <w:t xml:space="preserve">to empower the affected IPs in benefitting from the Program and address potential </w:t>
      </w:r>
      <w:r w:rsidR="00EA7F5C" w:rsidRPr="00563D71">
        <w:t xml:space="preserve">adverse </w:t>
      </w:r>
      <w:r w:rsidR="008C7DAF" w:rsidRPr="00563D71">
        <w:t xml:space="preserve">impacts through the development of the Indigenous Peoples Plan. </w:t>
      </w:r>
      <w:r w:rsidR="00FF1892" w:rsidRPr="00563D71">
        <w:t xml:space="preserve">As part of the awareness and capacity building activities under </w:t>
      </w:r>
      <w:r w:rsidR="0004026E" w:rsidRPr="00563D71">
        <w:t xml:space="preserve">Results Area </w:t>
      </w:r>
      <w:r w:rsidR="00FF1892" w:rsidRPr="00563D71">
        <w:t xml:space="preserve">4, the Program will support the development of </w:t>
      </w:r>
      <w:r w:rsidR="00B71CC4" w:rsidRPr="00563D71">
        <w:t>a</w:t>
      </w:r>
      <w:r w:rsidR="00EA7F5C" w:rsidRPr="00563D71">
        <w:t xml:space="preserve"> practical tool/guidance</w:t>
      </w:r>
      <w:r w:rsidR="00FF1892" w:rsidRPr="00563D71">
        <w:t xml:space="preserve"> to implement free, prior, informed consultations that lead to broad community support and to empower IPs so that they will benefit from the Program as operationalization of the relevant sectoral laws and regulations.</w:t>
      </w:r>
    </w:p>
    <w:p w14:paraId="1FDE4C29" w14:textId="337C60ED" w:rsidR="000728B0" w:rsidRPr="00563D71" w:rsidRDefault="000728B0" w:rsidP="0060352E">
      <w:pPr>
        <w:spacing w:after="120"/>
        <w:ind w:left="10"/>
      </w:pPr>
      <w:r w:rsidRPr="00563D71">
        <w:t xml:space="preserve">The ESSA identifies the key measures to be taken for improved environmental and social due diligence in the Program. These measures are </w:t>
      </w:r>
      <w:r w:rsidR="00DD56E6" w:rsidRPr="00563D71">
        <w:t>an integral part of the Program</w:t>
      </w:r>
      <w:r w:rsidR="003647A3" w:rsidRPr="00563D71">
        <w:t xml:space="preserve"> and</w:t>
      </w:r>
      <w:r w:rsidR="00DD56E6" w:rsidRPr="00563D71">
        <w:t xml:space="preserve"> its results chain and </w:t>
      </w:r>
      <w:r w:rsidRPr="00563D71">
        <w:t xml:space="preserve">linked closely with the Disbursement-linked Indicators (DLIs) </w:t>
      </w:r>
      <w:r w:rsidR="00FF5B60" w:rsidRPr="00563D71">
        <w:t xml:space="preserve">and the Program Action Plan (PAP) </w:t>
      </w:r>
      <w:r w:rsidRPr="00563D71">
        <w:t xml:space="preserve">for the PforR. The key measures are defined in </w:t>
      </w:r>
      <w:r w:rsidR="0060352E" w:rsidRPr="00563D71">
        <w:t xml:space="preserve">the table </w:t>
      </w:r>
      <w:r w:rsidRPr="00563D71">
        <w:t>below:</w:t>
      </w:r>
    </w:p>
    <w:p w14:paraId="38EA59FE" w14:textId="0573DB65" w:rsidR="009D5456" w:rsidRPr="00563D71" w:rsidRDefault="009D5456">
      <w:pPr>
        <w:spacing w:before="0"/>
        <w:ind w:left="11" w:hanging="11"/>
        <w:rPr>
          <w:b/>
          <w:sz w:val="20"/>
        </w:rPr>
      </w:pPr>
      <w:bookmarkStart w:id="11" w:name="_Toc413053065"/>
      <w:bookmarkStart w:id="12" w:name="_Toc408810410"/>
      <w:r w:rsidRPr="00563D71">
        <w:br w:type="page"/>
      </w:r>
    </w:p>
    <w:p w14:paraId="170A96C5" w14:textId="34CCBCED" w:rsidR="000728B0" w:rsidRPr="00563D71" w:rsidRDefault="000728B0" w:rsidP="00B85075">
      <w:pPr>
        <w:pStyle w:val="NoSpacing"/>
        <w:ind w:left="0" w:firstLine="0"/>
      </w:pPr>
      <w:bookmarkStart w:id="13" w:name="_Toc485824761"/>
      <w:r w:rsidRPr="00563D71">
        <w:lastRenderedPageBreak/>
        <w:t>Measures to Strengthen System Performance for Environmental and Social Management</w:t>
      </w:r>
      <w:bookmarkEnd w:id="11"/>
      <w:bookmarkEnd w:id="12"/>
      <w:bookmarkEnd w:id="13"/>
    </w:p>
    <w:p w14:paraId="6E2FE332" w14:textId="77777777" w:rsidR="006C3B8C" w:rsidRPr="00563D71" w:rsidRDefault="006C3B8C" w:rsidP="003D2E29">
      <w:pPr>
        <w:spacing w:before="0"/>
        <w:ind w:left="0"/>
        <w:jc w:val="center"/>
        <w:rPr>
          <w:b/>
          <w:iCs/>
          <w:sz w:val="20"/>
          <w:szCs w:val="20"/>
        </w:rPr>
      </w:pPr>
    </w:p>
    <w:tbl>
      <w:tblPr>
        <w:tblStyle w:val="TableGrid"/>
        <w:tblW w:w="9559" w:type="dxa"/>
        <w:tblInd w:w="-95" w:type="dxa"/>
        <w:tblCellMar>
          <w:top w:w="3" w:type="dxa"/>
          <w:left w:w="104" w:type="dxa"/>
          <w:right w:w="94" w:type="dxa"/>
        </w:tblCellMar>
        <w:tblLook w:val="04A0" w:firstRow="1" w:lastRow="0" w:firstColumn="1" w:lastColumn="0" w:noHBand="0" w:noVBand="1"/>
      </w:tblPr>
      <w:tblGrid>
        <w:gridCol w:w="2121"/>
        <w:gridCol w:w="2433"/>
        <w:gridCol w:w="2028"/>
        <w:gridCol w:w="1574"/>
        <w:gridCol w:w="1403"/>
      </w:tblGrid>
      <w:tr w:rsidR="00A505CB" w:rsidRPr="00563D71" w14:paraId="0A7CA646" w14:textId="77777777" w:rsidTr="00CF22F2">
        <w:trPr>
          <w:trHeight w:val="473"/>
        </w:trPr>
        <w:tc>
          <w:tcPr>
            <w:tcW w:w="212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24EE4CA8" w14:textId="77777777" w:rsidR="004142FA" w:rsidRPr="00563D71" w:rsidRDefault="004142FA" w:rsidP="00304B91">
            <w:pPr>
              <w:spacing w:before="0"/>
              <w:ind w:left="0" w:firstLine="0"/>
              <w:jc w:val="left"/>
              <w:rPr>
                <w:b/>
                <w:sz w:val="20"/>
                <w:szCs w:val="20"/>
              </w:rPr>
            </w:pPr>
            <w:r w:rsidRPr="00563D71">
              <w:rPr>
                <w:b/>
                <w:sz w:val="20"/>
                <w:szCs w:val="20"/>
              </w:rPr>
              <w:t>Objective</w:t>
            </w:r>
          </w:p>
        </w:tc>
        <w:tc>
          <w:tcPr>
            <w:tcW w:w="243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4FFA125" w14:textId="459F2DE7" w:rsidR="004142FA" w:rsidRPr="00563D71" w:rsidRDefault="004142FA" w:rsidP="00304B91">
            <w:pPr>
              <w:spacing w:before="0"/>
              <w:ind w:left="1" w:firstLine="0"/>
              <w:jc w:val="left"/>
              <w:rPr>
                <w:b/>
                <w:sz w:val="20"/>
                <w:szCs w:val="20"/>
              </w:rPr>
            </w:pPr>
            <w:r w:rsidRPr="00563D71">
              <w:rPr>
                <w:b/>
                <w:sz w:val="20"/>
                <w:szCs w:val="20"/>
              </w:rPr>
              <w:t>Environmental and Social Actions</w:t>
            </w:r>
          </w:p>
        </w:tc>
        <w:tc>
          <w:tcPr>
            <w:tcW w:w="202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DD5F9A9" w14:textId="77777777" w:rsidR="004142FA" w:rsidRPr="00563D71" w:rsidRDefault="004142FA" w:rsidP="00304B91">
            <w:pPr>
              <w:spacing w:before="0"/>
              <w:ind w:left="1" w:firstLine="0"/>
              <w:jc w:val="left"/>
              <w:rPr>
                <w:sz w:val="20"/>
                <w:szCs w:val="20"/>
              </w:rPr>
            </w:pPr>
            <w:r w:rsidRPr="00563D71">
              <w:rPr>
                <w:b/>
                <w:sz w:val="20"/>
                <w:szCs w:val="20"/>
              </w:rPr>
              <w:t>Implementation via</w:t>
            </w:r>
          </w:p>
        </w:tc>
        <w:tc>
          <w:tcPr>
            <w:tcW w:w="157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4D78D7A" w14:textId="77777777" w:rsidR="004142FA" w:rsidRPr="00563D71" w:rsidRDefault="004142FA" w:rsidP="00304B91">
            <w:pPr>
              <w:spacing w:before="0"/>
              <w:ind w:left="1" w:firstLine="0"/>
              <w:jc w:val="left"/>
              <w:rPr>
                <w:sz w:val="20"/>
                <w:szCs w:val="20"/>
              </w:rPr>
            </w:pPr>
            <w:r w:rsidRPr="00563D71">
              <w:rPr>
                <w:b/>
                <w:sz w:val="20"/>
                <w:szCs w:val="20"/>
              </w:rPr>
              <w:t>Timing</w:t>
            </w:r>
          </w:p>
        </w:tc>
        <w:tc>
          <w:tcPr>
            <w:tcW w:w="140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C5B6D4A" w14:textId="77777777" w:rsidR="004142FA" w:rsidRPr="00563D71" w:rsidRDefault="004142FA" w:rsidP="00304B91">
            <w:pPr>
              <w:spacing w:before="0"/>
              <w:ind w:left="1" w:firstLine="0"/>
              <w:jc w:val="left"/>
              <w:rPr>
                <w:sz w:val="20"/>
                <w:szCs w:val="20"/>
              </w:rPr>
            </w:pPr>
            <w:r w:rsidRPr="00563D71">
              <w:rPr>
                <w:b/>
                <w:sz w:val="20"/>
                <w:szCs w:val="20"/>
              </w:rPr>
              <w:t>Responsible</w:t>
            </w:r>
          </w:p>
        </w:tc>
      </w:tr>
      <w:tr w:rsidR="00A505CB" w:rsidRPr="00563D71" w14:paraId="1F8761F1" w14:textId="77777777" w:rsidTr="0032029F">
        <w:trPr>
          <w:trHeight w:val="3407"/>
        </w:trPr>
        <w:tc>
          <w:tcPr>
            <w:tcW w:w="2121" w:type="dxa"/>
            <w:tcBorders>
              <w:top w:val="single" w:sz="4" w:space="0" w:color="000000"/>
              <w:left w:val="single" w:sz="4" w:space="0" w:color="000000"/>
              <w:bottom w:val="single" w:sz="4" w:space="0" w:color="000000"/>
              <w:right w:val="single" w:sz="4" w:space="0" w:color="000000"/>
            </w:tcBorders>
            <w:vAlign w:val="center"/>
          </w:tcPr>
          <w:p w14:paraId="6B037E9A" w14:textId="77777777" w:rsidR="004142FA" w:rsidRPr="00563D71" w:rsidRDefault="004142FA" w:rsidP="00304B91">
            <w:pPr>
              <w:spacing w:before="0"/>
              <w:ind w:left="0" w:right="61" w:firstLine="0"/>
              <w:jc w:val="left"/>
              <w:rPr>
                <w:sz w:val="20"/>
                <w:szCs w:val="20"/>
              </w:rPr>
            </w:pPr>
            <w:r w:rsidRPr="00563D71">
              <w:rPr>
                <w:sz w:val="20"/>
                <w:szCs w:val="20"/>
              </w:rPr>
              <w:t>Ensure integrated development of tourism facilities and supporting infrastructure</w:t>
            </w:r>
          </w:p>
        </w:tc>
        <w:tc>
          <w:tcPr>
            <w:tcW w:w="2433" w:type="dxa"/>
            <w:vMerge w:val="restart"/>
            <w:tcBorders>
              <w:top w:val="single" w:sz="4" w:space="0" w:color="000000"/>
              <w:left w:val="single" w:sz="4" w:space="0" w:color="000000"/>
              <w:right w:val="single" w:sz="4" w:space="0" w:color="000000"/>
            </w:tcBorders>
            <w:vAlign w:val="center"/>
          </w:tcPr>
          <w:p w14:paraId="001CDC7A" w14:textId="05D1E07E" w:rsidR="004142FA" w:rsidRPr="00563D71" w:rsidRDefault="004142FA" w:rsidP="00304B91">
            <w:pPr>
              <w:spacing w:before="0"/>
              <w:ind w:left="1" w:firstLine="0"/>
              <w:jc w:val="left"/>
              <w:rPr>
                <w:sz w:val="20"/>
                <w:szCs w:val="20"/>
              </w:rPr>
            </w:pPr>
            <w:r w:rsidRPr="00563D71">
              <w:rPr>
                <w:sz w:val="20"/>
                <w:szCs w:val="20"/>
              </w:rPr>
              <w:t xml:space="preserve">Prepare Integrated Tourism Master Plans </w:t>
            </w:r>
            <w:r w:rsidR="0004026E" w:rsidRPr="00563D71">
              <w:rPr>
                <w:sz w:val="20"/>
                <w:szCs w:val="20"/>
              </w:rPr>
              <w:t xml:space="preserve">(ITMPs) </w:t>
            </w:r>
            <w:r w:rsidRPr="00563D71">
              <w:rPr>
                <w:sz w:val="20"/>
                <w:szCs w:val="20"/>
              </w:rPr>
              <w:t>for each destination</w:t>
            </w:r>
            <w:r w:rsidR="0004026E" w:rsidRPr="00563D71">
              <w:rPr>
                <w:sz w:val="20"/>
                <w:szCs w:val="20"/>
              </w:rPr>
              <w:t>.</w:t>
            </w:r>
          </w:p>
          <w:p w14:paraId="6E42D19D" w14:textId="77777777" w:rsidR="004142FA" w:rsidRPr="00563D71" w:rsidRDefault="004142FA" w:rsidP="00304B91">
            <w:pPr>
              <w:spacing w:before="0"/>
              <w:ind w:left="1" w:firstLine="0"/>
              <w:jc w:val="left"/>
              <w:rPr>
                <w:sz w:val="20"/>
                <w:szCs w:val="20"/>
              </w:rPr>
            </w:pPr>
          </w:p>
          <w:p w14:paraId="1A690250" w14:textId="6A0F8137" w:rsidR="00E568B3" w:rsidRPr="00563D71" w:rsidRDefault="00DB6A35" w:rsidP="0032029F">
            <w:pPr>
              <w:tabs>
                <w:tab w:val="left" w:pos="0"/>
              </w:tabs>
              <w:spacing w:before="0"/>
              <w:ind w:left="0"/>
              <w:jc w:val="left"/>
              <w:rPr>
                <w:sz w:val="20"/>
                <w:szCs w:val="20"/>
              </w:rPr>
            </w:pPr>
            <w:r w:rsidRPr="00563D71">
              <w:rPr>
                <w:sz w:val="20"/>
                <w:szCs w:val="20"/>
              </w:rPr>
              <w:t xml:space="preserve">Undertake </w:t>
            </w:r>
            <w:r w:rsidR="00FF1892" w:rsidRPr="00563D71">
              <w:rPr>
                <w:sz w:val="20"/>
                <w:szCs w:val="20"/>
              </w:rPr>
              <w:t>free, prior, informed consultations that lead to broad community support during the preparation of the ITMPs and downstream plans ensuring the cultural appropriateness of, and equitable access to, Program benefits.</w:t>
            </w:r>
          </w:p>
          <w:p w14:paraId="1A45A635" w14:textId="77777777" w:rsidR="0004026E" w:rsidRPr="00563D71" w:rsidRDefault="0004026E" w:rsidP="0032029F">
            <w:pPr>
              <w:tabs>
                <w:tab w:val="left" w:pos="0"/>
              </w:tabs>
              <w:spacing w:before="0"/>
              <w:ind w:left="0"/>
              <w:jc w:val="left"/>
              <w:rPr>
                <w:sz w:val="20"/>
                <w:szCs w:val="20"/>
              </w:rPr>
            </w:pPr>
          </w:p>
          <w:p w14:paraId="7960E151" w14:textId="7A308C90" w:rsidR="00E568B3" w:rsidRPr="00563D71" w:rsidRDefault="00E568B3" w:rsidP="0032029F">
            <w:pPr>
              <w:tabs>
                <w:tab w:val="left" w:pos="0"/>
              </w:tabs>
              <w:spacing w:before="0"/>
              <w:ind w:left="0"/>
              <w:jc w:val="left"/>
              <w:rPr>
                <w:sz w:val="20"/>
                <w:szCs w:val="20"/>
              </w:rPr>
            </w:pPr>
            <w:r w:rsidRPr="00563D71">
              <w:rPr>
                <w:sz w:val="20"/>
                <w:szCs w:val="20"/>
              </w:rPr>
              <w:t>P</w:t>
            </w:r>
            <w:r w:rsidR="00FF1892" w:rsidRPr="00563D71">
              <w:rPr>
                <w:sz w:val="20"/>
                <w:szCs w:val="20"/>
              </w:rPr>
              <w:t xml:space="preserve">rovide training and assistance to involved agencies implementing the investments </w:t>
            </w:r>
            <w:r w:rsidR="0004026E" w:rsidRPr="00563D71">
              <w:rPr>
                <w:sz w:val="20"/>
                <w:szCs w:val="20"/>
              </w:rPr>
              <w:t xml:space="preserve">in areas where there is IPs presence in </w:t>
            </w:r>
            <w:r w:rsidRPr="00563D71">
              <w:rPr>
                <w:sz w:val="20"/>
                <w:szCs w:val="20"/>
              </w:rPr>
              <w:t xml:space="preserve">carrying out a free, prior, </w:t>
            </w:r>
            <w:r w:rsidR="00FF1892" w:rsidRPr="00563D71">
              <w:rPr>
                <w:sz w:val="20"/>
                <w:szCs w:val="20"/>
              </w:rPr>
              <w:t xml:space="preserve">informed consultations that lead to broad community support </w:t>
            </w:r>
            <w:r w:rsidR="00CB0AF3" w:rsidRPr="00563D71">
              <w:rPr>
                <w:sz w:val="20"/>
                <w:szCs w:val="20"/>
              </w:rPr>
              <w:t>for</w:t>
            </w:r>
            <w:r w:rsidR="00FF1892" w:rsidRPr="00563D71">
              <w:rPr>
                <w:sz w:val="20"/>
                <w:szCs w:val="20"/>
              </w:rPr>
              <w:t xml:space="preserve"> the Program during the social assessment and to empower the affected IPs in benefitting from the Program and address potential impacts through the development of the Indigenous Peoples Plan</w:t>
            </w:r>
            <w:r w:rsidR="00474CD7" w:rsidRPr="00563D71">
              <w:rPr>
                <w:sz w:val="20"/>
                <w:szCs w:val="20"/>
              </w:rPr>
              <w:t xml:space="preserve"> (IPP)</w:t>
            </w:r>
            <w:r w:rsidR="00FF1892" w:rsidRPr="00563D71">
              <w:rPr>
                <w:sz w:val="20"/>
                <w:szCs w:val="20"/>
              </w:rPr>
              <w:t>.</w:t>
            </w:r>
            <w:r w:rsidR="0004026E" w:rsidRPr="00563D71">
              <w:rPr>
                <w:rStyle w:val="FootnoteReference"/>
                <w:sz w:val="20"/>
                <w:szCs w:val="20"/>
              </w:rPr>
              <w:footnoteReference w:id="13"/>
            </w:r>
            <w:r w:rsidR="00FF1892" w:rsidRPr="00563D71">
              <w:rPr>
                <w:sz w:val="20"/>
                <w:szCs w:val="20"/>
              </w:rPr>
              <w:t xml:space="preserve"> </w:t>
            </w:r>
          </w:p>
          <w:p w14:paraId="38515F3E" w14:textId="77777777" w:rsidR="0004026E" w:rsidRPr="00563D71" w:rsidRDefault="0004026E" w:rsidP="0032029F">
            <w:pPr>
              <w:tabs>
                <w:tab w:val="left" w:pos="0"/>
              </w:tabs>
              <w:spacing w:before="0"/>
              <w:ind w:left="0"/>
              <w:jc w:val="left"/>
              <w:rPr>
                <w:sz w:val="20"/>
                <w:szCs w:val="20"/>
              </w:rPr>
            </w:pPr>
          </w:p>
          <w:p w14:paraId="11A24DBD" w14:textId="061AB649" w:rsidR="004142FA" w:rsidRPr="00563D71" w:rsidRDefault="00304B91" w:rsidP="0032029F">
            <w:pPr>
              <w:jc w:val="left"/>
              <w:rPr>
                <w:sz w:val="20"/>
                <w:szCs w:val="20"/>
              </w:rPr>
            </w:pPr>
            <w:r w:rsidRPr="00563D71">
              <w:rPr>
                <w:sz w:val="20"/>
                <w:szCs w:val="20"/>
              </w:rPr>
              <w:t>A</w:t>
            </w:r>
            <w:r w:rsidR="002742A1" w:rsidRPr="00563D71">
              <w:rPr>
                <w:sz w:val="20"/>
                <w:szCs w:val="20"/>
              </w:rPr>
              <w:t>ssist and facilitate the collaborative efforts of various agencies responsible for IPs empowerment</w:t>
            </w:r>
            <w:r w:rsidR="00B71CC4" w:rsidRPr="00563D71">
              <w:rPr>
                <w:sz w:val="20"/>
                <w:szCs w:val="20"/>
              </w:rPr>
              <w:t>.</w:t>
            </w:r>
            <w:r w:rsidR="0004026E" w:rsidRPr="00563D71" w:rsidDel="0004026E">
              <w:rPr>
                <w:sz w:val="20"/>
                <w:szCs w:val="20"/>
              </w:rPr>
              <w:t xml:space="preserve"> </w:t>
            </w:r>
          </w:p>
        </w:tc>
        <w:tc>
          <w:tcPr>
            <w:tcW w:w="2028" w:type="dxa"/>
            <w:vMerge w:val="restart"/>
            <w:tcBorders>
              <w:top w:val="single" w:sz="4" w:space="0" w:color="000000"/>
              <w:left w:val="single" w:sz="4" w:space="0" w:color="000000"/>
              <w:right w:val="single" w:sz="4" w:space="0" w:color="000000"/>
            </w:tcBorders>
            <w:vAlign w:val="center"/>
          </w:tcPr>
          <w:p w14:paraId="5BB43106" w14:textId="18267397" w:rsidR="004142FA" w:rsidRPr="00563D71" w:rsidRDefault="00F01711" w:rsidP="00DE57F0">
            <w:pPr>
              <w:spacing w:before="0"/>
              <w:ind w:left="0" w:firstLine="0"/>
              <w:jc w:val="left"/>
              <w:rPr>
                <w:sz w:val="20"/>
                <w:szCs w:val="20"/>
              </w:rPr>
            </w:pPr>
            <w:r w:rsidRPr="00563D71">
              <w:rPr>
                <w:sz w:val="20"/>
                <w:szCs w:val="20"/>
              </w:rPr>
              <w:t>IPF (technical assistance) componen</w:t>
            </w:r>
            <w:r w:rsidR="00DE57F0">
              <w:rPr>
                <w:sz w:val="20"/>
                <w:szCs w:val="20"/>
              </w:rPr>
              <w:t>t of the Operation, especially ITMP</w:t>
            </w:r>
            <w:r w:rsidRPr="00563D71">
              <w:rPr>
                <w:sz w:val="20"/>
                <w:szCs w:val="20"/>
              </w:rPr>
              <w:t xml:space="preserve"> Consultants’ Services</w:t>
            </w:r>
            <w:r w:rsidR="000F3577" w:rsidRPr="00563D71">
              <w:rPr>
                <w:sz w:val="20"/>
                <w:szCs w:val="20"/>
              </w:rPr>
              <w:t>,</w:t>
            </w:r>
            <w:r w:rsidRPr="00563D71">
              <w:rPr>
                <w:sz w:val="20"/>
                <w:szCs w:val="20"/>
              </w:rPr>
              <w:t xml:space="preserve"> and downstream plans</w:t>
            </w:r>
            <w:r w:rsidR="0004026E" w:rsidRPr="00563D71">
              <w:rPr>
                <w:sz w:val="20"/>
                <w:szCs w:val="20"/>
              </w:rPr>
              <w:t>.</w:t>
            </w:r>
          </w:p>
          <w:p w14:paraId="1A3734CB" w14:textId="77777777" w:rsidR="00474CD7" w:rsidRPr="00563D71" w:rsidRDefault="00474CD7" w:rsidP="0032029F">
            <w:pPr>
              <w:spacing w:before="0"/>
              <w:jc w:val="left"/>
              <w:rPr>
                <w:sz w:val="20"/>
                <w:szCs w:val="20"/>
              </w:rPr>
            </w:pPr>
          </w:p>
          <w:p w14:paraId="1AD84771" w14:textId="62DF762D" w:rsidR="002742A1" w:rsidRPr="00563D71" w:rsidRDefault="002742A1" w:rsidP="0032029F">
            <w:pPr>
              <w:spacing w:before="0"/>
              <w:ind w:left="0" w:firstLine="0"/>
              <w:jc w:val="left"/>
              <w:rPr>
                <w:sz w:val="20"/>
                <w:szCs w:val="20"/>
              </w:rPr>
            </w:pPr>
            <w:r w:rsidRPr="00563D71">
              <w:rPr>
                <w:sz w:val="20"/>
                <w:szCs w:val="20"/>
              </w:rPr>
              <w:t>Program Management Support</w:t>
            </w:r>
            <w:r w:rsidRPr="00563D71">
              <w:rPr>
                <w:rStyle w:val="FootnoteReference"/>
                <w:sz w:val="20"/>
                <w:szCs w:val="20"/>
              </w:rPr>
              <w:footnoteReference w:id="14"/>
            </w:r>
            <w:r w:rsidRPr="00563D71">
              <w:rPr>
                <w:sz w:val="20"/>
                <w:szCs w:val="20"/>
              </w:rPr>
              <w:t xml:space="preserve"> to provide training, review IPP</w:t>
            </w:r>
            <w:r w:rsidR="00474CD7" w:rsidRPr="00563D71">
              <w:rPr>
                <w:sz w:val="20"/>
                <w:szCs w:val="20"/>
              </w:rPr>
              <w:t>s</w:t>
            </w:r>
            <w:r w:rsidRPr="00563D71">
              <w:rPr>
                <w:sz w:val="20"/>
                <w:szCs w:val="20"/>
              </w:rPr>
              <w:t xml:space="preserve">, monitor their implementation, </w:t>
            </w:r>
          </w:p>
          <w:p w14:paraId="1A8D0608" w14:textId="7A8C0ECD" w:rsidR="00E568B3" w:rsidRPr="00563D71" w:rsidRDefault="002742A1">
            <w:pPr>
              <w:spacing w:before="0"/>
              <w:ind w:left="1" w:firstLine="0"/>
              <w:jc w:val="left"/>
              <w:rPr>
                <w:sz w:val="20"/>
                <w:szCs w:val="20"/>
              </w:rPr>
            </w:pPr>
            <w:r w:rsidRPr="00563D71">
              <w:rPr>
                <w:sz w:val="20"/>
                <w:szCs w:val="20"/>
              </w:rPr>
              <w:t>and facilitate collaboration among involved agencies</w:t>
            </w:r>
            <w:r w:rsidR="00474CD7" w:rsidRPr="00563D71">
              <w:rPr>
                <w:sz w:val="20"/>
                <w:szCs w:val="20"/>
              </w:rPr>
              <w:t>.</w:t>
            </w:r>
          </w:p>
        </w:tc>
        <w:tc>
          <w:tcPr>
            <w:tcW w:w="1574" w:type="dxa"/>
            <w:vMerge w:val="restart"/>
            <w:tcBorders>
              <w:top w:val="single" w:sz="4" w:space="0" w:color="000000"/>
              <w:left w:val="single" w:sz="4" w:space="0" w:color="000000"/>
              <w:right w:val="single" w:sz="4" w:space="0" w:color="000000"/>
            </w:tcBorders>
            <w:vAlign w:val="center"/>
          </w:tcPr>
          <w:p w14:paraId="43F99406" w14:textId="6A20CE4C" w:rsidR="00F01711" w:rsidRPr="00563D71" w:rsidRDefault="00F01711">
            <w:pPr>
              <w:spacing w:before="0"/>
              <w:ind w:left="1" w:firstLine="0"/>
              <w:jc w:val="left"/>
              <w:rPr>
                <w:sz w:val="20"/>
                <w:szCs w:val="20"/>
              </w:rPr>
            </w:pPr>
            <w:r w:rsidRPr="00563D71">
              <w:rPr>
                <w:sz w:val="20"/>
                <w:szCs w:val="20"/>
              </w:rPr>
              <w:t xml:space="preserve">ITMP by </w:t>
            </w:r>
            <w:r w:rsidR="00E62B1E" w:rsidRPr="00563D71">
              <w:rPr>
                <w:sz w:val="20"/>
                <w:szCs w:val="20"/>
              </w:rPr>
              <w:t xml:space="preserve">August </w:t>
            </w:r>
            <w:r w:rsidR="004142FA" w:rsidRPr="00563D71">
              <w:rPr>
                <w:sz w:val="20"/>
                <w:szCs w:val="20"/>
              </w:rPr>
              <w:t xml:space="preserve">2018, with interim deliverable to </w:t>
            </w:r>
            <w:r w:rsidRPr="00563D71">
              <w:rPr>
                <w:sz w:val="20"/>
                <w:szCs w:val="20"/>
              </w:rPr>
              <w:t>inform</w:t>
            </w:r>
            <w:r w:rsidR="004142FA" w:rsidRPr="00563D71">
              <w:rPr>
                <w:sz w:val="20"/>
                <w:szCs w:val="20"/>
              </w:rPr>
              <w:t xml:space="preserve"> </w:t>
            </w:r>
            <w:r w:rsidR="00E62B1E" w:rsidRPr="00563D71">
              <w:rPr>
                <w:sz w:val="20"/>
                <w:szCs w:val="20"/>
              </w:rPr>
              <w:t xml:space="preserve">the </w:t>
            </w:r>
            <w:r w:rsidR="004142FA" w:rsidRPr="00563D71">
              <w:rPr>
                <w:sz w:val="20"/>
                <w:szCs w:val="20"/>
              </w:rPr>
              <w:t>2018 expenditure program</w:t>
            </w:r>
            <w:r w:rsidR="0004026E" w:rsidRPr="00563D71">
              <w:rPr>
                <w:sz w:val="20"/>
                <w:szCs w:val="20"/>
              </w:rPr>
              <w:t>.</w:t>
            </w:r>
          </w:p>
          <w:p w14:paraId="3FDCDFB6" w14:textId="22BB40F3" w:rsidR="00E568B3" w:rsidRPr="00563D71" w:rsidRDefault="00E568B3">
            <w:pPr>
              <w:spacing w:before="0"/>
              <w:ind w:left="1" w:firstLine="0"/>
              <w:jc w:val="left"/>
              <w:rPr>
                <w:sz w:val="20"/>
                <w:szCs w:val="20"/>
              </w:rPr>
            </w:pPr>
          </w:p>
          <w:p w14:paraId="04B781CC" w14:textId="07973552" w:rsidR="00E568B3" w:rsidRPr="00563D71" w:rsidRDefault="00E568B3">
            <w:pPr>
              <w:spacing w:before="0"/>
              <w:ind w:left="1" w:firstLine="0"/>
              <w:jc w:val="left"/>
              <w:rPr>
                <w:sz w:val="20"/>
                <w:szCs w:val="20"/>
              </w:rPr>
            </w:pPr>
            <w:r w:rsidRPr="00563D71">
              <w:rPr>
                <w:sz w:val="20"/>
                <w:szCs w:val="20"/>
              </w:rPr>
              <w:t xml:space="preserve">During </w:t>
            </w:r>
            <w:r w:rsidR="00563ECE" w:rsidRPr="00563D71">
              <w:rPr>
                <w:sz w:val="20"/>
                <w:szCs w:val="20"/>
              </w:rPr>
              <w:t>the implementation of the PforR</w:t>
            </w:r>
            <w:r w:rsidR="0004026E" w:rsidRPr="00563D71">
              <w:rPr>
                <w:sz w:val="20"/>
                <w:szCs w:val="20"/>
              </w:rPr>
              <w:t>.</w:t>
            </w:r>
            <w:r w:rsidRPr="00563D71">
              <w:rPr>
                <w:sz w:val="20"/>
                <w:szCs w:val="20"/>
              </w:rPr>
              <w:t xml:space="preserve"> </w:t>
            </w:r>
          </w:p>
          <w:p w14:paraId="2F2D277D" w14:textId="77777777" w:rsidR="004142FA" w:rsidRPr="00563D71" w:rsidRDefault="004142FA">
            <w:pPr>
              <w:spacing w:before="0"/>
              <w:ind w:left="1" w:firstLine="0"/>
              <w:jc w:val="left"/>
              <w:rPr>
                <w:sz w:val="20"/>
                <w:szCs w:val="20"/>
              </w:rPr>
            </w:pPr>
          </w:p>
        </w:tc>
        <w:tc>
          <w:tcPr>
            <w:tcW w:w="1403" w:type="dxa"/>
            <w:vMerge w:val="restart"/>
            <w:tcBorders>
              <w:top w:val="single" w:sz="4" w:space="0" w:color="000000"/>
              <w:left w:val="single" w:sz="4" w:space="0" w:color="000000"/>
              <w:right w:val="single" w:sz="4" w:space="0" w:color="000000"/>
            </w:tcBorders>
            <w:vAlign w:val="center"/>
          </w:tcPr>
          <w:p w14:paraId="7250C44B" w14:textId="77777777" w:rsidR="004142FA" w:rsidRPr="00563D71" w:rsidRDefault="004142FA">
            <w:pPr>
              <w:spacing w:before="0"/>
              <w:ind w:left="0" w:right="16" w:firstLine="0"/>
              <w:jc w:val="left"/>
              <w:rPr>
                <w:sz w:val="20"/>
                <w:szCs w:val="20"/>
              </w:rPr>
            </w:pPr>
            <w:r w:rsidRPr="00563D71">
              <w:rPr>
                <w:sz w:val="20"/>
                <w:szCs w:val="20"/>
              </w:rPr>
              <w:t>MPWH</w:t>
            </w:r>
          </w:p>
        </w:tc>
      </w:tr>
      <w:tr w:rsidR="00A505CB" w:rsidRPr="00563D71" w14:paraId="5B322C81" w14:textId="77777777" w:rsidTr="00CF22F2">
        <w:trPr>
          <w:trHeight w:val="1193"/>
        </w:trPr>
        <w:tc>
          <w:tcPr>
            <w:tcW w:w="2121" w:type="dxa"/>
            <w:tcBorders>
              <w:top w:val="single" w:sz="4" w:space="0" w:color="000000"/>
              <w:left w:val="single" w:sz="4" w:space="0" w:color="000000"/>
              <w:bottom w:val="single" w:sz="4" w:space="0" w:color="000000"/>
              <w:right w:val="single" w:sz="4" w:space="0" w:color="000000"/>
            </w:tcBorders>
            <w:vAlign w:val="center"/>
          </w:tcPr>
          <w:p w14:paraId="27C51539" w14:textId="4EE539FE" w:rsidR="004142FA" w:rsidRPr="00563D71" w:rsidRDefault="004142FA" w:rsidP="00304B91">
            <w:pPr>
              <w:spacing w:before="0"/>
              <w:ind w:left="0" w:right="61" w:firstLine="0"/>
              <w:jc w:val="left"/>
              <w:rPr>
                <w:sz w:val="20"/>
                <w:szCs w:val="20"/>
              </w:rPr>
            </w:pPr>
            <w:r w:rsidRPr="00563D71">
              <w:rPr>
                <w:sz w:val="20"/>
                <w:szCs w:val="20"/>
              </w:rPr>
              <w:t xml:space="preserve">Ensure that the </w:t>
            </w:r>
            <w:r w:rsidR="0034118B" w:rsidRPr="00563D71">
              <w:rPr>
                <w:sz w:val="20"/>
                <w:szCs w:val="20"/>
              </w:rPr>
              <w:t>destination</w:t>
            </w:r>
            <w:r w:rsidRPr="00563D71">
              <w:rPr>
                <w:sz w:val="20"/>
                <w:szCs w:val="20"/>
              </w:rPr>
              <w:t>’s environmental, social, and cultural opportunities and constraints are considered in development planning</w:t>
            </w:r>
          </w:p>
        </w:tc>
        <w:tc>
          <w:tcPr>
            <w:tcW w:w="2433" w:type="dxa"/>
            <w:vMerge/>
            <w:tcBorders>
              <w:left w:val="single" w:sz="4" w:space="0" w:color="000000"/>
              <w:right w:val="single" w:sz="4" w:space="0" w:color="000000"/>
            </w:tcBorders>
            <w:vAlign w:val="center"/>
          </w:tcPr>
          <w:p w14:paraId="4ECBE7CD" w14:textId="77777777" w:rsidR="004142FA" w:rsidRPr="00563D71" w:rsidRDefault="004142FA">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7F8870DF" w14:textId="77777777" w:rsidR="004142FA" w:rsidRPr="00563D71" w:rsidRDefault="004142FA">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305F0D34" w14:textId="77777777" w:rsidR="004142FA" w:rsidRPr="00563D71" w:rsidRDefault="004142FA">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498A56D6" w14:textId="77777777" w:rsidR="004142FA" w:rsidRPr="00563D71" w:rsidRDefault="004142FA">
            <w:pPr>
              <w:spacing w:before="0"/>
              <w:ind w:left="0" w:right="16" w:firstLine="0"/>
              <w:jc w:val="left"/>
              <w:rPr>
                <w:sz w:val="20"/>
                <w:szCs w:val="20"/>
              </w:rPr>
            </w:pPr>
          </w:p>
        </w:tc>
      </w:tr>
      <w:tr w:rsidR="00A505CB" w:rsidRPr="00563D71" w14:paraId="6C146DD1" w14:textId="77777777" w:rsidTr="00CF22F2">
        <w:trPr>
          <w:trHeight w:val="527"/>
        </w:trPr>
        <w:tc>
          <w:tcPr>
            <w:tcW w:w="2121" w:type="dxa"/>
            <w:tcBorders>
              <w:top w:val="single" w:sz="4" w:space="0" w:color="000000"/>
              <w:left w:val="single" w:sz="4" w:space="0" w:color="000000"/>
              <w:bottom w:val="single" w:sz="4" w:space="0" w:color="000000"/>
              <w:right w:val="single" w:sz="4" w:space="0" w:color="000000"/>
            </w:tcBorders>
            <w:vAlign w:val="center"/>
          </w:tcPr>
          <w:p w14:paraId="2EE225C2" w14:textId="77777777" w:rsidR="004142FA" w:rsidRPr="00563D71" w:rsidRDefault="004142FA" w:rsidP="00304B91">
            <w:pPr>
              <w:spacing w:before="0"/>
              <w:ind w:left="0" w:right="61" w:firstLine="0"/>
              <w:jc w:val="left"/>
              <w:rPr>
                <w:sz w:val="20"/>
                <w:szCs w:val="20"/>
              </w:rPr>
            </w:pPr>
            <w:r w:rsidRPr="00563D71">
              <w:rPr>
                <w:sz w:val="20"/>
                <w:szCs w:val="20"/>
              </w:rPr>
              <w:t>Avoid locating infrastructure in disaster-prone areas</w:t>
            </w:r>
          </w:p>
        </w:tc>
        <w:tc>
          <w:tcPr>
            <w:tcW w:w="2433" w:type="dxa"/>
            <w:vMerge/>
            <w:tcBorders>
              <w:left w:val="single" w:sz="4" w:space="0" w:color="000000"/>
              <w:right w:val="single" w:sz="4" w:space="0" w:color="000000"/>
            </w:tcBorders>
            <w:vAlign w:val="center"/>
          </w:tcPr>
          <w:p w14:paraId="34CF5599" w14:textId="77777777" w:rsidR="004142FA" w:rsidRPr="00563D71" w:rsidRDefault="004142FA">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1113AB6C" w14:textId="77777777" w:rsidR="004142FA" w:rsidRPr="00563D71" w:rsidRDefault="004142FA">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3AA403BC" w14:textId="77777777" w:rsidR="004142FA" w:rsidRPr="00563D71" w:rsidRDefault="004142FA">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4130114C" w14:textId="77777777" w:rsidR="004142FA" w:rsidRPr="00563D71" w:rsidRDefault="004142FA">
            <w:pPr>
              <w:spacing w:before="0"/>
              <w:ind w:left="0" w:right="16" w:firstLine="0"/>
              <w:jc w:val="left"/>
              <w:rPr>
                <w:sz w:val="20"/>
                <w:szCs w:val="20"/>
              </w:rPr>
            </w:pPr>
          </w:p>
        </w:tc>
      </w:tr>
      <w:tr w:rsidR="00A505CB" w:rsidRPr="00563D71" w14:paraId="6B547BCB" w14:textId="77777777" w:rsidTr="00CF22F2">
        <w:trPr>
          <w:trHeight w:val="1418"/>
        </w:trPr>
        <w:tc>
          <w:tcPr>
            <w:tcW w:w="2121" w:type="dxa"/>
            <w:tcBorders>
              <w:top w:val="single" w:sz="4" w:space="0" w:color="000000"/>
              <w:left w:val="single" w:sz="4" w:space="0" w:color="000000"/>
              <w:bottom w:val="single" w:sz="4" w:space="0" w:color="000000"/>
              <w:right w:val="single" w:sz="4" w:space="0" w:color="000000"/>
            </w:tcBorders>
            <w:vAlign w:val="center"/>
          </w:tcPr>
          <w:p w14:paraId="66C5E9A1" w14:textId="25B1E5E6" w:rsidR="004142FA" w:rsidRPr="00563D71" w:rsidRDefault="004142FA" w:rsidP="00304B91">
            <w:pPr>
              <w:spacing w:before="0"/>
              <w:ind w:left="0" w:right="61" w:firstLine="0"/>
              <w:jc w:val="left"/>
              <w:rPr>
                <w:sz w:val="20"/>
                <w:szCs w:val="20"/>
              </w:rPr>
            </w:pPr>
            <w:r w:rsidRPr="00563D71">
              <w:rPr>
                <w:sz w:val="20"/>
                <w:szCs w:val="20"/>
              </w:rPr>
              <w:t>Provide opportunities for stakeholders</w:t>
            </w:r>
            <w:r w:rsidR="002E4A74" w:rsidRPr="00563D71">
              <w:rPr>
                <w:sz w:val="20"/>
                <w:szCs w:val="20"/>
              </w:rPr>
              <w:t>,</w:t>
            </w:r>
            <w:r w:rsidRPr="00563D71">
              <w:rPr>
                <w:sz w:val="20"/>
                <w:szCs w:val="20"/>
              </w:rPr>
              <w:t xml:space="preserve"> including indigenous </w:t>
            </w:r>
            <w:r w:rsidR="002E4A74" w:rsidRPr="00563D71">
              <w:rPr>
                <w:sz w:val="20"/>
                <w:szCs w:val="20"/>
              </w:rPr>
              <w:t xml:space="preserve">peoples (IPs) </w:t>
            </w:r>
            <w:r w:rsidRPr="00563D71">
              <w:rPr>
                <w:sz w:val="20"/>
                <w:szCs w:val="20"/>
              </w:rPr>
              <w:t>and vulnerable groups</w:t>
            </w:r>
            <w:r w:rsidR="002E4A74" w:rsidRPr="00563D71">
              <w:rPr>
                <w:sz w:val="20"/>
                <w:szCs w:val="20"/>
              </w:rPr>
              <w:t>,</w:t>
            </w:r>
            <w:r w:rsidRPr="00563D71">
              <w:rPr>
                <w:sz w:val="20"/>
                <w:szCs w:val="20"/>
              </w:rPr>
              <w:t xml:space="preserve"> to participate in the planning process</w:t>
            </w:r>
          </w:p>
        </w:tc>
        <w:tc>
          <w:tcPr>
            <w:tcW w:w="2433" w:type="dxa"/>
            <w:vMerge/>
            <w:tcBorders>
              <w:left w:val="single" w:sz="4" w:space="0" w:color="000000"/>
              <w:right w:val="single" w:sz="4" w:space="0" w:color="000000"/>
            </w:tcBorders>
            <w:vAlign w:val="center"/>
          </w:tcPr>
          <w:p w14:paraId="51A0A552" w14:textId="77777777" w:rsidR="004142FA" w:rsidRPr="00563D71" w:rsidRDefault="004142FA">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1AF320D8" w14:textId="77777777" w:rsidR="004142FA" w:rsidRPr="00563D71" w:rsidRDefault="004142FA">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7C3FC114" w14:textId="77777777" w:rsidR="004142FA" w:rsidRPr="00563D71" w:rsidRDefault="004142FA">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34DF0877" w14:textId="77777777" w:rsidR="004142FA" w:rsidRPr="00563D71" w:rsidRDefault="004142FA">
            <w:pPr>
              <w:spacing w:before="0"/>
              <w:ind w:left="0" w:right="16" w:firstLine="0"/>
              <w:jc w:val="left"/>
              <w:rPr>
                <w:sz w:val="20"/>
                <w:szCs w:val="20"/>
              </w:rPr>
            </w:pPr>
          </w:p>
        </w:tc>
      </w:tr>
      <w:tr w:rsidR="00A505CB" w:rsidRPr="00563D71" w14:paraId="57ED93F3" w14:textId="77777777" w:rsidTr="0032029F">
        <w:trPr>
          <w:trHeight w:val="5657"/>
        </w:trPr>
        <w:tc>
          <w:tcPr>
            <w:tcW w:w="2121" w:type="dxa"/>
            <w:tcBorders>
              <w:top w:val="single" w:sz="4" w:space="0" w:color="000000"/>
              <w:left w:val="single" w:sz="4" w:space="0" w:color="000000"/>
              <w:bottom w:val="single" w:sz="4" w:space="0" w:color="000000"/>
              <w:right w:val="single" w:sz="4" w:space="0" w:color="000000"/>
            </w:tcBorders>
            <w:vAlign w:val="center"/>
          </w:tcPr>
          <w:p w14:paraId="3EDB4571" w14:textId="47F4CDDB" w:rsidR="004142FA" w:rsidRPr="00563D71" w:rsidRDefault="004142FA" w:rsidP="00304B91">
            <w:pPr>
              <w:spacing w:before="0"/>
              <w:ind w:left="0" w:right="61" w:firstLine="0"/>
              <w:jc w:val="left"/>
              <w:rPr>
                <w:sz w:val="20"/>
                <w:szCs w:val="20"/>
              </w:rPr>
            </w:pPr>
            <w:r w:rsidRPr="00563D71">
              <w:rPr>
                <w:sz w:val="20"/>
                <w:szCs w:val="20"/>
              </w:rPr>
              <w:lastRenderedPageBreak/>
              <w:t xml:space="preserve">Mitigate risk that actions of tourism development itself will </w:t>
            </w:r>
            <w:r w:rsidR="00E96253" w:rsidRPr="00563D71">
              <w:rPr>
                <w:sz w:val="20"/>
                <w:szCs w:val="20"/>
              </w:rPr>
              <w:t xml:space="preserve">not </w:t>
            </w:r>
            <w:r w:rsidRPr="00563D71">
              <w:rPr>
                <w:sz w:val="20"/>
                <w:szCs w:val="20"/>
              </w:rPr>
              <w:t>degrade the natural and cultural resources that attract the</w:t>
            </w:r>
            <w:r w:rsidR="00A505CB" w:rsidRPr="00563D71">
              <w:rPr>
                <w:sz w:val="20"/>
                <w:szCs w:val="20"/>
              </w:rPr>
              <w:t xml:space="preserve"> visitors</w:t>
            </w:r>
            <w:r w:rsidRPr="00563D71">
              <w:rPr>
                <w:sz w:val="20"/>
                <w:szCs w:val="20"/>
              </w:rPr>
              <w:t>.</w:t>
            </w:r>
          </w:p>
          <w:p w14:paraId="0B5AF913" w14:textId="77777777" w:rsidR="00EF0694" w:rsidRPr="00563D71" w:rsidRDefault="00EF0694" w:rsidP="00304B91">
            <w:pPr>
              <w:spacing w:before="0"/>
              <w:ind w:left="0" w:right="61" w:firstLine="0"/>
              <w:jc w:val="left"/>
              <w:rPr>
                <w:sz w:val="20"/>
                <w:szCs w:val="20"/>
              </w:rPr>
            </w:pPr>
          </w:p>
          <w:p w14:paraId="231E0E4A" w14:textId="7447576F" w:rsidR="00EF0694" w:rsidRPr="00563D71" w:rsidRDefault="00EF0694" w:rsidP="00B344F2">
            <w:pPr>
              <w:spacing w:before="0"/>
              <w:ind w:left="0" w:right="61" w:firstLine="0"/>
              <w:jc w:val="left"/>
              <w:rPr>
                <w:sz w:val="20"/>
                <w:szCs w:val="20"/>
              </w:rPr>
            </w:pPr>
            <w:r w:rsidRPr="00563D71">
              <w:rPr>
                <w:sz w:val="20"/>
                <w:szCs w:val="20"/>
              </w:rPr>
              <w:t xml:space="preserve">Mitigate risk that natural and cultural resources that IPs depend on for their living and customary practices become more limited or restricted. </w:t>
            </w:r>
          </w:p>
        </w:tc>
        <w:tc>
          <w:tcPr>
            <w:tcW w:w="2433" w:type="dxa"/>
            <w:tcBorders>
              <w:top w:val="single" w:sz="4" w:space="0" w:color="000000"/>
              <w:left w:val="single" w:sz="4" w:space="0" w:color="000000"/>
              <w:bottom w:val="single" w:sz="4" w:space="0" w:color="000000"/>
              <w:right w:val="single" w:sz="4" w:space="0" w:color="000000"/>
            </w:tcBorders>
            <w:vAlign w:val="center"/>
          </w:tcPr>
          <w:p w14:paraId="5316E3F4" w14:textId="41D9107F" w:rsidR="004142FA" w:rsidRPr="00563D71" w:rsidRDefault="004142FA">
            <w:pPr>
              <w:spacing w:before="0"/>
              <w:ind w:left="1" w:firstLine="0"/>
              <w:jc w:val="left"/>
              <w:rPr>
                <w:sz w:val="20"/>
                <w:szCs w:val="20"/>
              </w:rPr>
            </w:pPr>
            <w:r w:rsidRPr="00563D71">
              <w:rPr>
                <w:sz w:val="20"/>
                <w:szCs w:val="20"/>
              </w:rPr>
              <w:t xml:space="preserve">Establish arrangements </w:t>
            </w:r>
            <w:r w:rsidR="00F01711" w:rsidRPr="00563D71">
              <w:rPr>
                <w:sz w:val="20"/>
                <w:szCs w:val="20"/>
              </w:rPr>
              <w:t>or strengthen emerging arrangements</w:t>
            </w:r>
            <w:r w:rsidR="00E62B1E" w:rsidRPr="00563D71">
              <w:rPr>
                <w:sz w:val="20"/>
                <w:szCs w:val="20"/>
              </w:rPr>
              <w:t xml:space="preserve">, </w:t>
            </w:r>
            <w:r w:rsidR="00A505CB" w:rsidRPr="00563D71">
              <w:rPr>
                <w:sz w:val="20"/>
                <w:szCs w:val="20"/>
              </w:rPr>
              <w:t xml:space="preserve">such as </w:t>
            </w:r>
            <w:r w:rsidR="00F01711" w:rsidRPr="00563D71">
              <w:rPr>
                <w:sz w:val="20"/>
                <w:szCs w:val="20"/>
              </w:rPr>
              <w:t>Sustainable Tourism Observatories (STOs)</w:t>
            </w:r>
            <w:r w:rsidR="00E62B1E" w:rsidRPr="00563D71">
              <w:rPr>
                <w:sz w:val="20"/>
                <w:szCs w:val="20"/>
              </w:rPr>
              <w:t>,</w:t>
            </w:r>
            <w:r w:rsidR="00F01711" w:rsidRPr="00563D71">
              <w:rPr>
                <w:sz w:val="20"/>
                <w:szCs w:val="20"/>
              </w:rPr>
              <w:t xml:space="preserve"> as part of UNWTO International Network of Sustainable Tourism Observatories (INSTO), </w:t>
            </w:r>
            <w:r w:rsidRPr="00563D71">
              <w:rPr>
                <w:sz w:val="20"/>
                <w:szCs w:val="20"/>
              </w:rPr>
              <w:t>for monitoring and protection of natural and cultural assets at each destination</w:t>
            </w:r>
            <w:r w:rsidR="00F01711" w:rsidRPr="00563D71">
              <w:rPr>
                <w:sz w:val="20"/>
                <w:szCs w:val="20"/>
              </w:rPr>
              <w:t xml:space="preserve">. </w:t>
            </w:r>
          </w:p>
        </w:tc>
        <w:tc>
          <w:tcPr>
            <w:tcW w:w="2028" w:type="dxa"/>
            <w:tcBorders>
              <w:top w:val="single" w:sz="4" w:space="0" w:color="000000"/>
              <w:left w:val="single" w:sz="4" w:space="0" w:color="000000"/>
              <w:bottom w:val="single" w:sz="4" w:space="0" w:color="000000"/>
              <w:right w:val="single" w:sz="4" w:space="0" w:color="000000"/>
            </w:tcBorders>
            <w:vAlign w:val="center"/>
          </w:tcPr>
          <w:p w14:paraId="3033F4E3" w14:textId="38C3A44B" w:rsidR="004142FA" w:rsidRPr="00563D71" w:rsidRDefault="00474CD7">
            <w:pPr>
              <w:spacing w:before="0"/>
              <w:ind w:left="1" w:firstLine="0"/>
              <w:jc w:val="left"/>
              <w:rPr>
                <w:sz w:val="20"/>
                <w:szCs w:val="20"/>
              </w:rPr>
            </w:pPr>
            <w:r w:rsidRPr="00563D71">
              <w:rPr>
                <w:sz w:val="20"/>
                <w:szCs w:val="20"/>
              </w:rPr>
              <w:t>ITMP</w:t>
            </w:r>
            <w:r w:rsidR="004142FA" w:rsidRPr="00563D71">
              <w:rPr>
                <w:sz w:val="20"/>
                <w:szCs w:val="20"/>
              </w:rPr>
              <w:t xml:space="preserve"> to</w:t>
            </w:r>
            <w:r w:rsidR="00A505CB" w:rsidRPr="00563D71">
              <w:rPr>
                <w:sz w:val="20"/>
                <w:szCs w:val="20"/>
              </w:rPr>
              <w:t xml:space="preserve"> recommend</w:t>
            </w:r>
            <w:r w:rsidR="004142FA" w:rsidRPr="00563D71">
              <w:rPr>
                <w:sz w:val="20"/>
                <w:szCs w:val="20"/>
              </w:rPr>
              <w:t xml:space="preserve"> the arrangement</w:t>
            </w:r>
            <w:r w:rsidR="00F01711" w:rsidRPr="00563D71">
              <w:rPr>
                <w:sz w:val="20"/>
                <w:szCs w:val="20"/>
              </w:rPr>
              <w:t xml:space="preserve"> through stakeholder mapping</w:t>
            </w:r>
            <w:r w:rsidRPr="00563D71">
              <w:rPr>
                <w:sz w:val="20"/>
                <w:szCs w:val="20"/>
              </w:rPr>
              <w:t>.</w:t>
            </w:r>
          </w:p>
          <w:p w14:paraId="58E9D75C" w14:textId="77777777" w:rsidR="00F01711" w:rsidRPr="00563D71" w:rsidRDefault="00F01711">
            <w:pPr>
              <w:spacing w:before="0"/>
              <w:ind w:left="1" w:firstLine="0"/>
              <w:jc w:val="left"/>
              <w:rPr>
                <w:sz w:val="20"/>
                <w:szCs w:val="20"/>
              </w:rPr>
            </w:pPr>
          </w:p>
          <w:p w14:paraId="2F0A8722" w14:textId="2B8F8039" w:rsidR="004142FA" w:rsidRPr="00563D71" w:rsidRDefault="00F01711">
            <w:pPr>
              <w:spacing w:before="0"/>
              <w:ind w:left="1" w:firstLine="0"/>
              <w:jc w:val="left"/>
              <w:rPr>
                <w:sz w:val="20"/>
                <w:szCs w:val="20"/>
              </w:rPr>
            </w:pPr>
            <w:r w:rsidRPr="00563D71">
              <w:rPr>
                <w:sz w:val="20"/>
                <w:szCs w:val="20"/>
              </w:rPr>
              <w:t>Establish arrangements</w:t>
            </w:r>
            <w:r w:rsidR="006406D1" w:rsidRPr="00563D71">
              <w:rPr>
                <w:sz w:val="20"/>
                <w:szCs w:val="20"/>
              </w:rPr>
              <w:t xml:space="preserve"> </w:t>
            </w:r>
            <w:r w:rsidR="004142FA" w:rsidRPr="00563D71">
              <w:rPr>
                <w:sz w:val="20"/>
                <w:szCs w:val="20"/>
              </w:rPr>
              <w:t>as part of Program Action Plan</w:t>
            </w:r>
            <w:r w:rsidRPr="00563D71">
              <w:rPr>
                <w:sz w:val="20"/>
                <w:szCs w:val="20"/>
              </w:rPr>
              <w:t xml:space="preserve"> and implementation throughout Program period is incentivized</w:t>
            </w:r>
            <w:r w:rsidR="006406D1" w:rsidRPr="00563D71">
              <w:rPr>
                <w:sz w:val="20"/>
                <w:szCs w:val="20"/>
              </w:rPr>
              <w:t xml:space="preserve"> </w:t>
            </w:r>
            <w:r w:rsidR="004142FA" w:rsidRPr="00563D71">
              <w:rPr>
                <w:sz w:val="20"/>
                <w:szCs w:val="20"/>
              </w:rPr>
              <w:t>in R</w:t>
            </w:r>
            <w:r w:rsidR="00A505CB" w:rsidRPr="00563D71">
              <w:rPr>
                <w:sz w:val="20"/>
                <w:szCs w:val="20"/>
              </w:rPr>
              <w:t xml:space="preserve">esults Area </w:t>
            </w:r>
            <w:r w:rsidR="004142FA" w:rsidRPr="00563D71">
              <w:rPr>
                <w:sz w:val="20"/>
                <w:szCs w:val="20"/>
              </w:rPr>
              <w:t>4</w:t>
            </w:r>
            <w:r w:rsidRPr="00563D71">
              <w:rPr>
                <w:sz w:val="20"/>
                <w:szCs w:val="20"/>
              </w:rPr>
              <w:t>, where its regular reporting</w:t>
            </w:r>
            <w:r w:rsidR="004142FA" w:rsidRPr="00563D71">
              <w:rPr>
                <w:sz w:val="20"/>
                <w:szCs w:val="20"/>
              </w:rPr>
              <w:t xml:space="preserve"> is a DLI.</w:t>
            </w:r>
          </w:p>
          <w:p w14:paraId="3B36D975" w14:textId="0796A482" w:rsidR="00E62B1E" w:rsidRPr="00563D71" w:rsidRDefault="00E62B1E">
            <w:pPr>
              <w:spacing w:before="0"/>
              <w:ind w:left="1" w:firstLine="0"/>
              <w:jc w:val="left"/>
              <w:rPr>
                <w:sz w:val="20"/>
                <w:szCs w:val="20"/>
              </w:rPr>
            </w:pPr>
          </w:p>
          <w:p w14:paraId="3931B13F" w14:textId="0B1E2C3A" w:rsidR="00E62B1E" w:rsidRPr="00563D71" w:rsidRDefault="00E62B1E">
            <w:pPr>
              <w:spacing w:before="0"/>
              <w:ind w:left="1" w:firstLine="0"/>
              <w:jc w:val="left"/>
              <w:rPr>
                <w:sz w:val="20"/>
                <w:szCs w:val="20"/>
              </w:rPr>
            </w:pPr>
            <w:r w:rsidRPr="00563D71">
              <w:rPr>
                <w:sz w:val="20"/>
                <w:szCs w:val="20"/>
              </w:rPr>
              <w:t>Program Management Support</w:t>
            </w:r>
            <w:r w:rsidRPr="00563D71">
              <w:rPr>
                <w:rStyle w:val="FootnoteReference"/>
                <w:sz w:val="20"/>
                <w:szCs w:val="20"/>
              </w:rPr>
              <w:footnoteReference w:id="15"/>
            </w:r>
            <w:r w:rsidRPr="00563D71">
              <w:rPr>
                <w:sz w:val="20"/>
                <w:szCs w:val="20"/>
              </w:rPr>
              <w:t xml:space="preserve"> to provide training to protection agencies.</w:t>
            </w:r>
          </w:p>
          <w:p w14:paraId="390E4236" w14:textId="590194C8" w:rsidR="004142FA" w:rsidRPr="00563D71" w:rsidRDefault="004142FA">
            <w:pPr>
              <w:spacing w:before="0"/>
              <w:ind w:left="1" w:firstLine="0"/>
              <w:jc w:val="left"/>
              <w:rPr>
                <w:sz w:val="20"/>
                <w:szCs w:val="20"/>
              </w:rPr>
            </w:pPr>
          </w:p>
          <w:p w14:paraId="41EEDF85" w14:textId="33D61389" w:rsidR="00DB53CB" w:rsidRPr="00563D71" w:rsidRDefault="00DB53CB" w:rsidP="003D66DD">
            <w:pPr>
              <w:spacing w:before="0"/>
              <w:ind w:left="1" w:firstLine="0"/>
              <w:jc w:val="left"/>
              <w:rPr>
                <w:sz w:val="20"/>
                <w:szCs w:val="20"/>
              </w:rPr>
            </w:pPr>
            <w:r w:rsidRPr="00563D71">
              <w:rPr>
                <w:sz w:val="20"/>
                <w:szCs w:val="20"/>
              </w:rPr>
              <w:t>Community satisfaction surveys.</w:t>
            </w:r>
            <w:r w:rsidRPr="00563D71">
              <w:rPr>
                <w:rStyle w:val="FootnoteReference"/>
                <w:sz w:val="20"/>
                <w:szCs w:val="20"/>
              </w:rPr>
              <w:t xml:space="preserve"> </w:t>
            </w:r>
            <w:r w:rsidRPr="00563D71">
              <w:rPr>
                <w:rStyle w:val="FootnoteReference"/>
                <w:sz w:val="20"/>
                <w:szCs w:val="20"/>
              </w:rPr>
              <w:footnoteReference w:id="16"/>
            </w:r>
          </w:p>
        </w:tc>
        <w:tc>
          <w:tcPr>
            <w:tcW w:w="1574" w:type="dxa"/>
            <w:tcBorders>
              <w:top w:val="single" w:sz="4" w:space="0" w:color="000000"/>
              <w:left w:val="single" w:sz="4" w:space="0" w:color="000000"/>
              <w:bottom w:val="single" w:sz="4" w:space="0" w:color="000000"/>
              <w:right w:val="single" w:sz="4" w:space="0" w:color="000000"/>
            </w:tcBorders>
            <w:vAlign w:val="center"/>
          </w:tcPr>
          <w:p w14:paraId="0401C5B1" w14:textId="51D0F0CA" w:rsidR="004142FA" w:rsidRPr="00563D71" w:rsidRDefault="00C412B1">
            <w:pPr>
              <w:spacing w:before="0"/>
              <w:ind w:left="1" w:firstLine="0"/>
              <w:jc w:val="left"/>
              <w:rPr>
                <w:sz w:val="20"/>
                <w:szCs w:val="20"/>
              </w:rPr>
            </w:pPr>
            <w:r w:rsidRPr="00563D71">
              <w:rPr>
                <w:sz w:val="20"/>
                <w:szCs w:val="20"/>
              </w:rPr>
              <w:t>Arrangements e</w:t>
            </w:r>
            <w:r w:rsidR="004142FA" w:rsidRPr="00563D71">
              <w:rPr>
                <w:sz w:val="20"/>
                <w:szCs w:val="20"/>
              </w:rPr>
              <w:t>stablished end 2017</w:t>
            </w:r>
            <w:r w:rsidRPr="00563D71">
              <w:rPr>
                <w:sz w:val="20"/>
                <w:szCs w:val="20"/>
              </w:rPr>
              <w:t xml:space="preserve">; </w:t>
            </w:r>
          </w:p>
          <w:p w14:paraId="5309B8A5" w14:textId="77777777" w:rsidR="004142FA" w:rsidRPr="00563D71" w:rsidRDefault="004142FA">
            <w:pPr>
              <w:spacing w:before="0"/>
              <w:ind w:left="1" w:firstLine="0"/>
              <w:jc w:val="left"/>
              <w:rPr>
                <w:sz w:val="20"/>
                <w:szCs w:val="20"/>
              </w:rPr>
            </w:pPr>
            <w:r w:rsidRPr="00563D71">
              <w:rPr>
                <w:sz w:val="20"/>
                <w:szCs w:val="20"/>
              </w:rPr>
              <w:t>Ongoing implementation</w:t>
            </w:r>
          </w:p>
        </w:tc>
        <w:tc>
          <w:tcPr>
            <w:tcW w:w="1403" w:type="dxa"/>
            <w:tcBorders>
              <w:top w:val="single" w:sz="4" w:space="0" w:color="000000"/>
              <w:left w:val="single" w:sz="4" w:space="0" w:color="000000"/>
              <w:bottom w:val="single" w:sz="4" w:space="0" w:color="000000"/>
              <w:right w:val="single" w:sz="4" w:space="0" w:color="000000"/>
            </w:tcBorders>
            <w:vAlign w:val="center"/>
          </w:tcPr>
          <w:p w14:paraId="36FD6543" w14:textId="7A18FD73" w:rsidR="004142FA" w:rsidRPr="00563D71" w:rsidRDefault="004142FA">
            <w:pPr>
              <w:spacing w:before="0"/>
              <w:ind w:left="0" w:right="16" w:firstLine="0"/>
              <w:jc w:val="left"/>
              <w:rPr>
                <w:sz w:val="20"/>
                <w:szCs w:val="20"/>
              </w:rPr>
            </w:pPr>
            <w:r w:rsidRPr="00563D71">
              <w:rPr>
                <w:sz w:val="20"/>
                <w:szCs w:val="20"/>
              </w:rPr>
              <w:t>MPWH</w:t>
            </w:r>
            <w:r w:rsidR="009405C4" w:rsidRPr="00563D71">
              <w:rPr>
                <w:sz w:val="20"/>
                <w:szCs w:val="20"/>
              </w:rPr>
              <w:t>,</w:t>
            </w:r>
          </w:p>
          <w:p w14:paraId="32229495" w14:textId="2CB58F74" w:rsidR="004142FA" w:rsidRPr="00563D71" w:rsidRDefault="00E62922">
            <w:pPr>
              <w:spacing w:before="0"/>
              <w:ind w:left="0" w:right="16" w:firstLine="0"/>
              <w:jc w:val="left"/>
              <w:rPr>
                <w:sz w:val="20"/>
                <w:szCs w:val="20"/>
              </w:rPr>
            </w:pPr>
            <w:r w:rsidRPr="00563D71">
              <w:rPr>
                <w:sz w:val="20"/>
                <w:szCs w:val="20"/>
              </w:rPr>
              <w:t>Ministry of Tourism</w:t>
            </w:r>
            <w:r w:rsidR="009405C4" w:rsidRPr="00563D71">
              <w:rPr>
                <w:sz w:val="20"/>
                <w:szCs w:val="20"/>
              </w:rPr>
              <w:t>,</w:t>
            </w:r>
          </w:p>
          <w:p w14:paraId="73AAD86A" w14:textId="03E7937D" w:rsidR="004142FA" w:rsidRPr="00563D71" w:rsidRDefault="004142FA">
            <w:pPr>
              <w:spacing w:before="0"/>
              <w:ind w:left="0" w:right="16" w:firstLine="0"/>
              <w:jc w:val="left"/>
              <w:rPr>
                <w:sz w:val="20"/>
                <w:szCs w:val="20"/>
              </w:rPr>
            </w:pPr>
            <w:r w:rsidRPr="00563D71">
              <w:rPr>
                <w:sz w:val="20"/>
                <w:szCs w:val="20"/>
              </w:rPr>
              <w:t>Universities</w:t>
            </w:r>
            <w:r w:rsidR="009405C4" w:rsidRPr="00563D71">
              <w:rPr>
                <w:sz w:val="20"/>
                <w:szCs w:val="20"/>
              </w:rPr>
              <w:t>,</w:t>
            </w:r>
          </w:p>
          <w:p w14:paraId="7C3D54DD" w14:textId="5D17BC12" w:rsidR="004142FA" w:rsidRPr="00563D71" w:rsidRDefault="00A505CB">
            <w:pPr>
              <w:spacing w:before="0"/>
              <w:ind w:left="0" w:right="16" w:firstLine="0"/>
              <w:jc w:val="left"/>
              <w:rPr>
                <w:sz w:val="20"/>
                <w:szCs w:val="20"/>
              </w:rPr>
            </w:pPr>
            <w:r w:rsidRPr="00563D71">
              <w:rPr>
                <w:sz w:val="20"/>
                <w:szCs w:val="20"/>
              </w:rPr>
              <w:t>Environmental Management Agency (</w:t>
            </w:r>
            <w:r w:rsidR="004142FA" w:rsidRPr="00563D71">
              <w:rPr>
                <w:sz w:val="20"/>
                <w:szCs w:val="20"/>
              </w:rPr>
              <w:t>BLH</w:t>
            </w:r>
            <w:r w:rsidRPr="00563D71">
              <w:rPr>
                <w:sz w:val="20"/>
                <w:szCs w:val="20"/>
              </w:rPr>
              <w:t>)</w:t>
            </w:r>
          </w:p>
        </w:tc>
      </w:tr>
      <w:tr w:rsidR="00A505CB" w:rsidRPr="00563D71" w14:paraId="1E92EF8F" w14:textId="77777777" w:rsidTr="00CF22F2">
        <w:trPr>
          <w:trHeight w:val="1407"/>
        </w:trPr>
        <w:tc>
          <w:tcPr>
            <w:tcW w:w="2121" w:type="dxa"/>
            <w:vMerge w:val="restart"/>
            <w:tcBorders>
              <w:top w:val="single" w:sz="4" w:space="0" w:color="000000"/>
              <w:left w:val="single" w:sz="4" w:space="0" w:color="000000"/>
              <w:right w:val="single" w:sz="4" w:space="0" w:color="000000"/>
            </w:tcBorders>
            <w:vAlign w:val="center"/>
          </w:tcPr>
          <w:p w14:paraId="5051C03F" w14:textId="77777777" w:rsidR="004142FA" w:rsidRPr="00563D71" w:rsidRDefault="004142FA" w:rsidP="00304B91">
            <w:pPr>
              <w:spacing w:before="0"/>
              <w:ind w:left="0" w:right="61" w:firstLine="0"/>
              <w:jc w:val="left"/>
              <w:rPr>
                <w:sz w:val="20"/>
                <w:szCs w:val="20"/>
              </w:rPr>
            </w:pPr>
            <w:r w:rsidRPr="00563D71">
              <w:rPr>
                <w:sz w:val="20"/>
                <w:szCs w:val="20"/>
              </w:rPr>
              <w:t>Avoid social conflict that could occur as a result of tourism development</w:t>
            </w:r>
          </w:p>
        </w:tc>
        <w:tc>
          <w:tcPr>
            <w:tcW w:w="2433" w:type="dxa"/>
            <w:tcBorders>
              <w:top w:val="single" w:sz="4" w:space="0" w:color="000000"/>
              <w:left w:val="single" w:sz="4" w:space="0" w:color="000000"/>
              <w:bottom w:val="single" w:sz="4" w:space="0" w:color="000000"/>
              <w:right w:val="single" w:sz="4" w:space="0" w:color="000000"/>
            </w:tcBorders>
            <w:vAlign w:val="center"/>
          </w:tcPr>
          <w:p w14:paraId="6B490B19" w14:textId="125B0742" w:rsidR="004142FA" w:rsidRPr="00563D71" w:rsidRDefault="004142FA" w:rsidP="00304B91">
            <w:pPr>
              <w:spacing w:before="0"/>
              <w:ind w:left="1" w:firstLine="0"/>
              <w:jc w:val="left"/>
              <w:rPr>
                <w:sz w:val="20"/>
                <w:szCs w:val="20"/>
              </w:rPr>
            </w:pPr>
            <w:r w:rsidRPr="00563D71">
              <w:rPr>
                <w:sz w:val="20"/>
                <w:szCs w:val="20"/>
              </w:rPr>
              <w:t>Anticipate potential for social conflict and provide for conflict management in Integrated Tourism Master Plans</w:t>
            </w:r>
            <w:r w:rsidR="00DB53CB" w:rsidRPr="00563D71">
              <w:rPr>
                <w:sz w:val="20"/>
                <w:szCs w:val="20"/>
              </w:rPr>
              <w:t>.</w:t>
            </w:r>
            <w:r w:rsidRPr="00563D71">
              <w:rPr>
                <w:sz w:val="20"/>
                <w:szCs w:val="20"/>
              </w:rPr>
              <w:t xml:space="preserve"> </w:t>
            </w:r>
          </w:p>
        </w:tc>
        <w:tc>
          <w:tcPr>
            <w:tcW w:w="2028" w:type="dxa"/>
            <w:vMerge w:val="restart"/>
            <w:tcBorders>
              <w:top w:val="single" w:sz="4" w:space="0" w:color="000000"/>
              <w:left w:val="single" w:sz="4" w:space="0" w:color="000000"/>
              <w:right w:val="single" w:sz="4" w:space="0" w:color="000000"/>
            </w:tcBorders>
            <w:vAlign w:val="center"/>
          </w:tcPr>
          <w:p w14:paraId="35551978" w14:textId="10886522" w:rsidR="00F01711" w:rsidRPr="00563D71" w:rsidRDefault="00F01711" w:rsidP="00B344F2">
            <w:pPr>
              <w:spacing w:before="0"/>
              <w:ind w:left="1" w:firstLine="0"/>
              <w:jc w:val="left"/>
              <w:rPr>
                <w:sz w:val="20"/>
                <w:szCs w:val="20"/>
              </w:rPr>
            </w:pPr>
            <w:r w:rsidRPr="00563D71">
              <w:rPr>
                <w:sz w:val="20"/>
                <w:szCs w:val="20"/>
              </w:rPr>
              <w:t>Integrated Tourism Master Plans (IPF)</w:t>
            </w:r>
            <w:r w:rsidR="00C361AB" w:rsidRPr="00563D71">
              <w:rPr>
                <w:sz w:val="20"/>
                <w:szCs w:val="20"/>
              </w:rPr>
              <w:t>;</w:t>
            </w:r>
            <w:r w:rsidRPr="00563D71">
              <w:rPr>
                <w:sz w:val="20"/>
                <w:szCs w:val="20"/>
              </w:rPr>
              <w:t xml:space="preserve"> </w:t>
            </w:r>
          </w:p>
          <w:p w14:paraId="6C3BB298" w14:textId="4C4D23F7" w:rsidR="004142FA" w:rsidRPr="00563D71" w:rsidRDefault="00F01711" w:rsidP="003D66DD">
            <w:pPr>
              <w:spacing w:before="0"/>
              <w:ind w:left="1" w:firstLine="0"/>
              <w:jc w:val="left"/>
              <w:rPr>
                <w:sz w:val="20"/>
                <w:szCs w:val="20"/>
              </w:rPr>
            </w:pPr>
            <w:r w:rsidRPr="00563D71">
              <w:rPr>
                <w:sz w:val="20"/>
                <w:szCs w:val="20"/>
              </w:rPr>
              <w:t xml:space="preserve">RA4 financing </w:t>
            </w:r>
            <w:r w:rsidR="00A505CB" w:rsidRPr="00563D71">
              <w:rPr>
                <w:sz w:val="20"/>
                <w:szCs w:val="20"/>
              </w:rPr>
              <w:t xml:space="preserve">and results indicators </w:t>
            </w:r>
            <w:r w:rsidRPr="00563D71">
              <w:rPr>
                <w:sz w:val="20"/>
                <w:szCs w:val="20"/>
              </w:rPr>
              <w:t xml:space="preserve">for </w:t>
            </w:r>
            <w:r w:rsidR="00C361AB" w:rsidRPr="00563D71">
              <w:rPr>
                <w:sz w:val="20"/>
                <w:szCs w:val="20"/>
              </w:rPr>
              <w:t>c</w:t>
            </w:r>
            <w:r w:rsidRPr="00563D71">
              <w:rPr>
                <w:sz w:val="20"/>
                <w:szCs w:val="20"/>
              </w:rPr>
              <w:t>ommunity awareness raising programs and community feedback survey</w:t>
            </w:r>
            <w:r w:rsidR="00834517" w:rsidRPr="00563D71">
              <w:rPr>
                <w:sz w:val="20"/>
                <w:szCs w:val="20"/>
              </w:rPr>
              <w:t>s.</w:t>
            </w:r>
          </w:p>
        </w:tc>
        <w:tc>
          <w:tcPr>
            <w:tcW w:w="1574" w:type="dxa"/>
            <w:vMerge w:val="restart"/>
            <w:tcBorders>
              <w:top w:val="single" w:sz="4" w:space="0" w:color="000000"/>
              <w:left w:val="single" w:sz="4" w:space="0" w:color="000000"/>
              <w:right w:val="single" w:sz="4" w:space="0" w:color="000000"/>
            </w:tcBorders>
            <w:vAlign w:val="center"/>
          </w:tcPr>
          <w:p w14:paraId="493F5C71" w14:textId="5BF3F105" w:rsidR="004142FA" w:rsidRPr="00563D71" w:rsidRDefault="00B71CC4">
            <w:pPr>
              <w:spacing w:before="0"/>
              <w:ind w:left="-42"/>
              <w:jc w:val="left"/>
              <w:rPr>
                <w:sz w:val="20"/>
                <w:szCs w:val="20"/>
              </w:rPr>
            </w:pPr>
            <w:r w:rsidRPr="00563D71">
              <w:rPr>
                <w:sz w:val="20"/>
                <w:szCs w:val="20"/>
              </w:rPr>
              <w:t>D</w:t>
            </w:r>
            <w:r w:rsidR="00563ECE" w:rsidRPr="00563D71">
              <w:rPr>
                <w:sz w:val="20"/>
                <w:szCs w:val="20"/>
              </w:rPr>
              <w:t>uring the implementation of the PforR</w:t>
            </w:r>
          </w:p>
          <w:p w14:paraId="1ECA3232" w14:textId="77777777" w:rsidR="004142FA" w:rsidRPr="00563D71" w:rsidRDefault="004142FA">
            <w:pPr>
              <w:spacing w:before="0"/>
              <w:jc w:val="left"/>
              <w:rPr>
                <w:sz w:val="20"/>
                <w:szCs w:val="20"/>
              </w:rPr>
            </w:pPr>
          </w:p>
        </w:tc>
        <w:tc>
          <w:tcPr>
            <w:tcW w:w="1403" w:type="dxa"/>
            <w:vMerge w:val="restart"/>
            <w:tcBorders>
              <w:top w:val="single" w:sz="4" w:space="0" w:color="000000"/>
              <w:left w:val="single" w:sz="4" w:space="0" w:color="000000"/>
              <w:right w:val="single" w:sz="4" w:space="0" w:color="000000"/>
            </w:tcBorders>
            <w:vAlign w:val="center"/>
          </w:tcPr>
          <w:p w14:paraId="4DF46528" w14:textId="6611D2D0" w:rsidR="004142FA" w:rsidRPr="00563D71" w:rsidRDefault="004142FA">
            <w:pPr>
              <w:spacing w:before="0"/>
              <w:ind w:left="0" w:right="16" w:firstLine="0"/>
              <w:jc w:val="left"/>
              <w:rPr>
                <w:sz w:val="20"/>
                <w:szCs w:val="20"/>
              </w:rPr>
            </w:pPr>
            <w:r w:rsidRPr="00563D71">
              <w:rPr>
                <w:sz w:val="20"/>
                <w:szCs w:val="20"/>
              </w:rPr>
              <w:t>MPWH</w:t>
            </w:r>
            <w:r w:rsidR="009405C4" w:rsidRPr="00563D71">
              <w:rPr>
                <w:sz w:val="20"/>
                <w:szCs w:val="20"/>
              </w:rPr>
              <w:t>,</w:t>
            </w:r>
          </w:p>
          <w:p w14:paraId="3AA31CC1" w14:textId="387230B2" w:rsidR="004142FA" w:rsidRPr="00563D71" w:rsidRDefault="00E62922">
            <w:pPr>
              <w:spacing w:before="0"/>
              <w:ind w:left="0" w:right="16" w:firstLine="0"/>
              <w:jc w:val="left"/>
              <w:rPr>
                <w:sz w:val="20"/>
                <w:szCs w:val="20"/>
              </w:rPr>
            </w:pPr>
            <w:r w:rsidRPr="00563D71">
              <w:rPr>
                <w:sz w:val="20"/>
                <w:szCs w:val="20"/>
              </w:rPr>
              <w:t>Ministry of Tourism</w:t>
            </w:r>
          </w:p>
        </w:tc>
      </w:tr>
      <w:tr w:rsidR="00A505CB" w:rsidRPr="00563D71" w14:paraId="4DEEE448" w14:textId="77777777" w:rsidTr="00CF22F2">
        <w:trPr>
          <w:trHeight w:val="527"/>
        </w:trPr>
        <w:tc>
          <w:tcPr>
            <w:tcW w:w="2121" w:type="dxa"/>
            <w:vMerge/>
            <w:tcBorders>
              <w:left w:val="single" w:sz="4" w:space="0" w:color="000000"/>
              <w:bottom w:val="single" w:sz="4" w:space="0" w:color="000000"/>
              <w:right w:val="single" w:sz="4" w:space="0" w:color="000000"/>
            </w:tcBorders>
            <w:vAlign w:val="center"/>
          </w:tcPr>
          <w:p w14:paraId="05FCF374" w14:textId="77777777" w:rsidR="004142FA" w:rsidRPr="00563D71" w:rsidRDefault="004142FA">
            <w:pPr>
              <w:spacing w:before="0"/>
              <w:ind w:left="0" w:right="61" w:firstLine="0"/>
              <w:jc w:val="left"/>
              <w:rPr>
                <w:sz w:val="20"/>
                <w:szCs w:val="20"/>
              </w:rPr>
            </w:pPr>
          </w:p>
        </w:tc>
        <w:tc>
          <w:tcPr>
            <w:tcW w:w="2433" w:type="dxa"/>
            <w:tcBorders>
              <w:top w:val="single" w:sz="4" w:space="0" w:color="000000"/>
              <w:left w:val="single" w:sz="4" w:space="0" w:color="000000"/>
              <w:bottom w:val="single" w:sz="4" w:space="0" w:color="000000"/>
              <w:right w:val="single" w:sz="4" w:space="0" w:color="000000"/>
            </w:tcBorders>
            <w:vAlign w:val="center"/>
          </w:tcPr>
          <w:p w14:paraId="487F6D14" w14:textId="19588F0B" w:rsidR="00F01711" w:rsidRPr="00563D71" w:rsidRDefault="004142FA">
            <w:pPr>
              <w:spacing w:before="0"/>
              <w:ind w:left="1" w:firstLine="0"/>
              <w:jc w:val="left"/>
              <w:rPr>
                <w:sz w:val="20"/>
                <w:szCs w:val="20"/>
              </w:rPr>
            </w:pPr>
            <w:r w:rsidRPr="00563D71">
              <w:rPr>
                <w:sz w:val="20"/>
                <w:szCs w:val="20"/>
              </w:rPr>
              <w:t>Include harmony with local social values and culture in development plans. Leverage uniqueness of the destination by being sensitive to local culture.</w:t>
            </w:r>
          </w:p>
          <w:p w14:paraId="54146CF3" w14:textId="77777777" w:rsidR="004142FA" w:rsidRPr="00563D71" w:rsidRDefault="00F01711">
            <w:pPr>
              <w:spacing w:before="0"/>
              <w:ind w:left="1" w:firstLine="0"/>
              <w:jc w:val="left"/>
              <w:rPr>
                <w:sz w:val="20"/>
                <w:szCs w:val="20"/>
              </w:rPr>
            </w:pPr>
            <w:r w:rsidRPr="00563D71">
              <w:rPr>
                <w:sz w:val="20"/>
                <w:szCs w:val="20"/>
              </w:rPr>
              <w:t>Enhance local tourism awareness raising programs (“</w:t>
            </w:r>
            <w:r w:rsidRPr="00563D71">
              <w:rPr>
                <w:i/>
                <w:sz w:val="20"/>
                <w:szCs w:val="20"/>
              </w:rPr>
              <w:t>Sadar Wisata</w:t>
            </w:r>
            <w:r w:rsidRPr="00563D71">
              <w:rPr>
                <w:sz w:val="20"/>
                <w:szCs w:val="20"/>
              </w:rPr>
              <w:t>”) and strengthen community feedback through annual surveys.</w:t>
            </w:r>
          </w:p>
        </w:tc>
        <w:tc>
          <w:tcPr>
            <w:tcW w:w="2028" w:type="dxa"/>
            <w:vMerge/>
            <w:tcBorders>
              <w:left w:val="single" w:sz="4" w:space="0" w:color="000000"/>
              <w:bottom w:val="single" w:sz="4" w:space="0" w:color="000000"/>
              <w:right w:val="single" w:sz="4" w:space="0" w:color="000000"/>
            </w:tcBorders>
            <w:vAlign w:val="center"/>
          </w:tcPr>
          <w:p w14:paraId="2EA48EE1" w14:textId="77777777" w:rsidR="004142FA" w:rsidRPr="00563D71" w:rsidRDefault="004142FA">
            <w:pPr>
              <w:spacing w:before="0"/>
              <w:ind w:left="1" w:firstLine="0"/>
              <w:jc w:val="left"/>
              <w:rPr>
                <w:sz w:val="20"/>
                <w:szCs w:val="20"/>
              </w:rPr>
            </w:pPr>
          </w:p>
        </w:tc>
        <w:tc>
          <w:tcPr>
            <w:tcW w:w="1574" w:type="dxa"/>
            <w:vMerge/>
            <w:tcBorders>
              <w:left w:val="single" w:sz="4" w:space="0" w:color="000000"/>
              <w:bottom w:val="single" w:sz="4" w:space="0" w:color="000000"/>
              <w:right w:val="single" w:sz="4" w:space="0" w:color="000000"/>
            </w:tcBorders>
            <w:vAlign w:val="center"/>
          </w:tcPr>
          <w:p w14:paraId="7A0A1717" w14:textId="77777777" w:rsidR="004142FA" w:rsidRPr="00563D71" w:rsidRDefault="004142FA">
            <w:pPr>
              <w:spacing w:before="0"/>
              <w:ind w:left="1" w:firstLine="0"/>
              <w:jc w:val="left"/>
              <w:rPr>
                <w:sz w:val="20"/>
                <w:szCs w:val="20"/>
              </w:rPr>
            </w:pPr>
          </w:p>
        </w:tc>
        <w:tc>
          <w:tcPr>
            <w:tcW w:w="1403" w:type="dxa"/>
            <w:vMerge/>
            <w:tcBorders>
              <w:left w:val="single" w:sz="4" w:space="0" w:color="000000"/>
              <w:bottom w:val="single" w:sz="4" w:space="0" w:color="000000"/>
              <w:right w:val="single" w:sz="4" w:space="0" w:color="000000"/>
            </w:tcBorders>
            <w:vAlign w:val="center"/>
          </w:tcPr>
          <w:p w14:paraId="7024C6E3" w14:textId="77777777" w:rsidR="004142FA" w:rsidRPr="00563D71" w:rsidRDefault="004142FA">
            <w:pPr>
              <w:spacing w:before="0"/>
              <w:ind w:left="0" w:right="16" w:firstLine="0"/>
              <w:jc w:val="left"/>
              <w:rPr>
                <w:sz w:val="20"/>
                <w:szCs w:val="20"/>
              </w:rPr>
            </w:pPr>
          </w:p>
        </w:tc>
      </w:tr>
      <w:tr w:rsidR="00A505CB" w:rsidRPr="00563D71" w14:paraId="55B59634" w14:textId="77777777" w:rsidTr="00CF22F2">
        <w:trPr>
          <w:trHeight w:val="1877"/>
        </w:trPr>
        <w:tc>
          <w:tcPr>
            <w:tcW w:w="2121" w:type="dxa"/>
            <w:tcBorders>
              <w:top w:val="single" w:sz="4" w:space="0" w:color="000000"/>
              <w:left w:val="single" w:sz="4" w:space="0" w:color="000000"/>
              <w:bottom w:val="single" w:sz="4" w:space="0" w:color="auto"/>
              <w:right w:val="single" w:sz="4" w:space="0" w:color="000000"/>
            </w:tcBorders>
            <w:vAlign w:val="center"/>
          </w:tcPr>
          <w:p w14:paraId="33DE2F45" w14:textId="0B4C702B" w:rsidR="004142FA" w:rsidRPr="00563D71" w:rsidRDefault="004142FA" w:rsidP="00304B91">
            <w:pPr>
              <w:spacing w:before="0"/>
              <w:ind w:left="0" w:right="61" w:firstLine="0"/>
              <w:jc w:val="left"/>
              <w:rPr>
                <w:sz w:val="20"/>
                <w:szCs w:val="20"/>
              </w:rPr>
            </w:pPr>
            <w:r w:rsidRPr="00563D71">
              <w:rPr>
                <w:sz w:val="20"/>
                <w:szCs w:val="20"/>
              </w:rPr>
              <w:lastRenderedPageBreak/>
              <w:t xml:space="preserve">Ensure livelihoods are restored when </w:t>
            </w:r>
            <w:r w:rsidR="00EF0694" w:rsidRPr="00563D71">
              <w:rPr>
                <w:sz w:val="20"/>
                <w:szCs w:val="20"/>
              </w:rPr>
              <w:t xml:space="preserve">people (including IPs and other vulnerable groups) </w:t>
            </w:r>
            <w:r w:rsidRPr="00563D71">
              <w:rPr>
                <w:sz w:val="20"/>
                <w:szCs w:val="20"/>
              </w:rPr>
              <w:t xml:space="preserve">affected </w:t>
            </w:r>
            <w:r w:rsidR="00EF0694" w:rsidRPr="00563D71">
              <w:rPr>
                <w:sz w:val="20"/>
                <w:szCs w:val="20"/>
              </w:rPr>
              <w:t xml:space="preserve">by investments </w:t>
            </w:r>
            <w:r w:rsidRPr="00563D71">
              <w:rPr>
                <w:sz w:val="20"/>
                <w:szCs w:val="20"/>
              </w:rPr>
              <w:t>lose land, other assets, or access to assets.</w:t>
            </w:r>
          </w:p>
        </w:tc>
        <w:tc>
          <w:tcPr>
            <w:tcW w:w="2433" w:type="dxa"/>
            <w:tcBorders>
              <w:top w:val="single" w:sz="4" w:space="0" w:color="000000"/>
              <w:left w:val="single" w:sz="4" w:space="0" w:color="000000"/>
              <w:bottom w:val="single" w:sz="4" w:space="0" w:color="000000"/>
              <w:right w:val="single" w:sz="4" w:space="0" w:color="000000"/>
            </w:tcBorders>
            <w:vAlign w:val="center"/>
          </w:tcPr>
          <w:p w14:paraId="6DC84327" w14:textId="46325C21" w:rsidR="006D3B33" w:rsidRPr="00563D71" w:rsidRDefault="004142FA" w:rsidP="00AF61D8">
            <w:pPr>
              <w:spacing w:before="0"/>
              <w:ind w:left="1" w:firstLine="0"/>
              <w:jc w:val="left"/>
            </w:pPr>
            <w:r w:rsidRPr="00563D71">
              <w:rPr>
                <w:sz w:val="20"/>
                <w:szCs w:val="20"/>
              </w:rPr>
              <w:t xml:space="preserve">Include </w:t>
            </w:r>
            <w:r w:rsidR="00E568B3" w:rsidRPr="00563D71">
              <w:rPr>
                <w:sz w:val="20"/>
                <w:szCs w:val="20"/>
              </w:rPr>
              <w:t xml:space="preserve">assistance and </w:t>
            </w:r>
            <w:r w:rsidRPr="00563D71">
              <w:rPr>
                <w:sz w:val="20"/>
                <w:szCs w:val="20"/>
              </w:rPr>
              <w:t>livelihood restoration</w:t>
            </w:r>
            <w:r w:rsidR="009405C4" w:rsidRPr="00563D71">
              <w:rPr>
                <w:sz w:val="20"/>
                <w:szCs w:val="20"/>
              </w:rPr>
              <w:t>,</w:t>
            </w:r>
            <w:r w:rsidRPr="00563D71">
              <w:rPr>
                <w:sz w:val="20"/>
                <w:szCs w:val="20"/>
              </w:rPr>
              <w:t xml:space="preserve"> </w:t>
            </w:r>
            <w:r w:rsidR="00E568B3" w:rsidRPr="00563D71">
              <w:rPr>
                <w:sz w:val="20"/>
                <w:szCs w:val="20"/>
              </w:rPr>
              <w:t>especially to squatters and the vulnerable</w:t>
            </w:r>
            <w:r w:rsidR="00B71CC4" w:rsidRPr="00563D71">
              <w:rPr>
                <w:sz w:val="20"/>
                <w:szCs w:val="20"/>
              </w:rPr>
              <w:t xml:space="preserve"> groups</w:t>
            </w:r>
            <w:r w:rsidR="009405C4" w:rsidRPr="00563D71">
              <w:rPr>
                <w:sz w:val="20"/>
                <w:szCs w:val="20"/>
              </w:rPr>
              <w:t>,</w:t>
            </w:r>
            <w:r w:rsidR="00E568B3" w:rsidRPr="00563D71">
              <w:rPr>
                <w:sz w:val="20"/>
                <w:szCs w:val="20"/>
              </w:rPr>
              <w:t xml:space="preserve"> </w:t>
            </w:r>
            <w:r w:rsidRPr="00563D71">
              <w:rPr>
                <w:sz w:val="20"/>
                <w:szCs w:val="20"/>
              </w:rPr>
              <w:t xml:space="preserve">in </w:t>
            </w:r>
            <w:r w:rsidR="00E568B3" w:rsidRPr="00563D71">
              <w:rPr>
                <w:sz w:val="20"/>
                <w:szCs w:val="20"/>
              </w:rPr>
              <w:t xml:space="preserve">the </w:t>
            </w:r>
            <w:r w:rsidR="00773EF4" w:rsidRPr="00563D71">
              <w:rPr>
                <w:sz w:val="20"/>
                <w:szCs w:val="20"/>
              </w:rPr>
              <w:t xml:space="preserve">Abbreviated </w:t>
            </w:r>
            <w:r w:rsidRPr="00563D71">
              <w:rPr>
                <w:sz w:val="20"/>
                <w:szCs w:val="20"/>
              </w:rPr>
              <w:t>LARAPs</w:t>
            </w:r>
            <w:r w:rsidR="00DB53CB" w:rsidRPr="00563D71">
              <w:rPr>
                <w:sz w:val="20"/>
                <w:szCs w:val="20"/>
              </w:rPr>
              <w:t>.</w:t>
            </w:r>
            <w:r w:rsidR="002742A1" w:rsidRPr="00563D71">
              <w:rPr>
                <w:rStyle w:val="FootnoteReference"/>
                <w:sz w:val="20"/>
                <w:szCs w:val="20"/>
              </w:rPr>
              <w:footnoteReference w:id="17"/>
            </w:r>
            <w:r w:rsidRPr="00563D71">
              <w:rPr>
                <w:sz w:val="20"/>
                <w:szCs w:val="20"/>
              </w:rPr>
              <w:t xml:space="preserve"> Provide budgets to support </w:t>
            </w:r>
            <w:r w:rsidR="00E568B3" w:rsidRPr="00563D71">
              <w:rPr>
                <w:sz w:val="20"/>
                <w:szCs w:val="20"/>
              </w:rPr>
              <w:t xml:space="preserve">assistance and </w:t>
            </w:r>
            <w:r w:rsidRPr="00563D71">
              <w:rPr>
                <w:sz w:val="20"/>
                <w:szCs w:val="20"/>
              </w:rPr>
              <w:t xml:space="preserve">livelihood restoration activities. Assess capacity to implement </w:t>
            </w:r>
            <w:r w:rsidR="00773EF4" w:rsidRPr="00563D71">
              <w:rPr>
                <w:sz w:val="20"/>
                <w:szCs w:val="20"/>
              </w:rPr>
              <w:t xml:space="preserve">Abbreviated </w:t>
            </w:r>
            <w:r w:rsidRPr="00563D71">
              <w:rPr>
                <w:sz w:val="20"/>
                <w:szCs w:val="20"/>
              </w:rPr>
              <w:t xml:space="preserve">LARAPs and provide training </w:t>
            </w:r>
            <w:r w:rsidR="00E568B3" w:rsidRPr="00563D71">
              <w:rPr>
                <w:sz w:val="20"/>
                <w:szCs w:val="20"/>
              </w:rPr>
              <w:t xml:space="preserve">to agencies implementing the Abbreviated LARAPs </w:t>
            </w:r>
            <w:r w:rsidRPr="00563D71">
              <w:rPr>
                <w:sz w:val="20"/>
                <w:szCs w:val="20"/>
              </w:rPr>
              <w:t>as needed.</w:t>
            </w:r>
            <w:r w:rsidR="009405C4" w:rsidRPr="00563D71">
              <w:rPr>
                <w:sz w:val="20"/>
                <w:szCs w:val="20"/>
              </w:rPr>
              <w:t xml:space="preserve"> </w:t>
            </w:r>
            <w:r w:rsidR="006D3B33" w:rsidRPr="00563D71">
              <w:rPr>
                <w:sz w:val="20"/>
                <w:szCs w:val="20"/>
              </w:rPr>
              <w:t>Provide assistance and facilitation on the collaborative work among involved agencies to effectively prepare and implement the abbreviated LARAP.</w:t>
            </w:r>
          </w:p>
        </w:tc>
        <w:tc>
          <w:tcPr>
            <w:tcW w:w="2028" w:type="dxa"/>
            <w:tcBorders>
              <w:top w:val="single" w:sz="4" w:space="0" w:color="000000"/>
              <w:left w:val="single" w:sz="4" w:space="0" w:color="000000"/>
              <w:bottom w:val="single" w:sz="4" w:space="0" w:color="000000"/>
              <w:right w:val="single" w:sz="4" w:space="0" w:color="000000"/>
            </w:tcBorders>
            <w:vAlign w:val="center"/>
          </w:tcPr>
          <w:p w14:paraId="36C52E3F" w14:textId="1505380E" w:rsidR="004142FA" w:rsidRPr="00563D71" w:rsidRDefault="004142FA" w:rsidP="00304B91">
            <w:pPr>
              <w:spacing w:before="0"/>
              <w:ind w:left="1" w:firstLine="0"/>
              <w:jc w:val="left"/>
              <w:rPr>
                <w:sz w:val="20"/>
                <w:szCs w:val="20"/>
              </w:rPr>
            </w:pPr>
          </w:p>
          <w:p w14:paraId="40B792B9" w14:textId="47242400" w:rsidR="006D3B33" w:rsidRPr="00563D71" w:rsidRDefault="004142FA" w:rsidP="00304B91">
            <w:pPr>
              <w:spacing w:before="0"/>
              <w:ind w:left="1" w:firstLine="0"/>
              <w:jc w:val="left"/>
              <w:rPr>
                <w:sz w:val="20"/>
                <w:szCs w:val="20"/>
              </w:rPr>
            </w:pPr>
            <w:r w:rsidRPr="00563D71">
              <w:rPr>
                <w:sz w:val="20"/>
                <w:szCs w:val="20"/>
              </w:rPr>
              <w:t xml:space="preserve">Program Management </w:t>
            </w:r>
            <w:r w:rsidR="00F01711" w:rsidRPr="00563D71">
              <w:rPr>
                <w:sz w:val="20"/>
                <w:szCs w:val="20"/>
              </w:rPr>
              <w:t>Support</w:t>
            </w:r>
            <w:r w:rsidR="00925002" w:rsidRPr="00563D71">
              <w:rPr>
                <w:rStyle w:val="FootnoteReference"/>
                <w:sz w:val="20"/>
                <w:szCs w:val="20"/>
              </w:rPr>
              <w:footnoteReference w:id="18"/>
            </w:r>
            <w:r w:rsidR="00F01711" w:rsidRPr="00563D71">
              <w:rPr>
                <w:sz w:val="20"/>
                <w:szCs w:val="20"/>
              </w:rPr>
              <w:t xml:space="preserve"> </w:t>
            </w:r>
            <w:r w:rsidRPr="00563D71">
              <w:rPr>
                <w:sz w:val="20"/>
                <w:szCs w:val="20"/>
              </w:rPr>
              <w:t xml:space="preserve">to </w:t>
            </w:r>
            <w:r w:rsidR="006D3B33" w:rsidRPr="00563D71">
              <w:rPr>
                <w:sz w:val="20"/>
                <w:szCs w:val="20"/>
              </w:rPr>
              <w:t xml:space="preserve">provide training, </w:t>
            </w:r>
            <w:r w:rsidRPr="00563D71">
              <w:rPr>
                <w:sz w:val="20"/>
                <w:szCs w:val="20"/>
              </w:rPr>
              <w:t xml:space="preserve">review </w:t>
            </w:r>
            <w:r w:rsidR="00773EF4" w:rsidRPr="00563D71">
              <w:rPr>
                <w:sz w:val="20"/>
                <w:szCs w:val="20"/>
              </w:rPr>
              <w:t xml:space="preserve">Abbreviated </w:t>
            </w:r>
            <w:r w:rsidR="00292CCB" w:rsidRPr="00563D71">
              <w:rPr>
                <w:sz w:val="20"/>
                <w:szCs w:val="20"/>
              </w:rPr>
              <w:t>LARAPs</w:t>
            </w:r>
            <w:r w:rsidR="006D3B33" w:rsidRPr="00563D71">
              <w:rPr>
                <w:sz w:val="20"/>
                <w:szCs w:val="20"/>
              </w:rPr>
              <w:t xml:space="preserve"> and a Plan of Action (as applicable)</w:t>
            </w:r>
            <w:r w:rsidR="007A3D8C" w:rsidRPr="00563D71">
              <w:rPr>
                <w:sz w:val="20"/>
                <w:szCs w:val="20"/>
              </w:rPr>
              <w:t xml:space="preserve">, </w:t>
            </w:r>
            <w:r w:rsidR="00EF0694" w:rsidRPr="00563D71">
              <w:rPr>
                <w:sz w:val="20"/>
                <w:szCs w:val="20"/>
              </w:rPr>
              <w:t>monitor their implementation</w:t>
            </w:r>
            <w:r w:rsidR="006D3B33" w:rsidRPr="00563D71">
              <w:rPr>
                <w:sz w:val="20"/>
                <w:szCs w:val="20"/>
              </w:rPr>
              <w:t xml:space="preserve">, </w:t>
            </w:r>
          </w:p>
          <w:p w14:paraId="5D848DFC" w14:textId="6F64291C" w:rsidR="006D3B33" w:rsidRPr="00563D71" w:rsidRDefault="006D3B33" w:rsidP="00B344F2">
            <w:pPr>
              <w:spacing w:before="0"/>
              <w:ind w:left="1" w:firstLine="0"/>
              <w:jc w:val="left"/>
              <w:rPr>
                <w:sz w:val="20"/>
                <w:szCs w:val="20"/>
              </w:rPr>
            </w:pPr>
            <w:r w:rsidRPr="00563D71">
              <w:rPr>
                <w:sz w:val="20"/>
                <w:szCs w:val="20"/>
              </w:rPr>
              <w:t>provide training and facilitate collaboration among involved agencies</w:t>
            </w:r>
            <w:r w:rsidR="00DB53CB" w:rsidRPr="00563D71">
              <w:rPr>
                <w:sz w:val="20"/>
                <w:szCs w:val="20"/>
              </w:rPr>
              <w:t>.</w:t>
            </w:r>
          </w:p>
          <w:p w14:paraId="2760AD1B" w14:textId="4AF34AAD" w:rsidR="004142FA" w:rsidRPr="00563D71" w:rsidRDefault="004142FA">
            <w:pPr>
              <w:spacing w:before="0"/>
              <w:ind w:left="1" w:firstLin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42DDAD6A" w14:textId="3B6FB4E2" w:rsidR="004142FA" w:rsidRPr="00563D71" w:rsidRDefault="00563ECE">
            <w:pPr>
              <w:spacing w:before="0"/>
              <w:ind w:left="1" w:firstLine="0"/>
              <w:jc w:val="left"/>
              <w:rPr>
                <w:sz w:val="20"/>
                <w:szCs w:val="20"/>
              </w:rPr>
            </w:pPr>
            <w:r w:rsidRPr="00563D71">
              <w:rPr>
                <w:sz w:val="20"/>
                <w:szCs w:val="20"/>
              </w:rPr>
              <w:t xml:space="preserve">During </w:t>
            </w:r>
            <w:r w:rsidR="00B71CC4" w:rsidRPr="00563D71">
              <w:rPr>
                <w:sz w:val="20"/>
                <w:szCs w:val="20"/>
              </w:rPr>
              <w:t xml:space="preserve">the </w:t>
            </w:r>
            <w:r w:rsidRPr="00563D71">
              <w:rPr>
                <w:sz w:val="20"/>
                <w:szCs w:val="20"/>
              </w:rPr>
              <w:t>implementation of the PforR</w:t>
            </w:r>
          </w:p>
        </w:tc>
        <w:tc>
          <w:tcPr>
            <w:tcW w:w="1403" w:type="dxa"/>
            <w:tcBorders>
              <w:top w:val="single" w:sz="4" w:space="0" w:color="000000"/>
              <w:left w:val="single" w:sz="4" w:space="0" w:color="000000"/>
              <w:bottom w:val="single" w:sz="4" w:space="0" w:color="000000"/>
              <w:right w:val="single" w:sz="4" w:space="0" w:color="000000"/>
            </w:tcBorders>
            <w:vAlign w:val="center"/>
          </w:tcPr>
          <w:p w14:paraId="4D5295B9" w14:textId="77777777" w:rsidR="004142FA" w:rsidRPr="00563D71" w:rsidRDefault="004142FA">
            <w:pPr>
              <w:spacing w:before="0"/>
              <w:ind w:left="0" w:right="16" w:firstLine="0"/>
              <w:jc w:val="left"/>
              <w:rPr>
                <w:sz w:val="20"/>
                <w:szCs w:val="20"/>
              </w:rPr>
            </w:pPr>
            <w:r w:rsidRPr="00563D71">
              <w:rPr>
                <w:sz w:val="20"/>
                <w:szCs w:val="20"/>
              </w:rPr>
              <w:t>MPWH</w:t>
            </w:r>
          </w:p>
          <w:p w14:paraId="7446A85B" w14:textId="537EFF23" w:rsidR="004142FA" w:rsidRPr="00563D71" w:rsidRDefault="00EF0694">
            <w:pPr>
              <w:spacing w:before="0"/>
              <w:ind w:left="0" w:right="16" w:firstLine="0"/>
              <w:jc w:val="left"/>
              <w:rPr>
                <w:sz w:val="20"/>
                <w:szCs w:val="20"/>
              </w:rPr>
            </w:pPr>
            <w:r w:rsidRPr="00563D71">
              <w:rPr>
                <w:sz w:val="20"/>
                <w:szCs w:val="20"/>
              </w:rPr>
              <w:t xml:space="preserve">Central and </w:t>
            </w:r>
            <w:r w:rsidR="004142FA" w:rsidRPr="00563D71">
              <w:rPr>
                <w:sz w:val="20"/>
                <w:szCs w:val="20"/>
              </w:rPr>
              <w:t>local government</w:t>
            </w:r>
          </w:p>
        </w:tc>
      </w:tr>
      <w:tr w:rsidR="00A505CB" w:rsidRPr="00563D71" w14:paraId="15ACA2F9" w14:textId="77777777" w:rsidTr="00CF22F2">
        <w:trPr>
          <w:trHeight w:val="1787"/>
        </w:trPr>
        <w:tc>
          <w:tcPr>
            <w:tcW w:w="2121" w:type="dxa"/>
            <w:tcBorders>
              <w:top w:val="single" w:sz="4" w:space="0" w:color="auto"/>
              <w:left w:val="single" w:sz="4" w:space="0" w:color="000000"/>
              <w:bottom w:val="single" w:sz="4" w:space="0" w:color="000000"/>
              <w:right w:val="single" w:sz="4" w:space="0" w:color="000000"/>
            </w:tcBorders>
            <w:vAlign w:val="center"/>
          </w:tcPr>
          <w:p w14:paraId="32503F81" w14:textId="77777777" w:rsidR="004142FA" w:rsidRPr="00563D71" w:rsidRDefault="004142FA" w:rsidP="00304B91">
            <w:pPr>
              <w:spacing w:before="0"/>
              <w:ind w:left="0" w:right="61" w:firstLine="0"/>
              <w:jc w:val="left"/>
              <w:rPr>
                <w:sz w:val="20"/>
                <w:szCs w:val="20"/>
              </w:rPr>
            </w:pPr>
            <w:r w:rsidRPr="00563D71">
              <w:rPr>
                <w:sz w:val="20"/>
                <w:szCs w:val="20"/>
              </w:rPr>
              <w:t>Minimize risk of accidents to workers and local residents</w:t>
            </w:r>
          </w:p>
        </w:tc>
        <w:tc>
          <w:tcPr>
            <w:tcW w:w="2433" w:type="dxa"/>
            <w:tcBorders>
              <w:top w:val="single" w:sz="4" w:space="0" w:color="000000"/>
              <w:left w:val="single" w:sz="4" w:space="0" w:color="000000"/>
              <w:bottom w:val="single" w:sz="4" w:space="0" w:color="000000"/>
              <w:right w:val="single" w:sz="4" w:space="0" w:color="000000"/>
            </w:tcBorders>
            <w:vAlign w:val="center"/>
          </w:tcPr>
          <w:p w14:paraId="4BA0FFF2" w14:textId="067AA335" w:rsidR="004142FA" w:rsidRPr="00563D71" w:rsidRDefault="004142FA" w:rsidP="00304B91">
            <w:pPr>
              <w:spacing w:before="0"/>
              <w:ind w:left="1" w:firstLine="0"/>
              <w:jc w:val="left"/>
              <w:rPr>
                <w:sz w:val="20"/>
                <w:szCs w:val="20"/>
              </w:rPr>
            </w:pPr>
            <w:r w:rsidRPr="00563D71">
              <w:rPr>
                <w:sz w:val="20"/>
                <w:szCs w:val="20"/>
              </w:rPr>
              <w:t>Include health and safety in all environmental management plans</w:t>
            </w:r>
            <w:r w:rsidR="00DB53CB" w:rsidRPr="00563D71">
              <w:rPr>
                <w:sz w:val="20"/>
                <w:szCs w:val="20"/>
              </w:rPr>
              <w:t>.</w:t>
            </w:r>
          </w:p>
          <w:p w14:paraId="7A87B6B6" w14:textId="77777777" w:rsidR="004142FA" w:rsidRPr="00563D71" w:rsidRDefault="004142FA" w:rsidP="00B344F2">
            <w:pPr>
              <w:spacing w:before="0"/>
              <w:ind w:left="1" w:firstLine="0"/>
              <w:jc w:val="left"/>
              <w:rPr>
                <w:sz w:val="20"/>
                <w:szCs w:val="20"/>
              </w:rPr>
            </w:pPr>
          </w:p>
          <w:p w14:paraId="43794F1D" w14:textId="571AE730" w:rsidR="004142FA" w:rsidRPr="00563D71" w:rsidRDefault="004142FA">
            <w:pPr>
              <w:spacing w:before="0"/>
              <w:ind w:left="1" w:firstLine="0"/>
              <w:jc w:val="left"/>
              <w:rPr>
                <w:sz w:val="20"/>
                <w:szCs w:val="20"/>
              </w:rPr>
            </w:pPr>
            <w:r w:rsidRPr="00563D71">
              <w:rPr>
                <w:sz w:val="20"/>
                <w:szCs w:val="20"/>
              </w:rPr>
              <w:t>Supervise adherence to safety rules</w:t>
            </w:r>
            <w:r w:rsidR="00DB53CB" w:rsidRPr="00563D71">
              <w:rPr>
                <w:sz w:val="20"/>
                <w:szCs w:val="20"/>
              </w:rPr>
              <w:t>.</w:t>
            </w:r>
          </w:p>
        </w:tc>
        <w:tc>
          <w:tcPr>
            <w:tcW w:w="2028" w:type="dxa"/>
            <w:tcBorders>
              <w:top w:val="single" w:sz="4" w:space="0" w:color="000000"/>
              <w:left w:val="single" w:sz="4" w:space="0" w:color="000000"/>
              <w:bottom w:val="single" w:sz="4" w:space="0" w:color="000000"/>
              <w:right w:val="single" w:sz="4" w:space="0" w:color="000000"/>
            </w:tcBorders>
            <w:vAlign w:val="center"/>
          </w:tcPr>
          <w:p w14:paraId="1FDCF410" w14:textId="765E5F26" w:rsidR="004142FA" w:rsidRPr="00563D71" w:rsidRDefault="004142FA">
            <w:pPr>
              <w:spacing w:before="0"/>
              <w:ind w:left="1" w:firstLine="0"/>
              <w:jc w:val="left"/>
              <w:rPr>
                <w:sz w:val="20"/>
                <w:szCs w:val="20"/>
              </w:rPr>
            </w:pPr>
            <w:r w:rsidRPr="00563D71">
              <w:rPr>
                <w:sz w:val="20"/>
                <w:szCs w:val="20"/>
              </w:rPr>
              <w:t xml:space="preserve">Program Management </w:t>
            </w:r>
            <w:r w:rsidR="00834517" w:rsidRPr="00563D71">
              <w:rPr>
                <w:sz w:val="20"/>
                <w:szCs w:val="20"/>
              </w:rPr>
              <w:t>Support</w:t>
            </w:r>
            <w:r w:rsidR="00DB53CB" w:rsidRPr="00563D71">
              <w:rPr>
                <w:sz w:val="20"/>
                <w:szCs w:val="20"/>
              </w:rPr>
              <w:t>.</w:t>
            </w:r>
            <w:r w:rsidR="00834517" w:rsidRPr="00563D71">
              <w:rPr>
                <w:sz w:val="20"/>
                <w:szCs w:val="20"/>
              </w:rPr>
              <w:t xml:space="preserve"> </w:t>
            </w:r>
          </w:p>
          <w:p w14:paraId="7A8BCC32" w14:textId="77777777" w:rsidR="004142FA" w:rsidRPr="00563D71" w:rsidRDefault="004142FA">
            <w:pPr>
              <w:spacing w:before="0"/>
              <w:ind w:left="1" w:firstLine="0"/>
              <w:jc w:val="left"/>
              <w:rPr>
                <w:sz w:val="20"/>
                <w:szCs w:val="20"/>
              </w:rPr>
            </w:pPr>
          </w:p>
          <w:p w14:paraId="602597D1" w14:textId="4CC0E091" w:rsidR="004142FA" w:rsidRPr="00563D71" w:rsidRDefault="004142FA">
            <w:pPr>
              <w:spacing w:before="0"/>
              <w:ind w:left="1" w:firstLine="0"/>
              <w:jc w:val="left"/>
              <w:rPr>
                <w:sz w:val="20"/>
                <w:szCs w:val="20"/>
              </w:rPr>
            </w:pPr>
            <w:r w:rsidRPr="00563D71">
              <w:rPr>
                <w:sz w:val="20"/>
                <w:szCs w:val="20"/>
              </w:rPr>
              <w:t>Implementing /contracting agencies to supervise contractors for compliance (RA1)</w:t>
            </w:r>
            <w:r w:rsidR="00DB53CB" w:rsidRPr="00563D71">
              <w:rPr>
                <w:sz w:val="20"/>
                <w:szCs w:val="20"/>
              </w:rPr>
              <w:t>.</w:t>
            </w:r>
          </w:p>
          <w:p w14:paraId="1D3E1E4B" w14:textId="77777777" w:rsidR="004142FA" w:rsidRPr="00563D71" w:rsidRDefault="004142FA">
            <w:pPr>
              <w:spacing w:before="0"/>
              <w:ind w:left="24"/>
              <w:jc w:val="left"/>
              <w:rPr>
                <w:sz w:val="20"/>
                <w:szCs w:val="20"/>
              </w:rPr>
            </w:pPr>
          </w:p>
          <w:p w14:paraId="731CF644" w14:textId="77777777" w:rsidR="004142FA" w:rsidRPr="00563D71" w:rsidRDefault="004142FA">
            <w:pPr>
              <w:spacing w:befor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920726F" w14:textId="35E02EFA" w:rsidR="004142FA" w:rsidRPr="00563D71" w:rsidRDefault="006F754F">
            <w:pPr>
              <w:spacing w:before="0"/>
              <w:ind w:left="1" w:firstLine="0"/>
              <w:jc w:val="left"/>
              <w:rPr>
                <w:sz w:val="20"/>
                <w:szCs w:val="20"/>
              </w:rPr>
            </w:pPr>
            <w:r w:rsidRPr="00563D71">
              <w:rPr>
                <w:sz w:val="20"/>
                <w:szCs w:val="20"/>
              </w:rPr>
              <w:t>O</w:t>
            </w:r>
            <w:r w:rsidR="004142FA" w:rsidRPr="00563D71">
              <w:rPr>
                <w:sz w:val="20"/>
                <w:szCs w:val="20"/>
              </w:rPr>
              <w:t>ngoing</w:t>
            </w:r>
          </w:p>
        </w:tc>
        <w:tc>
          <w:tcPr>
            <w:tcW w:w="1403" w:type="dxa"/>
            <w:tcBorders>
              <w:top w:val="single" w:sz="4" w:space="0" w:color="000000"/>
              <w:left w:val="single" w:sz="4" w:space="0" w:color="000000"/>
              <w:bottom w:val="single" w:sz="4" w:space="0" w:color="000000"/>
              <w:right w:val="single" w:sz="4" w:space="0" w:color="000000"/>
            </w:tcBorders>
            <w:vAlign w:val="center"/>
          </w:tcPr>
          <w:p w14:paraId="2CD2DD2C" w14:textId="77777777" w:rsidR="004142FA" w:rsidRPr="00563D71" w:rsidRDefault="004142FA">
            <w:pPr>
              <w:spacing w:before="0"/>
              <w:ind w:left="0" w:right="16" w:firstLine="0"/>
              <w:jc w:val="left"/>
              <w:rPr>
                <w:sz w:val="20"/>
                <w:szCs w:val="20"/>
              </w:rPr>
            </w:pPr>
            <w:r w:rsidRPr="00563D71">
              <w:rPr>
                <w:sz w:val="20"/>
                <w:szCs w:val="20"/>
              </w:rPr>
              <w:t>MPWH</w:t>
            </w:r>
          </w:p>
          <w:p w14:paraId="307BBA73" w14:textId="77777777" w:rsidR="004142FA" w:rsidRPr="00563D71" w:rsidRDefault="004142FA">
            <w:pPr>
              <w:spacing w:before="0"/>
              <w:ind w:left="0" w:right="16" w:firstLine="0"/>
              <w:jc w:val="left"/>
              <w:rPr>
                <w:sz w:val="20"/>
                <w:szCs w:val="20"/>
              </w:rPr>
            </w:pPr>
            <w:r w:rsidRPr="00563D71">
              <w:rPr>
                <w:sz w:val="20"/>
                <w:szCs w:val="20"/>
              </w:rPr>
              <w:t>local government</w:t>
            </w:r>
          </w:p>
        </w:tc>
      </w:tr>
      <w:tr w:rsidR="00A505CB" w:rsidRPr="00563D71" w14:paraId="3FEF3D19" w14:textId="77777777" w:rsidTr="00CF22F2">
        <w:trPr>
          <w:trHeight w:val="2156"/>
        </w:trPr>
        <w:tc>
          <w:tcPr>
            <w:tcW w:w="2121" w:type="dxa"/>
            <w:tcBorders>
              <w:top w:val="single" w:sz="4" w:space="0" w:color="000000"/>
              <w:left w:val="single" w:sz="4" w:space="0" w:color="000000"/>
              <w:bottom w:val="single" w:sz="4" w:space="0" w:color="000000"/>
              <w:right w:val="single" w:sz="4" w:space="0" w:color="000000"/>
            </w:tcBorders>
            <w:vAlign w:val="center"/>
          </w:tcPr>
          <w:p w14:paraId="1AF4F217" w14:textId="71386236" w:rsidR="004142FA" w:rsidRPr="00563D71" w:rsidRDefault="004142FA" w:rsidP="00304B91">
            <w:pPr>
              <w:spacing w:before="0"/>
              <w:ind w:left="0" w:firstLine="0"/>
              <w:jc w:val="left"/>
              <w:rPr>
                <w:sz w:val="20"/>
                <w:szCs w:val="20"/>
              </w:rPr>
            </w:pPr>
            <w:r w:rsidRPr="00563D71">
              <w:rPr>
                <w:sz w:val="20"/>
                <w:szCs w:val="20"/>
              </w:rPr>
              <w:t>Ensure that funds from the PforR Program are not used to support investments that are ineligible because of significant adverse,</w:t>
            </w:r>
            <w:r w:rsidR="00D51908" w:rsidRPr="00563D71">
              <w:rPr>
                <w:sz w:val="20"/>
                <w:szCs w:val="20"/>
              </w:rPr>
              <w:t xml:space="preserve"> </w:t>
            </w:r>
            <w:r w:rsidRPr="00563D71">
              <w:rPr>
                <w:sz w:val="20"/>
                <w:szCs w:val="20"/>
              </w:rPr>
              <w:t>environmental or social impacts that are sensitive, diverse, or unprecedented.</w:t>
            </w:r>
          </w:p>
        </w:tc>
        <w:tc>
          <w:tcPr>
            <w:tcW w:w="2433" w:type="dxa"/>
            <w:tcBorders>
              <w:top w:val="single" w:sz="4" w:space="0" w:color="000000"/>
              <w:left w:val="single" w:sz="4" w:space="0" w:color="000000"/>
              <w:bottom w:val="single" w:sz="4" w:space="0" w:color="000000"/>
              <w:right w:val="single" w:sz="4" w:space="0" w:color="000000"/>
            </w:tcBorders>
            <w:vAlign w:val="center"/>
          </w:tcPr>
          <w:p w14:paraId="41F828B5" w14:textId="0FABED65" w:rsidR="004142FA" w:rsidRPr="00563D71" w:rsidRDefault="00070492" w:rsidP="003D66DD">
            <w:pPr>
              <w:spacing w:before="0"/>
              <w:ind w:left="1" w:firstLine="0"/>
              <w:jc w:val="left"/>
              <w:rPr>
                <w:sz w:val="20"/>
                <w:szCs w:val="20"/>
              </w:rPr>
            </w:pPr>
            <w:r w:rsidRPr="00563D71">
              <w:rPr>
                <w:sz w:val="20"/>
                <w:szCs w:val="20"/>
              </w:rPr>
              <w:t>Adoption of the Investment and Expenditure Menu of the Program</w:t>
            </w:r>
            <w:r w:rsidR="009405C4" w:rsidRPr="00563D71">
              <w:rPr>
                <w:sz w:val="20"/>
                <w:szCs w:val="20"/>
              </w:rPr>
              <w:t>;</w:t>
            </w:r>
            <w:r w:rsidRPr="00563D71">
              <w:rPr>
                <w:sz w:val="20"/>
                <w:szCs w:val="20"/>
              </w:rPr>
              <w:t xml:space="preserve"> the mechanism for reviewing the proposed annual work plan against the Menu and the Integrated Tourism Master Plans</w:t>
            </w:r>
            <w:r w:rsidR="009405C4" w:rsidRPr="00563D71">
              <w:rPr>
                <w:sz w:val="20"/>
                <w:szCs w:val="20"/>
              </w:rPr>
              <w:t>;</w:t>
            </w:r>
            <w:r w:rsidRPr="00563D71">
              <w:rPr>
                <w:sz w:val="20"/>
                <w:szCs w:val="20"/>
              </w:rPr>
              <w:t xml:space="preserve"> and the screening mechanism for year 1 investments and proposed additions to the Menu. </w:t>
            </w:r>
          </w:p>
        </w:tc>
        <w:tc>
          <w:tcPr>
            <w:tcW w:w="2028" w:type="dxa"/>
            <w:tcBorders>
              <w:top w:val="single" w:sz="4" w:space="0" w:color="000000"/>
              <w:left w:val="single" w:sz="4" w:space="0" w:color="000000"/>
              <w:bottom w:val="single" w:sz="4" w:space="0" w:color="000000"/>
              <w:right w:val="single" w:sz="4" w:space="0" w:color="000000"/>
            </w:tcBorders>
            <w:vAlign w:val="center"/>
          </w:tcPr>
          <w:p w14:paraId="683E851D" w14:textId="77777777" w:rsidR="004142FA" w:rsidRPr="00563D71" w:rsidRDefault="004142FA" w:rsidP="00B344F2">
            <w:pPr>
              <w:spacing w:before="0"/>
              <w:ind w:left="1" w:firstLine="0"/>
              <w:jc w:val="left"/>
              <w:rPr>
                <w:sz w:val="20"/>
                <w:szCs w:val="20"/>
              </w:rPr>
            </w:pPr>
            <w:r w:rsidRPr="00563D71">
              <w:rPr>
                <w:sz w:val="20"/>
                <w:szCs w:val="20"/>
              </w:rPr>
              <w:t>Program Action Plan</w:t>
            </w:r>
          </w:p>
        </w:tc>
        <w:tc>
          <w:tcPr>
            <w:tcW w:w="1574" w:type="dxa"/>
            <w:tcBorders>
              <w:top w:val="single" w:sz="4" w:space="0" w:color="000000"/>
              <w:left w:val="single" w:sz="4" w:space="0" w:color="000000"/>
              <w:bottom w:val="single" w:sz="4" w:space="0" w:color="000000"/>
              <w:right w:val="single" w:sz="4" w:space="0" w:color="000000"/>
            </w:tcBorders>
            <w:vAlign w:val="center"/>
          </w:tcPr>
          <w:p w14:paraId="41858FD0" w14:textId="11859793" w:rsidR="004142FA" w:rsidRPr="00563D71" w:rsidRDefault="006F754F">
            <w:pPr>
              <w:spacing w:before="0"/>
              <w:ind w:left="1" w:firstLine="0"/>
              <w:jc w:val="left"/>
              <w:rPr>
                <w:sz w:val="20"/>
                <w:szCs w:val="20"/>
              </w:rPr>
            </w:pPr>
            <w:r w:rsidRPr="00563D71">
              <w:rPr>
                <w:sz w:val="20"/>
                <w:szCs w:val="20"/>
              </w:rPr>
              <w:t>B</w:t>
            </w:r>
            <w:r w:rsidR="004142FA" w:rsidRPr="00563D71">
              <w:rPr>
                <w:sz w:val="20"/>
                <w:szCs w:val="20"/>
              </w:rPr>
              <w:t xml:space="preserve">efore </w:t>
            </w:r>
            <w:r w:rsidR="00C412B1" w:rsidRPr="00563D71">
              <w:rPr>
                <w:sz w:val="20"/>
                <w:szCs w:val="20"/>
              </w:rPr>
              <w:t xml:space="preserve">loan </w:t>
            </w:r>
            <w:r w:rsidR="004142FA" w:rsidRPr="00563D71">
              <w:rPr>
                <w:sz w:val="20"/>
                <w:szCs w:val="20"/>
              </w:rPr>
              <w:t>effectiveness</w:t>
            </w:r>
          </w:p>
        </w:tc>
        <w:tc>
          <w:tcPr>
            <w:tcW w:w="1403" w:type="dxa"/>
            <w:tcBorders>
              <w:top w:val="single" w:sz="4" w:space="0" w:color="000000"/>
              <w:left w:val="single" w:sz="4" w:space="0" w:color="000000"/>
              <w:bottom w:val="single" w:sz="4" w:space="0" w:color="000000"/>
              <w:right w:val="single" w:sz="4" w:space="0" w:color="000000"/>
            </w:tcBorders>
            <w:vAlign w:val="center"/>
          </w:tcPr>
          <w:p w14:paraId="3BEAF614" w14:textId="77777777" w:rsidR="004142FA" w:rsidRPr="00563D71" w:rsidRDefault="004142FA">
            <w:pPr>
              <w:spacing w:before="0"/>
              <w:ind w:left="0" w:right="16" w:firstLine="0"/>
              <w:jc w:val="left"/>
              <w:rPr>
                <w:sz w:val="20"/>
                <w:szCs w:val="20"/>
              </w:rPr>
            </w:pPr>
            <w:r w:rsidRPr="00563D71">
              <w:rPr>
                <w:sz w:val="20"/>
                <w:szCs w:val="20"/>
              </w:rPr>
              <w:t>MPWH in consultation with the Bank</w:t>
            </w:r>
          </w:p>
        </w:tc>
      </w:tr>
      <w:tr w:rsidR="00A505CB" w:rsidRPr="00563D71" w14:paraId="60C57184" w14:textId="77777777" w:rsidTr="00CF22F2">
        <w:trPr>
          <w:trHeight w:val="1598"/>
        </w:trPr>
        <w:tc>
          <w:tcPr>
            <w:tcW w:w="2121" w:type="dxa"/>
            <w:tcBorders>
              <w:top w:val="single" w:sz="4" w:space="0" w:color="000000"/>
              <w:left w:val="single" w:sz="4" w:space="0" w:color="000000"/>
              <w:bottom w:val="single" w:sz="4" w:space="0" w:color="000000"/>
              <w:right w:val="single" w:sz="4" w:space="0" w:color="000000"/>
            </w:tcBorders>
            <w:vAlign w:val="center"/>
          </w:tcPr>
          <w:p w14:paraId="5807CE22" w14:textId="26E3FF89" w:rsidR="004142FA" w:rsidRPr="00563D71" w:rsidRDefault="004142FA" w:rsidP="009341AC">
            <w:pPr>
              <w:spacing w:before="0"/>
              <w:ind w:left="0" w:firstLine="0"/>
              <w:jc w:val="left"/>
              <w:rPr>
                <w:sz w:val="20"/>
                <w:szCs w:val="20"/>
              </w:rPr>
            </w:pPr>
            <w:r w:rsidRPr="00563D71">
              <w:rPr>
                <w:sz w:val="20"/>
                <w:szCs w:val="20"/>
              </w:rPr>
              <w:lastRenderedPageBreak/>
              <w:t>Improve quality of UKL</w:t>
            </w:r>
            <w:r w:rsidR="003169AB" w:rsidRPr="00563D71">
              <w:rPr>
                <w:sz w:val="20"/>
                <w:szCs w:val="20"/>
              </w:rPr>
              <w:t>-</w:t>
            </w:r>
            <w:r w:rsidRPr="00563D71">
              <w:rPr>
                <w:sz w:val="20"/>
                <w:szCs w:val="20"/>
              </w:rPr>
              <w:t xml:space="preserve">UPLs </w:t>
            </w:r>
            <w:r w:rsidR="003169AB" w:rsidRPr="00563D71">
              <w:rPr>
                <w:sz w:val="20"/>
                <w:szCs w:val="20"/>
              </w:rPr>
              <w:t>and AMDAL</w:t>
            </w:r>
            <w:r w:rsidR="00B9762D" w:rsidRPr="00563D71">
              <w:rPr>
                <w:sz w:val="20"/>
                <w:szCs w:val="20"/>
              </w:rPr>
              <w:t>s</w:t>
            </w:r>
            <w:r w:rsidR="003169AB" w:rsidRPr="00563D71">
              <w:rPr>
                <w:sz w:val="20"/>
                <w:szCs w:val="20"/>
              </w:rPr>
              <w:t xml:space="preserve"> </w:t>
            </w:r>
            <w:r w:rsidRPr="00563D71">
              <w:rPr>
                <w:sz w:val="20"/>
                <w:szCs w:val="20"/>
              </w:rPr>
              <w:t xml:space="preserve">that often lack analytical rigor; are weak in the areas of cumulative impacts, </w:t>
            </w:r>
            <w:r w:rsidR="00EC3328" w:rsidRPr="00563D71">
              <w:rPr>
                <w:sz w:val="20"/>
                <w:szCs w:val="20"/>
              </w:rPr>
              <w:t xml:space="preserve">associated facilities, </w:t>
            </w:r>
            <w:r w:rsidRPr="00563D71">
              <w:rPr>
                <w:sz w:val="20"/>
                <w:szCs w:val="20"/>
              </w:rPr>
              <w:t>analysis of alternatives, and social impacts; and are not always well implemented</w:t>
            </w:r>
            <w:r w:rsidR="00DB53CB" w:rsidRPr="00563D71">
              <w:rPr>
                <w:sz w:val="20"/>
                <w:szCs w:val="20"/>
              </w:rPr>
              <w:t>.</w:t>
            </w:r>
          </w:p>
        </w:tc>
        <w:tc>
          <w:tcPr>
            <w:tcW w:w="2433" w:type="dxa"/>
            <w:tcBorders>
              <w:top w:val="single" w:sz="4" w:space="0" w:color="000000"/>
              <w:left w:val="single" w:sz="4" w:space="0" w:color="000000"/>
              <w:bottom w:val="single" w:sz="4" w:space="0" w:color="000000"/>
              <w:right w:val="single" w:sz="4" w:space="0" w:color="000000"/>
            </w:tcBorders>
            <w:vAlign w:val="center"/>
          </w:tcPr>
          <w:p w14:paraId="058C7785" w14:textId="77777777" w:rsidR="00D51908" w:rsidRPr="00563D71" w:rsidRDefault="00D51908" w:rsidP="00304B91">
            <w:pPr>
              <w:spacing w:before="0"/>
              <w:ind w:left="1" w:firstLine="0"/>
              <w:jc w:val="left"/>
              <w:rPr>
                <w:sz w:val="20"/>
                <w:szCs w:val="20"/>
              </w:rPr>
            </w:pPr>
          </w:p>
          <w:p w14:paraId="3E7BD754" w14:textId="02A9A322" w:rsidR="004142FA" w:rsidRPr="00563D71" w:rsidRDefault="004142FA" w:rsidP="00B344F2">
            <w:pPr>
              <w:spacing w:before="0"/>
              <w:ind w:left="1" w:firstLine="0"/>
              <w:jc w:val="left"/>
              <w:rPr>
                <w:sz w:val="20"/>
                <w:szCs w:val="20"/>
              </w:rPr>
            </w:pPr>
            <w:r w:rsidRPr="00563D71">
              <w:rPr>
                <w:sz w:val="20"/>
                <w:szCs w:val="20"/>
              </w:rPr>
              <w:t>Develop and implement a tourism-specific training program for consultants that prepare UKL</w:t>
            </w:r>
            <w:r w:rsidR="003169AB" w:rsidRPr="00563D71">
              <w:rPr>
                <w:sz w:val="20"/>
                <w:szCs w:val="20"/>
              </w:rPr>
              <w:t>-</w:t>
            </w:r>
            <w:r w:rsidRPr="00563D71">
              <w:rPr>
                <w:sz w:val="20"/>
                <w:szCs w:val="20"/>
              </w:rPr>
              <w:t xml:space="preserve">UPL </w:t>
            </w:r>
            <w:r w:rsidR="003169AB" w:rsidRPr="00563D71">
              <w:rPr>
                <w:sz w:val="20"/>
                <w:szCs w:val="20"/>
              </w:rPr>
              <w:t>and</w:t>
            </w:r>
            <w:r w:rsidR="00B9762D" w:rsidRPr="00563D71">
              <w:rPr>
                <w:sz w:val="20"/>
                <w:szCs w:val="20"/>
              </w:rPr>
              <w:t xml:space="preserve">, as </w:t>
            </w:r>
            <w:r w:rsidR="008D79DA" w:rsidRPr="00563D71">
              <w:rPr>
                <w:sz w:val="20"/>
                <w:szCs w:val="20"/>
              </w:rPr>
              <w:t>applicable</w:t>
            </w:r>
            <w:r w:rsidR="00B9762D" w:rsidRPr="00563D71">
              <w:rPr>
                <w:sz w:val="20"/>
                <w:szCs w:val="20"/>
              </w:rPr>
              <w:t>,</w:t>
            </w:r>
            <w:r w:rsidR="003169AB" w:rsidRPr="00563D71">
              <w:rPr>
                <w:sz w:val="20"/>
                <w:szCs w:val="20"/>
              </w:rPr>
              <w:t xml:space="preserve"> AMDALs </w:t>
            </w:r>
            <w:r w:rsidRPr="00563D71">
              <w:rPr>
                <w:sz w:val="20"/>
                <w:szCs w:val="20"/>
              </w:rPr>
              <w:t>and for the agencies that review, approve, and enforce them.</w:t>
            </w:r>
            <w:r w:rsidR="00B9762D" w:rsidRPr="00563D71">
              <w:rPr>
                <w:rStyle w:val="FootnoteReference"/>
                <w:sz w:val="20"/>
                <w:szCs w:val="20"/>
              </w:rPr>
              <w:footnoteReference w:id="19"/>
            </w:r>
          </w:p>
          <w:p w14:paraId="3000775A" w14:textId="77777777" w:rsidR="004142FA" w:rsidRPr="00563D71" w:rsidRDefault="004142FA">
            <w:pPr>
              <w:spacing w:before="0"/>
              <w:ind w:left="1" w:firstLine="0"/>
              <w:jc w:val="left"/>
              <w:rPr>
                <w:sz w:val="20"/>
                <w:szCs w:val="20"/>
              </w:rPr>
            </w:pPr>
          </w:p>
          <w:p w14:paraId="1CEF7643" w14:textId="1AA46C63" w:rsidR="004142FA" w:rsidRPr="00563D71" w:rsidRDefault="004142FA">
            <w:pPr>
              <w:spacing w:before="0"/>
              <w:ind w:left="1" w:firstLine="0"/>
              <w:jc w:val="left"/>
              <w:rPr>
                <w:sz w:val="20"/>
                <w:szCs w:val="20"/>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13DD8A5D" w14:textId="77777777" w:rsidR="00D51908" w:rsidRPr="00563D71" w:rsidRDefault="00D51908">
            <w:pPr>
              <w:spacing w:before="0"/>
              <w:jc w:val="left"/>
              <w:rPr>
                <w:sz w:val="20"/>
                <w:szCs w:val="20"/>
              </w:rPr>
            </w:pPr>
          </w:p>
          <w:p w14:paraId="3511D047" w14:textId="77777777" w:rsidR="00D51908" w:rsidRPr="00563D71" w:rsidRDefault="00D51908">
            <w:pPr>
              <w:spacing w:before="0"/>
              <w:jc w:val="left"/>
              <w:rPr>
                <w:sz w:val="20"/>
                <w:szCs w:val="20"/>
              </w:rPr>
            </w:pPr>
          </w:p>
          <w:p w14:paraId="076FFA01" w14:textId="77777777" w:rsidR="00D51908" w:rsidRPr="00563D71" w:rsidRDefault="00D51908">
            <w:pPr>
              <w:spacing w:before="0"/>
              <w:jc w:val="left"/>
              <w:rPr>
                <w:sz w:val="20"/>
                <w:szCs w:val="20"/>
              </w:rPr>
            </w:pPr>
          </w:p>
          <w:p w14:paraId="2998B585" w14:textId="46C28B9A" w:rsidR="004142FA" w:rsidRPr="00563D71" w:rsidRDefault="004142FA">
            <w:pPr>
              <w:spacing w:before="0"/>
              <w:jc w:val="left"/>
              <w:rPr>
                <w:sz w:val="20"/>
                <w:szCs w:val="20"/>
              </w:rPr>
            </w:pPr>
            <w:r w:rsidRPr="00563D71">
              <w:rPr>
                <w:sz w:val="20"/>
                <w:szCs w:val="20"/>
              </w:rPr>
              <w:t xml:space="preserve">Program Management </w:t>
            </w:r>
            <w:r w:rsidR="00F01711" w:rsidRPr="00563D71">
              <w:rPr>
                <w:sz w:val="20"/>
                <w:szCs w:val="20"/>
              </w:rPr>
              <w:t xml:space="preserve">Support </w:t>
            </w:r>
            <w:r w:rsidR="00E61AE4" w:rsidRPr="00563D71">
              <w:rPr>
                <w:sz w:val="20"/>
                <w:szCs w:val="20"/>
              </w:rPr>
              <w:t>and/or RA4</w:t>
            </w:r>
          </w:p>
          <w:p w14:paraId="6278663D" w14:textId="47CDA585" w:rsidR="004142FA" w:rsidRPr="00563D71" w:rsidRDefault="004142FA">
            <w:pPr>
              <w:spacing w:before="0"/>
              <w:ind w:left="1" w:firstLine="0"/>
              <w:jc w:val="left"/>
              <w:rPr>
                <w:sz w:val="20"/>
                <w:szCs w:val="20"/>
              </w:rPr>
            </w:pPr>
          </w:p>
          <w:p w14:paraId="3FF71178" w14:textId="77777777" w:rsidR="004142FA" w:rsidRPr="00563D71" w:rsidRDefault="004142FA">
            <w:pPr>
              <w:spacing w:before="0"/>
              <w:ind w:left="1" w:firstLine="0"/>
              <w:jc w:val="left"/>
              <w:rPr>
                <w:sz w:val="20"/>
                <w:szCs w:val="20"/>
              </w:rPr>
            </w:pPr>
          </w:p>
          <w:p w14:paraId="6C235666" w14:textId="77777777" w:rsidR="004142FA" w:rsidRPr="00563D71" w:rsidRDefault="004142FA">
            <w:pPr>
              <w:spacing w:before="0"/>
              <w:ind w:left="1" w:firstLine="0"/>
              <w:jc w:val="left"/>
              <w:rPr>
                <w:sz w:val="20"/>
                <w:szCs w:val="20"/>
              </w:rPr>
            </w:pPr>
          </w:p>
          <w:p w14:paraId="3906D7BE" w14:textId="63A81862" w:rsidR="004142FA" w:rsidRPr="00563D71" w:rsidRDefault="004142FA">
            <w:pPr>
              <w:spacing w:before="0"/>
              <w:ind w:left="1" w:firstLin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259971C" w14:textId="77777777" w:rsidR="00D51908" w:rsidRPr="00563D71" w:rsidRDefault="00D51908">
            <w:pPr>
              <w:spacing w:before="0"/>
              <w:ind w:left="1" w:firstLine="0"/>
              <w:jc w:val="left"/>
              <w:rPr>
                <w:sz w:val="20"/>
                <w:szCs w:val="20"/>
              </w:rPr>
            </w:pPr>
          </w:p>
          <w:p w14:paraId="3206E703" w14:textId="77777777" w:rsidR="00D51908" w:rsidRPr="00563D71" w:rsidRDefault="00D51908">
            <w:pPr>
              <w:spacing w:before="0"/>
              <w:ind w:left="1" w:firstLine="0"/>
              <w:jc w:val="left"/>
              <w:rPr>
                <w:sz w:val="20"/>
                <w:szCs w:val="20"/>
              </w:rPr>
            </w:pPr>
          </w:p>
          <w:p w14:paraId="4DD92FC3" w14:textId="77777777" w:rsidR="00D51908" w:rsidRPr="00563D71" w:rsidRDefault="00D51908">
            <w:pPr>
              <w:spacing w:before="0"/>
              <w:ind w:left="1" w:firstLine="0"/>
              <w:jc w:val="left"/>
              <w:rPr>
                <w:sz w:val="20"/>
                <w:szCs w:val="20"/>
              </w:rPr>
            </w:pPr>
          </w:p>
          <w:p w14:paraId="568F5F40" w14:textId="5073F2AC" w:rsidR="004142FA" w:rsidRPr="00563D71" w:rsidRDefault="00C361AB">
            <w:pPr>
              <w:spacing w:before="0"/>
              <w:ind w:left="0" w:firstLine="0"/>
              <w:jc w:val="left"/>
              <w:rPr>
                <w:sz w:val="20"/>
                <w:szCs w:val="20"/>
              </w:rPr>
            </w:pPr>
            <w:r w:rsidRPr="00563D71">
              <w:rPr>
                <w:sz w:val="20"/>
                <w:szCs w:val="20"/>
              </w:rPr>
              <w:t xml:space="preserve">Developed end 2017 </w:t>
            </w:r>
            <w:r w:rsidR="00F756C3" w:rsidRPr="00563D71">
              <w:rPr>
                <w:sz w:val="20"/>
                <w:szCs w:val="20"/>
              </w:rPr>
              <w:t xml:space="preserve">(Program Action Plan) </w:t>
            </w:r>
            <w:r w:rsidRPr="00563D71">
              <w:rPr>
                <w:sz w:val="20"/>
                <w:szCs w:val="20"/>
              </w:rPr>
              <w:t>and ongoing implementation</w:t>
            </w:r>
          </w:p>
          <w:p w14:paraId="5546022D" w14:textId="77777777" w:rsidR="004142FA" w:rsidRPr="00563D71" w:rsidRDefault="004142FA">
            <w:pPr>
              <w:spacing w:before="0"/>
              <w:ind w:left="1" w:firstLine="0"/>
              <w:jc w:val="left"/>
              <w:rPr>
                <w:sz w:val="20"/>
                <w:szCs w:val="20"/>
              </w:rPr>
            </w:pPr>
          </w:p>
          <w:p w14:paraId="79CE4FB6" w14:textId="77777777" w:rsidR="004142FA" w:rsidRPr="00563D71" w:rsidRDefault="004142FA">
            <w:pPr>
              <w:spacing w:before="0"/>
              <w:ind w:left="0" w:firstLine="0"/>
              <w:jc w:val="left"/>
              <w:rPr>
                <w:sz w:val="20"/>
                <w:szCs w:val="20"/>
              </w:rPr>
            </w:pPr>
          </w:p>
          <w:p w14:paraId="52F07168" w14:textId="77777777" w:rsidR="004142FA" w:rsidRPr="00563D71" w:rsidRDefault="004142FA">
            <w:pPr>
              <w:spacing w:before="0"/>
              <w:ind w:left="0" w:firstLine="0"/>
              <w:jc w:val="left"/>
              <w:rPr>
                <w:sz w:val="20"/>
                <w:szCs w:val="20"/>
              </w:rPr>
            </w:pPr>
          </w:p>
          <w:p w14:paraId="2B880781" w14:textId="2031297B" w:rsidR="004142FA" w:rsidRPr="00563D71" w:rsidRDefault="004142FA">
            <w:pPr>
              <w:spacing w:before="0"/>
              <w:ind w:left="1" w:firstLine="0"/>
              <w:jc w:val="left"/>
              <w:rPr>
                <w:sz w:val="20"/>
                <w:szCs w:val="20"/>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1C94AA0B" w14:textId="77777777" w:rsidR="004142FA" w:rsidRPr="00563D71" w:rsidRDefault="004142FA">
            <w:pPr>
              <w:spacing w:before="0"/>
              <w:ind w:left="0" w:right="16" w:firstLine="0"/>
              <w:jc w:val="left"/>
              <w:rPr>
                <w:sz w:val="20"/>
                <w:szCs w:val="20"/>
              </w:rPr>
            </w:pPr>
            <w:r w:rsidRPr="00563D71">
              <w:rPr>
                <w:sz w:val="20"/>
                <w:szCs w:val="20"/>
              </w:rPr>
              <w:t>MPWH</w:t>
            </w:r>
          </w:p>
          <w:p w14:paraId="0E4C3B18" w14:textId="40E3EEBF" w:rsidR="004142FA" w:rsidRPr="00563D71" w:rsidRDefault="004142FA">
            <w:pPr>
              <w:spacing w:before="0"/>
              <w:ind w:left="0" w:right="16" w:firstLine="0"/>
              <w:jc w:val="left"/>
              <w:rPr>
                <w:sz w:val="20"/>
                <w:szCs w:val="20"/>
              </w:rPr>
            </w:pPr>
          </w:p>
          <w:p w14:paraId="41F7F6D7" w14:textId="533D3C19" w:rsidR="004142FA" w:rsidRPr="00563D71" w:rsidRDefault="0034118B">
            <w:pPr>
              <w:spacing w:before="0"/>
              <w:ind w:left="0" w:right="16" w:firstLine="0"/>
              <w:jc w:val="left"/>
              <w:rPr>
                <w:sz w:val="20"/>
                <w:szCs w:val="20"/>
              </w:rPr>
            </w:pPr>
            <w:r w:rsidRPr="00563D71">
              <w:rPr>
                <w:rFonts w:eastAsiaTheme="minorHAnsi"/>
                <w:color w:val="auto"/>
                <w:sz w:val="20"/>
                <w:szCs w:val="20"/>
              </w:rPr>
              <w:t>Ministry of Environment and Forestry (MOEF)</w:t>
            </w:r>
          </w:p>
        </w:tc>
      </w:tr>
    </w:tbl>
    <w:p w14:paraId="0C08A5A8" w14:textId="77777777" w:rsidR="00F01711" w:rsidRDefault="00F01711" w:rsidP="00986D15"/>
    <w:p w14:paraId="49E1B0C5" w14:textId="77777777" w:rsidR="004950D5" w:rsidRDefault="004950D5" w:rsidP="00986D15"/>
    <w:p w14:paraId="29F34365" w14:textId="77777777" w:rsidR="004950D5" w:rsidRDefault="004950D5" w:rsidP="00986D15"/>
    <w:p w14:paraId="746D52C7" w14:textId="77777777" w:rsidR="004950D5" w:rsidRDefault="004950D5" w:rsidP="00986D15"/>
    <w:p w14:paraId="210D9B60" w14:textId="77777777" w:rsidR="004950D5" w:rsidRDefault="004950D5" w:rsidP="00986D15"/>
    <w:p w14:paraId="220E67C0" w14:textId="77777777" w:rsidR="004950D5" w:rsidRDefault="004950D5" w:rsidP="00986D15"/>
    <w:p w14:paraId="1DAEFB3B" w14:textId="77777777" w:rsidR="004950D5" w:rsidRDefault="004950D5" w:rsidP="00986D15"/>
    <w:p w14:paraId="5CE8CF0A" w14:textId="77777777" w:rsidR="004950D5" w:rsidRPr="00563D71" w:rsidRDefault="004950D5" w:rsidP="00986D15">
      <w:pPr>
        <w:sectPr w:rsidR="004950D5" w:rsidRPr="00563D71" w:rsidSect="00D07D0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18" w:gutter="0"/>
          <w:pgNumType w:fmt="lowerRoman" w:start="1"/>
          <w:cols w:space="720"/>
          <w:titlePg/>
          <w:docGrid w:linePitch="326"/>
        </w:sectPr>
      </w:pPr>
    </w:p>
    <w:p w14:paraId="21458EE6" w14:textId="77777777" w:rsidR="00EA5F51" w:rsidRPr="00563D71" w:rsidRDefault="00EA5F51">
      <w:pPr>
        <w:spacing w:before="0"/>
        <w:ind w:left="11" w:hanging="11"/>
        <w:rPr>
          <w:b/>
        </w:rPr>
      </w:pPr>
      <w:bookmarkStart w:id="14" w:name="_Toc468969229"/>
      <w:bookmarkStart w:id="15" w:name="_Toc481484043"/>
      <w:r w:rsidRPr="00563D71">
        <w:br w:type="page"/>
      </w:r>
    </w:p>
    <w:p w14:paraId="672FEF9C" w14:textId="63397B18" w:rsidR="00563D71" w:rsidRPr="00563D71" w:rsidRDefault="00F53455" w:rsidP="004658DA">
      <w:pPr>
        <w:pStyle w:val="Heading1"/>
        <w:spacing w:after="120"/>
        <w:ind w:left="14" w:hanging="14"/>
        <w:jc w:val="center"/>
      </w:pPr>
      <w:bookmarkStart w:id="16" w:name="_Toc485831022"/>
      <w:r w:rsidRPr="00563D71">
        <w:lastRenderedPageBreak/>
        <w:t>INTRODUCTION</w:t>
      </w:r>
      <w:bookmarkEnd w:id="14"/>
      <w:bookmarkEnd w:id="15"/>
      <w:bookmarkEnd w:id="16"/>
    </w:p>
    <w:p w14:paraId="4EE36660" w14:textId="0E431412" w:rsidR="00F53455" w:rsidRPr="00563D71" w:rsidRDefault="00F53455" w:rsidP="00551D64">
      <w:pPr>
        <w:pStyle w:val="MainParanoChapter-Ch3"/>
        <w:rPr>
          <w:bCs/>
        </w:rPr>
      </w:pPr>
      <w:r w:rsidRPr="00563D71">
        <w:rPr>
          <w:bCs/>
        </w:rPr>
        <w:t xml:space="preserve">The Government of Indonesia’s Tourism Development </w:t>
      </w:r>
      <w:r w:rsidR="004C1F77" w:rsidRPr="00563D71">
        <w:rPr>
          <w:bCs/>
        </w:rPr>
        <w:t>Priority p</w:t>
      </w:r>
      <w:r w:rsidRPr="00563D71">
        <w:rPr>
          <w:bCs/>
        </w:rPr>
        <w:t xml:space="preserve">rogram </w:t>
      </w:r>
      <w:r w:rsidR="003F659F" w:rsidRPr="00563D71">
        <w:rPr>
          <w:bCs/>
        </w:rPr>
        <w:t xml:space="preserve">(the “program”) </w:t>
      </w:r>
      <w:r w:rsidRPr="00563D71">
        <w:rPr>
          <w:bCs/>
        </w:rPr>
        <w:t xml:space="preserve">is being proposed for financing through </w:t>
      </w:r>
      <w:r w:rsidR="003F659F" w:rsidRPr="00563D71">
        <w:rPr>
          <w:bCs/>
        </w:rPr>
        <w:t xml:space="preserve">a </w:t>
      </w:r>
      <w:r w:rsidRPr="00563D71">
        <w:rPr>
          <w:bCs/>
        </w:rPr>
        <w:t>World Bank</w:t>
      </w:r>
      <w:r w:rsidR="003F659F" w:rsidRPr="00563D71">
        <w:rPr>
          <w:bCs/>
        </w:rPr>
        <w:t xml:space="preserve"> Operation, with two complementary components—the </w:t>
      </w:r>
      <w:r w:rsidRPr="00563D71">
        <w:rPr>
          <w:bCs/>
        </w:rPr>
        <w:t>Program-for-Results (PforR) financing instrument</w:t>
      </w:r>
      <w:r w:rsidR="003F659F" w:rsidRPr="00563D71">
        <w:rPr>
          <w:bCs/>
        </w:rPr>
        <w:t xml:space="preserve"> and a technical assistance component using the Investment Project Financing (IPF) instrument, guided by the same Program Development Objective and results framework</w:t>
      </w:r>
      <w:r w:rsidRPr="00563D71">
        <w:rPr>
          <w:bCs/>
        </w:rPr>
        <w:t xml:space="preserve">. </w:t>
      </w:r>
      <w:r w:rsidR="00551D64" w:rsidRPr="00563D71">
        <w:rPr>
          <w:bCs/>
        </w:rPr>
        <w:t>Through the PforR (the “Program”), t</w:t>
      </w:r>
      <w:r w:rsidR="003F659F" w:rsidRPr="00563D71">
        <w:rPr>
          <w:bCs/>
        </w:rPr>
        <w:t>he Operation</w:t>
      </w:r>
      <w:r w:rsidR="00DE0E4C" w:rsidRPr="00563D71">
        <w:rPr>
          <w:bCs/>
        </w:rPr>
        <w:t>—</w:t>
      </w:r>
      <w:r w:rsidRPr="00563D71">
        <w:rPr>
          <w:bCs/>
        </w:rPr>
        <w:t xml:space="preserve">entitled </w:t>
      </w:r>
      <w:r w:rsidRPr="00563D71">
        <w:rPr>
          <w:bCs/>
          <w:i/>
        </w:rPr>
        <w:t>Republic of Indonesia: Tourism Development Program</w:t>
      </w:r>
      <w:r w:rsidR="008C0B70" w:rsidRPr="00563D71">
        <w:rPr>
          <w:bCs/>
          <w:i/>
        </w:rPr>
        <w:t xml:space="preserve"> (TDP)</w:t>
      </w:r>
      <w:r w:rsidR="00DE0E4C" w:rsidRPr="00563D71">
        <w:rPr>
          <w:bCs/>
          <w:i/>
        </w:rPr>
        <w:t>—</w:t>
      </w:r>
      <w:r w:rsidRPr="00563D71">
        <w:rPr>
          <w:bCs/>
        </w:rPr>
        <w:t xml:space="preserve">innovatively links the disbursement of funds directly to the delivery of defined results. The </w:t>
      </w:r>
      <w:r w:rsidR="003F659F" w:rsidRPr="00563D71">
        <w:rPr>
          <w:bCs/>
        </w:rPr>
        <w:t xml:space="preserve">PforR </w:t>
      </w:r>
      <w:r w:rsidRPr="00563D71">
        <w:rPr>
          <w:bCs/>
        </w:rPr>
        <w:t xml:space="preserve">instrument builds on increased reliance on borrower safeguard and oversight systems. </w:t>
      </w:r>
    </w:p>
    <w:p w14:paraId="5345DF00" w14:textId="77777777" w:rsidR="00CD2D43" w:rsidRPr="00563D71" w:rsidRDefault="00CD2D43" w:rsidP="00CF22F2">
      <w:pPr>
        <w:pStyle w:val="MainParanoChapter-Ch3"/>
        <w:numPr>
          <w:ilvl w:val="0"/>
          <w:numId w:val="0"/>
        </w:numPr>
        <w:rPr>
          <w:bCs/>
        </w:rPr>
      </w:pPr>
    </w:p>
    <w:p w14:paraId="4C3B069A" w14:textId="10A5A840" w:rsidR="00707E4B" w:rsidRPr="00563D71" w:rsidRDefault="00F53455" w:rsidP="00CF22F2">
      <w:pPr>
        <w:pStyle w:val="MainParanoChapter-Ch3"/>
        <w:rPr>
          <w:bCs/>
        </w:rPr>
      </w:pPr>
      <w:r w:rsidRPr="00563D71">
        <w:rPr>
          <w:bCs/>
        </w:rPr>
        <w:t>The Program Development Objective (PDO) is to promote private investments and jobs in the tourism sector in selecte</w:t>
      </w:r>
      <w:r w:rsidR="00062989" w:rsidRPr="00563D71">
        <w:rPr>
          <w:bCs/>
        </w:rPr>
        <w:t>d</w:t>
      </w:r>
      <w:r w:rsidRPr="00563D71">
        <w:rPr>
          <w:bCs/>
        </w:rPr>
        <w:t xml:space="preserve"> tourism destinations in Indonesia. Th</w:t>
      </w:r>
      <w:r w:rsidR="00062989" w:rsidRPr="00563D71">
        <w:rPr>
          <w:bCs/>
        </w:rPr>
        <w:t>is</w:t>
      </w:r>
      <w:r w:rsidRPr="00563D71">
        <w:rPr>
          <w:bCs/>
        </w:rPr>
        <w:t xml:space="preserve"> </w:t>
      </w:r>
      <w:r w:rsidR="00062989" w:rsidRPr="00563D71">
        <w:rPr>
          <w:bCs/>
        </w:rPr>
        <w:t>PDO i</w:t>
      </w:r>
      <w:r w:rsidRPr="00563D71">
        <w:rPr>
          <w:bCs/>
        </w:rPr>
        <w:t xml:space="preserve">s fully aligned with the </w:t>
      </w:r>
      <w:r w:rsidR="003F659F" w:rsidRPr="00563D71">
        <w:rPr>
          <w:bCs/>
        </w:rPr>
        <w:t xml:space="preserve">Government’s </w:t>
      </w:r>
      <w:r w:rsidR="00062989" w:rsidRPr="00563D71">
        <w:rPr>
          <w:bCs/>
        </w:rPr>
        <w:t xml:space="preserve">objective to increase the role of tourism in the Indonesian economy as articulated in the </w:t>
      </w:r>
      <w:r w:rsidRPr="00563D71">
        <w:rPr>
          <w:bCs/>
        </w:rPr>
        <w:t xml:space="preserve">National </w:t>
      </w:r>
      <w:r w:rsidR="00062989" w:rsidRPr="00563D71">
        <w:rPr>
          <w:bCs/>
        </w:rPr>
        <w:t>Medium-Term Development Plan (</w:t>
      </w:r>
      <w:r w:rsidR="00062989" w:rsidRPr="00563D71">
        <w:rPr>
          <w:bCs/>
          <w:i/>
        </w:rPr>
        <w:t>Rencana Pembangunan Jan</w:t>
      </w:r>
      <w:r w:rsidR="00B24484" w:rsidRPr="00563D71">
        <w:rPr>
          <w:bCs/>
          <w:i/>
        </w:rPr>
        <w:t>g</w:t>
      </w:r>
      <w:r w:rsidR="00062989" w:rsidRPr="00563D71">
        <w:rPr>
          <w:bCs/>
          <w:i/>
        </w:rPr>
        <w:t xml:space="preserve">ka Menengah Nasional, </w:t>
      </w:r>
      <w:r w:rsidR="00062989" w:rsidRPr="00563D71">
        <w:rPr>
          <w:bCs/>
        </w:rPr>
        <w:t>RPJMN) 201</w:t>
      </w:r>
      <w:r w:rsidR="001B1E30" w:rsidRPr="00563D71">
        <w:rPr>
          <w:bCs/>
        </w:rPr>
        <w:t>4</w:t>
      </w:r>
      <w:r w:rsidR="00062989" w:rsidRPr="00563D71">
        <w:rPr>
          <w:bCs/>
        </w:rPr>
        <w:t>-</w:t>
      </w:r>
      <w:r w:rsidR="001B1E30" w:rsidRPr="00563D71">
        <w:rPr>
          <w:bCs/>
        </w:rPr>
        <w:t>2019</w:t>
      </w:r>
      <w:r w:rsidR="00062989" w:rsidRPr="00563D71">
        <w:rPr>
          <w:bCs/>
        </w:rPr>
        <w:t>.</w:t>
      </w:r>
      <w:r w:rsidRPr="00563D71">
        <w:rPr>
          <w:bCs/>
        </w:rPr>
        <w:t xml:space="preserve"> The requested </w:t>
      </w:r>
      <w:r w:rsidR="00062989" w:rsidRPr="00563D71">
        <w:rPr>
          <w:bCs/>
        </w:rPr>
        <w:t xml:space="preserve">PforR </w:t>
      </w:r>
      <w:r w:rsidRPr="00563D71">
        <w:rPr>
          <w:bCs/>
        </w:rPr>
        <w:t xml:space="preserve">aims to support </w:t>
      </w:r>
      <w:r w:rsidR="00062989" w:rsidRPr="00563D71">
        <w:rPr>
          <w:bCs/>
        </w:rPr>
        <w:t xml:space="preserve">achievement of the Government’s objective in </w:t>
      </w:r>
      <w:r w:rsidR="003F659F" w:rsidRPr="00563D71">
        <w:rPr>
          <w:bCs/>
        </w:rPr>
        <w:t xml:space="preserve">selected priority </w:t>
      </w:r>
      <w:r w:rsidR="00062989" w:rsidRPr="00563D71">
        <w:rPr>
          <w:bCs/>
        </w:rPr>
        <w:t>tourism destinations scattered throughout the country.</w:t>
      </w:r>
      <w:r w:rsidR="00CB1863" w:rsidRPr="00563D71">
        <w:rPr>
          <w:bCs/>
        </w:rPr>
        <w:t xml:space="preserve"> Progress towards achieving the PDO will be measured through three key results indicators for the selected tourism destinations: daily average expenditure per tourist, net direct tourism-linked jobs created, and private investment in tourism generated.</w:t>
      </w:r>
    </w:p>
    <w:p w14:paraId="4E1B7114" w14:textId="77777777" w:rsidR="00CD2D43" w:rsidRPr="00563D71" w:rsidRDefault="00CD2D43" w:rsidP="00CF22F2">
      <w:pPr>
        <w:pStyle w:val="MainParanoChapter-Ch3"/>
        <w:numPr>
          <w:ilvl w:val="0"/>
          <w:numId w:val="0"/>
        </w:numPr>
        <w:rPr>
          <w:bCs/>
        </w:rPr>
      </w:pPr>
    </w:p>
    <w:p w14:paraId="6A3E9220" w14:textId="349C0673" w:rsidR="00F53455" w:rsidRPr="00563D71" w:rsidRDefault="00F53455" w:rsidP="00CF22F2">
      <w:pPr>
        <w:pStyle w:val="MainParanoChapter-Ch3"/>
        <w:rPr>
          <w:bCs/>
        </w:rPr>
      </w:pPr>
      <w:r w:rsidRPr="00563D71">
        <w:rPr>
          <w:bCs/>
        </w:rPr>
        <w:t>To inform the preparation of the PforR</w:t>
      </w:r>
      <w:r w:rsidR="003F659F" w:rsidRPr="00563D71">
        <w:rPr>
          <w:bCs/>
        </w:rPr>
        <w:t xml:space="preserve">, </w:t>
      </w:r>
      <w:r w:rsidRPr="00563D71">
        <w:rPr>
          <w:bCs/>
        </w:rPr>
        <w:t>the World Bank has conducted an Environmental and Social System</w:t>
      </w:r>
      <w:r w:rsidR="00E2629B" w:rsidRPr="00563D71">
        <w:rPr>
          <w:bCs/>
        </w:rPr>
        <w:t>s</w:t>
      </w:r>
      <w:r w:rsidRPr="00563D71">
        <w:rPr>
          <w:bCs/>
        </w:rPr>
        <w:t xml:space="preserve"> Assessment (ESSA) of </w:t>
      </w:r>
      <w:r w:rsidR="00062989" w:rsidRPr="00563D71">
        <w:rPr>
          <w:bCs/>
        </w:rPr>
        <w:t>Indonesia</w:t>
      </w:r>
      <w:r w:rsidRPr="00563D71">
        <w:rPr>
          <w:bCs/>
        </w:rPr>
        <w:t xml:space="preserve">’s existing environmental and social management system reflected in the national legal, regulatory, and institutional framework that will be used to address environmental and social effects of the activities financed by the PforR. The ESSA defines measures to strengthen the system, and proposes to integrate those measures into the overall PforR. This report presents the findings of the ESSA exercise. The ESSA was undertaken to ensure </w:t>
      </w:r>
      <w:r w:rsidR="00062989" w:rsidRPr="00563D71">
        <w:rPr>
          <w:bCs/>
        </w:rPr>
        <w:t xml:space="preserve">the </w:t>
      </w:r>
      <w:r w:rsidRPr="00563D71">
        <w:rPr>
          <w:bCs/>
        </w:rPr>
        <w:t xml:space="preserve">consistency </w:t>
      </w:r>
      <w:r w:rsidR="00062989" w:rsidRPr="00563D71">
        <w:rPr>
          <w:bCs/>
        </w:rPr>
        <w:t xml:space="preserve">of </w:t>
      </w:r>
      <w:r w:rsidR="001B1E30" w:rsidRPr="00563D71">
        <w:rPr>
          <w:bCs/>
        </w:rPr>
        <w:t>P</w:t>
      </w:r>
      <w:r w:rsidR="00062989" w:rsidRPr="00563D71">
        <w:rPr>
          <w:bCs/>
        </w:rPr>
        <w:t xml:space="preserve">rogram systems </w:t>
      </w:r>
      <w:r w:rsidRPr="00563D71">
        <w:rPr>
          <w:bCs/>
        </w:rPr>
        <w:t xml:space="preserve">with </w:t>
      </w:r>
      <w:r w:rsidR="00062989" w:rsidRPr="00563D71">
        <w:rPr>
          <w:bCs/>
        </w:rPr>
        <w:t xml:space="preserve">the </w:t>
      </w:r>
      <w:r w:rsidRPr="00563D71">
        <w:rPr>
          <w:bCs/>
        </w:rPr>
        <w:t xml:space="preserve">six </w:t>
      </w:r>
      <w:r w:rsidR="00062989" w:rsidRPr="00563D71">
        <w:rPr>
          <w:bCs/>
        </w:rPr>
        <w:t>policy elements</w:t>
      </w:r>
      <w:r w:rsidRPr="00563D71">
        <w:rPr>
          <w:bCs/>
        </w:rPr>
        <w:t xml:space="preserve"> outlined in </w:t>
      </w:r>
      <w:r w:rsidR="00062989" w:rsidRPr="00563D71">
        <w:rPr>
          <w:bCs/>
          <w:i/>
        </w:rPr>
        <w:t>Bank Policy: Program-for-Results Financing</w:t>
      </w:r>
      <w:r w:rsidR="00062989" w:rsidRPr="00563D71">
        <w:rPr>
          <w:bCs/>
        </w:rPr>
        <w:t xml:space="preserve">, </w:t>
      </w:r>
      <w:r w:rsidR="008268A2" w:rsidRPr="00563D71">
        <w:rPr>
          <w:bCs/>
        </w:rPr>
        <w:t xml:space="preserve">issued </w:t>
      </w:r>
      <w:r w:rsidR="00BC29AA" w:rsidRPr="00563D71">
        <w:rPr>
          <w:bCs/>
        </w:rPr>
        <w:t xml:space="preserve">on </w:t>
      </w:r>
      <w:r w:rsidR="008268A2" w:rsidRPr="00563D71">
        <w:rPr>
          <w:bCs/>
        </w:rPr>
        <w:t>July 10</w:t>
      </w:r>
      <w:r w:rsidR="00062989" w:rsidRPr="00563D71">
        <w:rPr>
          <w:bCs/>
        </w:rPr>
        <w:t>, 2015 (hereinafter the PforR Policy).</w:t>
      </w:r>
      <w:r w:rsidRPr="00563D71">
        <w:rPr>
          <w:bCs/>
        </w:rPr>
        <w:t xml:space="preserve"> </w:t>
      </w:r>
    </w:p>
    <w:p w14:paraId="79C2F493" w14:textId="4CD0E729" w:rsidR="00CD2D43" w:rsidRPr="00563D71" w:rsidRDefault="00CD2D43" w:rsidP="00CF22F2">
      <w:pPr>
        <w:pStyle w:val="MainParanoChapter-Ch3"/>
        <w:numPr>
          <w:ilvl w:val="0"/>
          <w:numId w:val="0"/>
        </w:numPr>
        <w:rPr>
          <w:bCs/>
        </w:rPr>
      </w:pPr>
    </w:p>
    <w:p w14:paraId="7D78D2C0" w14:textId="1A2CCAD8" w:rsidR="00F53455" w:rsidRPr="00563D71" w:rsidRDefault="00F53455" w:rsidP="00CF22F2">
      <w:pPr>
        <w:pStyle w:val="MainParanoChapter-Ch3"/>
        <w:rPr>
          <w:bCs/>
        </w:rPr>
      </w:pPr>
      <w:r w:rsidRPr="00563D71">
        <w:rPr>
          <w:bCs/>
        </w:rPr>
        <w:t xml:space="preserve">The six </w:t>
      </w:r>
      <w:r w:rsidR="00913FEC" w:rsidRPr="00563D71">
        <w:rPr>
          <w:bCs/>
        </w:rPr>
        <w:t xml:space="preserve">elements of the </w:t>
      </w:r>
      <w:r w:rsidR="00062989" w:rsidRPr="00563D71">
        <w:rPr>
          <w:bCs/>
        </w:rPr>
        <w:t>policy</w:t>
      </w:r>
      <w:r w:rsidRPr="00563D71">
        <w:rPr>
          <w:bCs/>
        </w:rPr>
        <w:t xml:space="preserve"> are:</w:t>
      </w:r>
    </w:p>
    <w:p w14:paraId="1F3A1CFE" w14:textId="478438CE" w:rsidR="00F53455" w:rsidRPr="00563D71" w:rsidRDefault="00062989" w:rsidP="004E4D9A">
      <w:pPr>
        <w:numPr>
          <w:ilvl w:val="0"/>
          <w:numId w:val="4"/>
        </w:numPr>
        <w:spacing w:after="120"/>
        <w:ind w:left="1260"/>
        <w:rPr>
          <w:szCs w:val="24"/>
        </w:rPr>
      </w:pPr>
      <w:r w:rsidRPr="00563D71">
        <w:rPr>
          <w:szCs w:val="24"/>
        </w:rPr>
        <w:t>Promote environmental and social sustainability in the Program design; avoid, minimize, or mitigate adverse impacts, and promote informed decision-making relating to the Program’s environmental and social impacts;</w:t>
      </w:r>
    </w:p>
    <w:p w14:paraId="1376FEE3" w14:textId="198C803A" w:rsidR="00F53455" w:rsidRPr="00563D71" w:rsidRDefault="00062989" w:rsidP="004E4D9A">
      <w:pPr>
        <w:numPr>
          <w:ilvl w:val="0"/>
          <w:numId w:val="4"/>
        </w:numPr>
        <w:spacing w:after="120"/>
        <w:ind w:left="1260"/>
        <w:rPr>
          <w:szCs w:val="24"/>
        </w:rPr>
      </w:pPr>
      <w:r w:rsidRPr="00563D71">
        <w:rPr>
          <w:szCs w:val="24"/>
        </w:rPr>
        <w:t>Avoid, minimize</w:t>
      </w:r>
      <w:r w:rsidR="004E4D9A" w:rsidRPr="00563D71">
        <w:rPr>
          <w:szCs w:val="24"/>
        </w:rPr>
        <w:t>,</w:t>
      </w:r>
      <w:r w:rsidRPr="00563D71">
        <w:rPr>
          <w:szCs w:val="24"/>
        </w:rPr>
        <w:t xml:space="preserve"> and mitigate against adverse effects on natural habitats and physical cultural resources resulting from the Program;</w:t>
      </w:r>
    </w:p>
    <w:p w14:paraId="571D104C" w14:textId="516089F2" w:rsidR="00F53455" w:rsidRPr="00563D71" w:rsidRDefault="00062989" w:rsidP="004E4D9A">
      <w:pPr>
        <w:numPr>
          <w:ilvl w:val="0"/>
          <w:numId w:val="4"/>
        </w:numPr>
        <w:spacing w:after="120"/>
        <w:ind w:left="1260"/>
        <w:rPr>
          <w:szCs w:val="24"/>
        </w:rPr>
      </w:pPr>
      <w:r w:rsidRPr="00563D71">
        <w:rPr>
          <w:szCs w:val="24"/>
        </w:rPr>
        <w:t>Protect public and worker safety against the potential risks associated with (i) construction and/or operations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1107188A" w14:textId="611B2B36" w:rsidR="00F53455" w:rsidRPr="00563D71" w:rsidRDefault="00F53455" w:rsidP="004E4D9A">
      <w:pPr>
        <w:numPr>
          <w:ilvl w:val="0"/>
          <w:numId w:val="4"/>
        </w:numPr>
        <w:spacing w:after="120"/>
        <w:ind w:left="1260"/>
        <w:rPr>
          <w:szCs w:val="24"/>
        </w:rPr>
      </w:pPr>
      <w:r w:rsidRPr="00563D71">
        <w:rPr>
          <w:szCs w:val="24"/>
        </w:rPr>
        <w:lastRenderedPageBreak/>
        <w:t>Manage land acquisition and loss of access to natural resources in a way that avoids or minimizes displacement, and assist the affected people in improving, or at the minimum restoring, their livelihoods and living standards</w:t>
      </w:r>
      <w:r w:rsidR="00062989" w:rsidRPr="00563D71">
        <w:rPr>
          <w:szCs w:val="24"/>
        </w:rPr>
        <w:t>;</w:t>
      </w:r>
    </w:p>
    <w:p w14:paraId="5845334F" w14:textId="08B1A4D9" w:rsidR="00F53455" w:rsidRPr="00563D71" w:rsidRDefault="00062989" w:rsidP="004E4D9A">
      <w:pPr>
        <w:numPr>
          <w:ilvl w:val="0"/>
          <w:numId w:val="4"/>
        </w:numPr>
        <w:spacing w:after="120"/>
        <w:ind w:left="1260"/>
        <w:rPr>
          <w:szCs w:val="24"/>
        </w:rPr>
      </w:pPr>
      <w:r w:rsidRPr="00563D71">
        <w:rPr>
          <w:szCs w:val="24"/>
        </w:rPr>
        <w:t>Give due consideration to</w:t>
      </w:r>
      <w:r w:rsidR="00F53455" w:rsidRPr="00563D71">
        <w:rPr>
          <w:szCs w:val="24"/>
        </w:rPr>
        <w:t xml:space="preserve"> cultural appropriateness of, and equitable access to, Program benefits, giving special attention to the rights and interests of the Indigenous Peoples and to the needs or concerns of vulnerable groups</w:t>
      </w:r>
      <w:r w:rsidRPr="00563D71">
        <w:rPr>
          <w:szCs w:val="24"/>
        </w:rPr>
        <w:t>; and</w:t>
      </w:r>
    </w:p>
    <w:p w14:paraId="71CE3AFB" w14:textId="77777777" w:rsidR="00F53455" w:rsidRPr="00563D71" w:rsidRDefault="00F53455" w:rsidP="004E4D9A">
      <w:pPr>
        <w:numPr>
          <w:ilvl w:val="0"/>
          <w:numId w:val="4"/>
        </w:numPr>
        <w:spacing w:after="120"/>
        <w:ind w:left="1260"/>
      </w:pPr>
      <w:r w:rsidRPr="00563D71">
        <w:t>Avoid exacerbating social conflict, especially in fragile states, post-conflict areas, or areas subject to territorial disputes.</w:t>
      </w:r>
    </w:p>
    <w:p w14:paraId="2425881C" w14:textId="58FAA8F6" w:rsidR="00F53455" w:rsidRPr="00563D71" w:rsidRDefault="00F53455" w:rsidP="00CF22F2">
      <w:pPr>
        <w:pStyle w:val="MainParanoChapter-Ch3"/>
        <w:rPr>
          <w:bCs/>
        </w:rPr>
      </w:pPr>
      <w:r w:rsidRPr="00563D71">
        <w:rPr>
          <w:bCs/>
        </w:rPr>
        <w:t xml:space="preserve">The ESSA analyzed the environmental and social management system for the Program to assess applicability for each of the </w:t>
      </w:r>
      <w:r w:rsidR="00062989" w:rsidRPr="00563D71">
        <w:rPr>
          <w:bCs/>
        </w:rPr>
        <w:t>policy elements</w:t>
      </w:r>
      <w:r w:rsidRPr="00563D71">
        <w:rPr>
          <w:bCs/>
        </w:rPr>
        <w:t xml:space="preserve"> and ensure consistency with those that apply. The actions recommended to fill </w:t>
      </w:r>
      <w:r w:rsidR="00BC29AA" w:rsidRPr="00563D71">
        <w:rPr>
          <w:bCs/>
        </w:rPr>
        <w:t xml:space="preserve">the </w:t>
      </w:r>
      <w:r w:rsidR="001B1E30" w:rsidRPr="00563D71">
        <w:rPr>
          <w:bCs/>
        </w:rPr>
        <w:t xml:space="preserve">gaps </w:t>
      </w:r>
      <w:r w:rsidR="00913FEC" w:rsidRPr="00563D71">
        <w:rPr>
          <w:bCs/>
        </w:rPr>
        <w:t xml:space="preserve">identified in the ESSA </w:t>
      </w:r>
      <w:r w:rsidRPr="00563D71">
        <w:rPr>
          <w:bCs/>
        </w:rPr>
        <w:t xml:space="preserve">are expected to directly contribute to the Program’s anticipated results in the </w:t>
      </w:r>
      <w:r w:rsidR="00062989" w:rsidRPr="00563D71">
        <w:rPr>
          <w:bCs/>
        </w:rPr>
        <w:t>tou</w:t>
      </w:r>
      <w:r w:rsidR="008268A2" w:rsidRPr="00563D71">
        <w:rPr>
          <w:bCs/>
        </w:rPr>
        <w:t>r</w:t>
      </w:r>
      <w:r w:rsidR="00062989" w:rsidRPr="00563D71">
        <w:rPr>
          <w:bCs/>
        </w:rPr>
        <w:t>ism</w:t>
      </w:r>
      <w:r w:rsidR="00913FEC" w:rsidRPr="00563D71">
        <w:rPr>
          <w:bCs/>
        </w:rPr>
        <w:t xml:space="preserve"> sector. This r</w:t>
      </w:r>
      <w:r w:rsidRPr="00563D71">
        <w:rPr>
          <w:bCs/>
        </w:rPr>
        <w:t xml:space="preserve">eport presents an analysis of the existing system vis-à-vis the relevant </w:t>
      </w:r>
      <w:r w:rsidR="00062989" w:rsidRPr="00563D71">
        <w:rPr>
          <w:bCs/>
        </w:rPr>
        <w:t>policy elements</w:t>
      </w:r>
      <w:r w:rsidRPr="00563D71">
        <w:rPr>
          <w:bCs/>
        </w:rPr>
        <w:t xml:space="preserve"> for environmental and social management</w:t>
      </w:r>
      <w:r w:rsidR="00062989" w:rsidRPr="00563D71">
        <w:rPr>
          <w:bCs/>
        </w:rPr>
        <w:t>, and</w:t>
      </w:r>
      <w:r w:rsidRPr="00563D71">
        <w:rPr>
          <w:bCs/>
        </w:rPr>
        <w:t xml:space="preserve"> an Action Plan that will be incorporated into the overall </w:t>
      </w:r>
      <w:r w:rsidR="00062989" w:rsidRPr="00563D71">
        <w:rPr>
          <w:bCs/>
        </w:rPr>
        <w:t>Program Action Plan</w:t>
      </w:r>
      <w:r w:rsidRPr="00563D71">
        <w:rPr>
          <w:bCs/>
        </w:rPr>
        <w:t>.</w:t>
      </w:r>
    </w:p>
    <w:p w14:paraId="2330D5FD" w14:textId="77777777" w:rsidR="00CD2D43" w:rsidRPr="00563D71" w:rsidRDefault="00CD2D43" w:rsidP="00CF22F2">
      <w:pPr>
        <w:pStyle w:val="MainParanoChapter-Ch3"/>
        <w:numPr>
          <w:ilvl w:val="0"/>
          <w:numId w:val="0"/>
        </w:numPr>
        <w:rPr>
          <w:bCs/>
        </w:rPr>
      </w:pPr>
    </w:p>
    <w:p w14:paraId="0B917FCF" w14:textId="1853F285" w:rsidR="00707E4B" w:rsidRPr="00563D71" w:rsidRDefault="00707E4B" w:rsidP="000C619E">
      <w:pPr>
        <w:pStyle w:val="MainParanoChapter-Ch3"/>
        <w:rPr>
          <w:bCs/>
        </w:rPr>
      </w:pPr>
      <w:r w:rsidRPr="00563D71">
        <w:rPr>
          <w:bCs/>
        </w:rPr>
        <w:t xml:space="preserve">The </w:t>
      </w:r>
      <w:r w:rsidR="004C1F77" w:rsidRPr="00563D71">
        <w:rPr>
          <w:bCs/>
        </w:rPr>
        <w:t>O</w:t>
      </w:r>
      <w:r w:rsidRPr="00563D71">
        <w:rPr>
          <w:bCs/>
        </w:rPr>
        <w:t>peration will include a component of technical assistance</w:t>
      </w:r>
      <w:r w:rsidR="00913FEC" w:rsidRPr="00563D71">
        <w:rPr>
          <w:bCs/>
        </w:rPr>
        <w:t xml:space="preserve"> </w:t>
      </w:r>
      <w:r w:rsidR="00CB1863" w:rsidRPr="00563D71">
        <w:rPr>
          <w:bCs/>
        </w:rPr>
        <w:t xml:space="preserve">supported by Investment Project Financing </w:t>
      </w:r>
      <w:r w:rsidR="00913FEC" w:rsidRPr="00563D71">
        <w:rPr>
          <w:bCs/>
        </w:rPr>
        <w:t>(</w:t>
      </w:r>
      <w:r w:rsidR="00CB1863" w:rsidRPr="00563D71">
        <w:rPr>
          <w:bCs/>
        </w:rPr>
        <w:t>IPF</w:t>
      </w:r>
      <w:r w:rsidR="00913FEC" w:rsidRPr="00563D71">
        <w:rPr>
          <w:bCs/>
        </w:rPr>
        <w:t>)</w:t>
      </w:r>
      <w:r w:rsidRPr="00563D71">
        <w:rPr>
          <w:bCs/>
        </w:rPr>
        <w:t xml:space="preserve">. </w:t>
      </w:r>
      <w:r w:rsidR="000C619E" w:rsidRPr="00563D71">
        <w:rPr>
          <w:bCs/>
        </w:rPr>
        <w:t>The IPF component will finance critical consultants’ services for the technical assistance (program planning, management, and capacity building) component of the Operation. The</w:t>
      </w:r>
      <w:r w:rsidRPr="00563D71">
        <w:rPr>
          <w:bCs/>
        </w:rPr>
        <w:t xml:space="preserve"> specialized consult</w:t>
      </w:r>
      <w:r w:rsidR="00E62B1E" w:rsidRPr="00563D71">
        <w:rPr>
          <w:bCs/>
        </w:rPr>
        <w:t xml:space="preserve">ants’ </w:t>
      </w:r>
      <w:r w:rsidRPr="00563D71">
        <w:rPr>
          <w:bCs/>
        </w:rPr>
        <w:t xml:space="preserve">services </w:t>
      </w:r>
      <w:r w:rsidR="00C375EA" w:rsidRPr="00563D71">
        <w:rPr>
          <w:bCs/>
        </w:rPr>
        <w:t>are to</w:t>
      </w:r>
      <w:r w:rsidRPr="00563D71">
        <w:rPr>
          <w:bCs/>
        </w:rPr>
        <w:t xml:space="preserve"> be procured under Bank rules. </w:t>
      </w:r>
      <w:r w:rsidR="00913FEC" w:rsidRPr="00563D71">
        <w:rPr>
          <w:bCs/>
        </w:rPr>
        <w:t xml:space="preserve">Some of the gap-filling recommendations recommended in the ESSA </w:t>
      </w:r>
      <w:r w:rsidR="00CB1863" w:rsidRPr="00563D71">
        <w:rPr>
          <w:bCs/>
        </w:rPr>
        <w:t>will</w:t>
      </w:r>
      <w:r w:rsidR="00913FEC" w:rsidRPr="00563D71">
        <w:rPr>
          <w:bCs/>
        </w:rPr>
        <w:t xml:space="preserve"> be implemented through the </w:t>
      </w:r>
      <w:r w:rsidR="00CB1863" w:rsidRPr="00563D71">
        <w:rPr>
          <w:bCs/>
        </w:rPr>
        <w:t>IPF</w:t>
      </w:r>
      <w:r w:rsidR="00913FEC" w:rsidRPr="00563D71">
        <w:rPr>
          <w:bCs/>
        </w:rPr>
        <w:t xml:space="preserve"> </w:t>
      </w:r>
      <w:r w:rsidR="00070492" w:rsidRPr="00563D71">
        <w:rPr>
          <w:bCs/>
        </w:rPr>
        <w:t>component</w:t>
      </w:r>
      <w:r w:rsidR="00913FEC" w:rsidRPr="00563D71">
        <w:rPr>
          <w:bCs/>
        </w:rPr>
        <w:t>. However, because t</w:t>
      </w:r>
      <w:r w:rsidRPr="00563D71">
        <w:rPr>
          <w:bCs/>
        </w:rPr>
        <w:t xml:space="preserve">he </w:t>
      </w:r>
      <w:r w:rsidR="00CB1863" w:rsidRPr="00563D71">
        <w:rPr>
          <w:bCs/>
        </w:rPr>
        <w:t>IPF</w:t>
      </w:r>
      <w:r w:rsidR="00913FEC" w:rsidRPr="00563D71">
        <w:rPr>
          <w:bCs/>
        </w:rPr>
        <w:t xml:space="preserve"> </w:t>
      </w:r>
      <w:r w:rsidRPr="00563D71">
        <w:rPr>
          <w:bCs/>
        </w:rPr>
        <w:t>component will be subject to Bank safeguards policies</w:t>
      </w:r>
      <w:r w:rsidR="00913FEC" w:rsidRPr="00563D71">
        <w:rPr>
          <w:bCs/>
        </w:rPr>
        <w:t xml:space="preserve">, it is </w:t>
      </w:r>
      <w:r w:rsidRPr="00563D71">
        <w:rPr>
          <w:bCs/>
        </w:rPr>
        <w:t>not considered in the ESSA.</w:t>
      </w:r>
      <w:r w:rsidR="009A2EA4" w:rsidRPr="00563D71">
        <w:rPr>
          <w:bCs/>
        </w:rPr>
        <w:t xml:space="preserve"> An environmental and social management framework (ESMF) is being prepared for it.</w:t>
      </w:r>
    </w:p>
    <w:p w14:paraId="4FBB710B" w14:textId="6198DDA4" w:rsidR="00CD2D43" w:rsidRPr="00563D71" w:rsidRDefault="00CD2D43" w:rsidP="00CF22F2">
      <w:pPr>
        <w:pStyle w:val="MainParanoChapter-Ch3"/>
        <w:numPr>
          <w:ilvl w:val="0"/>
          <w:numId w:val="0"/>
        </w:numPr>
        <w:rPr>
          <w:bCs/>
        </w:rPr>
      </w:pPr>
    </w:p>
    <w:p w14:paraId="4C4F18AE" w14:textId="46D21F42" w:rsidR="00245F03" w:rsidRPr="00563D71" w:rsidRDefault="00D04B10" w:rsidP="00CF22F2">
      <w:pPr>
        <w:pStyle w:val="MainParanoChapter-Ch3"/>
        <w:rPr>
          <w:bCs/>
        </w:rPr>
      </w:pPr>
      <w:r w:rsidRPr="00563D71">
        <w:rPr>
          <w:bCs/>
        </w:rPr>
        <w:t xml:space="preserve">The </w:t>
      </w:r>
      <w:r w:rsidR="009A2EA4" w:rsidRPr="00563D71">
        <w:rPr>
          <w:bCs/>
        </w:rPr>
        <w:t xml:space="preserve">ESSA </w:t>
      </w:r>
      <w:r w:rsidRPr="00563D71">
        <w:rPr>
          <w:bCs/>
        </w:rPr>
        <w:t>was prepar</w:t>
      </w:r>
      <w:r w:rsidR="001301EF" w:rsidRPr="00563D71">
        <w:rPr>
          <w:bCs/>
        </w:rPr>
        <w:t xml:space="preserve">ed by </w:t>
      </w:r>
      <w:r w:rsidRPr="00563D71">
        <w:rPr>
          <w:bCs/>
        </w:rPr>
        <w:t xml:space="preserve">World Bank environmental and social specialists in consultation with </w:t>
      </w:r>
      <w:r w:rsidR="00062989" w:rsidRPr="00563D71">
        <w:rPr>
          <w:bCs/>
        </w:rPr>
        <w:t xml:space="preserve">government </w:t>
      </w:r>
      <w:r w:rsidR="00BA5E86" w:rsidRPr="00563D71">
        <w:rPr>
          <w:bCs/>
        </w:rPr>
        <w:t xml:space="preserve">officials and </w:t>
      </w:r>
      <w:r w:rsidRPr="00563D71">
        <w:rPr>
          <w:bCs/>
        </w:rPr>
        <w:t xml:space="preserve">staff </w:t>
      </w:r>
      <w:r w:rsidR="00062989" w:rsidRPr="00563D71">
        <w:rPr>
          <w:bCs/>
        </w:rPr>
        <w:t>at central, provinc</w:t>
      </w:r>
      <w:r w:rsidR="00E3702F" w:rsidRPr="00563D71">
        <w:rPr>
          <w:bCs/>
        </w:rPr>
        <w:t>ial</w:t>
      </w:r>
      <w:r w:rsidR="00062989" w:rsidRPr="00563D71">
        <w:rPr>
          <w:bCs/>
        </w:rPr>
        <w:t>, and district levels</w:t>
      </w:r>
      <w:r w:rsidRPr="00563D71">
        <w:rPr>
          <w:bCs/>
        </w:rPr>
        <w:t xml:space="preserve"> and </w:t>
      </w:r>
      <w:r w:rsidR="00062989" w:rsidRPr="00563D71">
        <w:rPr>
          <w:bCs/>
        </w:rPr>
        <w:t xml:space="preserve">with </w:t>
      </w:r>
      <w:r w:rsidRPr="00563D71">
        <w:rPr>
          <w:bCs/>
        </w:rPr>
        <w:t xml:space="preserve">other relevant stakeholders </w:t>
      </w:r>
      <w:r w:rsidR="00062989" w:rsidRPr="00563D71">
        <w:rPr>
          <w:bCs/>
        </w:rPr>
        <w:t>including non-governmental organizations</w:t>
      </w:r>
      <w:r w:rsidR="00E62B1E" w:rsidRPr="00563D71">
        <w:rPr>
          <w:bCs/>
        </w:rPr>
        <w:t xml:space="preserve"> and private sector representatives</w:t>
      </w:r>
      <w:r w:rsidRPr="00563D71">
        <w:rPr>
          <w:bCs/>
        </w:rPr>
        <w:t xml:space="preserve">. </w:t>
      </w:r>
      <w:r w:rsidR="00062989" w:rsidRPr="00563D71">
        <w:rPr>
          <w:bCs/>
        </w:rPr>
        <w:t>It</w:t>
      </w:r>
      <w:r w:rsidRPr="00563D71">
        <w:rPr>
          <w:bCs/>
        </w:rPr>
        <w:t xml:space="preserve"> is based on: (i) interviews with </w:t>
      </w:r>
      <w:r w:rsidR="007A6CFC" w:rsidRPr="00563D71">
        <w:rPr>
          <w:bCs/>
        </w:rPr>
        <w:t>representatives of relevant ministries;</w:t>
      </w:r>
      <w:r w:rsidRPr="00563D71">
        <w:rPr>
          <w:bCs/>
        </w:rPr>
        <w:t xml:space="preserve"> (ii) site visits to </w:t>
      </w:r>
      <w:r w:rsidR="0001423C" w:rsidRPr="00563D71">
        <w:rPr>
          <w:bCs/>
        </w:rPr>
        <w:t>five</w:t>
      </w:r>
      <w:r w:rsidR="007A6CFC" w:rsidRPr="00563D71">
        <w:rPr>
          <w:bCs/>
        </w:rPr>
        <w:t xml:space="preserve"> of the </w:t>
      </w:r>
      <w:r w:rsidR="004A5C2F" w:rsidRPr="00563D71">
        <w:rPr>
          <w:bCs/>
        </w:rPr>
        <w:t xml:space="preserve">priority </w:t>
      </w:r>
      <w:r w:rsidR="00062989" w:rsidRPr="00563D71">
        <w:rPr>
          <w:bCs/>
        </w:rPr>
        <w:t>tourism destinations</w:t>
      </w:r>
      <w:r w:rsidR="007A6CFC" w:rsidRPr="00563D71">
        <w:rPr>
          <w:bCs/>
        </w:rPr>
        <w:t>, including</w:t>
      </w:r>
      <w:r w:rsidRPr="00563D71">
        <w:rPr>
          <w:bCs/>
        </w:rPr>
        <w:t xml:space="preserve"> </w:t>
      </w:r>
      <w:r w:rsidR="0001423C" w:rsidRPr="00563D71">
        <w:rPr>
          <w:bCs/>
        </w:rPr>
        <w:t xml:space="preserve">interviews with </w:t>
      </w:r>
      <w:r w:rsidR="007A6CFC" w:rsidRPr="00563D71">
        <w:rPr>
          <w:bCs/>
        </w:rPr>
        <w:t>provincial, local, and destination management authority officials</w:t>
      </w:r>
      <w:r w:rsidR="0001423C" w:rsidRPr="00563D71">
        <w:rPr>
          <w:bCs/>
        </w:rPr>
        <w:t xml:space="preserve">, </w:t>
      </w:r>
      <w:r w:rsidR="007A6CFC" w:rsidRPr="00563D71">
        <w:rPr>
          <w:bCs/>
        </w:rPr>
        <w:t>community members</w:t>
      </w:r>
      <w:r w:rsidR="0001423C" w:rsidRPr="00563D71">
        <w:rPr>
          <w:bCs/>
        </w:rPr>
        <w:t>, and private investors</w:t>
      </w:r>
      <w:r w:rsidR="007A6CFC" w:rsidRPr="00563D71">
        <w:rPr>
          <w:bCs/>
        </w:rPr>
        <w:t>;</w:t>
      </w:r>
      <w:r w:rsidRPr="00563D71">
        <w:rPr>
          <w:bCs/>
        </w:rPr>
        <w:t xml:space="preserve"> (iii) review of Indonesia</w:t>
      </w:r>
      <w:r w:rsidR="004A5C2F" w:rsidRPr="00563D71">
        <w:rPr>
          <w:bCs/>
        </w:rPr>
        <w:t>’s</w:t>
      </w:r>
      <w:r w:rsidRPr="00563D71">
        <w:rPr>
          <w:bCs/>
        </w:rPr>
        <w:t xml:space="preserve"> environmental</w:t>
      </w:r>
      <w:r w:rsidR="007A6CFC" w:rsidRPr="00563D71">
        <w:rPr>
          <w:bCs/>
        </w:rPr>
        <w:t>, social, cultural,</w:t>
      </w:r>
      <w:r w:rsidRPr="00563D71">
        <w:rPr>
          <w:bCs/>
        </w:rPr>
        <w:t xml:space="preserve"> a</w:t>
      </w:r>
      <w:r w:rsidR="007A6CFC" w:rsidRPr="00563D71">
        <w:rPr>
          <w:bCs/>
        </w:rPr>
        <w:t>nd land acquisition regulations; and</w:t>
      </w:r>
      <w:r w:rsidRPr="00563D71">
        <w:rPr>
          <w:bCs/>
        </w:rPr>
        <w:t xml:space="preserve"> (iv) desk review of relevant documentation including instruments for supervision</w:t>
      </w:r>
      <w:r w:rsidR="00A90989" w:rsidRPr="00563D71">
        <w:rPr>
          <w:bCs/>
        </w:rPr>
        <w:t xml:space="preserve"> and</w:t>
      </w:r>
      <w:r w:rsidRPr="00563D71">
        <w:rPr>
          <w:bCs/>
        </w:rPr>
        <w:t xml:space="preserve"> monitoring and evaluation. </w:t>
      </w:r>
    </w:p>
    <w:p w14:paraId="13B17B8E" w14:textId="77777777" w:rsidR="00CD2D43" w:rsidRPr="00563D71" w:rsidRDefault="00CD2D43" w:rsidP="00CF22F2">
      <w:pPr>
        <w:pStyle w:val="MainParanoChapter-Ch3"/>
        <w:numPr>
          <w:ilvl w:val="0"/>
          <w:numId w:val="0"/>
        </w:numPr>
        <w:rPr>
          <w:bCs/>
        </w:rPr>
      </w:pPr>
    </w:p>
    <w:p w14:paraId="1172A055" w14:textId="3455E851" w:rsidR="00245F03" w:rsidRPr="00563D71" w:rsidRDefault="00D04B10" w:rsidP="00CF22F2">
      <w:pPr>
        <w:pStyle w:val="MainParanoChapter-Ch3"/>
        <w:rPr>
          <w:bCs/>
        </w:rPr>
      </w:pPr>
      <w:r w:rsidRPr="00563D71">
        <w:rPr>
          <w:bCs/>
        </w:rPr>
        <w:t xml:space="preserve">The assessment has nine sections. Section 1 describes the scope of the Program and its </w:t>
      </w:r>
      <w:r w:rsidR="001301EF" w:rsidRPr="00563D71">
        <w:rPr>
          <w:bCs/>
        </w:rPr>
        <w:t>institutional context</w:t>
      </w:r>
      <w:r w:rsidR="00B443C5" w:rsidRPr="00563D71">
        <w:rPr>
          <w:bCs/>
        </w:rPr>
        <w:t>, and</w:t>
      </w:r>
      <w:r w:rsidR="001301EF" w:rsidRPr="00563D71">
        <w:rPr>
          <w:bCs/>
        </w:rPr>
        <w:t xml:space="preserve"> Section</w:t>
      </w:r>
      <w:r w:rsidRPr="00563D71">
        <w:rPr>
          <w:bCs/>
        </w:rPr>
        <w:t xml:space="preserve"> 2 </w:t>
      </w:r>
      <w:r w:rsidR="00B443C5" w:rsidRPr="00563D71">
        <w:rPr>
          <w:bCs/>
        </w:rPr>
        <w:t xml:space="preserve">explains the ESSA scope and methodology. Section 3 </w:t>
      </w:r>
      <w:r w:rsidRPr="00563D71">
        <w:rPr>
          <w:bCs/>
        </w:rPr>
        <w:t>describes the Program’s environmental and social context</w:t>
      </w:r>
      <w:r w:rsidR="00B443C5" w:rsidRPr="00563D71">
        <w:rPr>
          <w:bCs/>
        </w:rPr>
        <w:t>, benefits,</w:t>
      </w:r>
      <w:r w:rsidRPr="00563D71">
        <w:rPr>
          <w:bCs/>
        </w:rPr>
        <w:t xml:space="preserve"> and </w:t>
      </w:r>
      <w:r w:rsidR="00B443C5" w:rsidRPr="00563D71">
        <w:rPr>
          <w:bCs/>
        </w:rPr>
        <w:t>risks. Section</w:t>
      </w:r>
      <w:r w:rsidRPr="00563D71">
        <w:rPr>
          <w:bCs/>
        </w:rPr>
        <w:t xml:space="preserve"> 4 describe</w:t>
      </w:r>
      <w:r w:rsidR="00B443C5" w:rsidRPr="00563D71">
        <w:rPr>
          <w:bCs/>
        </w:rPr>
        <w:t>s</w:t>
      </w:r>
      <w:r w:rsidRPr="00563D71">
        <w:rPr>
          <w:bCs/>
        </w:rPr>
        <w:t xml:space="preserve"> the Program environmental and social management systems respectively, as defined in laws, regulations, internal procedures, etc.</w:t>
      </w:r>
      <w:r w:rsidR="00B443C5" w:rsidRPr="00563D71">
        <w:rPr>
          <w:bCs/>
        </w:rPr>
        <w:t xml:space="preserve">, as well as the institutional framework for </w:t>
      </w:r>
      <w:r w:rsidRPr="00563D71">
        <w:rPr>
          <w:bCs/>
        </w:rPr>
        <w:t xml:space="preserve">implementing </w:t>
      </w:r>
      <w:r w:rsidR="00B443C5" w:rsidRPr="00563D71">
        <w:rPr>
          <w:bCs/>
        </w:rPr>
        <w:t xml:space="preserve">the systems. Section 5 is an assessment of </w:t>
      </w:r>
      <w:r w:rsidRPr="00563D71">
        <w:rPr>
          <w:bCs/>
        </w:rPr>
        <w:t xml:space="preserve">the extent to which the environmental and social management systems are consistent </w:t>
      </w:r>
      <w:r w:rsidR="00B443C5" w:rsidRPr="00563D71">
        <w:rPr>
          <w:bCs/>
        </w:rPr>
        <w:t xml:space="preserve">in definition and implementation </w:t>
      </w:r>
      <w:r w:rsidRPr="00563D71">
        <w:rPr>
          <w:bCs/>
        </w:rPr>
        <w:t xml:space="preserve">with the elements specified in the PforR Policy as amplified in </w:t>
      </w:r>
      <w:r w:rsidRPr="00563D71">
        <w:rPr>
          <w:bCs/>
          <w:i/>
        </w:rPr>
        <w:t>Bank Directive: Program-for-Results Financing, issued July 10</w:t>
      </w:r>
      <w:r w:rsidR="001B1E30" w:rsidRPr="00563D71">
        <w:rPr>
          <w:bCs/>
          <w:i/>
        </w:rPr>
        <w:t>,</w:t>
      </w:r>
      <w:r w:rsidRPr="00563D71">
        <w:rPr>
          <w:bCs/>
          <w:i/>
        </w:rPr>
        <w:t xml:space="preserve"> 2015</w:t>
      </w:r>
      <w:r w:rsidRPr="00563D71">
        <w:rPr>
          <w:bCs/>
        </w:rPr>
        <w:t xml:space="preserve">. Section 6 specifies key measures to improve the performance of the environmental and </w:t>
      </w:r>
      <w:r w:rsidRPr="00563D71">
        <w:rPr>
          <w:bCs/>
        </w:rPr>
        <w:lastRenderedPageBreak/>
        <w:t xml:space="preserve">social management systems (Inputs to </w:t>
      </w:r>
      <w:r w:rsidR="001301EF" w:rsidRPr="00563D71">
        <w:rPr>
          <w:bCs/>
        </w:rPr>
        <w:t xml:space="preserve">Results Area 4, to </w:t>
      </w:r>
      <w:r w:rsidRPr="00563D71">
        <w:rPr>
          <w:bCs/>
        </w:rPr>
        <w:t>the Program Action Plan</w:t>
      </w:r>
      <w:r w:rsidR="001301EF" w:rsidRPr="00563D71">
        <w:rPr>
          <w:bCs/>
        </w:rPr>
        <w:t xml:space="preserve">, and to </w:t>
      </w:r>
      <w:r w:rsidR="001B1E30" w:rsidRPr="00563D71">
        <w:rPr>
          <w:bCs/>
        </w:rPr>
        <w:t>the IPF component</w:t>
      </w:r>
      <w:r w:rsidRPr="00563D71">
        <w:rPr>
          <w:bCs/>
        </w:rPr>
        <w:t>). Section 7 provides an environmental and social risk rating and proposes risk mitigation measures. Section 8 describes the support that the Bank will provide in environmental and social areas (Inputs to the Implementation Support Plan).  Finally, Section 9 summarizes the stakeholder consultations undertaken during the preparation of this assessment.</w:t>
      </w:r>
    </w:p>
    <w:p w14:paraId="6F4C0ADB" w14:textId="77777777" w:rsidR="002E23FD" w:rsidRDefault="002E23FD">
      <w:pPr>
        <w:spacing w:before="0"/>
        <w:ind w:left="11" w:hanging="11"/>
        <w:rPr>
          <w:b/>
        </w:rPr>
      </w:pPr>
      <w:bookmarkStart w:id="17" w:name="_Toc468969230"/>
      <w:bookmarkStart w:id="18" w:name="_Toc481484044"/>
      <w:r>
        <w:br w:type="page"/>
      </w:r>
    </w:p>
    <w:p w14:paraId="6F11ADF7" w14:textId="6514F01A" w:rsidR="00245F03" w:rsidRPr="00563D71" w:rsidRDefault="00D04B10" w:rsidP="004658DA">
      <w:pPr>
        <w:pStyle w:val="Heading1"/>
        <w:ind w:left="0" w:firstLine="0"/>
        <w:jc w:val="center"/>
      </w:pPr>
      <w:bookmarkStart w:id="19" w:name="_Toc485831023"/>
      <w:r w:rsidRPr="00563D71">
        <w:lastRenderedPageBreak/>
        <w:t>1</w:t>
      </w:r>
      <w:r w:rsidR="001E5979" w:rsidRPr="00563D71">
        <w:tab/>
      </w:r>
      <w:r w:rsidRPr="00563D71">
        <w:t>PROGRAM DESCRIPTION</w:t>
      </w:r>
      <w:bookmarkEnd w:id="17"/>
      <w:bookmarkEnd w:id="18"/>
      <w:bookmarkEnd w:id="19"/>
      <w:r w:rsidR="00001CF6" w:rsidRPr="00563D71">
        <w:br/>
      </w:r>
    </w:p>
    <w:p w14:paraId="4CA47714" w14:textId="2CBB9844" w:rsidR="00245F03" w:rsidRPr="00563D71" w:rsidRDefault="00D04B10" w:rsidP="003C2F30">
      <w:pPr>
        <w:pStyle w:val="Heading2"/>
        <w:tabs>
          <w:tab w:val="center" w:pos="1343"/>
        </w:tabs>
        <w:spacing w:after="72"/>
        <w:ind w:left="-15" w:firstLine="0"/>
      </w:pPr>
      <w:bookmarkStart w:id="20" w:name="_Toc468969231"/>
      <w:bookmarkStart w:id="21" w:name="_Toc481484045"/>
      <w:bookmarkStart w:id="22" w:name="_Toc485831024"/>
      <w:r w:rsidRPr="00563D71">
        <w:t>1.1</w:t>
      </w:r>
      <w:r w:rsidRPr="00563D71">
        <w:rPr>
          <w:rFonts w:ascii="Arial" w:eastAsia="Arial" w:hAnsi="Arial" w:cs="Arial"/>
        </w:rPr>
        <w:t xml:space="preserve"> </w:t>
      </w:r>
      <w:r w:rsidRPr="00563D71">
        <w:rPr>
          <w:rFonts w:ascii="Arial" w:eastAsia="Arial" w:hAnsi="Arial" w:cs="Arial"/>
        </w:rPr>
        <w:tab/>
      </w:r>
      <w:r w:rsidRPr="00563D71">
        <w:t>Program Scope</w:t>
      </w:r>
      <w:bookmarkEnd w:id="20"/>
      <w:bookmarkEnd w:id="21"/>
      <w:bookmarkEnd w:id="22"/>
      <w:r w:rsidRPr="00563D71">
        <w:t xml:space="preserve"> </w:t>
      </w:r>
    </w:p>
    <w:p w14:paraId="7B0B5CE6" w14:textId="2362FC0D" w:rsidR="00772F25" w:rsidRPr="00563D71" w:rsidRDefault="00772F25" w:rsidP="004E5386">
      <w:pPr>
        <w:pStyle w:val="MainParanoChapter-Ch3"/>
        <w:rPr>
          <w:bCs/>
        </w:rPr>
      </w:pPr>
      <w:r w:rsidRPr="00563D71">
        <w:rPr>
          <w:bCs/>
        </w:rPr>
        <w:t xml:space="preserve">The Tourism Development Program (TDP) is aligned with the objectives of the </w:t>
      </w:r>
      <w:r w:rsidR="008C0B70" w:rsidRPr="00563D71">
        <w:rPr>
          <w:bCs/>
        </w:rPr>
        <w:t xml:space="preserve">Indonesia Tourism Development Priority </w:t>
      </w:r>
      <w:r w:rsidR="00984B1F" w:rsidRPr="00563D71">
        <w:rPr>
          <w:bCs/>
        </w:rPr>
        <w:t>p</w:t>
      </w:r>
      <w:r w:rsidR="008C0B70" w:rsidRPr="00563D71">
        <w:rPr>
          <w:bCs/>
        </w:rPr>
        <w:t>rogram (</w:t>
      </w:r>
      <w:r w:rsidR="008C0B70" w:rsidRPr="00563D71">
        <w:rPr>
          <w:bCs/>
          <w:i/>
        </w:rPr>
        <w:t xml:space="preserve">Program Prioritas Nasional Pembangunan </w:t>
      </w:r>
      <w:r w:rsidR="0067763E" w:rsidRPr="00563D71">
        <w:rPr>
          <w:bCs/>
          <w:i/>
        </w:rPr>
        <w:t xml:space="preserve">Pariwisata </w:t>
      </w:r>
      <w:r w:rsidR="008C0B70" w:rsidRPr="00563D71">
        <w:rPr>
          <w:bCs/>
          <w:i/>
        </w:rPr>
        <w:t>Indonesia</w:t>
      </w:r>
      <w:r w:rsidR="008C0B70" w:rsidRPr="00563D71">
        <w:rPr>
          <w:bCs/>
        </w:rPr>
        <w:t>, PPNPPI), which is guided by GoI’s RPJMN 2015-2019.</w:t>
      </w:r>
      <w:r w:rsidRPr="00563D71">
        <w:rPr>
          <w:bCs/>
        </w:rPr>
        <w:t xml:space="preserve"> However, </w:t>
      </w:r>
      <w:r w:rsidR="008C0B70" w:rsidRPr="00563D71">
        <w:rPr>
          <w:bCs/>
        </w:rPr>
        <w:t xml:space="preserve">the Program </w:t>
      </w:r>
      <w:r w:rsidRPr="00563D71">
        <w:rPr>
          <w:bCs/>
        </w:rPr>
        <w:t>is more limited in geographic scope and finances only part of the PPNPPI activities</w:t>
      </w:r>
      <w:r w:rsidR="00096260" w:rsidRPr="00563D71">
        <w:rPr>
          <w:bCs/>
        </w:rPr>
        <w:t xml:space="preserve"> </w:t>
      </w:r>
      <w:r w:rsidR="00451B27" w:rsidRPr="00563D71">
        <w:rPr>
          <w:bCs/>
        </w:rPr>
        <w:t xml:space="preserve">(Table </w:t>
      </w:r>
      <w:r w:rsidR="002B2D3C" w:rsidRPr="00563D71">
        <w:rPr>
          <w:bCs/>
        </w:rPr>
        <w:t>1</w:t>
      </w:r>
      <w:r w:rsidR="00096260" w:rsidRPr="00563D71">
        <w:rPr>
          <w:bCs/>
        </w:rPr>
        <w:t>)</w:t>
      </w:r>
      <w:r w:rsidRPr="00563D71">
        <w:rPr>
          <w:bCs/>
        </w:rPr>
        <w:t xml:space="preserve">. </w:t>
      </w:r>
      <w:r w:rsidR="002B2D3C" w:rsidRPr="00563D71">
        <w:rPr>
          <w:bCs/>
        </w:rPr>
        <w:t>The Program will support the wider government program, focusing on three of the priority destinations—Lombok, Borobudur-Yogyakarta-Prambanan</w:t>
      </w:r>
      <w:r w:rsidR="00A96697" w:rsidRPr="00563D71">
        <w:rPr>
          <w:bCs/>
        </w:rPr>
        <w:t>,</w:t>
      </w:r>
      <w:r w:rsidR="002B2D3C" w:rsidRPr="00563D71">
        <w:rPr>
          <w:bCs/>
        </w:rPr>
        <w:t xml:space="preserve"> and Lake Toba. </w:t>
      </w:r>
      <w:r w:rsidRPr="00563D71">
        <w:rPr>
          <w:bCs/>
        </w:rPr>
        <w:t xml:space="preserve">The objectives of the PPNPPI are to increase foreign and domestic visitors and related foreign exchange earnings, employment, </w:t>
      </w:r>
      <w:r w:rsidR="00CF36E8" w:rsidRPr="00563D71">
        <w:rPr>
          <w:bCs/>
        </w:rPr>
        <w:t xml:space="preserve">and </w:t>
      </w:r>
      <w:r w:rsidRPr="00563D71">
        <w:rPr>
          <w:bCs/>
        </w:rPr>
        <w:t>contribution to GDP as well as tourism competitiveness</w:t>
      </w:r>
      <w:r w:rsidR="004E5386" w:rsidRPr="00563D71">
        <w:rPr>
          <w:bCs/>
        </w:rPr>
        <w:t xml:space="preserve">. It </w:t>
      </w:r>
      <w:r w:rsidRPr="00563D71">
        <w:rPr>
          <w:bCs/>
        </w:rPr>
        <w:t>includes six program areas: (i) international marketing and promotion; (ii) destination development; (iii) human resource and institutional development; (iv) international openness and access; (v) local economy linkages; (vi) safety and security and health and hygiene. The PPNPPI includes a wider range of expenditures related to tourism development, including for international and national marketing</w:t>
      </w:r>
      <w:r w:rsidR="002B2D3C" w:rsidRPr="00563D71">
        <w:rPr>
          <w:bCs/>
        </w:rPr>
        <w:t xml:space="preserve">, </w:t>
      </w:r>
      <w:r w:rsidR="00371978">
        <w:rPr>
          <w:bCs/>
        </w:rPr>
        <w:t>im</w:t>
      </w:r>
      <w:r w:rsidR="002B2D3C" w:rsidRPr="00563D71">
        <w:rPr>
          <w:bCs/>
        </w:rPr>
        <w:t>migration and visas, and safety and security in the destinations</w:t>
      </w:r>
      <w:r w:rsidRPr="00563D71">
        <w:rPr>
          <w:bCs/>
        </w:rPr>
        <w:t>. Instead, the TDP will focus on a critical subset of expenditures that</w:t>
      </w:r>
      <w:r w:rsidR="0022743F" w:rsidRPr="00563D71">
        <w:rPr>
          <w:bCs/>
        </w:rPr>
        <w:t>:</w:t>
      </w:r>
      <w:r w:rsidRPr="00563D71">
        <w:rPr>
          <w:bCs/>
        </w:rPr>
        <w:t xml:space="preserve"> </w:t>
      </w:r>
      <w:r w:rsidR="00F13619" w:rsidRPr="00563D71">
        <w:rPr>
          <w:bCs/>
        </w:rPr>
        <w:t xml:space="preserve">improve </w:t>
      </w:r>
      <w:r w:rsidR="00AF61D8" w:rsidRPr="00563D71">
        <w:rPr>
          <w:bCs/>
        </w:rPr>
        <w:t xml:space="preserve">the </w:t>
      </w:r>
      <w:r w:rsidR="00F13619" w:rsidRPr="00563D71">
        <w:rPr>
          <w:bCs/>
        </w:rPr>
        <w:t>sustainability and tourism carrying capacity of selected destinations, focusing on addressing existing gaps and reversing environmental degradation; promote local participation in tourism economy; enhance the enabling environment for private investment and business entry in tourism; and increase institutional capacity to facilitate integrated and sustainable tourism development</w:t>
      </w:r>
      <w:r w:rsidR="00612C14" w:rsidRPr="00563D71">
        <w:rPr>
          <w:bCs/>
        </w:rPr>
        <w:t xml:space="preserve">. </w:t>
      </w:r>
      <w:r w:rsidR="00F13619" w:rsidRPr="00563D71">
        <w:rPr>
          <w:bCs/>
        </w:rPr>
        <w:t>Based on a review of its Investment and Expenditures Menu, t</w:t>
      </w:r>
      <w:r w:rsidRPr="00563D71">
        <w:rPr>
          <w:bCs/>
        </w:rPr>
        <w:t>he TDP will not finance high value activities or those which would likely have significant adverse impacts that are sensitive, diverse</w:t>
      </w:r>
      <w:r w:rsidR="004E5386" w:rsidRPr="00563D71">
        <w:rPr>
          <w:bCs/>
        </w:rPr>
        <w:t>,</w:t>
      </w:r>
      <w:r w:rsidRPr="00563D71">
        <w:rPr>
          <w:bCs/>
        </w:rPr>
        <w:t xml:space="preserve"> and unprecedented on the environment and/or affected people</w:t>
      </w:r>
      <w:r w:rsidR="00F13619" w:rsidRPr="00563D71">
        <w:rPr>
          <w:bCs/>
        </w:rPr>
        <w:t xml:space="preserve"> (Table 3)</w:t>
      </w:r>
      <w:r w:rsidRPr="00563D71">
        <w:rPr>
          <w:bCs/>
        </w:rPr>
        <w:t xml:space="preserve">. </w:t>
      </w:r>
      <w:r w:rsidR="00595258" w:rsidRPr="00563D71">
        <w:rPr>
          <w:bCs/>
        </w:rPr>
        <w:t xml:space="preserve">The TDP and the wider PPNPPI are complemented by separate Regional Infrastructure Development </w:t>
      </w:r>
      <w:r w:rsidR="00F13619" w:rsidRPr="00563D71">
        <w:rPr>
          <w:bCs/>
        </w:rPr>
        <w:t>p</w:t>
      </w:r>
      <w:r w:rsidR="00595258" w:rsidRPr="00563D71">
        <w:rPr>
          <w:bCs/>
        </w:rPr>
        <w:t>rograms, which include large new infrastructure investments (airports, toll roads, ports), for which the economic rationale includes regional connectivity, trade</w:t>
      </w:r>
      <w:r w:rsidR="004E5386" w:rsidRPr="00563D71">
        <w:rPr>
          <w:bCs/>
        </w:rPr>
        <w:t>,</w:t>
      </w:r>
      <w:r w:rsidR="00595258" w:rsidRPr="00563D71">
        <w:rPr>
          <w:bCs/>
        </w:rPr>
        <w:t xml:space="preserve"> and industrial development, and which cannot be justified by tourism development. With the government’s prioritization of tourism development, some of the </w:t>
      </w:r>
      <w:r w:rsidR="00F13619" w:rsidRPr="00563D71">
        <w:rPr>
          <w:bCs/>
        </w:rPr>
        <w:t xml:space="preserve">government’s </w:t>
      </w:r>
      <w:r w:rsidR="00595258" w:rsidRPr="00563D71">
        <w:rPr>
          <w:bCs/>
        </w:rPr>
        <w:t xml:space="preserve">Regional Infrastructure Development </w:t>
      </w:r>
      <w:r w:rsidR="00F13619" w:rsidRPr="00563D71">
        <w:rPr>
          <w:bCs/>
        </w:rPr>
        <w:t>p</w:t>
      </w:r>
      <w:r w:rsidR="00595258" w:rsidRPr="00563D71">
        <w:rPr>
          <w:bCs/>
        </w:rPr>
        <w:t xml:space="preserve">rogram activities which could also benefit tourism development are being prioritized within the Regional Infrastructure Development </w:t>
      </w:r>
      <w:r w:rsidR="00F13619" w:rsidRPr="00563D71">
        <w:rPr>
          <w:bCs/>
        </w:rPr>
        <w:t>p</w:t>
      </w:r>
      <w:r w:rsidR="00595258" w:rsidRPr="00563D71">
        <w:rPr>
          <w:bCs/>
        </w:rPr>
        <w:t xml:space="preserve">rograms. </w:t>
      </w:r>
      <w:r w:rsidR="00F13619" w:rsidRPr="00563D71">
        <w:rPr>
          <w:bCs/>
        </w:rPr>
        <w:t xml:space="preserve">As these programs are not part of the TDP (or wider PPNPPI), they are not part of this Assessment. </w:t>
      </w:r>
      <w:r w:rsidRPr="00563D71">
        <w:rPr>
          <w:bCs/>
        </w:rPr>
        <w:t>The TDP will target four results areas that will help address the four main challenges in order to unlock tourism potential in Indonesia.</w:t>
      </w:r>
    </w:p>
    <w:p w14:paraId="7317D279" w14:textId="77777777" w:rsidR="00563D71" w:rsidRPr="00563D71" w:rsidRDefault="00563D71" w:rsidP="00CF22F2">
      <w:pPr>
        <w:pStyle w:val="MainParanoChapter-Ch3"/>
        <w:numPr>
          <w:ilvl w:val="0"/>
          <w:numId w:val="0"/>
        </w:numPr>
        <w:rPr>
          <w:b/>
        </w:rPr>
      </w:pPr>
    </w:p>
    <w:p w14:paraId="4929B513" w14:textId="05E66ED2" w:rsidR="003C1105" w:rsidRPr="00563D71" w:rsidRDefault="003C1105" w:rsidP="003D2E29">
      <w:pPr>
        <w:pStyle w:val="Caption"/>
        <w:jc w:val="center"/>
      </w:pPr>
      <w:bookmarkStart w:id="23" w:name="_Toc485824762"/>
      <w:r w:rsidRPr="00563D71">
        <w:rPr>
          <w:rStyle w:val="NoSpacingChar"/>
          <w:rFonts w:eastAsiaTheme="minorHAnsi"/>
          <w:bCs/>
          <w:i w:val="0"/>
        </w:rPr>
        <w:t>Table 1. Alignment of the PforR (TDP) with the government’s program (PPNPPI)</w:t>
      </w:r>
      <w:bookmarkEnd w:id="23"/>
      <w:r w:rsidRPr="00563D71">
        <w:rPr>
          <w:rStyle w:val="FootnoteReference"/>
          <w:b/>
          <w:i w:val="0"/>
          <w:color w:val="000000" w:themeColor="text1"/>
          <w:sz w:val="20"/>
          <w:szCs w:val="20"/>
        </w:rPr>
        <w:footnoteReference w:id="20"/>
      </w:r>
    </w:p>
    <w:tbl>
      <w:tblPr>
        <w:tblStyle w:val="TableGrid0"/>
        <w:tblW w:w="9389" w:type="dxa"/>
        <w:jc w:val="center"/>
        <w:tblLayout w:type="fixed"/>
        <w:tblLook w:val="04A0" w:firstRow="1" w:lastRow="0" w:firstColumn="1" w:lastColumn="0" w:noHBand="0" w:noVBand="1"/>
      </w:tblPr>
      <w:tblGrid>
        <w:gridCol w:w="8095"/>
        <w:gridCol w:w="1294"/>
      </w:tblGrid>
      <w:tr w:rsidR="003C1105" w:rsidRPr="00563D71" w14:paraId="6D4FDAE4" w14:textId="77777777" w:rsidTr="0032029F">
        <w:trPr>
          <w:trHeight w:val="62"/>
          <w:jc w:val="center"/>
        </w:trPr>
        <w:tc>
          <w:tcPr>
            <w:tcW w:w="8095" w:type="dxa"/>
            <w:tcBorders>
              <w:bottom w:val="single" w:sz="4" w:space="0" w:color="auto"/>
            </w:tcBorders>
            <w:vAlign w:val="center"/>
          </w:tcPr>
          <w:p w14:paraId="457D9749" w14:textId="77777777" w:rsidR="003C1105" w:rsidRPr="00563D71" w:rsidRDefault="003C1105" w:rsidP="00A14DEE">
            <w:pPr>
              <w:spacing w:before="0"/>
              <w:jc w:val="center"/>
              <w:rPr>
                <w:b/>
                <w:bCs/>
                <w:sz w:val="20"/>
                <w:szCs w:val="20"/>
              </w:rPr>
            </w:pPr>
            <w:r w:rsidRPr="00563D71">
              <w:rPr>
                <w:b/>
                <w:bCs/>
                <w:sz w:val="20"/>
                <w:szCs w:val="20"/>
              </w:rPr>
              <w:t>GoI Program (PPNPPI)</w:t>
            </w:r>
          </w:p>
        </w:tc>
        <w:tc>
          <w:tcPr>
            <w:tcW w:w="1294" w:type="dxa"/>
            <w:tcBorders>
              <w:bottom w:val="single" w:sz="4" w:space="0" w:color="auto"/>
            </w:tcBorders>
            <w:vAlign w:val="center"/>
          </w:tcPr>
          <w:p w14:paraId="7E21AF52" w14:textId="1398C97F" w:rsidR="003C1105" w:rsidRPr="00563D71" w:rsidRDefault="003C1105" w:rsidP="00A14DEE">
            <w:pPr>
              <w:spacing w:before="0"/>
              <w:jc w:val="center"/>
              <w:rPr>
                <w:b/>
                <w:bCs/>
                <w:sz w:val="20"/>
                <w:szCs w:val="20"/>
              </w:rPr>
            </w:pPr>
            <w:r w:rsidRPr="00563D71">
              <w:rPr>
                <w:b/>
                <w:bCs/>
                <w:sz w:val="20"/>
                <w:szCs w:val="20"/>
              </w:rPr>
              <w:t>PforR Alignment</w:t>
            </w:r>
            <w:r w:rsidR="00A917FB" w:rsidRPr="00563D71">
              <w:rPr>
                <w:b/>
                <w:bCs/>
                <w:sz w:val="20"/>
                <w:szCs w:val="20"/>
              </w:rPr>
              <w:t>*</w:t>
            </w:r>
          </w:p>
        </w:tc>
      </w:tr>
      <w:tr w:rsidR="003C1105" w:rsidRPr="00563D71" w14:paraId="7CAD80A4" w14:textId="77777777" w:rsidTr="0032029F">
        <w:trPr>
          <w:trHeight w:val="485"/>
          <w:jc w:val="center"/>
        </w:trPr>
        <w:tc>
          <w:tcPr>
            <w:tcW w:w="8095" w:type="dxa"/>
            <w:shd w:val="clear" w:color="auto" w:fill="auto"/>
            <w:vAlign w:val="center"/>
          </w:tcPr>
          <w:p w14:paraId="2B8D51A5" w14:textId="77777777" w:rsidR="003C1105" w:rsidRPr="00563D71" w:rsidRDefault="003C1105" w:rsidP="00A14DEE">
            <w:pPr>
              <w:spacing w:before="0"/>
              <w:rPr>
                <w:sz w:val="20"/>
                <w:szCs w:val="20"/>
              </w:rPr>
            </w:pPr>
            <w:r w:rsidRPr="00563D71">
              <w:rPr>
                <w:b/>
                <w:bCs/>
                <w:sz w:val="20"/>
                <w:szCs w:val="20"/>
              </w:rPr>
              <w:t xml:space="preserve">Objective 1: </w:t>
            </w:r>
            <w:r w:rsidRPr="00563D71">
              <w:rPr>
                <w:sz w:val="20"/>
                <w:szCs w:val="20"/>
              </w:rPr>
              <w:t>Promoting Wonderful Indonesia through international and domestic marketing of tourism products, destinations and the Indonesian tourism brand, including through social media.</w:t>
            </w:r>
          </w:p>
        </w:tc>
        <w:tc>
          <w:tcPr>
            <w:tcW w:w="1294" w:type="dxa"/>
            <w:shd w:val="clear" w:color="auto" w:fill="auto"/>
            <w:vAlign w:val="center"/>
          </w:tcPr>
          <w:p w14:paraId="6781E14F"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4CE8F2DF" w14:textId="77777777" w:rsidTr="0032029F">
        <w:trPr>
          <w:trHeight w:val="234"/>
          <w:jc w:val="center"/>
        </w:trPr>
        <w:tc>
          <w:tcPr>
            <w:tcW w:w="8095" w:type="dxa"/>
            <w:shd w:val="clear" w:color="auto" w:fill="auto"/>
            <w:vAlign w:val="center"/>
          </w:tcPr>
          <w:p w14:paraId="272D17D4"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imes New Roman" w:hAnsi="Times New Roman" w:cs="Times New Roman"/>
                <w:bCs/>
                <w:color w:val="000000"/>
                <w:sz w:val="20"/>
                <w:szCs w:val="20"/>
              </w:rPr>
            </w:pPr>
            <w:r w:rsidRPr="00563D71">
              <w:rPr>
                <w:rFonts w:ascii="Times New Roman" w:hAnsi="Times New Roman" w:cs="Times New Roman"/>
                <w:color w:val="000000"/>
                <w:sz w:val="20"/>
                <w:szCs w:val="20"/>
              </w:rPr>
              <w:t>Promotion of tourism destinations</w:t>
            </w:r>
          </w:p>
        </w:tc>
        <w:tc>
          <w:tcPr>
            <w:tcW w:w="1294" w:type="dxa"/>
            <w:shd w:val="clear" w:color="auto" w:fill="auto"/>
            <w:vAlign w:val="center"/>
          </w:tcPr>
          <w:p w14:paraId="07F7EA6C"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42C1197A" w14:textId="77777777" w:rsidTr="0032029F">
        <w:trPr>
          <w:trHeight w:val="215"/>
          <w:jc w:val="center"/>
        </w:trPr>
        <w:tc>
          <w:tcPr>
            <w:tcW w:w="8095" w:type="dxa"/>
            <w:shd w:val="clear" w:color="auto" w:fill="auto"/>
            <w:vAlign w:val="center"/>
          </w:tcPr>
          <w:p w14:paraId="1FBA3359" w14:textId="77777777" w:rsidR="003C1105" w:rsidRPr="00563D71" w:rsidRDefault="003C1105" w:rsidP="003C1105">
            <w:pPr>
              <w:pStyle w:val="ListParagraph"/>
              <w:numPr>
                <w:ilvl w:val="0"/>
                <w:numId w:val="98"/>
              </w:numPr>
              <w:spacing w:before="0" w:after="0" w:line="240" w:lineRule="auto"/>
              <w:ind w:left="236" w:hanging="180"/>
              <w:contextualSpacing w:val="0"/>
              <w:jc w:val="left"/>
              <w:rPr>
                <w:rFonts w:ascii="Times New Roman" w:eastAsia="Times New Roman" w:hAnsi="Times New Roman" w:cs="Times New Roman"/>
                <w:bCs/>
                <w:color w:val="000000"/>
                <w:sz w:val="20"/>
                <w:szCs w:val="20"/>
              </w:rPr>
            </w:pPr>
            <w:r w:rsidRPr="00563D71">
              <w:rPr>
                <w:rFonts w:ascii="Times New Roman" w:hAnsi="Times New Roman" w:cs="Times New Roman"/>
                <w:color w:val="000000"/>
                <w:sz w:val="20"/>
                <w:szCs w:val="20"/>
              </w:rPr>
              <w:lastRenderedPageBreak/>
              <w:t>Promotion of National Tourism Brand</w:t>
            </w:r>
          </w:p>
        </w:tc>
        <w:tc>
          <w:tcPr>
            <w:tcW w:w="1294" w:type="dxa"/>
            <w:shd w:val="clear" w:color="auto" w:fill="auto"/>
            <w:vAlign w:val="center"/>
          </w:tcPr>
          <w:p w14:paraId="4550AB1C"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21451B37" w14:textId="77777777" w:rsidTr="0032029F">
        <w:trPr>
          <w:trHeight w:val="54"/>
          <w:jc w:val="center"/>
        </w:trPr>
        <w:tc>
          <w:tcPr>
            <w:tcW w:w="8095" w:type="dxa"/>
            <w:shd w:val="clear" w:color="auto" w:fill="auto"/>
            <w:vAlign w:val="center"/>
          </w:tcPr>
          <w:p w14:paraId="04FB4207" w14:textId="77777777" w:rsidR="003C1105" w:rsidRPr="00563D71" w:rsidRDefault="003C1105" w:rsidP="003C1105">
            <w:pPr>
              <w:pStyle w:val="ListParagraph"/>
              <w:numPr>
                <w:ilvl w:val="0"/>
                <w:numId w:val="98"/>
              </w:numPr>
              <w:spacing w:before="0" w:after="0" w:line="240" w:lineRule="auto"/>
              <w:ind w:left="236" w:hanging="180"/>
              <w:contextualSpacing w:val="0"/>
              <w:jc w:val="left"/>
              <w:rPr>
                <w:rFonts w:ascii="Times New Roman" w:eastAsia="Times New Roman" w:hAnsi="Times New Roman" w:cs="Times New Roman"/>
                <w:bCs/>
                <w:color w:val="000000"/>
                <w:sz w:val="20"/>
                <w:szCs w:val="20"/>
              </w:rPr>
            </w:pPr>
            <w:r w:rsidRPr="00563D71">
              <w:rPr>
                <w:rFonts w:ascii="Times New Roman" w:hAnsi="Times New Roman" w:cs="Times New Roman"/>
                <w:color w:val="000000"/>
                <w:sz w:val="20"/>
                <w:szCs w:val="20"/>
              </w:rPr>
              <w:t xml:space="preserve">Marketing through online, electronic, printed, and social media </w:t>
            </w:r>
          </w:p>
        </w:tc>
        <w:tc>
          <w:tcPr>
            <w:tcW w:w="1294" w:type="dxa"/>
            <w:shd w:val="clear" w:color="auto" w:fill="auto"/>
            <w:vAlign w:val="center"/>
          </w:tcPr>
          <w:p w14:paraId="3620BED1"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5F3A0765" w14:textId="77777777" w:rsidTr="0032029F">
        <w:trPr>
          <w:trHeight w:val="54"/>
          <w:jc w:val="center"/>
        </w:trPr>
        <w:tc>
          <w:tcPr>
            <w:tcW w:w="8095" w:type="dxa"/>
            <w:shd w:val="clear" w:color="auto" w:fill="DEEAF6" w:themeFill="accent1" w:themeFillTint="33"/>
            <w:vAlign w:val="center"/>
          </w:tcPr>
          <w:p w14:paraId="7331C4CD" w14:textId="77777777" w:rsidR="003C1105" w:rsidRPr="00563D71" w:rsidRDefault="003C1105" w:rsidP="00A14DEE">
            <w:pPr>
              <w:spacing w:before="0"/>
              <w:rPr>
                <w:bCs/>
                <w:sz w:val="20"/>
                <w:szCs w:val="20"/>
              </w:rPr>
            </w:pPr>
            <w:r w:rsidRPr="00563D71">
              <w:rPr>
                <w:b/>
                <w:bCs/>
                <w:sz w:val="20"/>
                <w:szCs w:val="20"/>
              </w:rPr>
              <w:t xml:space="preserve">Objective 2: </w:t>
            </w:r>
            <w:r w:rsidRPr="00563D71">
              <w:rPr>
                <w:sz w:val="20"/>
                <w:szCs w:val="20"/>
              </w:rPr>
              <w:t>Destination development of priority tourism destinations</w:t>
            </w:r>
            <w:r w:rsidRPr="00563D71">
              <w:rPr>
                <w:b/>
                <w:bCs/>
                <w:sz w:val="20"/>
                <w:szCs w:val="20"/>
              </w:rPr>
              <w:t xml:space="preserve"> </w:t>
            </w:r>
          </w:p>
        </w:tc>
        <w:tc>
          <w:tcPr>
            <w:tcW w:w="1294" w:type="dxa"/>
            <w:shd w:val="clear" w:color="auto" w:fill="DEEAF6" w:themeFill="accent1" w:themeFillTint="33"/>
            <w:vAlign w:val="center"/>
          </w:tcPr>
          <w:p w14:paraId="5757D2AC"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777235E4" w14:textId="77777777" w:rsidTr="0032029F">
        <w:trPr>
          <w:trHeight w:val="54"/>
          <w:jc w:val="center"/>
        </w:trPr>
        <w:tc>
          <w:tcPr>
            <w:tcW w:w="8095" w:type="dxa"/>
            <w:shd w:val="clear" w:color="auto" w:fill="DEEAF6" w:themeFill="accent1" w:themeFillTint="33"/>
            <w:vAlign w:val="center"/>
          </w:tcPr>
          <w:p w14:paraId="503A91A5"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 xml:space="preserve">Development of transportation infrastructure and facilities </w:t>
            </w:r>
          </w:p>
        </w:tc>
        <w:tc>
          <w:tcPr>
            <w:tcW w:w="1294" w:type="dxa"/>
            <w:shd w:val="clear" w:color="auto" w:fill="DEEAF6" w:themeFill="accent1" w:themeFillTint="33"/>
            <w:vAlign w:val="center"/>
          </w:tcPr>
          <w:p w14:paraId="71F24C9E"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73737639" w14:textId="77777777" w:rsidTr="0032029F">
        <w:trPr>
          <w:trHeight w:val="54"/>
          <w:jc w:val="center"/>
        </w:trPr>
        <w:tc>
          <w:tcPr>
            <w:tcW w:w="8095" w:type="dxa"/>
            <w:shd w:val="clear" w:color="auto" w:fill="DEEAF6" w:themeFill="accent1" w:themeFillTint="33"/>
            <w:vAlign w:val="center"/>
          </w:tcPr>
          <w:p w14:paraId="738A6CA1"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 xml:space="preserve">Basic infrastructure and services </w:t>
            </w:r>
          </w:p>
        </w:tc>
        <w:tc>
          <w:tcPr>
            <w:tcW w:w="1294" w:type="dxa"/>
            <w:shd w:val="clear" w:color="auto" w:fill="DEEAF6" w:themeFill="accent1" w:themeFillTint="33"/>
            <w:vAlign w:val="center"/>
          </w:tcPr>
          <w:p w14:paraId="20763F9F"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3E6CD6FA" w14:textId="77777777" w:rsidTr="0032029F">
        <w:trPr>
          <w:trHeight w:val="153"/>
          <w:jc w:val="center"/>
        </w:trPr>
        <w:tc>
          <w:tcPr>
            <w:tcW w:w="8095" w:type="dxa"/>
            <w:shd w:val="clear" w:color="auto" w:fill="FFFFFF" w:themeFill="background1"/>
            <w:vAlign w:val="center"/>
            <w:hideMark/>
          </w:tcPr>
          <w:p w14:paraId="2F8B6324"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 xml:space="preserve">Electricity and fuel supply </w:t>
            </w:r>
          </w:p>
        </w:tc>
        <w:tc>
          <w:tcPr>
            <w:tcW w:w="1294" w:type="dxa"/>
            <w:shd w:val="clear" w:color="auto" w:fill="FFFFFF" w:themeFill="background1"/>
            <w:vAlign w:val="center"/>
            <w:hideMark/>
          </w:tcPr>
          <w:p w14:paraId="11672E6D"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0054BFA8" w14:textId="77777777" w:rsidTr="0032029F">
        <w:trPr>
          <w:trHeight w:val="245"/>
          <w:jc w:val="center"/>
        </w:trPr>
        <w:tc>
          <w:tcPr>
            <w:tcW w:w="8095" w:type="dxa"/>
            <w:shd w:val="clear" w:color="auto" w:fill="DEEAF6" w:themeFill="accent1" w:themeFillTint="33"/>
            <w:vAlign w:val="center"/>
          </w:tcPr>
          <w:p w14:paraId="70800451"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Preparation of tourism attractions</w:t>
            </w:r>
          </w:p>
        </w:tc>
        <w:tc>
          <w:tcPr>
            <w:tcW w:w="1294" w:type="dxa"/>
            <w:shd w:val="clear" w:color="auto" w:fill="DEEAF6" w:themeFill="accent1" w:themeFillTint="33"/>
            <w:vAlign w:val="center"/>
          </w:tcPr>
          <w:p w14:paraId="7A328CE9"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55B20AA6" w14:textId="77777777" w:rsidTr="0032029F">
        <w:trPr>
          <w:trHeight w:val="70"/>
          <w:jc w:val="center"/>
        </w:trPr>
        <w:tc>
          <w:tcPr>
            <w:tcW w:w="8095" w:type="dxa"/>
            <w:shd w:val="clear" w:color="auto" w:fill="DEEAF6" w:themeFill="accent1" w:themeFillTint="33"/>
            <w:vAlign w:val="center"/>
          </w:tcPr>
          <w:p w14:paraId="4E4950FE"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 xml:space="preserve">Institutional development </w:t>
            </w:r>
          </w:p>
        </w:tc>
        <w:tc>
          <w:tcPr>
            <w:tcW w:w="1294" w:type="dxa"/>
            <w:shd w:val="clear" w:color="auto" w:fill="DEEAF6" w:themeFill="accent1" w:themeFillTint="33"/>
            <w:vAlign w:val="center"/>
          </w:tcPr>
          <w:p w14:paraId="6DB50C9E"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58888856" w14:textId="77777777" w:rsidTr="0032029F">
        <w:trPr>
          <w:trHeight w:val="245"/>
          <w:jc w:val="center"/>
        </w:trPr>
        <w:tc>
          <w:tcPr>
            <w:tcW w:w="8095" w:type="dxa"/>
            <w:shd w:val="clear" w:color="auto" w:fill="DEEAF6" w:themeFill="accent1" w:themeFillTint="33"/>
            <w:vAlign w:val="center"/>
          </w:tcPr>
          <w:p w14:paraId="2A4F68E2"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Tourism development coordination</w:t>
            </w:r>
          </w:p>
        </w:tc>
        <w:tc>
          <w:tcPr>
            <w:tcW w:w="1294" w:type="dxa"/>
            <w:shd w:val="clear" w:color="auto" w:fill="DEEAF6" w:themeFill="accent1" w:themeFillTint="33"/>
            <w:vAlign w:val="center"/>
          </w:tcPr>
          <w:p w14:paraId="43777321"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6A8DDD5A" w14:textId="77777777" w:rsidTr="0032029F">
        <w:trPr>
          <w:trHeight w:val="245"/>
          <w:jc w:val="center"/>
        </w:trPr>
        <w:tc>
          <w:tcPr>
            <w:tcW w:w="8095" w:type="dxa"/>
            <w:shd w:val="clear" w:color="auto" w:fill="DEEAF6" w:themeFill="accent1" w:themeFillTint="33"/>
            <w:vAlign w:val="center"/>
          </w:tcPr>
          <w:p w14:paraId="08E332CC" w14:textId="77777777" w:rsidR="003C1105" w:rsidRPr="00563D71" w:rsidRDefault="003C1105" w:rsidP="00A14DEE">
            <w:pPr>
              <w:spacing w:before="0"/>
              <w:rPr>
                <w:sz w:val="20"/>
                <w:szCs w:val="20"/>
              </w:rPr>
            </w:pPr>
            <w:r w:rsidRPr="00563D71">
              <w:rPr>
                <w:b/>
                <w:bCs/>
                <w:sz w:val="20"/>
                <w:szCs w:val="20"/>
              </w:rPr>
              <w:t>Objective 3:</w:t>
            </w:r>
            <w:r w:rsidRPr="00563D71">
              <w:rPr>
                <w:sz w:val="20"/>
                <w:szCs w:val="20"/>
              </w:rPr>
              <w:t xml:space="preserve"> Human resource and institutional development</w:t>
            </w:r>
          </w:p>
        </w:tc>
        <w:tc>
          <w:tcPr>
            <w:tcW w:w="1294" w:type="dxa"/>
            <w:shd w:val="clear" w:color="auto" w:fill="DEEAF6" w:themeFill="accent1" w:themeFillTint="33"/>
            <w:vAlign w:val="center"/>
          </w:tcPr>
          <w:p w14:paraId="0F2070A3"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31408953" w14:textId="77777777" w:rsidTr="0032029F">
        <w:trPr>
          <w:trHeight w:val="245"/>
          <w:jc w:val="center"/>
        </w:trPr>
        <w:tc>
          <w:tcPr>
            <w:tcW w:w="8095" w:type="dxa"/>
            <w:shd w:val="clear" w:color="auto" w:fill="FFFFFF" w:themeFill="background1"/>
            <w:vAlign w:val="center"/>
          </w:tcPr>
          <w:p w14:paraId="5F71B21D"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Preparation of human resource and institutional NSPK (norm, standard, procedure, criteria)</w:t>
            </w:r>
          </w:p>
        </w:tc>
        <w:tc>
          <w:tcPr>
            <w:tcW w:w="1294" w:type="dxa"/>
            <w:shd w:val="clear" w:color="auto" w:fill="FFFFFF" w:themeFill="background1"/>
            <w:vAlign w:val="center"/>
          </w:tcPr>
          <w:p w14:paraId="27CAFC5F"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05E413A3" w14:textId="77777777" w:rsidTr="0032029F">
        <w:trPr>
          <w:trHeight w:val="245"/>
          <w:jc w:val="center"/>
        </w:trPr>
        <w:tc>
          <w:tcPr>
            <w:tcW w:w="8095" w:type="dxa"/>
            <w:shd w:val="clear" w:color="auto" w:fill="DEEAF6" w:themeFill="accent1" w:themeFillTint="33"/>
            <w:vAlign w:val="center"/>
          </w:tcPr>
          <w:p w14:paraId="13E11391"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Quality Improvement of Tourism Tertiary Education</w:t>
            </w:r>
          </w:p>
        </w:tc>
        <w:tc>
          <w:tcPr>
            <w:tcW w:w="1294" w:type="dxa"/>
            <w:shd w:val="clear" w:color="auto" w:fill="DEEAF6" w:themeFill="accent1" w:themeFillTint="33"/>
            <w:vAlign w:val="center"/>
          </w:tcPr>
          <w:p w14:paraId="3CB8500F"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7ABB4F71" w14:textId="77777777" w:rsidTr="0032029F">
        <w:trPr>
          <w:trHeight w:val="245"/>
          <w:jc w:val="center"/>
        </w:trPr>
        <w:tc>
          <w:tcPr>
            <w:tcW w:w="8095" w:type="dxa"/>
            <w:shd w:val="clear" w:color="auto" w:fill="DEEAF6" w:themeFill="accent1" w:themeFillTint="33"/>
            <w:vAlign w:val="center"/>
          </w:tcPr>
          <w:p w14:paraId="19D212EF"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Quality Improvement of Tourism Vocational School</w:t>
            </w:r>
          </w:p>
        </w:tc>
        <w:tc>
          <w:tcPr>
            <w:tcW w:w="1294" w:type="dxa"/>
            <w:shd w:val="clear" w:color="auto" w:fill="DEEAF6" w:themeFill="accent1" w:themeFillTint="33"/>
            <w:vAlign w:val="center"/>
          </w:tcPr>
          <w:p w14:paraId="2B2D0F93"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19B203A7" w14:textId="77777777" w:rsidTr="0032029F">
        <w:trPr>
          <w:trHeight w:val="245"/>
          <w:jc w:val="center"/>
        </w:trPr>
        <w:tc>
          <w:tcPr>
            <w:tcW w:w="8095" w:type="dxa"/>
            <w:shd w:val="clear" w:color="auto" w:fill="FFFFFF" w:themeFill="background1"/>
            <w:vAlign w:val="center"/>
          </w:tcPr>
          <w:p w14:paraId="7EE3A878"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Quality Improvement of other tourism school</w:t>
            </w:r>
          </w:p>
        </w:tc>
        <w:tc>
          <w:tcPr>
            <w:tcW w:w="1294" w:type="dxa"/>
            <w:shd w:val="clear" w:color="auto" w:fill="FFFFFF" w:themeFill="background1"/>
            <w:vAlign w:val="center"/>
          </w:tcPr>
          <w:p w14:paraId="7EC2FEB3"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426B013F" w14:textId="77777777" w:rsidTr="0032029F">
        <w:trPr>
          <w:trHeight w:val="245"/>
          <w:jc w:val="center"/>
        </w:trPr>
        <w:tc>
          <w:tcPr>
            <w:tcW w:w="8095" w:type="dxa"/>
            <w:shd w:val="clear" w:color="auto" w:fill="DEEAF6" w:themeFill="accent1" w:themeFillTint="33"/>
            <w:vAlign w:val="center"/>
          </w:tcPr>
          <w:p w14:paraId="5D42E36D"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 xml:space="preserve">Training and Certification </w:t>
            </w:r>
          </w:p>
        </w:tc>
        <w:tc>
          <w:tcPr>
            <w:tcW w:w="1294" w:type="dxa"/>
            <w:shd w:val="clear" w:color="auto" w:fill="DEEAF6" w:themeFill="accent1" w:themeFillTint="33"/>
            <w:vAlign w:val="center"/>
          </w:tcPr>
          <w:p w14:paraId="6A1BAA8E"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536C856E" w14:textId="77777777" w:rsidTr="0032029F">
        <w:trPr>
          <w:trHeight w:val="245"/>
          <w:jc w:val="center"/>
        </w:trPr>
        <w:tc>
          <w:tcPr>
            <w:tcW w:w="8095" w:type="dxa"/>
            <w:shd w:val="clear" w:color="auto" w:fill="DEEAF6" w:themeFill="accent1" w:themeFillTint="33"/>
            <w:vAlign w:val="center"/>
          </w:tcPr>
          <w:p w14:paraId="1E1BAACD"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Tourism Institutional Development</w:t>
            </w:r>
          </w:p>
        </w:tc>
        <w:tc>
          <w:tcPr>
            <w:tcW w:w="1294" w:type="dxa"/>
            <w:shd w:val="clear" w:color="auto" w:fill="DEEAF6" w:themeFill="accent1" w:themeFillTint="33"/>
            <w:vAlign w:val="center"/>
          </w:tcPr>
          <w:p w14:paraId="267436F1"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5EEF8B5D" w14:textId="77777777" w:rsidTr="0032029F">
        <w:trPr>
          <w:trHeight w:val="245"/>
          <w:jc w:val="center"/>
        </w:trPr>
        <w:tc>
          <w:tcPr>
            <w:tcW w:w="8095" w:type="dxa"/>
            <w:shd w:val="clear" w:color="auto" w:fill="FFFFFF" w:themeFill="background1"/>
            <w:vAlign w:val="center"/>
          </w:tcPr>
          <w:p w14:paraId="0547AA8D" w14:textId="77777777" w:rsidR="003C1105" w:rsidRPr="00563D71" w:rsidRDefault="003C1105" w:rsidP="00A14DEE">
            <w:pPr>
              <w:spacing w:before="0"/>
              <w:rPr>
                <w:b/>
                <w:bCs/>
                <w:sz w:val="20"/>
                <w:szCs w:val="20"/>
              </w:rPr>
            </w:pPr>
            <w:r w:rsidRPr="00563D71">
              <w:rPr>
                <w:b/>
                <w:bCs/>
                <w:sz w:val="20"/>
                <w:szCs w:val="20"/>
              </w:rPr>
              <w:t>Objective 4:</w:t>
            </w:r>
            <w:r w:rsidRPr="00563D71">
              <w:rPr>
                <w:sz w:val="20"/>
                <w:szCs w:val="20"/>
              </w:rPr>
              <w:t xml:space="preserve"> Entry facilities for Foreign Tourist</w:t>
            </w:r>
          </w:p>
        </w:tc>
        <w:tc>
          <w:tcPr>
            <w:tcW w:w="1294" w:type="dxa"/>
            <w:shd w:val="clear" w:color="auto" w:fill="FFFFFF" w:themeFill="background1"/>
            <w:vAlign w:val="center"/>
          </w:tcPr>
          <w:p w14:paraId="296691AE"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6F7EFE1C" w14:textId="77777777" w:rsidTr="0032029F">
        <w:trPr>
          <w:trHeight w:val="245"/>
          <w:jc w:val="center"/>
        </w:trPr>
        <w:tc>
          <w:tcPr>
            <w:tcW w:w="8095" w:type="dxa"/>
            <w:shd w:val="clear" w:color="auto" w:fill="FFFFFF" w:themeFill="background1"/>
            <w:vAlign w:val="center"/>
          </w:tcPr>
          <w:p w14:paraId="26C24FBF"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Ease of entry at Airport: Visa-free facility, visa upon arrival, flight diplomatic clearance</w:t>
            </w:r>
          </w:p>
        </w:tc>
        <w:tc>
          <w:tcPr>
            <w:tcW w:w="1294" w:type="dxa"/>
            <w:shd w:val="clear" w:color="auto" w:fill="FFFFFF" w:themeFill="background1"/>
            <w:vAlign w:val="center"/>
          </w:tcPr>
          <w:p w14:paraId="077A0784"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47446530" w14:textId="77777777" w:rsidTr="0032029F">
        <w:trPr>
          <w:trHeight w:val="245"/>
          <w:jc w:val="center"/>
        </w:trPr>
        <w:tc>
          <w:tcPr>
            <w:tcW w:w="8095" w:type="dxa"/>
            <w:shd w:val="clear" w:color="auto" w:fill="FFFFFF" w:themeFill="background1"/>
            <w:vAlign w:val="center"/>
          </w:tcPr>
          <w:p w14:paraId="75E769FC"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Ease of entry at Port: visa upon arrival, CAIT (Clearance and Approval for Indonesian Territory)</w:t>
            </w:r>
          </w:p>
        </w:tc>
        <w:tc>
          <w:tcPr>
            <w:tcW w:w="1294" w:type="dxa"/>
            <w:shd w:val="clear" w:color="auto" w:fill="FFFFFF" w:themeFill="background1"/>
          </w:tcPr>
          <w:p w14:paraId="49D9E574"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6F87DF6A" w14:textId="77777777" w:rsidTr="0032029F">
        <w:trPr>
          <w:trHeight w:val="245"/>
          <w:jc w:val="center"/>
        </w:trPr>
        <w:tc>
          <w:tcPr>
            <w:tcW w:w="8095" w:type="dxa"/>
            <w:shd w:val="clear" w:color="auto" w:fill="FFFFFF" w:themeFill="background1"/>
            <w:vAlign w:val="center"/>
          </w:tcPr>
          <w:p w14:paraId="25EAB84F"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Ease of entry at land-border station</w:t>
            </w:r>
          </w:p>
        </w:tc>
        <w:tc>
          <w:tcPr>
            <w:tcW w:w="1294" w:type="dxa"/>
            <w:shd w:val="clear" w:color="auto" w:fill="FFFFFF" w:themeFill="background1"/>
          </w:tcPr>
          <w:p w14:paraId="38AD6852"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5C096C90" w14:textId="77777777" w:rsidTr="0032029F">
        <w:trPr>
          <w:trHeight w:val="245"/>
          <w:jc w:val="center"/>
        </w:trPr>
        <w:tc>
          <w:tcPr>
            <w:tcW w:w="8095" w:type="dxa"/>
            <w:shd w:val="clear" w:color="auto" w:fill="DEEAF6" w:themeFill="accent1" w:themeFillTint="33"/>
            <w:vAlign w:val="center"/>
          </w:tcPr>
          <w:p w14:paraId="4A92C63D" w14:textId="77777777" w:rsidR="003C1105" w:rsidRPr="00563D71" w:rsidRDefault="003C1105" w:rsidP="00A14DEE">
            <w:pPr>
              <w:spacing w:before="0"/>
              <w:ind w:left="0"/>
              <w:rPr>
                <w:bCs/>
                <w:sz w:val="20"/>
                <w:szCs w:val="20"/>
              </w:rPr>
            </w:pPr>
            <w:r w:rsidRPr="00563D71">
              <w:rPr>
                <w:b/>
                <w:bCs/>
                <w:sz w:val="20"/>
                <w:szCs w:val="20"/>
              </w:rPr>
              <w:t>Objective 5:</w:t>
            </w:r>
            <w:r w:rsidRPr="00563D71">
              <w:rPr>
                <w:sz w:val="20"/>
                <w:szCs w:val="20"/>
              </w:rPr>
              <w:t xml:space="preserve"> local economy linkages and community awareness</w:t>
            </w:r>
          </w:p>
        </w:tc>
        <w:tc>
          <w:tcPr>
            <w:tcW w:w="1294" w:type="dxa"/>
            <w:shd w:val="clear" w:color="auto" w:fill="DEEAF6" w:themeFill="accent1" w:themeFillTint="33"/>
          </w:tcPr>
          <w:p w14:paraId="7BCBFF2D"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3B282D18" w14:textId="77777777" w:rsidTr="0032029F">
        <w:trPr>
          <w:trHeight w:val="245"/>
          <w:jc w:val="center"/>
        </w:trPr>
        <w:tc>
          <w:tcPr>
            <w:tcW w:w="8095" w:type="dxa"/>
            <w:shd w:val="clear" w:color="auto" w:fill="DEEAF6" w:themeFill="accent1" w:themeFillTint="33"/>
            <w:vAlign w:val="center"/>
          </w:tcPr>
          <w:p w14:paraId="7096BD08"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Community involvement and awareness of tourism development</w:t>
            </w:r>
          </w:p>
        </w:tc>
        <w:tc>
          <w:tcPr>
            <w:tcW w:w="1294" w:type="dxa"/>
            <w:shd w:val="clear" w:color="auto" w:fill="DEEAF6" w:themeFill="accent1" w:themeFillTint="33"/>
          </w:tcPr>
          <w:p w14:paraId="61DECB3F"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16909BF1" w14:textId="77777777" w:rsidTr="0032029F">
        <w:trPr>
          <w:trHeight w:val="245"/>
          <w:jc w:val="center"/>
        </w:trPr>
        <w:tc>
          <w:tcPr>
            <w:tcW w:w="8095" w:type="dxa"/>
            <w:shd w:val="clear" w:color="auto" w:fill="DEEAF6" w:themeFill="accent1" w:themeFillTint="33"/>
            <w:vAlign w:val="center"/>
          </w:tcPr>
          <w:p w14:paraId="0F56B934"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Tourism industry and small business development</w:t>
            </w:r>
          </w:p>
        </w:tc>
        <w:tc>
          <w:tcPr>
            <w:tcW w:w="1294" w:type="dxa"/>
            <w:shd w:val="clear" w:color="auto" w:fill="DEEAF6" w:themeFill="accent1" w:themeFillTint="33"/>
            <w:vAlign w:val="center"/>
          </w:tcPr>
          <w:p w14:paraId="0D0BBE4F"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2E876451" w14:textId="77777777" w:rsidTr="0032029F">
        <w:trPr>
          <w:trHeight w:val="245"/>
          <w:jc w:val="center"/>
        </w:trPr>
        <w:tc>
          <w:tcPr>
            <w:tcW w:w="8095" w:type="dxa"/>
            <w:shd w:val="clear" w:color="auto" w:fill="DEEAF6" w:themeFill="accent1" w:themeFillTint="33"/>
            <w:vAlign w:val="center"/>
          </w:tcPr>
          <w:p w14:paraId="44BB2BB7"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Skill development (hospitality) of tourism sector workers</w:t>
            </w:r>
          </w:p>
        </w:tc>
        <w:tc>
          <w:tcPr>
            <w:tcW w:w="1294" w:type="dxa"/>
            <w:shd w:val="clear" w:color="auto" w:fill="DEEAF6" w:themeFill="accent1" w:themeFillTint="33"/>
            <w:vAlign w:val="center"/>
          </w:tcPr>
          <w:p w14:paraId="5B88EA0A"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143084E5" w14:textId="77777777" w:rsidTr="0032029F">
        <w:trPr>
          <w:trHeight w:val="245"/>
          <w:jc w:val="center"/>
        </w:trPr>
        <w:tc>
          <w:tcPr>
            <w:tcW w:w="8095" w:type="dxa"/>
            <w:shd w:val="clear" w:color="auto" w:fill="DEEAF6" w:themeFill="accent1" w:themeFillTint="33"/>
            <w:vAlign w:val="center"/>
          </w:tcPr>
          <w:p w14:paraId="1B20335F"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eastAsiaTheme="minorHAnsi" w:hAnsi="Times New Roman" w:cs="Times New Roman"/>
                <w:color w:val="000000"/>
                <w:sz w:val="20"/>
                <w:szCs w:val="20"/>
              </w:rPr>
            </w:pPr>
            <w:r w:rsidRPr="00563D71">
              <w:rPr>
                <w:rFonts w:ascii="Times New Roman" w:hAnsi="Times New Roman" w:cs="Times New Roman"/>
                <w:color w:val="000000"/>
                <w:sz w:val="20"/>
                <w:szCs w:val="20"/>
              </w:rPr>
              <w:t xml:space="preserve">School involvement and awareness of tourism development </w:t>
            </w:r>
          </w:p>
        </w:tc>
        <w:tc>
          <w:tcPr>
            <w:tcW w:w="1294" w:type="dxa"/>
            <w:shd w:val="clear" w:color="auto" w:fill="DEEAF6" w:themeFill="accent1" w:themeFillTint="33"/>
            <w:vAlign w:val="center"/>
          </w:tcPr>
          <w:p w14:paraId="3D5F82FA"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5ECAD949" w14:textId="77777777" w:rsidTr="0032029F">
        <w:trPr>
          <w:trHeight w:val="245"/>
          <w:jc w:val="center"/>
        </w:trPr>
        <w:tc>
          <w:tcPr>
            <w:tcW w:w="8095" w:type="dxa"/>
            <w:shd w:val="clear" w:color="auto" w:fill="DEEAF6" w:themeFill="accent1" w:themeFillTint="33"/>
            <w:vAlign w:val="center"/>
          </w:tcPr>
          <w:p w14:paraId="2466F107" w14:textId="77777777" w:rsidR="003C1105" w:rsidRPr="00563D71" w:rsidRDefault="003C1105" w:rsidP="00A14DEE">
            <w:pPr>
              <w:spacing w:before="0"/>
              <w:ind w:left="0"/>
              <w:rPr>
                <w:bCs/>
                <w:sz w:val="20"/>
                <w:szCs w:val="20"/>
              </w:rPr>
            </w:pPr>
            <w:r w:rsidRPr="00563D71">
              <w:rPr>
                <w:b/>
                <w:bCs/>
                <w:sz w:val="20"/>
                <w:szCs w:val="20"/>
              </w:rPr>
              <w:t>Objective 6:</w:t>
            </w:r>
            <w:r w:rsidRPr="00563D71">
              <w:rPr>
                <w:sz w:val="20"/>
                <w:szCs w:val="20"/>
              </w:rPr>
              <w:t xml:space="preserve"> safety and security and health and hygiene</w:t>
            </w:r>
          </w:p>
        </w:tc>
        <w:tc>
          <w:tcPr>
            <w:tcW w:w="1294" w:type="dxa"/>
            <w:shd w:val="clear" w:color="auto" w:fill="DEEAF6" w:themeFill="accent1" w:themeFillTint="33"/>
            <w:vAlign w:val="center"/>
          </w:tcPr>
          <w:p w14:paraId="1C3956FD" w14:textId="77777777" w:rsidR="003C1105" w:rsidRPr="00563D71" w:rsidRDefault="003C1105" w:rsidP="00A14DEE">
            <w:pPr>
              <w:spacing w:before="0"/>
              <w:jc w:val="center"/>
              <w:rPr>
                <w:iCs/>
                <w:sz w:val="20"/>
                <w:szCs w:val="20"/>
              </w:rPr>
            </w:pPr>
            <w:r w:rsidRPr="00563D71">
              <w:rPr>
                <w:iCs/>
                <w:sz w:val="20"/>
                <w:szCs w:val="20"/>
              </w:rPr>
              <w:t>Y/N</w:t>
            </w:r>
          </w:p>
        </w:tc>
      </w:tr>
      <w:tr w:rsidR="003C1105" w:rsidRPr="00563D71" w14:paraId="45C916DB" w14:textId="77777777" w:rsidTr="0032029F">
        <w:trPr>
          <w:trHeight w:val="245"/>
          <w:jc w:val="center"/>
        </w:trPr>
        <w:tc>
          <w:tcPr>
            <w:tcW w:w="8095" w:type="dxa"/>
            <w:shd w:val="clear" w:color="auto" w:fill="FFFFFF" w:themeFill="background1"/>
            <w:vAlign w:val="center"/>
          </w:tcPr>
          <w:p w14:paraId="26FEBA42"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Safety and security</w:t>
            </w:r>
          </w:p>
        </w:tc>
        <w:tc>
          <w:tcPr>
            <w:tcW w:w="1294" w:type="dxa"/>
            <w:shd w:val="clear" w:color="auto" w:fill="FFFFFF" w:themeFill="background1"/>
            <w:vAlign w:val="center"/>
          </w:tcPr>
          <w:p w14:paraId="153C4FAB" w14:textId="77777777" w:rsidR="003C1105" w:rsidRPr="00563D71" w:rsidRDefault="003C1105" w:rsidP="00A14DEE">
            <w:pPr>
              <w:spacing w:before="0"/>
              <w:jc w:val="center"/>
              <w:rPr>
                <w:iCs/>
                <w:sz w:val="20"/>
                <w:szCs w:val="20"/>
              </w:rPr>
            </w:pPr>
            <w:r w:rsidRPr="00563D71">
              <w:rPr>
                <w:iCs/>
                <w:sz w:val="20"/>
                <w:szCs w:val="20"/>
              </w:rPr>
              <w:t>N</w:t>
            </w:r>
          </w:p>
        </w:tc>
      </w:tr>
      <w:tr w:rsidR="003C1105" w:rsidRPr="00563D71" w14:paraId="280CE097" w14:textId="77777777" w:rsidTr="0032029F">
        <w:trPr>
          <w:trHeight w:val="245"/>
          <w:jc w:val="center"/>
        </w:trPr>
        <w:tc>
          <w:tcPr>
            <w:tcW w:w="8095" w:type="dxa"/>
            <w:shd w:val="clear" w:color="auto" w:fill="DEEAF6" w:themeFill="accent1" w:themeFillTint="33"/>
            <w:vAlign w:val="center"/>
          </w:tcPr>
          <w:p w14:paraId="4E7EB131"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Health and hygiene and sustainability</w:t>
            </w:r>
          </w:p>
        </w:tc>
        <w:tc>
          <w:tcPr>
            <w:tcW w:w="1294" w:type="dxa"/>
            <w:shd w:val="clear" w:color="auto" w:fill="DEEAF6" w:themeFill="accent1" w:themeFillTint="33"/>
            <w:vAlign w:val="center"/>
          </w:tcPr>
          <w:p w14:paraId="6D607246" w14:textId="77777777" w:rsidR="003C1105" w:rsidRPr="00563D71" w:rsidRDefault="003C1105" w:rsidP="00A14DEE">
            <w:pPr>
              <w:spacing w:before="0"/>
              <w:jc w:val="center"/>
              <w:rPr>
                <w:iCs/>
                <w:sz w:val="20"/>
                <w:szCs w:val="20"/>
              </w:rPr>
            </w:pPr>
            <w:r w:rsidRPr="00563D71">
              <w:rPr>
                <w:iCs/>
                <w:sz w:val="20"/>
                <w:szCs w:val="20"/>
              </w:rPr>
              <w:t>Y</w:t>
            </w:r>
          </w:p>
        </w:tc>
      </w:tr>
      <w:tr w:rsidR="003C1105" w:rsidRPr="00563D71" w14:paraId="6E2B4898" w14:textId="77777777" w:rsidTr="0032029F">
        <w:trPr>
          <w:trHeight w:val="245"/>
          <w:jc w:val="center"/>
        </w:trPr>
        <w:tc>
          <w:tcPr>
            <w:tcW w:w="8095" w:type="dxa"/>
            <w:shd w:val="clear" w:color="auto" w:fill="DEEAF6" w:themeFill="accent1" w:themeFillTint="33"/>
            <w:vAlign w:val="center"/>
          </w:tcPr>
          <w:p w14:paraId="1110CFC2" w14:textId="77777777" w:rsidR="003C1105" w:rsidRPr="00563D71" w:rsidRDefault="003C1105" w:rsidP="003C1105">
            <w:pPr>
              <w:pStyle w:val="ListParagraph"/>
              <w:numPr>
                <w:ilvl w:val="0"/>
                <w:numId w:val="98"/>
              </w:numPr>
              <w:spacing w:before="0" w:after="0" w:line="240" w:lineRule="auto"/>
              <w:ind w:left="236" w:hanging="180"/>
              <w:jc w:val="left"/>
              <w:rPr>
                <w:rFonts w:ascii="Times New Roman" w:hAnsi="Times New Roman" w:cs="Times New Roman"/>
                <w:color w:val="000000"/>
                <w:sz w:val="20"/>
                <w:szCs w:val="20"/>
              </w:rPr>
            </w:pPr>
            <w:r w:rsidRPr="00563D71">
              <w:rPr>
                <w:rFonts w:ascii="Times New Roman" w:hAnsi="Times New Roman" w:cs="Times New Roman"/>
                <w:color w:val="000000"/>
                <w:sz w:val="20"/>
                <w:szCs w:val="20"/>
              </w:rPr>
              <w:t xml:space="preserve">Disaster-risk management </w:t>
            </w:r>
          </w:p>
        </w:tc>
        <w:tc>
          <w:tcPr>
            <w:tcW w:w="1294" w:type="dxa"/>
            <w:shd w:val="clear" w:color="auto" w:fill="DEEAF6" w:themeFill="accent1" w:themeFillTint="33"/>
            <w:vAlign w:val="center"/>
          </w:tcPr>
          <w:p w14:paraId="4CFF0338" w14:textId="77777777" w:rsidR="003C1105" w:rsidRPr="00563D71" w:rsidRDefault="003C1105" w:rsidP="00A14DEE">
            <w:pPr>
              <w:spacing w:before="0"/>
              <w:jc w:val="center"/>
              <w:rPr>
                <w:iCs/>
                <w:sz w:val="20"/>
                <w:szCs w:val="20"/>
              </w:rPr>
            </w:pPr>
            <w:r w:rsidRPr="00563D71">
              <w:rPr>
                <w:iCs/>
                <w:sz w:val="20"/>
                <w:szCs w:val="20"/>
              </w:rPr>
              <w:t>Y</w:t>
            </w:r>
          </w:p>
        </w:tc>
      </w:tr>
    </w:tbl>
    <w:p w14:paraId="3C91A305" w14:textId="09925A0D" w:rsidR="003C1105" w:rsidRPr="00563D71" w:rsidRDefault="00A917FB" w:rsidP="00CF22F2">
      <w:pPr>
        <w:pStyle w:val="MainParanoChapter-Ch3"/>
        <w:numPr>
          <w:ilvl w:val="0"/>
          <w:numId w:val="0"/>
        </w:numPr>
        <w:rPr>
          <w:sz w:val="20"/>
          <w:szCs w:val="20"/>
        </w:rPr>
      </w:pPr>
      <w:r w:rsidRPr="00563D71">
        <w:rPr>
          <w:b/>
          <w:sz w:val="20"/>
          <w:szCs w:val="20"/>
        </w:rPr>
        <w:t>*</w:t>
      </w:r>
      <w:r w:rsidRPr="00563D71">
        <w:rPr>
          <w:sz w:val="20"/>
          <w:szCs w:val="20"/>
        </w:rPr>
        <w:t xml:space="preserve"> Y=yes; N=no.</w:t>
      </w:r>
    </w:p>
    <w:p w14:paraId="693A06DC" w14:textId="77777777" w:rsidR="00A917FB" w:rsidRPr="00563D71" w:rsidRDefault="00A917FB" w:rsidP="00CF22F2">
      <w:pPr>
        <w:pStyle w:val="MainParanoChapter-Ch3"/>
        <w:numPr>
          <w:ilvl w:val="0"/>
          <w:numId w:val="0"/>
        </w:numPr>
        <w:rPr>
          <w:b/>
        </w:rPr>
      </w:pPr>
    </w:p>
    <w:p w14:paraId="6062131E" w14:textId="4B2677FA" w:rsidR="00CD2D43" w:rsidRPr="00563D71" w:rsidRDefault="00CD2D43" w:rsidP="007111D5">
      <w:pPr>
        <w:pStyle w:val="MainParanoChapter-Ch3"/>
        <w:rPr>
          <w:bCs/>
        </w:rPr>
      </w:pPr>
      <w:r w:rsidRPr="00563D71">
        <w:rPr>
          <w:bCs/>
          <w:u w:val="single"/>
        </w:rPr>
        <w:t>Results Area 1: Improve sustainability and tourism carrying capacity of selected destinations</w:t>
      </w:r>
      <w:r w:rsidRPr="00563D71">
        <w:rPr>
          <w:bCs/>
        </w:rPr>
        <w:t xml:space="preserve">. The scope of activities under this results area aims to enhance the motorized and non-motorized physical accessibility of the three priority destinations and their tourism attractions, as well as the availability and quality of services essential for a satisfactory visitor experience and for preserving natural and cultural assets. To this end, and considering the needs identified in the three destinations, TDP </w:t>
      </w:r>
      <w:r w:rsidR="002266CC" w:rsidRPr="00563D71">
        <w:rPr>
          <w:bCs/>
          <w:szCs w:val="22"/>
        </w:rPr>
        <w:t>sub-Program</w:t>
      </w:r>
      <w:r w:rsidRPr="00563D71">
        <w:rPr>
          <w:bCs/>
          <w:szCs w:val="22"/>
        </w:rPr>
        <w:t xml:space="preserve"> 1 will support: </w:t>
      </w:r>
    </w:p>
    <w:p w14:paraId="131E320D" w14:textId="77777777" w:rsidR="00293831" w:rsidRPr="00563D71" w:rsidRDefault="00293831" w:rsidP="003D2E29">
      <w:pPr>
        <w:pStyle w:val="MainParanoChapter-Ch3"/>
        <w:numPr>
          <w:ilvl w:val="0"/>
          <w:numId w:val="0"/>
        </w:numPr>
        <w:rPr>
          <w:b/>
        </w:rPr>
      </w:pPr>
    </w:p>
    <w:p w14:paraId="2D8447D5" w14:textId="64FEE710" w:rsidR="00CD2D43" w:rsidRPr="00563D71" w:rsidRDefault="00CD2D43" w:rsidP="007111D5">
      <w:pPr>
        <w:pStyle w:val="InfoSubject"/>
        <w:numPr>
          <w:ilvl w:val="0"/>
          <w:numId w:val="106"/>
        </w:numPr>
        <w:tabs>
          <w:tab w:val="clear" w:pos="1080"/>
          <w:tab w:val="right" w:pos="-360"/>
          <w:tab w:val="right" w:pos="0"/>
          <w:tab w:val="left" w:pos="720"/>
        </w:tabs>
        <w:autoSpaceDE w:val="0"/>
        <w:autoSpaceDN w:val="0"/>
        <w:adjustRightInd w:val="0"/>
        <w:spacing w:before="0" w:after="120"/>
        <w:jc w:val="both"/>
        <w:rPr>
          <w:b w:val="0"/>
          <w:sz w:val="24"/>
          <w:szCs w:val="24"/>
          <w:u w:val="none"/>
        </w:rPr>
      </w:pPr>
      <w:r w:rsidRPr="00563D71">
        <w:rPr>
          <w:b w:val="0"/>
          <w:sz w:val="24"/>
          <w:szCs w:val="24"/>
          <w:u w:val="none"/>
        </w:rPr>
        <w:t xml:space="preserve"> Road connectivity expenditures to improve the </w:t>
      </w:r>
      <w:r w:rsidR="002B2D3C" w:rsidRPr="00563D71">
        <w:rPr>
          <w:b w:val="0"/>
          <w:sz w:val="24"/>
          <w:szCs w:val="24"/>
          <w:u w:val="none"/>
        </w:rPr>
        <w:t xml:space="preserve">quality and </w:t>
      </w:r>
      <w:r w:rsidRPr="00563D71">
        <w:rPr>
          <w:b w:val="0"/>
          <w:sz w:val="24"/>
          <w:szCs w:val="24"/>
          <w:u w:val="none"/>
        </w:rPr>
        <w:t xml:space="preserve">maintenance of the existing road network in the destinations. This will include improving the </w:t>
      </w:r>
      <w:r w:rsidR="002B2D3C" w:rsidRPr="00563D71">
        <w:rPr>
          <w:b w:val="0"/>
          <w:sz w:val="24"/>
          <w:szCs w:val="24"/>
          <w:u w:val="none"/>
        </w:rPr>
        <w:t xml:space="preserve">quality and </w:t>
      </w:r>
      <w:r w:rsidRPr="00563D71">
        <w:rPr>
          <w:b w:val="0"/>
          <w:sz w:val="24"/>
          <w:szCs w:val="24"/>
          <w:u w:val="none"/>
        </w:rPr>
        <w:t xml:space="preserve">maintenance of the </w:t>
      </w:r>
      <w:r w:rsidR="002B2D3C" w:rsidRPr="00563D71">
        <w:rPr>
          <w:b w:val="0"/>
          <w:sz w:val="24"/>
          <w:szCs w:val="24"/>
          <w:u w:val="none"/>
        </w:rPr>
        <w:t xml:space="preserve">tourism-related </w:t>
      </w:r>
      <w:r w:rsidRPr="00563D71">
        <w:rPr>
          <w:b w:val="0"/>
          <w:sz w:val="24"/>
          <w:szCs w:val="24"/>
          <w:u w:val="none"/>
        </w:rPr>
        <w:t>network of national</w:t>
      </w:r>
      <w:r w:rsidR="002B2D3C" w:rsidRPr="00563D71">
        <w:rPr>
          <w:b w:val="0"/>
          <w:sz w:val="24"/>
          <w:szCs w:val="24"/>
          <w:u w:val="none"/>
        </w:rPr>
        <w:t xml:space="preserve">, provincial, and </w:t>
      </w:r>
      <w:r w:rsidR="00EF3C6E" w:rsidRPr="00563D71">
        <w:rPr>
          <w:b w:val="0"/>
          <w:i/>
          <w:sz w:val="24"/>
          <w:szCs w:val="24"/>
          <w:u w:val="none"/>
        </w:rPr>
        <w:t xml:space="preserve">Kabupaten </w:t>
      </w:r>
      <w:r w:rsidRPr="00563D71">
        <w:rPr>
          <w:b w:val="0"/>
          <w:sz w:val="24"/>
          <w:szCs w:val="24"/>
          <w:u w:val="none"/>
        </w:rPr>
        <w:t xml:space="preserve">roads in the destinations in accordance with national standards and targets for stable maintenance condition (i.e. International Roughness Index (IRI) &lt; 6). </w:t>
      </w:r>
    </w:p>
    <w:p w14:paraId="46C4795D" w14:textId="21F342DB" w:rsidR="00CD2D43" w:rsidRPr="00563D71" w:rsidRDefault="00CD2D43" w:rsidP="007111D5">
      <w:pPr>
        <w:pStyle w:val="InfoSubject"/>
        <w:numPr>
          <w:ilvl w:val="0"/>
          <w:numId w:val="106"/>
        </w:numPr>
        <w:tabs>
          <w:tab w:val="clear" w:pos="1080"/>
          <w:tab w:val="right" w:pos="-360"/>
          <w:tab w:val="right" w:pos="0"/>
          <w:tab w:val="left" w:pos="720"/>
        </w:tabs>
        <w:autoSpaceDE w:val="0"/>
        <w:autoSpaceDN w:val="0"/>
        <w:adjustRightInd w:val="0"/>
        <w:spacing w:before="0" w:after="120"/>
        <w:ind w:left="810"/>
        <w:jc w:val="both"/>
        <w:rPr>
          <w:b w:val="0"/>
          <w:sz w:val="24"/>
          <w:szCs w:val="24"/>
          <w:u w:val="none"/>
        </w:rPr>
      </w:pPr>
      <w:r w:rsidRPr="00563D71">
        <w:rPr>
          <w:b w:val="0"/>
          <w:sz w:val="24"/>
          <w:szCs w:val="24"/>
          <w:u w:val="none"/>
        </w:rPr>
        <w:t xml:space="preserve">Basic services and infrastructure expenditures, which include water supply, drainage and flood control, sanitation, waste water and solid waste management and cleanliness, and traffic management and parking.  </w:t>
      </w:r>
    </w:p>
    <w:p w14:paraId="7A70CD75" w14:textId="0C589092" w:rsidR="00CD2D43" w:rsidRPr="00563D71" w:rsidRDefault="00CD2D43" w:rsidP="007111D5">
      <w:pPr>
        <w:pStyle w:val="InfoSubject"/>
        <w:numPr>
          <w:ilvl w:val="0"/>
          <w:numId w:val="106"/>
        </w:numPr>
        <w:tabs>
          <w:tab w:val="clear" w:pos="1080"/>
          <w:tab w:val="right" w:pos="-360"/>
          <w:tab w:val="right" w:pos="0"/>
          <w:tab w:val="left" w:pos="720"/>
        </w:tabs>
        <w:autoSpaceDE w:val="0"/>
        <w:autoSpaceDN w:val="0"/>
        <w:adjustRightInd w:val="0"/>
        <w:spacing w:before="0" w:after="120"/>
        <w:ind w:left="810"/>
        <w:jc w:val="both"/>
        <w:rPr>
          <w:b w:val="0"/>
          <w:sz w:val="24"/>
          <w:szCs w:val="24"/>
          <w:u w:val="none"/>
        </w:rPr>
      </w:pPr>
      <w:r w:rsidRPr="00563D71">
        <w:rPr>
          <w:b w:val="0"/>
          <w:sz w:val="24"/>
          <w:szCs w:val="24"/>
          <w:u w:val="none"/>
        </w:rPr>
        <w:lastRenderedPageBreak/>
        <w:t>Tourism services and infrastructure expenditures, including pedestrian and non-motorized traffic facilities, visitor centers</w:t>
      </w:r>
      <w:r w:rsidR="000A457F" w:rsidRPr="00563D71">
        <w:rPr>
          <w:b w:val="0"/>
          <w:sz w:val="24"/>
          <w:szCs w:val="24"/>
          <w:u w:val="none"/>
        </w:rPr>
        <w:t>,</w:t>
      </w:r>
      <w:r w:rsidRPr="00563D71">
        <w:rPr>
          <w:b w:val="0"/>
          <w:sz w:val="24"/>
          <w:szCs w:val="24"/>
          <w:u w:val="none"/>
        </w:rPr>
        <w:t xml:space="preserve"> and signage.  </w:t>
      </w:r>
    </w:p>
    <w:p w14:paraId="5486F830" w14:textId="2D959BAA" w:rsidR="00CD2D43" w:rsidRPr="00B163C0" w:rsidRDefault="00CD2D43" w:rsidP="00B163C0">
      <w:pPr>
        <w:pStyle w:val="MainParanoChapter-Ch3"/>
      </w:pPr>
      <w:r w:rsidRPr="00B163C0">
        <w:t xml:space="preserve">The </w:t>
      </w:r>
      <w:r w:rsidR="000A457F" w:rsidRPr="00B163C0">
        <w:t xml:space="preserve">upgrading </w:t>
      </w:r>
      <w:r w:rsidRPr="00B163C0">
        <w:t>of basic services will increasingly be devised through a demand-driven and integrated planning approach. The TDP, also through the IFP component, will support the systems leading to integrated planning to help avoid mass tourism growth that exceeds the capacity of local infrastructure and natural and cultural resource management institutions. Finalizing the integrated tourism master</w:t>
      </w:r>
      <w:r w:rsidR="004A5C2F" w:rsidRPr="00B163C0">
        <w:t xml:space="preserve"> </w:t>
      </w:r>
      <w:r w:rsidRPr="00B163C0">
        <w:t xml:space="preserve">plans, however, is not a pre-requisite for starting </w:t>
      </w:r>
      <w:r w:rsidR="002266CC" w:rsidRPr="00B163C0">
        <w:t>sub-Program</w:t>
      </w:r>
      <w:r w:rsidRPr="00B163C0">
        <w:t xml:space="preserve"> 1</w:t>
      </w:r>
      <w:r w:rsidR="00EF3C6E" w:rsidRPr="00B163C0">
        <w:t xml:space="preserve"> in year 1 (2018)</w:t>
      </w:r>
      <w:r w:rsidRPr="00B163C0">
        <w:t xml:space="preserve">; the </w:t>
      </w:r>
      <w:r w:rsidR="00EF3C6E" w:rsidRPr="00B163C0">
        <w:t>D</w:t>
      </w:r>
      <w:r w:rsidRPr="00B163C0">
        <w:t xml:space="preserve">emand </w:t>
      </w:r>
      <w:r w:rsidR="00EF3C6E" w:rsidRPr="00B163C0">
        <w:t>A</w:t>
      </w:r>
      <w:r w:rsidRPr="00B163C0">
        <w:t>ssessments</w:t>
      </w:r>
      <w:r w:rsidR="00EF3C6E" w:rsidRPr="00400158">
        <w:rPr>
          <w:rStyle w:val="FootnoteReference"/>
        </w:rPr>
        <w:footnoteReference w:id="21"/>
      </w:r>
      <w:r w:rsidR="000C619E" w:rsidRPr="00B163C0">
        <w:t xml:space="preserve"> </w:t>
      </w:r>
      <w:r w:rsidRPr="00B163C0">
        <w:t>and</w:t>
      </w:r>
      <w:r w:rsidR="00EF3C6E" w:rsidRPr="00B163C0">
        <w:t xml:space="preserve"> </w:t>
      </w:r>
      <w:r w:rsidRPr="00B163C0">
        <w:t xml:space="preserve">initial </w:t>
      </w:r>
      <w:r w:rsidR="00EF3C6E" w:rsidRPr="00B163C0">
        <w:t xml:space="preserve">integrated tourism </w:t>
      </w:r>
      <w:r w:rsidRPr="00B163C0">
        <w:t xml:space="preserve">master planning findings can guide </w:t>
      </w:r>
      <w:r w:rsidR="00C9358A" w:rsidRPr="00B163C0">
        <w:t xml:space="preserve">year 1 </w:t>
      </w:r>
      <w:r w:rsidRPr="00B163C0">
        <w:t xml:space="preserve">expenditures, especially those proposed to be financed under the TDP, which focuses on addressing existing gaps and reversing environmental degradation. </w:t>
      </w:r>
      <w:r w:rsidR="000C619E" w:rsidRPr="00B163C0">
        <w:t xml:space="preserve">The first year would encompass investments that would be advisable no matter what the final outputs of the master plans would be. </w:t>
      </w:r>
      <w:r w:rsidR="00C9358A" w:rsidRPr="00B163C0">
        <w:t xml:space="preserve">For the first-year investments that will be implemented before the ITMPs are completed, the Program will rely on the two-level screening system described in </w:t>
      </w:r>
      <w:r w:rsidR="000C619E" w:rsidRPr="00B163C0">
        <w:t>Annex 3</w:t>
      </w:r>
      <w:r w:rsidR="00C375EA" w:rsidRPr="00B163C0">
        <w:t>.</w:t>
      </w:r>
      <w:r w:rsidR="00C375EA" w:rsidRPr="00B163C0">
        <w:rPr>
          <w:rFonts w:eastAsia="Calibri"/>
        </w:rPr>
        <w:t xml:space="preserve"> The</w:t>
      </w:r>
      <w:r w:rsidRPr="00B163C0">
        <w:rPr>
          <w:rFonts w:eastAsia="Calibri"/>
        </w:rPr>
        <w:t xml:space="preserve"> government </w:t>
      </w:r>
      <w:r w:rsidR="00C9358A" w:rsidRPr="00B163C0">
        <w:rPr>
          <w:rFonts w:eastAsia="Calibri"/>
        </w:rPr>
        <w:t xml:space="preserve">has gained experience with such screening, when an initial </w:t>
      </w:r>
      <w:r w:rsidRPr="00B163C0">
        <w:rPr>
          <w:rFonts w:eastAsia="Calibri"/>
        </w:rPr>
        <w:t xml:space="preserve">screening tool in 2016 </w:t>
      </w:r>
      <w:r w:rsidR="00C9358A" w:rsidRPr="00B163C0">
        <w:rPr>
          <w:rFonts w:eastAsia="Calibri"/>
        </w:rPr>
        <w:t xml:space="preserve">was developed </w:t>
      </w:r>
      <w:r w:rsidRPr="00B163C0">
        <w:rPr>
          <w:rFonts w:eastAsia="Calibri"/>
        </w:rPr>
        <w:t xml:space="preserve">and applied to the 2017 </w:t>
      </w:r>
      <w:r w:rsidR="00C9358A" w:rsidRPr="00B163C0">
        <w:rPr>
          <w:rFonts w:eastAsia="Calibri"/>
        </w:rPr>
        <w:t>government work plan</w:t>
      </w:r>
      <w:r w:rsidRPr="00B163C0">
        <w:rPr>
          <w:rFonts w:eastAsia="Calibri"/>
        </w:rPr>
        <w:t xml:space="preserve">. It is gradual and cautious to minimize risks focusing on the </w:t>
      </w:r>
      <w:r w:rsidR="00471D39" w:rsidRPr="00B163C0">
        <w:rPr>
          <w:rFonts w:eastAsia="Calibri"/>
        </w:rPr>
        <w:t xml:space="preserve">upgrading </w:t>
      </w:r>
      <w:r w:rsidRPr="00B163C0">
        <w:rPr>
          <w:rFonts w:eastAsia="Calibri"/>
        </w:rPr>
        <w:t xml:space="preserve">of basic services. </w:t>
      </w:r>
      <w:r w:rsidR="00934B1C" w:rsidRPr="00B163C0">
        <w:rPr>
          <w:rFonts w:eastAsia="Calibri"/>
        </w:rPr>
        <w:t xml:space="preserve">The </w:t>
      </w:r>
      <w:r w:rsidR="00EC4A1C" w:rsidRPr="00B163C0">
        <w:rPr>
          <w:rFonts w:eastAsia="Calibri"/>
        </w:rPr>
        <w:t xml:space="preserve">5-year </w:t>
      </w:r>
      <w:r w:rsidR="00934B1C" w:rsidRPr="00B163C0">
        <w:rPr>
          <w:rFonts w:eastAsia="Calibri"/>
        </w:rPr>
        <w:t xml:space="preserve">TDP will not include all infrastructure investments identified in the </w:t>
      </w:r>
      <w:r w:rsidR="00EC4A1C" w:rsidRPr="00B163C0">
        <w:rPr>
          <w:rFonts w:eastAsia="Calibri"/>
        </w:rPr>
        <w:t xml:space="preserve">25-year </w:t>
      </w:r>
      <w:r w:rsidR="00934B1C" w:rsidRPr="00B163C0">
        <w:rPr>
          <w:rFonts w:eastAsia="Calibri"/>
        </w:rPr>
        <w:t>ITMPs. First, based on the Demand Assessment</w:t>
      </w:r>
      <w:r w:rsidR="00EC4A1C" w:rsidRPr="00B163C0">
        <w:rPr>
          <w:rFonts w:eastAsia="Calibri"/>
        </w:rPr>
        <w:t xml:space="preserve"> and through results indicators 2-7, </w:t>
      </w:r>
      <w:r w:rsidR="00934B1C" w:rsidRPr="00B163C0">
        <w:t>the TDP focuses on addressing existing gaps and reversing environmental degradation.</w:t>
      </w:r>
      <w:r w:rsidR="00EC4A1C" w:rsidRPr="00B163C0">
        <w:t xml:space="preserve"> Second, </w:t>
      </w:r>
      <w:r w:rsidRPr="00B163C0">
        <w:rPr>
          <w:rFonts w:eastAsia="Calibri"/>
        </w:rPr>
        <w:t>new and larger investments</w:t>
      </w:r>
      <w:r w:rsidR="00EC4A1C" w:rsidRPr="00B163C0">
        <w:rPr>
          <w:rFonts w:eastAsia="Calibri"/>
        </w:rPr>
        <w:t xml:space="preserve"> are expected to be needed only in later phases of development, </w:t>
      </w:r>
      <w:r w:rsidRPr="00B163C0">
        <w:rPr>
          <w:rFonts w:eastAsia="Calibri"/>
        </w:rPr>
        <w:t xml:space="preserve">as </w:t>
      </w:r>
      <w:r w:rsidR="00EC4A1C" w:rsidRPr="00B163C0">
        <w:rPr>
          <w:rFonts w:eastAsia="Calibri"/>
        </w:rPr>
        <w:t xml:space="preserve">visitor </w:t>
      </w:r>
      <w:r w:rsidRPr="00B163C0">
        <w:rPr>
          <w:rFonts w:eastAsia="Calibri"/>
        </w:rPr>
        <w:t>demand increases.</w:t>
      </w:r>
      <w:r w:rsidRPr="00B163C0">
        <w:t xml:space="preserve"> </w:t>
      </w:r>
      <w:r w:rsidR="00EC4A1C" w:rsidRPr="00B163C0">
        <w:t xml:space="preserve">Third, the TDP will focus on the “key tourism areas” </w:t>
      </w:r>
      <w:r w:rsidR="005630F9" w:rsidRPr="00B163C0">
        <w:t>with</w:t>
      </w:r>
      <w:r w:rsidR="00EC4A1C" w:rsidRPr="00B163C0">
        <w:t xml:space="preserve">in the wider “tourism destination” (Table 7). </w:t>
      </w:r>
      <w:r w:rsidR="00411B61" w:rsidRPr="00B163C0">
        <w:t xml:space="preserve">The </w:t>
      </w:r>
      <w:r w:rsidR="00EC4A1C" w:rsidRPr="00B163C0">
        <w:t>ITMP</w:t>
      </w:r>
      <w:r w:rsidR="00411B61" w:rsidRPr="00B163C0">
        <w:t>s</w:t>
      </w:r>
      <w:r w:rsidR="00EC4A1C" w:rsidRPr="00B163C0">
        <w:t xml:space="preserve"> </w:t>
      </w:r>
      <w:r w:rsidRPr="00B163C0">
        <w:t xml:space="preserve">will improve comprehensive long-term planning and phasing and provide a solid base for gradual and concerted improvement of the tourism carrying capacity of each destination. </w:t>
      </w:r>
      <w:r w:rsidR="00411B61" w:rsidRPr="00B163C0">
        <w:t>The Program’s Investment and Expenditure Menu</w:t>
      </w:r>
      <w:r w:rsidR="00F72A03" w:rsidRPr="00B163C0">
        <w:t>,</w:t>
      </w:r>
      <w:r w:rsidR="00411B61" w:rsidRPr="00B163C0">
        <w:t xml:space="preserve"> together with the ITMPs, for the 5-year Program</w:t>
      </w:r>
      <w:r w:rsidRPr="00B163C0">
        <w:t>, provide the recommended policies and practices required for the upgrade of basic infrastructure and services in local communities to improve key indicators affecting tourism competitiveness (especially health and hygiene and environmental sustainability)</w:t>
      </w:r>
      <w:r w:rsidR="00411B61" w:rsidRPr="00B163C0">
        <w:t>, as is discussed further in the section 1.2 on Typology of Expenditures</w:t>
      </w:r>
      <w:r w:rsidRPr="00B163C0">
        <w:t>.</w:t>
      </w:r>
      <w:r w:rsidR="00411B61" w:rsidRPr="00B163C0">
        <w:t xml:space="preserve"> </w:t>
      </w:r>
    </w:p>
    <w:p w14:paraId="3E6EBCC9" w14:textId="77777777" w:rsidR="00CD2D43" w:rsidRPr="00563D71" w:rsidRDefault="00CD2D43" w:rsidP="00CF22F2">
      <w:pPr>
        <w:pStyle w:val="MainParanoChapter-Ch3"/>
        <w:numPr>
          <w:ilvl w:val="0"/>
          <w:numId w:val="0"/>
        </w:numPr>
        <w:rPr>
          <w:bCs/>
        </w:rPr>
      </w:pPr>
    </w:p>
    <w:p w14:paraId="5F74E4D4" w14:textId="564F37C8" w:rsidR="00005ABF" w:rsidRPr="00563D71" w:rsidRDefault="00005ABF" w:rsidP="00005ABF">
      <w:pPr>
        <w:pStyle w:val="MainParanoChapter-Ch3"/>
        <w:rPr>
          <w:rFonts w:eastAsia="Calibri"/>
          <w:bCs/>
        </w:rPr>
      </w:pPr>
      <w:r w:rsidRPr="00563D71">
        <w:rPr>
          <w:bCs/>
          <w:u w:val="single"/>
        </w:rPr>
        <w:t>Results Area 2: Promote local participation in tourism economy</w:t>
      </w:r>
      <w:r w:rsidRPr="00563D71">
        <w:rPr>
          <w:bCs/>
        </w:rPr>
        <w:t xml:space="preserve">. </w:t>
      </w:r>
      <w:r w:rsidR="00411B61" w:rsidRPr="00563D71">
        <w:rPr>
          <w:bCs/>
        </w:rPr>
        <w:t xml:space="preserve">This results area aims to facilitate the participation of local firms and individuals in the economic opportunities arising from the growth of tourism. </w:t>
      </w:r>
      <w:r w:rsidR="00411B61" w:rsidRPr="00563D71">
        <w:rPr>
          <w:rFonts w:eastAsia="Calibri"/>
          <w:bCs/>
        </w:rPr>
        <w:t xml:space="preserve">The key outcomes under this results area relate to developing the relevant workforce skills for jobs in the tourism economy, and supporting domestic firms to capture opportunities in the increasingly digitalized tourism economy. </w:t>
      </w:r>
      <w:r w:rsidR="00411B61" w:rsidRPr="00563D71">
        <w:rPr>
          <w:bCs/>
        </w:rPr>
        <w:t xml:space="preserve">To achieve increased trainees and professionals completing competency-based certification, the sub-Program aims to (i) improve </w:t>
      </w:r>
      <w:r w:rsidR="00411B61" w:rsidRPr="00563D71">
        <w:rPr>
          <w:bCs/>
        </w:rPr>
        <w:lastRenderedPageBreak/>
        <w:t>competency-based standards and related training packages, (ii) enhance the capacity of TVET providers to deliver tourism CBT in line with the needs of the tourism industry; (iii) enhance the capacity of tourism assessors to certify trainees and professional in these competencies. It will also build on the partnership between the Ministry of Tourism and a travel website company</w:t>
      </w:r>
      <w:r w:rsidR="00411B61" w:rsidRPr="00563D71">
        <w:rPr>
          <w:rStyle w:val="FootnoteReference"/>
          <w:bCs/>
        </w:rPr>
        <w:footnoteReference w:id="22"/>
      </w:r>
      <w:r w:rsidR="00411B61" w:rsidRPr="00563D71">
        <w:rPr>
          <w:bCs/>
        </w:rPr>
        <w:t xml:space="preserve"> and provide support to firms to increase their online presence and deliver targeted capacity building to firms on service and quality standard areas identified as needing improvement.</w:t>
      </w:r>
      <w:r w:rsidR="00411B61" w:rsidRPr="00563D71">
        <w:rPr>
          <w:bCs/>
          <w:sz w:val="23"/>
          <w:szCs w:val="23"/>
        </w:rPr>
        <w:t xml:space="preserve"> </w:t>
      </w:r>
      <w:r w:rsidR="00411B61" w:rsidRPr="00563D71">
        <w:rPr>
          <w:bCs/>
        </w:rPr>
        <w:t>Furthermore, this sub-Program will equip the Ministry of Tourism with the necessary structures and mechanisms for collection and management of big data sources from digital tourism.</w:t>
      </w:r>
    </w:p>
    <w:p w14:paraId="227B8DE8" w14:textId="77777777" w:rsidR="00005ABF" w:rsidRPr="00563D71" w:rsidRDefault="00005ABF" w:rsidP="00005ABF">
      <w:pPr>
        <w:pStyle w:val="MainParanoChapter-Ch3"/>
        <w:numPr>
          <w:ilvl w:val="0"/>
          <w:numId w:val="0"/>
        </w:numPr>
        <w:rPr>
          <w:rFonts w:eastAsia="Calibri"/>
          <w:bCs/>
        </w:rPr>
      </w:pPr>
    </w:p>
    <w:p w14:paraId="58F455DD" w14:textId="5F819DE0" w:rsidR="00623E48" w:rsidRPr="00563D71" w:rsidRDefault="00623E48" w:rsidP="00623E48">
      <w:pPr>
        <w:pStyle w:val="MainParanoChapter-Ch3"/>
        <w:rPr>
          <w:rFonts w:eastAsia="Calibri"/>
          <w:bCs/>
        </w:rPr>
      </w:pPr>
      <w:r w:rsidRPr="00563D71">
        <w:rPr>
          <w:rFonts w:eastAsia="Calibri"/>
          <w:bCs/>
        </w:rPr>
        <w:t>The development of relevant workforce skills will include financing for</w:t>
      </w:r>
      <w:r w:rsidR="007202B8" w:rsidRPr="00563D71">
        <w:rPr>
          <w:rFonts w:eastAsia="Calibri"/>
          <w:bCs/>
        </w:rPr>
        <w:t xml:space="preserve"> the</w:t>
      </w:r>
      <w:r w:rsidRPr="00563D71">
        <w:rPr>
          <w:rFonts w:eastAsia="Calibri"/>
          <w:bCs/>
        </w:rPr>
        <w:t xml:space="preserve"> provision of relevant and good-quality competency-based training</w:t>
      </w:r>
      <w:r w:rsidR="007202B8" w:rsidRPr="00563D71">
        <w:rPr>
          <w:rFonts w:eastAsia="Calibri"/>
          <w:bCs/>
        </w:rPr>
        <w:t xml:space="preserve"> and</w:t>
      </w:r>
      <w:r w:rsidRPr="00563D71">
        <w:rPr>
          <w:rFonts w:eastAsia="Calibri"/>
          <w:bCs/>
        </w:rPr>
        <w:t xml:space="preserve"> the strengthening of the accreditation and certification system of the tourism sector in the three selected destinations. The support will align CBT with the demands of the private sector. To enable this, sub-Program 2 will include expenditures for: (i) the revision of existing and development of new occupational standards and related CBT packages; (ii) TVET institutes to become accredited CBT providers by provision of training of TVET trainers, acquisition of equipment and supplies/materials, and adaptation of existing physical spaces in the TVET institutions to better operate the acquired equipment; (iii) capacity building of accreditation bodies of CBT providers; (iv) capacity building of assessors to certify graduates of CBT programs and existing tourism professionals based on recognition of prior learning; (v) the certification costs for a targeted number of candidates; (vi) a simple monitoring system to track the employment performance of graduates. Expenditures will only be provided to TVET providers which have memorandum of understandings (MoUs), or similar arrangements, with the Ministry of Tourism for use of its curriculum and agreed partnerships with potential employers which are based on an agreed results framework (with defined occupational requirements and employment targets). While Program support will focus on strengthening TVET institutions relevant to the three destinations, several of the Program activities will directly improve the overall system for tourism-related workforce skill development.  </w:t>
      </w:r>
    </w:p>
    <w:p w14:paraId="063DBC5B" w14:textId="77777777" w:rsidR="00005ABF" w:rsidRPr="00563D71" w:rsidRDefault="00005ABF" w:rsidP="00005ABF">
      <w:pPr>
        <w:pStyle w:val="MainParanoChapter-Ch3"/>
        <w:numPr>
          <w:ilvl w:val="0"/>
          <w:numId w:val="0"/>
        </w:numPr>
        <w:rPr>
          <w:rFonts w:eastAsia="Calibri"/>
          <w:bCs/>
        </w:rPr>
      </w:pPr>
    </w:p>
    <w:p w14:paraId="096FAB3B" w14:textId="730D927E" w:rsidR="00005ABF" w:rsidRPr="00563D71" w:rsidRDefault="00005ABF" w:rsidP="00451023">
      <w:pPr>
        <w:pStyle w:val="MainParanoChapter-Ch3"/>
        <w:rPr>
          <w:rFonts w:eastAsia="Calibri"/>
          <w:bCs/>
        </w:rPr>
      </w:pPr>
      <w:r w:rsidRPr="00563D71">
        <w:rPr>
          <w:rFonts w:eastAsia="Calibri"/>
          <w:bCs/>
        </w:rPr>
        <w:t xml:space="preserve">The Ministry of Tourism will be equipped with the means to better prioritize and more effectively deliver capacity building to </w:t>
      </w:r>
      <w:r w:rsidR="00451023" w:rsidRPr="00563D71">
        <w:rPr>
          <w:rFonts w:eastAsia="Calibri"/>
          <w:bCs/>
        </w:rPr>
        <w:t xml:space="preserve">local </w:t>
      </w:r>
      <w:r w:rsidRPr="00563D71">
        <w:rPr>
          <w:rFonts w:eastAsia="Calibri"/>
          <w:bCs/>
        </w:rPr>
        <w:t xml:space="preserve">firms as well as manage and analyze tourism data. Through a deepened partnership with </w:t>
      </w:r>
      <w:r w:rsidR="00451023" w:rsidRPr="00563D71">
        <w:rPr>
          <w:rFonts w:eastAsia="Calibri"/>
          <w:bCs/>
        </w:rPr>
        <w:t>a travel website company</w:t>
      </w:r>
      <w:r w:rsidRPr="00563D71">
        <w:rPr>
          <w:rFonts w:eastAsia="Calibri"/>
          <w:bCs/>
        </w:rPr>
        <w:t>, the Ministry will be able to develop a series of digital workshops that will improve tourism firms</w:t>
      </w:r>
      <w:r w:rsidR="00675E76" w:rsidRPr="00563D71">
        <w:rPr>
          <w:rFonts w:eastAsia="Calibri"/>
          <w:bCs/>
        </w:rPr>
        <w:t>’</w:t>
      </w:r>
      <w:r w:rsidRPr="00563D71">
        <w:rPr>
          <w:rFonts w:eastAsia="Calibri"/>
          <w:bCs/>
        </w:rPr>
        <w:t xml:space="preserve"> online presence and engagement</w:t>
      </w:r>
      <w:r w:rsidRPr="00563D71">
        <w:rPr>
          <w:bCs/>
        </w:rPr>
        <w:t>—</w:t>
      </w:r>
      <w:r w:rsidRPr="00563D71">
        <w:rPr>
          <w:rFonts w:eastAsia="Calibri"/>
          <w:bCs/>
        </w:rPr>
        <w:t xml:space="preserve">critical for any tourism firm to remain competitive and to maximize their access to market. Furthermore, </w:t>
      </w:r>
      <w:r w:rsidR="00451023" w:rsidRPr="00563D71">
        <w:rPr>
          <w:rFonts w:eastAsia="Calibri"/>
          <w:bCs/>
        </w:rPr>
        <w:t xml:space="preserve">through this partnership, </w:t>
      </w:r>
      <w:r w:rsidRPr="00563D71">
        <w:rPr>
          <w:rFonts w:eastAsia="Calibri"/>
          <w:bCs/>
        </w:rPr>
        <w:t xml:space="preserve">the Ministry will monitor and evaluate service and quality standards of tourism firms, identify areas needing improvement in each destination, and tailor practical and competency based training to </w:t>
      </w:r>
      <w:r w:rsidR="00623E48" w:rsidRPr="00563D71">
        <w:rPr>
          <w:rFonts w:eastAsia="Calibri"/>
          <w:bCs/>
        </w:rPr>
        <w:t xml:space="preserve">enable </w:t>
      </w:r>
      <w:r w:rsidRPr="00563D71">
        <w:rPr>
          <w:rFonts w:eastAsia="Calibri"/>
          <w:bCs/>
        </w:rPr>
        <w:t xml:space="preserve">tourism firms </w:t>
      </w:r>
      <w:r w:rsidR="00623E48" w:rsidRPr="00563D71">
        <w:rPr>
          <w:rFonts w:eastAsia="Calibri"/>
          <w:bCs/>
        </w:rPr>
        <w:t xml:space="preserve">to </w:t>
      </w:r>
      <w:r w:rsidRPr="00563D71">
        <w:rPr>
          <w:rFonts w:eastAsia="Calibri"/>
          <w:bCs/>
        </w:rPr>
        <w:t xml:space="preserve">increase their overall standards. </w:t>
      </w:r>
      <w:r w:rsidR="00451023" w:rsidRPr="00563D71">
        <w:rPr>
          <w:rFonts w:eastAsia="Calibri"/>
          <w:bCs/>
        </w:rPr>
        <w:t xml:space="preserve">The </w:t>
      </w:r>
      <w:r w:rsidR="002266CC" w:rsidRPr="00563D71">
        <w:rPr>
          <w:rFonts w:eastAsia="Calibri"/>
          <w:bCs/>
        </w:rPr>
        <w:t>sub-Program</w:t>
      </w:r>
      <w:r w:rsidR="00451023" w:rsidRPr="00563D71">
        <w:rPr>
          <w:rFonts w:eastAsia="Calibri"/>
          <w:bCs/>
        </w:rPr>
        <w:t xml:space="preserve"> will also include expenditures for identifying and implementing the most appropriate organizational set up and data management system for the Ministry to take advantage of the rapid digitalization of the tourism sector, and use this data effectively for destination planning, marketing, and investment promotion. </w:t>
      </w:r>
    </w:p>
    <w:p w14:paraId="1C08A471" w14:textId="77777777" w:rsidR="00005ABF" w:rsidRPr="00563D71" w:rsidRDefault="00005ABF" w:rsidP="00005ABF">
      <w:pPr>
        <w:pStyle w:val="MainParanoChapter-Ch3"/>
        <w:numPr>
          <w:ilvl w:val="0"/>
          <w:numId w:val="0"/>
        </w:numPr>
        <w:rPr>
          <w:rFonts w:eastAsia="Calibri"/>
          <w:bCs/>
        </w:rPr>
      </w:pPr>
    </w:p>
    <w:p w14:paraId="12994AC3" w14:textId="7B58E422" w:rsidR="00005ABF" w:rsidRPr="00563D71" w:rsidRDefault="00005ABF" w:rsidP="000435DA">
      <w:pPr>
        <w:pStyle w:val="MainParanoChapter-Ch3"/>
        <w:rPr>
          <w:bCs/>
        </w:rPr>
      </w:pPr>
      <w:r w:rsidRPr="00563D71">
        <w:rPr>
          <w:bCs/>
          <w:u w:val="single"/>
        </w:rPr>
        <w:lastRenderedPageBreak/>
        <w:t>Results Area 3: Enhance enabling environment for private investment and business entry in tourism</w:t>
      </w:r>
      <w:r w:rsidRPr="00563D71">
        <w:rPr>
          <w:bCs/>
        </w:rPr>
        <w:t xml:space="preserve">. To achieve this result, </w:t>
      </w:r>
      <w:r w:rsidR="002266CC" w:rsidRPr="00563D71">
        <w:rPr>
          <w:bCs/>
        </w:rPr>
        <w:t>sub-Program</w:t>
      </w:r>
      <w:r w:rsidRPr="00563D71">
        <w:rPr>
          <w:bCs/>
        </w:rPr>
        <w:t xml:space="preserve"> 3 will support the simplification of business entry and licensing requirements for the tourism sector and strengthen systems to monitor and facilitate private investments. Despite recent improvements in Indonesia’s ease of doing business, further improvements in the business </w:t>
      </w:r>
      <w:r w:rsidR="00E12C6A" w:rsidRPr="00563D71">
        <w:rPr>
          <w:bCs/>
        </w:rPr>
        <w:t xml:space="preserve">and investment </w:t>
      </w:r>
      <w:r w:rsidRPr="00563D71">
        <w:rPr>
          <w:bCs/>
        </w:rPr>
        <w:t xml:space="preserve">environment will be needed to enable business entry and private investment in the tourism sector and—specifically—in the three destinations. Support for licensing simplification in select </w:t>
      </w:r>
      <w:r w:rsidR="000435DA" w:rsidRPr="00563D71">
        <w:rPr>
          <w:bCs/>
          <w:iCs/>
        </w:rPr>
        <w:t>local governments</w:t>
      </w:r>
      <w:r w:rsidRPr="00563D71">
        <w:rPr>
          <w:bCs/>
        </w:rPr>
        <w:t xml:space="preserve"> in the three destinations will be provided by a parallel IFC Advisory Services (AS) project,</w:t>
      </w:r>
      <w:r w:rsidRPr="00563D71">
        <w:rPr>
          <w:rStyle w:val="FootnoteReference"/>
          <w:bCs/>
        </w:rPr>
        <w:footnoteReference w:id="23"/>
      </w:r>
      <w:r w:rsidRPr="00563D71">
        <w:rPr>
          <w:bCs/>
        </w:rPr>
        <w:t xml:space="preserve"> with the wider roll-out supported under the TDP. </w:t>
      </w:r>
      <w:r w:rsidR="002266CC" w:rsidRPr="00563D71">
        <w:rPr>
          <w:bCs/>
        </w:rPr>
        <w:t>Sub-Program</w:t>
      </w:r>
      <w:r w:rsidRPr="00563D71">
        <w:rPr>
          <w:bCs/>
        </w:rPr>
        <w:t xml:space="preserve"> 3 will support expenditures for licensing mapping, simplification, automation, inventories, and related coordination capabilities to sustain a licensing simplification effort at the national and subnational level. </w:t>
      </w:r>
      <w:r w:rsidR="002266CC" w:rsidRPr="00563D71">
        <w:rPr>
          <w:bCs/>
        </w:rPr>
        <w:t>Sub-Program</w:t>
      </w:r>
      <w:r w:rsidRPr="00563D71">
        <w:rPr>
          <w:bCs/>
        </w:rPr>
        <w:t xml:space="preserve"> 3 will also support the development of destination-specific investment promotion strategies and the institutional capabilities to </w:t>
      </w:r>
      <w:r w:rsidR="000435DA" w:rsidRPr="00563D71">
        <w:rPr>
          <w:bCs/>
        </w:rPr>
        <w:t xml:space="preserve">proactively </w:t>
      </w:r>
      <w:r w:rsidRPr="00563D71">
        <w:rPr>
          <w:bCs/>
        </w:rPr>
        <w:t>attract, facilitate, retain, and expand investment.</w:t>
      </w:r>
    </w:p>
    <w:p w14:paraId="48CA512A" w14:textId="77777777" w:rsidR="00E5723D" w:rsidRPr="00563D71" w:rsidRDefault="00E5723D">
      <w:pPr>
        <w:pStyle w:val="MainParanoChapter-Ch3"/>
        <w:numPr>
          <w:ilvl w:val="0"/>
          <w:numId w:val="0"/>
        </w:numPr>
        <w:rPr>
          <w:bCs/>
        </w:rPr>
      </w:pPr>
    </w:p>
    <w:p w14:paraId="229599F2" w14:textId="7BEE0FA2" w:rsidR="00772F25" w:rsidRPr="00563D71" w:rsidRDefault="00772F25" w:rsidP="00AC3B7D">
      <w:pPr>
        <w:pStyle w:val="MainParanoChapter-Ch3"/>
        <w:rPr>
          <w:rFonts w:eastAsiaTheme="minorHAnsi"/>
          <w:bCs/>
        </w:rPr>
      </w:pPr>
      <w:r w:rsidRPr="00563D71">
        <w:rPr>
          <w:bCs/>
          <w:u w:val="single"/>
        </w:rPr>
        <w:t>Results Area 4: Increase institutional capacity to facilitate integrated and sustainable tourism development</w:t>
      </w:r>
      <w:r w:rsidRPr="00563D71">
        <w:rPr>
          <w:bCs/>
        </w:rPr>
        <w:t xml:space="preserve">. This results area will support </w:t>
      </w:r>
      <w:r w:rsidR="00AC3B7D" w:rsidRPr="00563D71">
        <w:rPr>
          <w:bCs/>
        </w:rPr>
        <w:t>the strengthening of institutional capacities at the national, provincial</w:t>
      </w:r>
      <w:r w:rsidR="000435DA" w:rsidRPr="00563D71">
        <w:rPr>
          <w:bCs/>
        </w:rPr>
        <w:t>,</w:t>
      </w:r>
      <w:r w:rsidR="00AC3B7D" w:rsidRPr="00563D71">
        <w:rPr>
          <w:bCs/>
        </w:rPr>
        <w:t xml:space="preserve"> and local level to facilitate integrated and sustainable tourism development. Key outcomes under this results area include the improvement of coordination and implementation mechanisms of the tourism development agenda, reduced degradation of natural and cultural assets, and increased stakeholder engagement in, and local community satisfaction with, tourism development. Program activities towards this results include the operationalization of national-level technical inter-Ministry/Agency coordination  under the Ministerial-level tourism coordination team, chaired by Indonesia’s Vice</w:t>
      </w:r>
      <w:r w:rsidR="002673D3" w:rsidRPr="00563D71">
        <w:rPr>
          <w:bCs/>
        </w:rPr>
        <w:t xml:space="preserve"> </w:t>
      </w:r>
      <w:r w:rsidR="00AC3B7D" w:rsidRPr="00563D71">
        <w:rPr>
          <w:bCs/>
        </w:rPr>
        <w:t>President,</w:t>
      </w:r>
      <w:r w:rsidR="00AC3B7D" w:rsidRPr="00563D71">
        <w:rPr>
          <w:rStyle w:val="FootnoteReference"/>
          <w:bCs/>
        </w:rPr>
        <w:footnoteReference w:id="24"/>
      </w:r>
      <w:r w:rsidR="00AC3B7D" w:rsidRPr="00563D71">
        <w:rPr>
          <w:bCs/>
        </w:rPr>
        <w:t xml:space="preserve"> as well as the establishment and operationalization of destination-specific coordination and delivery mechanisms; the establishment or strengthening of institutions</w:t>
      </w:r>
      <w:r w:rsidR="001A2427" w:rsidRPr="00563D71">
        <w:rPr>
          <w:bCs/>
        </w:rPr>
        <w:t xml:space="preserve">, </w:t>
      </w:r>
      <w:r w:rsidR="00AC3B7D" w:rsidRPr="00563D71">
        <w:rPr>
          <w:bCs/>
        </w:rPr>
        <w:t>such as Sustainable Tourism Observatories (STOs) as part of UNWTO International Network of Sustainable Tourism Observatories (INSTO)</w:t>
      </w:r>
      <w:r w:rsidR="001A2427" w:rsidRPr="00563D71">
        <w:rPr>
          <w:bCs/>
        </w:rPr>
        <w:t xml:space="preserve">, </w:t>
      </w:r>
      <w:r w:rsidR="00AC3B7D" w:rsidRPr="00563D71">
        <w:rPr>
          <w:bCs/>
        </w:rPr>
        <w:t xml:space="preserve">for the monitoring of cultural and natural assets in key tourism areas; enhanced stakeholder involvement and community awareness of tourism development; and annual community satisfaction surveys. </w:t>
      </w:r>
      <w:r w:rsidR="002266CC" w:rsidRPr="00563D71">
        <w:rPr>
          <w:bCs/>
        </w:rPr>
        <w:lastRenderedPageBreak/>
        <w:t>Sub-Program</w:t>
      </w:r>
      <w:r w:rsidR="00AC3B7D" w:rsidRPr="00563D71">
        <w:rPr>
          <w:bCs/>
        </w:rPr>
        <w:t xml:space="preserve"> 4 will ensure that the new or improved institutional arrangements are backed with clear roles and responsibilities, a sufficient budget and are adequately staffed. To this end, t</w:t>
      </w:r>
      <w:r w:rsidR="00AC3B7D" w:rsidRPr="00563D71">
        <w:rPr>
          <w:rFonts w:eastAsiaTheme="minorHAnsi"/>
          <w:bCs/>
        </w:rPr>
        <w:t>he Program will support expenditures for institutional development of and capabilities for integrated destination planning; natural, cultural and social asset monitoring and preservation; local community awareness and engagement in tourism development; and community satisfaction surveys.</w:t>
      </w:r>
      <w:r w:rsidR="00AC3B7D" w:rsidRPr="00563D71">
        <w:rPr>
          <w:rStyle w:val="FootnoteReference"/>
          <w:rFonts w:eastAsiaTheme="minorHAnsi"/>
          <w:bCs/>
        </w:rPr>
        <w:footnoteReference w:id="25"/>
      </w:r>
    </w:p>
    <w:p w14:paraId="603F9468" w14:textId="77777777" w:rsidR="00772F25" w:rsidRPr="00563D71" w:rsidRDefault="00772F25" w:rsidP="00772F25">
      <w:pPr>
        <w:pStyle w:val="MainParanoChapter-Ch3"/>
        <w:numPr>
          <w:ilvl w:val="0"/>
          <w:numId w:val="0"/>
        </w:numPr>
        <w:rPr>
          <w:b/>
        </w:rPr>
      </w:pPr>
      <w:r w:rsidRPr="00563D71">
        <w:rPr>
          <w:rFonts w:eastAsiaTheme="minorHAnsi"/>
          <w:b/>
        </w:rPr>
        <w:t xml:space="preserve"> </w:t>
      </w:r>
    </w:p>
    <w:p w14:paraId="5ABA40A0" w14:textId="6285E301" w:rsidR="002E5A0D" w:rsidRPr="00563D71" w:rsidRDefault="00772F25" w:rsidP="00304B91">
      <w:pPr>
        <w:pStyle w:val="MainParanoChapter-Ch3"/>
        <w:rPr>
          <w:rFonts w:eastAsiaTheme="minorHAnsi"/>
          <w:bCs/>
          <w:sz w:val="22"/>
          <w:szCs w:val="22"/>
        </w:rPr>
      </w:pPr>
      <w:r w:rsidRPr="00563D71">
        <w:rPr>
          <w:rFonts w:eastAsiaTheme="minorHAnsi"/>
          <w:bCs/>
        </w:rPr>
        <w:t xml:space="preserve">Environmental and social aspects are integral elements of </w:t>
      </w:r>
      <w:r w:rsidR="00757B5A" w:rsidRPr="00563D71">
        <w:rPr>
          <w:rFonts w:eastAsiaTheme="minorHAnsi"/>
          <w:bCs/>
        </w:rPr>
        <w:t xml:space="preserve">the </w:t>
      </w:r>
      <w:r w:rsidRPr="00563D71">
        <w:rPr>
          <w:rFonts w:eastAsiaTheme="minorHAnsi"/>
          <w:bCs/>
        </w:rPr>
        <w:t xml:space="preserve">TDP and the broader PPNPPI. </w:t>
      </w:r>
      <w:r w:rsidRPr="00563D71">
        <w:rPr>
          <w:rStyle w:val="tx2"/>
          <w:bCs/>
        </w:rPr>
        <w:t>Cultural and natural resources are the main attraction for tourists in Indonesia, but unless well planned and executed, tourism development can degrade those same resources and ultimately be self-defeating and unsustainable.</w:t>
      </w:r>
      <w:r w:rsidRPr="00563D71">
        <w:rPr>
          <w:bCs/>
        </w:rPr>
        <w:t xml:space="preserve"> </w:t>
      </w:r>
      <w:r w:rsidRPr="00563D71">
        <w:rPr>
          <w:rStyle w:val="tx2"/>
          <w:rFonts w:eastAsiaTheme="minorHAnsi"/>
          <w:bCs/>
        </w:rPr>
        <w:t xml:space="preserve">The </w:t>
      </w:r>
      <w:r w:rsidR="008C0B70" w:rsidRPr="00563D71">
        <w:rPr>
          <w:rFonts w:eastAsiaTheme="minorHAnsi"/>
          <w:bCs/>
        </w:rPr>
        <w:t>proposed emphasis in the P</w:t>
      </w:r>
      <w:r w:rsidRPr="00563D71">
        <w:rPr>
          <w:rFonts w:eastAsiaTheme="minorHAnsi"/>
          <w:bCs/>
        </w:rPr>
        <w:t>rogram on monitoring and preservation of natural and cultural assets will be operationalized by:</w:t>
      </w:r>
      <w:r w:rsidRPr="00563D71">
        <w:rPr>
          <w:bCs/>
        </w:rPr>
        <w:t xml:space="preserve"> </w:t>
      </w:r>
      <w:r w:rsidRPr="00563D71">
        <w:rPr>
          <w:rFonts w:eastAsiaTheme="minorHAnsi"/>
          <w:bCs/>
        </w:rPr>
        <w:t>(i) ensuring sufficient financing for such monitoring and protection efforts is included in the expenditure framework</w:t>
      </w:r>
      <w:r w:rsidRPr="00563D71">
        <w:rPr>
          <w:bCs/>
        </w:rPr>
        <w:t xml:space="preserve">; (ii)  </w:t>
      </w:r>
      <w:r w:rsidRPr="00563D71">
        <w:rPr>
          <w:rFonts w:eastAsiaTheme="minorHAnsi"/>
          <w:bCs/>
        </w:rPr>
        <w:t>providing the destination</w:t>
      </w:r>
      <w:r w:rsidR="00C23CD2" w:rsidRPr="00563D71">
        <w:rPr>
          <w:rFonts w:eastAsiaTheme="minorHAnsi"/>
          <w:bCs/>
        </w:rPr>
        <w:t xml:space="preserve"> with</w:t>
      </w:r>
      <w:r w:rsidRPr="00563D71">
        <w:rPr>
          <w:rFonts w:eastAsiaTheme="minorHAnsi"/>
          <w:bCs/>
        </w:rPr>
        <w:t xml:space="preserve"> additional tools to strengthen local initiatives, for example, protection of </w:t>
      </w:r>
      <w:r w:rsidRPr="00563D71">
        <w:rPr>
          <w:bCs/>
        </w:rPr>
        <w:t xml:space="preserve">lakes, </w:t>
      </w:r>
      <w:r w:rsidRPr="00563D71">
        <w:rPr>
          <w:rFonts w:eastAsiaTheme="minorHAnsi"/>
          <w:bCs/>
        </w:rPr>
        <w:t>mangroves</w:t>
      </w:r>
      <w:r w:rsidR="00C23CD2" w:rsidRPr="00563D71">
        <w:rPr>
          <w:rFonts w:eastAsiaTheme="minorHAnsi"/>
          <w:bCs/>
        </w:rPr>
        <w:t>,</w:t>
      </w:r>
      <w:r w:rsidRPr="00563D71">
        <w:rPr>
          <w:rFonts w:eastAsiaTheme="minorHAnsi"/>
          <w:bCs/>
        </w:rPr>
        <w:t xml:space="preserve"> or community forest</w:t>
      </w:r>
      <w:r w:rsidR="00C23CD2" w:rsidRPr="00563D71">
        <w:rPr>
          <w:rFonts w:eastAsiaTheme="minorHAnsi"/>
          <w:bCs/>
        </w:rPr>
        <w:t>s</w:t>
      </w:r>
      <w:r w:rsidRPr="00563D71">
        <w:rPr>
          <w:bCs/>
        </w:rPr>
        <w:t xml:space="preserve">; </w:t>
      </w:r>
      <w:r w:rsidRPr="00563D71">
        <w:rPr>
          <w:rFonts w:eastAsiaTheme="minorHAnsi"/>
          <w:bCs/>
        </w:rPr>
        <w:t xml:space="preserve">(iii) providing capacity building to local authorities through the preparation of the </w:t>
      </w:r>
      <w:r w:rsidR="001A2427" w:rsidRPr="00563D71">
        <w:rPr>
          <w:rFonts w:eastAsiaTheme="minorHAnsi"/>
          <w:bCs/>
        </w:rPr>
        <w:t xml:space="preserve">integrated tourism master plans </w:t>
      </w:r>
      <w:r w:rsidRPr="00563D71">
        <w:rPr>
          <w:rFonts w:eastAsiaTheme="minorHAnsi"/>
          <w:bCs/>
        </w:rPr>
        <w:t xml:space="preserve">on risk management to minimize the impacts </w:t>
      </w:r>
      <w:r w:rsidR="00642A81" w:rsidRPr="00563D71">
        <w:rPr>
          <w:rFonts w:eastAsiaTheme="minorHAnsi"/>
          <w:bCs/>
        </w:rPr>
        <w:t xml:space="preserve">on </w:t>
      </w:r>
      <w:r w:rsidRPr="00563D71">
        <w:rPr>
          <w:rFonts w:eastAsiaTheme="minorHAnsi"/>
          <w:bCs/>
        </w:rPr>
        <w:t xml:space="preserve">the </w:t>
      </w:r>
      <w:r w:rsidR="00642A81" w:rsidRPr="00563D71">
        <w:rPr>
          <w:rFonts w:eastAsiaTheme="minorHAnsi"/>
          <w:bCs/>
        </w:rPr>
        <w:t xml:space="preserve">human and natural </w:t>
      </w:r>
      <w:r w:rsidRPr="00563D71">
        <w:rPr>
          <w:rFonts w:eastAsiaTheme="minorHAnsi"/>
          <w:bCs/>
        </w:rPr>
        <w:t xml:space="preserve">environment; and (iv) </w:t>
      </w:r>
      <w:r w:rsidR="006B0FE4" w:rsidRPr="00563D71">
        <w:rPr>
          <w:rFonts w:eastAsiaTheme="minorHAnsi"/>
          <w:bCs/>
        </w:rPr>
        <w:t xml:space="preserve">improving </w:t>
      </w:r>
      <w:r w:rsidR="00DE57F0">
        <w:rPr>
          <w:bCs/>
        </w:rPr>
        <w:t>capacity to conduct UKLs-</w:t>
      </w:r>
      <w:r w:rsidRPr="00563D71">
        <w:rPr>
          <w:bCs/>
        </w:rPr>
        <w:t>UPLs</w:t>
      </w:r>
      <w:r w:rsidR="004D48FB" w:rsidRPr="00563D71">
        <w:rPr>
          <w:bCs/>
        </w:rPr>
        <w:t xml:space="preserve"> </w:t>
      </w:r>
      <w:r w:rsidR="009341AC" w:rsidRPr="00563D71">
        <w:rPr>
          <w:bCs/>
        </w:rPr>
        <w:t xml:space="preserve">and, if applicable, AMDALs, </w:t>
      </w:r>
      <w:r w:rsidRPr="00563D71">
        <w:rPr>
          <w:bCs/>
        </w:rPr>
        <w:t>and prepare Site Management Plans</w:t>
      </w:r>
      <w:r w:rsidR="006B0FE4" w:rsidRPr="00563D71">
        <w:rPr>
          <w:bCs/>
        </w:rPr>
        <w:t>, and to monitor their implementation</w:t>
      </w:r>
      <w:r w:rsidR="004D48FB" w:rsidRPr="00563D71">
        <w:rPr>
          <w:bCs/>
        </w:rPr>
        <w:t xml:space="preserve">. </w:t>
      </w:r>
      <w:r w:rsidR="00304B91" w:rsidRPr="00563D71">
        <w:rPr>
          <w:bCs/>
        </w:rPr>
        <w:t xml:space="preserve">The Program Management Support (through Program Management Support Consultants’ Services financed under the IPF, and/or additional qualified MPWH staff) </w:t>
      </w:r>
      <w:r w:rsidR="00E82106" w:rsidRPr="00563D71">
        <w:rPr>
          <w:bCs/>
        </w:rPr>
        <w:t xml:space="preserve">will also support capacity strengthening </w:t>
      </w:r>
      <w:r w:rsidR="004D48FB" w:rsidRPr="00563D71">
        <w:rPr>
          <w:bCs/>
        </w:rPr>
        <w:t>of t</w:t>
      </w:r>
      <w:r w:rsidR="00E82106" w:rsidRPr="00563D71">
        <w:rPr>
          <w:bCs/>
        </w:rPr>
        <w:t xml:space="preserve">he involved agencies in preparing </w:t>
      </w:r>
      <w:r w:rsidR="004D48FB" w:rsidRPr="00563D71">
        <w:rPr>
          <w:bCs/>
        </w:rPr>
        <w:t>and implement</w:t>
      </w:r>
      <w:r w:rsidR="00E82106" w:rsidRPr="00563D71">
        <w:rPr>
          <w:bCs/>
        </w:rPr>
        <w:t>ing</w:t>
      </w:r>
      <w:r w:rsidR="004D48FB" w:rsidRPr="00563D71">
        <w:rPr>
          <w:bCs/>
        </w:rPr>
        <w:t xml:space="preserve"> assistance and livelihood restoration programs for the affected peoples including </w:t>
      </w:r>
      <w:r w:rsidR="00E82106" w:rsidRPr="00563D71">
        <w:rPr>
          <w:bCs/>
        </w:rPr>
        <w:t xml:space="preserve">the vulnerable, </w:t>
      </w:r>
      <w:r w:rsidR="004D48FB" w:rsidRPr="00563D71">
        <w:rPr>
          <w:bCs/>
        </w:rPr>
        <w:t>squatters</w:t>
      </w:r>
      <w:r w:rsidR="00E82106" w:rsidRPr="00563D71">
        <w:rPr>
          <w:bCs/>
        </w:rPr>
        <w:t xml:space="preserve"> and IPs</w:t>
      </w:r>
      <w:r w:rsidR="004D48FB" w:rsidRPr="00563D71">
        <w:rPr>
          <w:bCs/>
        </w:rPr>
        <w:t xml:space="preserve">, </w:t>
      </w:r>
      <w:r w:rsidR="00E82106" w:rsidRPr="00563D71">
        <w:rPr>
          <w:bCs/>
        </w:rPr>
        <w:t xml:space="preserve">in </w:t>
      </w:r>
      <w:r w:rsidR="004D48FB" w:rsidRPr="00563D71">
        <w:rPr>
          <w:bCs/>
        </w:rPr>
        <w:t>i</w:t>
      </w:r>
      <w:r w:rsidR="00E82106" w:rsidRPr="00563D71">
        <w:rPr>
          <w:bCs/>
        </w:rPr>
        <w:t>dentifying</w:t>
      </w:r>
      <w:r w:rsidR="004D48FB" w:rsidRPr="00563D71">
        <w:rPr>
          <w:bCs/>
        </w:rPr>
        <w:t xml:space="preserve"> affected IPs as well as </w:t>
      </w:r>
      <w:r w:rsidR="00E82106" w:rsidRPr="00563D71">
        <w:rPr>
          <w:bCs/>
        </w:rPr>
        <w:t>in preparing</w:t>
      </w:r>
      <w:r w:rsidR="004D48FB" w:rsidRPr="00563D71">
        <w:rPr>
          <w:bCs/>
        </w:rPr>
        <w:t xml:space="preserve"> and implement</w:t>
      </w:r>
      <w:r w:rsidR="00E82106" w:rsidRPr="00563D71">
        <w:rPr>
          <w:bCs/>
        </w:rPr>
        <w:t>ing</w:t>
      </w:r>
      <w:r w:rsidR="004D48FB" w:rsidRPr="00563D71">
        <w:rPr>
          <w:bCs/>
        </w:rPr>
        <w:t xml:space="preserve"> guidelines for conducting a free, prior, informed consultations with the affected IPs that lead to broad co</w:t>
      </w:r>
      <w:r w:rsidR="00E82106" w:rsidRPr="00563D71">
        <w:rPr>
          <w:bCs/>
        </w:rPr>
        <w:t xml:space="preserve">mmunity support to the program ensuring the cultural appropriateness of, and equitable access to Program benefits. </w:t>
      </w:r>
      <w:r w:rsidR="004D48FB" w:rsidRPr="00563D71">
        <w:rPr>
          <w:bCs/>
        </w:rPr>
        <w:t xml:space="preserve"> </w:t>
      </w:r>
      <w:r w:rsidR="002266CC" w:rsidRPr="00563D71">
        <w:rPr>
          <w:rFonts w:eastAsiaTheme="minorHAnsi"/>
          <w:bCs/>
        </w:rPr>
        <w:t>Sub-Program</w:t>
      </w:r>
      <w:r w:rsidR="002E5A0D" w:rsidRPr="00563D71">
        <w:rPr>
          <w:rFonts w:eastAsiaTheme="minorHAnsi"/>
          <w:bCs/>
        </w:rPr>
        <w:t xml:space="preserve"> 4 </w:t>
      </w:r>
      <w:r w:rsidR="002E5A0D" w:rsidRPr="00563D71">
        <w:rPr>
          <w:bCs/>
        </w:rPr>
        <w:t xml:space="preserve">will also aim to increase the local community awareness and engagement in tourism development through </w:t>
      </w:r>
      <w:r w:rsidR="001A2427" w:rsidRPr="00563D71">
        <w:rPr>
          <w:bCs/>
        </w:rPr>
        <w:t xml:space="preserve">(improved) </w:t>
      </w:r>
      <w:r w:rsidR="002E5A0D" w:rsidRPr="00563D71">
        <w:rPr>
          <w:bCs/>
        </w:rPr>
        <w:t>“</w:t>
      </w:r>
      <w:r w:rsidR="002E5A0D" w:rsidRPr="00563D71">
        <w:rPr>
          <w:bCs/>
          <w:i/>
        </w:rPr>
        <w:t>sadar wisata</w:t>
      </w:r>
      <w:r w:rsidR="002E5A0D" w:rsidRPr="00563D71">
        <w:rPr>
          <w:bCs/>
        </w:rPr>
        <w:t>” tourism awareness</w:t>
      </w:r>
      <w:r w:rsidR="00ED193B" w:rsidRPr="00563D71">
        <w:rPr>
          <w:bCs/>
        </w:rPr>
        <w:t>-</w:t>
      </w:r>
      <w:r w:rsidR="002E5A0D" w:rsidRPr="00563D71">
        <w:rPr>
          <w:bCs/>
        </w:rPr>
        <w:t xml:space="preserve">raising </w:t>
      </w:r>
      <w:r w:rsidR="000922D3" w:rsidRPr="00563D71">
        <w:rPr>
          <w:bCs/>
        </w:rPr>
        <w:t>activities</w:t>
      </w:r>
      <w:r w:rsidR="002E5A0D" w:rsidRPr="00563D71">
        <w:rPr>
          <w:bCs/>
        </w:rPr>
        <w:t xml:space="preserve"> and annual community satisfaction surveys. Increased community </w:t>
      </w:r>
      <w:r w:rsidR="002E5A0D" w:rsidRPr="00563D71">
        <w:rPr>
          <w:rFonts w:eastAsia="Calibri"/>
          <w:bCs/>
        </w:rPr>
        <w:t>satisfaction is one of</w:t>
      </w:r>
      <w:r w:rsidR="00EB4CE4" w:rsidRPr="00563D71">
        <w:rPr>
          <w:rFonts w:eastAsia="Calibri"/>
          <w:bCs/>
        </w:rPr>
        <w:t xml:space="preserve"> the</w:t>
      </w:r>
      <w:r w:rsidR="002E5A0D" w:rsidRPr="00563D71">
        <w:rPr>
          <w:rFonts w:eastAsia="Calibri"/>
          <w:bCs/>
        </w:rPr>
        <w:t xml:space="preserve"> Program results indicators, and includes </w:t>
      </w:r>
      <w:r w:rsidR="002E5A0D" w:rsidRPr="00563D71">
        <w:rPr>
          <w:rFonts w:eastAsiaTheme="minorHAnsi"/>
          <w:bCs/>
        </w:rPr>
        <w:t>perceived benefits received from tourism (individual or community benefits, economic or social benefits, conservation of traditions, etc.), changes in socio-economic conditions (e.g. prices, access to resources, traditional values), changes in environmental conditions (improvement or degradation), interaction with tourists, etc.</w:t>
      </w:r>
      <w:r w:rsidR="004D48FB" w:rsidRPr="00563D71">
        <w:rPr>
          <w:rFonts w:eastAsiaTheme="minorHAnsi"/>
          <w:bCs/>
        </w:rPr>
        <w:t xml:space="preserve"> </w:t>
      </w:r>
    </w:p>
    <w:p w14:paraId="7485EEAF" w14:textId="77777777" w:rsidR="00E5723D" w:rsidRPr="00563D71" w:rsidRDefault="00E5723D" w:rsidP="00604CCC">
      <w:pPr>
        <w:pStyle w:val="MainParanoChapter-Ch3"/>
        <w:numPr>
          <w:ilvl w:val="0"/>
          <w:numId w:val="0"/>
        </w:numPr>
        <w:rPr>
          <w:rFonts w:eastAsiaTheme="minorHAnsi"/>
          <w:b/>
        </w:rPr>
      </w:pPr>
    </w:p>
    <w:p w14:paraId="4D6F2B47" w14:textId="5995BD4F" w:rsidR="00040981" w:rsidRPr="00563D71" w:rsidRDefault="00040981" w:rsidP="00AF643E">
      <w:pPr>
        <w:pStyle w:val="MainParanoChapter-Ch3"/>
        <w:rPr>
          <w:bCs/>
        </w:rPr>
      </w:pPr>
      <w:r w:rsidRPr="00563D71">
        <w:rPr>
          <w:bCs/>
        </w:rPr>
        <w:t xml:space="preserve">Integrated </w:t>
      </w:r>
      <w:r w:rsidR="00DC5B7E" w:rsidRPr="00563D71">
        <w:rPr>
          <w:bCs/>
        </w:rPr>
        <w:t xml:space="preserve">tourism master plans </w:t>
      </w:r>
      <w:r w:rsidR="00A2253D" w:rsidRPr="00563D71">
        <w:rPr>
          <w:bCs/>
        </w:rPr>
        <w:t xml:space="preserve">(ITMPs) </w:t>
      </w:r>
      <w:r w:rsidRPr="00563D71">
        <w:rPr>
          <w:bCs/>
        </w:rPr>
        <w:t>will be prepared for each</w:t>
      </w:r>
      <w:r w:rsidR="00E85B1E" w:rsidRPr="00563D71">
        <w:rPr>
          <w:bCs/>
        </w:rPr>
        <w:t xml:space="preserve"> destination</w:t>
      </w:r>
      <w:r w:rsidRPr="00563D71">
        <w:rPr>
          <w:bCs/>
        </w:rPr>
        <w:t xml:space="preserve">, with </w:t>
      </w:r>
      <w:r w:rsidR="00E85B1E" w:rsidRPr="00563D71">
        <w:rPr>
          <w:bCs/>
        </w:rPr>
        <w:t>the</w:t>
      </w:r>
      <w:r w:rsidR="008C0B70" w:rsidRPr="00563D71">
        <w:rPr>
          <w:bCs/>
        </w:rPr>
        <w:t xml:space="preserve"> Consultants’</w:t>
      </w:r>
      <w:r w:rsidRPr="00563D71">
        <w:rPr>
          <w:bCs/>
        </w:rPr>
        <w:t xml:space="preserve"> </w:t>
      </w:r>
      <w:r w:rsidR="008C0B70" w:rsidRPr="00563D71">
        <w:rPr>
          <w:bCs/>
        </w:rPr>
        <w:t>S</w:t>
      </w:r>
      <w:r w:rsidR="00E85B1E" w:rsidRPr="00563D71">
        <w:rPr>
          <w:bCs/>
        </w:rPr>
        <w:t xml:space="preserve">ervices for the plans </w:t>
      </w:r>
      <w:r w:rsidRPr="00563D71">
        <w:rPr>
          <w:bCs/>
        </w:rPr>
        <w:t xml:space="preserve">funded by the IPF. </w:t>
      </w:r>
      <w:r w:rsidR="00A2253D" w:rsidRPr="00563D71">
        <w:rPr>
          <w:bCs/>
        </w:rPr>
        <w:t xml:space="preserve">Each integrated tourism master plan consists of an overall development plan for the entire tourism destination area (with a planning horizon of 25 years) and detailed development plans (with a planning horizon of 5 years) for existing and selected future key tourism areas within the tourism destination area. The plans will be based on </w:t>
      </w:r>
      <w:r w:rsidR="00711C99" w:rsidRPr="00563D71">
        <w:rPr>
          <w:bCs/>
        </w:rPr>
        <w:t xml:space="preserve">the </w:t>
      </w:r>
      <w:r w:rsidR="00A2253D" w:rsidRPr="00563D71">
        <w:rPr>
          <w:bCs/>
        </w:rPr>
        <w:t xml:space="preserve">Demand Assessment and </w:t>
      </w:r>
      <w:r w:rsidR="00711C99" w:rsidRPr="00563D71">
        <w:rPr>
          <w:bCs/>
        </w:rPr>
        <w:t xml:space="preserve">an </w:t>
      </w:r>
      <w:r w:rsidR="00A2253D" w:rsidRPr="00563D71">
        <w:rPr>
          <w:bCs/>
        </w:rPr>
        <w:t xml:space="preserve">economic analysis </w:t>
      </w:r>
      <w:r w:rsidR="000D3961" w:rsidRPr="00563D71">
        <w:rPr>
          <w:b/>
          <w:bCs/>
        </w:rPr>
        <w:t>of</w:t>
      </w:r>
      <w:r w:rsidR="00A2253D" w:rsidRPr="00563D71">
        <w:rPr>
          <w:bCs/>
        </w:rPr>
        <w:t xml:space="preserve"> each destination and will be prepared in close consultation with all stakeholders, including local communities and the private sector. They will provide the basis for development of tourism facilities and supporting infrastructure that (a) </w:t>
      </w:r>
      <w:r w:rsidR="000D3961" w:rsidRPr="00984B4B">
        <w:lastRenderedPageBreak/>
        <w:t>is</w:t>
      </w:r>
      <w:r w:rsidR="000D3961" w:rsidRPr="00563D71">
        <w:rPr>
          <w:b/>
          <w:bCs/>
        </w:rPr>
        <w:t xml:space="preserve"> </w:t>
      </w:r>
      <w:r w:rsidR="00A2253D" w:rsidRPr="00563D71">
        <w:rPr>
          <w:bCs/>
        </w:rPr>
        <w:t>consistent with the environmental, social</w:t>
      </w:r>
      <w:r w:rsidR="000D3961" w:rsidRPr="00563D71">
        <w:rPr>
          <w:b/>
          <w:bCs/>
        </w:rPr>
        <w:t>,</w:t>
      </w:r>
      <w:r w:rsidR="00A2253D" w:rsidRPr="00563D71">
        <w:rPr>
          <w:bCs/>
        </w:rPr>
        <w:t xml:space="preserve"> and cultural opportunities and constraints of the destinations and (b) avoids degradation of the natural and cultural resources that are the assets that attract tourists. The ITMP will identify the priority programs needed to strengthen tourism activities at the local level and will provide detailed recommendations for the preparation and revision of local and provincial spatial plans and sectoral master plans (if necessary),</w:t>
      </w:r>
      <w:r w:rsidR="00A2253D" w:rsidRPr="00563D71">
        <w:rPr>
          <w:rStyle w:val="FootnoteReference"/>
          <w:bCs/>
        </w:rPr>
        <w:footnoteReference w:id="26"/>
      </w:r>
      <w:r w:rsidR="00A2253D" w:rsidRPr="00563D71">
        <w:rPr>
          <w:bCs/>
        </w:rPr>
        <w:t xml:space="preserve"> but is not in itself a spatial planning document with statutory effect under the Indonesian Urban Planning Framework.</w:t>
      </w:r>
      <w:r w:rsidR="00D02013" w:rsidRPr="00563D71">
        <w:rPr>
          <w:bCs/>
        </w:rPr>
        <w:t xml:space="preserve"> </w:t>
      </w:r>
    </w:p>
    <w:p w14:paraId="1BA56A00" w14:textId="77777777" w:rsidR="00A2253D" w:rsidRPr="00563D71" w:rsidRDefault="00A2253D" w:rsidP="00AF643E">
      <w:pPr>
        <w:pStyle w:val="MainParanoChapter-Ch3"/>
        <w:numPr>
          <w:ilvl w:val="0"/>
          <w:numId w:val="0"/>
        </w:numPr>
      </w:pPr>
    </w:p>
    <w:p w14:paraId="288D0F26" w14:textId="03457575" w:rsidR="00040981" w:rsidRPr="00563D71" w:rsidRDefault="00711C99" w:rsidP="00DE434F">
      <w:pPr>
        <w:pStyle w:val="MainParanoChapter-Ch3"/>
        <w:rPr>
          <w:bCs/>
        </w:rPr>
      </w:pPr>
      <w:r w:rsidRPr="00563D71">
        <w:rPr>
          <w:rFonts w:eastAsiaTheme="minorHAnsi"/>
          <w:bCs/>
        </w:rPr>
        <w:t xml:space="preserve">Nineteen </w:t>
      </w:r>
      <w:r w:rsidR="00BE421E" w:rsidRPr="00563D71">
        <w:rPr>
          <w:rFonts w:eastAsiaTheme="minorHAnsi"/>
          <w:bCs/>
        </w:rPr>
        <w:t xml:space="preserve">preliminary results indicators, including </w:t>
      </w:r>
      <w:r w:rsidR="00E5723D" w:rsidRPr="00563D71">
        <w:rPr>
          <w:rFonts w:eastAsiaTheme="minorHAnsi"/>
          <w:bCs/>
        </w:rPr>
        <w:t xml:space="preserve">nine </w:t>
      </w:r>
      <w:r w:rsidR="00040981" w:rsidRPr="00563D71">
        <w:rPr>
          <w:bCs/>
        </w:rPr>
        <w:t xml:space="preserve">preliminary </w:t>
      </w:r>
      <w:r w:rsidR="00BE421E" w:rsidRPr="00563D71">
        <w:rPr>
          <w:bCs/>
        </w:rPr>
        <w:t>Disbursement</w:t>
      </w:r>
      <w:r w:rsidR="00040981" w:rsidRPr="00563D71">
        <w:rPr>
          <w:bCs/>
        </w:rPr>
        <w:t>-</w:t>
      </w:r>
      <w:r w:rsidR="00D35D73" w:rsidRPr="00563D71">
        <w:rPr>
          <w:bCs/>
        </w:rPr>
        <w:t>l</w:t>
      </w:r>
      <w:r w:rsidR="00040981" w:rsidRPr="00563D71">
        <w:rPr>
          <w:bCs/>
        </w:rPr>
        <w:t xml:space="preserve">inked Indicators (DLIs) have been identified across the four results areas (Table </w:t>
      </w:r>
      <w:r w:rsidR="001A2427" w:rsidRPr="00563D71">
        <w:rPr>
          <w:bCs/>
        </w:rPr>
        <w:t>2</w:t>
      </w:r>
      <w:r w:rsidR="00040981" w:rsidRPr="00563D71">
        <w:rPr>
          <w:bCs/>
        </w:rPr>
        <w:t xml:space="preserve">). The DLIs have been selected to ensure even representation of each results area, and to achieve a balance of process, output, and outcome indicators that reflect different phases of </w:t>
      </w:r>
      <w:r w:rsidR="005D1C6D" w:rsidRPr="00563D71">
        <w:rPr>
          <w:bCs/>
        </w:rPr>
        <w:t>P</w:t>
      </w:r>
      <w:r w:rsidR="00040981" w:rsidRPr="00563D71">
        <w:rPr>
          <w:bCs/>
        </w:rPr>
        <w:t>rogram implementation and will enable a smooth profile of disbursements throughout the life of the PforR.</w:t>
      </w:r>
      <w:r w:rsidR="00BE421E" w:rsidRPr="00563D71">
        <w:rPr>
          <w:bCs/>
        </w:rPr>
        <w:t xml:space="preserve"> </w:t>
      </w:r>
      <w:r w:rsidR="00040981" w:rsidRPr="00563D71">
        <w:rPr>
          <w:bCs/>
        </w:rPr>
        <w:t xml:space="preserve">The </w:t>
      </w:r>
      <w:r w:rsidR="00BE421E" w:rsidRPr="00563D71">
        <w:rPr>
          <w:bCs/>
        </w:rPr>
        <w:t xml:space="preserve">results indicators and the </w:t>
      </w:r>
      <w:r w:rsidR="00040981" w:rsidRPr="00563D71">
        <w:rPr>
          <w:bCs/>
        </w:rPr>
        <w:t xml:space="preserve">DLIs will be updated and refined on the basis of subsequent discussions with the GoI and ongoing assessments of measurement capacity and verification protocols. </w:t>
      </w:r>
    </w:p>
    <w:p w14:paraId="7685C683" w14:textId="77777777" w:rsidR="00E5723D" w:rsidRPr="00563D71" w:rsidRDefault="00E5723D" w:rsidP="00DE434F">
      <w:pPr>
        <w:pStyle w:val="MainParanoChapter-Ch3"/>
        <w:numPr>
          <w:ilvl w:val="0"/>
          <w:numId w:val="0"/>
        </w:numPr>
      </w:pPr>
    </w:p>
    <w:p w14:paraId="468AF6C7" w14:textId="6547CF32" w:rsidR="00040981" w:rsidRPr="00563D71" w:rsidRDefault="00040981" w:rsidP="00C4370B">
      <w:pPr>
        <w:pStyle w:val="NoSpacing"/>
        <w:ind w:left="0"/>
        <w:jc w:val="center"/>
        <w:rPr>
          <w:color w:val="auto"/>
          <w:szCs w:val="20"/>
        </w:rPr>
      </w:pPr>
      <w:bookmarkStart w:id="24" w:name="_Toc485824763"/>
      <w:r w:rsidRPr="00563D71">
        <w:rPr>
          <w:color w:val="auto"/>
          <w:szCs w:val="20"/>
        </w:rPr>
        <w:t xml:space="preserve">Table </w:t>
      </w:r>
      <w:r w:rsidR="003C1105" w:rsidRPr="00563D71">
        <w:rPr>
          <w:color w:val="auto"/>
          <w:szCs w:val="20"/>
        </w:rPr>
        <w:t>2</w:t>
      </w:r>
      <w:r w:rsidRPr="00563D71">
        <w:rPr>
          <w:color w:val="auto"/>
          <w:szCs w:val="20"/>
        </w:rPr>
        <w:t xml:space="preserve">.  </w:t>
      </w:r>
      <w:r w:rsidR="009A223F" w:rsidRPr="00563D71">
        <w:rPr>
          <w:color w:val="auto"/>
          <w:szCs w:val="20"/>
        </w:rPr>
        <w:t>Results indicators and Disbursement</w:t>
      </w:r>
      <w:r w:rsidRPr="00563D71">
        <w:rPr>
          <w:color w:val="auto"/>
          <w:szCs w:val="20"/>
        </w:rPr>
        <w:t>-Linked Indicators by Results Area</w:t>
      </w:r>
      <w:bookmarkEnd w:id="24"/>
      <w:r w:rsidR="002200E6" w:rsidRPr="00563D71">
        <w:rPr>
          <w:color w:val="auto"/>
          <w:szCs w:val="20"/>
        </w:rPr>
        <w:t xml:space="preserve"> </w:t>
      </w:r>
    </w:p>
    <w:p w14:paraId="18B0E1F8" w14:textId="77777777" w:rsidR="00C4370B" w:rsidRPr="00563D71" w:rsidRDefault="00C4370B" w:rsidP="00DE434F">
      <w:pPr>
        <w:pStyle w:val="NoSpacing"/>
        <w:ind w:left="360"/>
        <w:jc w:val="center"/>
        <w:rPr>
          <w:color w:val="auto"/>
          <w:szCs w:val="20"/>
        </w:rPr>
      </w:pPr>
    </w:p>
    <w:tbl>
      <w:tblPr>
        <w:tblW w:w="942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56"/>
        <w:gridCol w:w="791"/>
        <w:gridCol w:w="7974"/>
      </w:tblGrid>
      <w:tr w:rsidR="00040981" w:rsidRPr="00563D71" w14:paraId="7E33511E" w14:textId="77777777" w:rsidTr="00DE434F">
        <w:tc>
          <w:tcPr>
            <w:tcW w:w="656" w:type="dxa"/>
            <w:shd w:val="clear" w:color="auto" w:fill="auto"/>
            <w:noWrap/>
          </w:tcPr>
          <w:p w14:paraId="0FA996DF" w14:textId="045CF5A5" w:rsidR="00040981" w:rsidRPr="00563D71" w:rsidRDefault="00AC0D9F" w:rsidP="00DE434F">
            <w:pPr>
              <w:spacing w:before="0"/>
              <w:ind w:left="0" w:firstLine="0"/>
              <w:jc w:val="left"/>
              <w:rPr>
                <w:rFonts w:eastAsia="Calibri"/>
                <w:bCs/>
                <w:color w:val="auto"/>
                <w:sz w:val="22"/>
              </w:rPr>
            </w:pPr>
            <w:r w:rsidRPr="00563D71">
              <w:rPr>
                <w:rFonts w:eastAsia="Calibri"/>
                <w:bCs/>
                <w:color w:val="auto"/>
                <w:sz w:val="22"/>
              </w:rPr>
              <w:t>No.</w:t>
            </w:r>
          </w:p>
        </w:tc>
        <w:tc>
          <w:tcPr>
            <w:tcW w:w="791" w:type="dxa"/>
            <w:shd w:val="clear" w:color="auto" w:fill="auto"/>
            <w:noWrap/>
          </w:tcPr>
          <w:p w14:paraId="780DB057" w14:textId="7DB45C61" w:rsidR="00040981" w:rsidRPr="00563D71" w:rsidRDefault="009A223F" w:rsidP="00DE434F">
            <w:pPr>
              <w:spacing w:before="0"/>
              <w:ind w:left="0" w:firstLine="0"/>
              <w:jc w:val="left"/>
              <w:rPr>
                <w:rFonts w:eastAsia="Calibri"/>
                <w:color w:val="auto"/>
                <w:sz w:val="22"/>
              </w:rPr>
            </w:pPr>
            <w:r w:rsidRPr="00563D71">
              <w:rPr>
                <w:rFonts w:eastAsia="Calibri"/>
                <w:color w:val="auto"/>
                <w:sz w:val="22"/>
              </w:rPr>
              <w:t>DLI</w:t>
            </w:r>
          </w:p>
        </w:tc>
        <w:tc>
          <w:tcPr>
            <w:tcW w:w="7974" w:type="dxa"/>
            <w:shd w:val="clear" w:color="auto" w:fill="auto"/>
            <w:noWrap/>
            <w:vAlign w:val="bottom"/>
          </w:tcPr>
          <w:p w14:paraId="4032F6D0" w14:textId="4E52B7C3" w:rsidR="00040981" w:rsidRPr="00563D71" w:rsidRDefault="00EB2571" w:rsidP="00DE434F">
            <w:pPr>
              <w:spacing w:before="0"/>
              <w:ind w:left="0" w:firstLine="0"/>
              <w:jc w:val="left"/>
              <w:rPr>
                <w:rFonts w:eastAsia="Calibri"/>
                <w:color w:val="auto"/>
                <w:sz w:val="22"/>
              </w:rPr>
            </w:pPr>
            <w:r w:rsidRPr="00563D71">
              <w:rPr>
                <w:rFonts w:eastAsia="Calibri"/>
                <w:b/>
                <w:color w:val="auto"/>
                <w:sz w:val="22"/>
              </w:rPr>
              <w:t xml:space="preserve">Result Area 1 – </w:t>
            </w:r>
            <w:r w:rsidR="00BE421E" w:rsidRPr="00563D71">
              <w:rPr>
                <w:rFonts w:eastAsia="Calibri"/>
                <w:b/>
                <w:color w:val="auto"/>
                <w:sz w:val="22"/>
              </w:rPr>
              <w:t>Improve sustainability and tourism carrying capacity of selected destinations</w:t>
            </w:r>
          </w:p>
        </w:tc>
      </w:tr>
      <w:tr w:rsidR="00EB2571" w:rsidRPr="00563D71" w14:paraId="3E874897" w14:textId="77777777" w:rsidTr="00DE434F">
        <w:tc>
          <w:tcPr>
            <w:tcW w:w="656" w:type="dxa"/>
            <w:shd w:val="clear" w:color="auto" w:fill="auto"/>
            <w:noWrap/>
          </w:tcPr>
          <w:p w14:paraId="2EA19A58" w14:textId="6AB57804" w:rsidR="00EB2571" w:rsidRPr="00563D71" w:rsidRDefault="00EB2571" w:rsidP="00DE434F">
            <w:pPr>
              <w:spacing w:before="0"/>
              <w:ind w:left="0" w:firstLine="0"/>
              <w:jc w:val="left"/>
              <w:rPr>
                <w:rFonts w:eastAsia="Calibri"/>
                <w:bCs/>
                <w:color w:val="auto"/>
                <w:sz w:val="22"/>
              </w:rPr>
            </w:pPr>
            <w:r w:rsidRPr="00563D71">
              <w:rPr>
                <w:rFonts w:eastAsia="Calibri"/>
                <w:bCs/>
                <w:color w:val="auto"/>
                <w:sz w:val="22"/>
              </w:rPr>
              <w:t>1</w:t>
            </w:r>
          </w:p>
        </w:tc>
        <w:tc>
          <w:tcPr>
            <w:tcW w:w="791" w:type="dxa"/>
            <w:shd w:val="clear" w:color="auto" w:fill="auto"/>
            <w:noWrap/>
          </w:tcPr>
          <w:p w14:paraId="08AAFF1C" w14:textId="566092FF" w:rsidR="00EB2571" w:rsidRPr="00563D71" w:rsidRDefault="00EB2571" w:rsidP="00DE434F">
            <w:pPr>
              <w:spacing w:before="0"/>
              <w:ind w:left="0" w:firstLine="0"/>
              <w:jc w:val="left"/>
              <w:rPr>
                <w:rFonts w:eastAsia="Calibri"/>
                <w:color w:val="auto"/>
                <w:sz w:val="22"/>
              </w:rPr>
            </w:pPr>
          </w:p>
        </w:tc>
        <w:tc>
          <w:tcPr>
            <w:tcW w:w="7974" w:type="dxa"/>
            <w:shd w:val="clear" w:color="auto" w:fill="auto"/>
            <w:noWrap/>
            <w:vAlign w:val="bottom"/>
          </w:tcPr>
          <w:p w14:paraId="2309802F" w14:textId="39A13C97" w:rsidR="00EB2571" w:rsidRPr="00563D71" w:rsidRDefault="00EB2571" w:rsidP="00DE434F">
            <w:pPr>
              <w:spacing w:before="0"/>
              <w:ind w:left="0" w:firstLine="0"/>
              <w:jc w:val="left"/>
              <w:rPr>
                <w:rFonts w:eastAsia="Calibri"/>
                <w:color w:val="auto"/>
                <w:sz w:val="22"/>
              </w:rPr>
            </w:pPr>
            <w:r w:rsidRPr="00563D71">
              <w:rPr>
                <w:rFonts w:eastAsia="Calibri"/>
                <w:color w:val="auto"/>
                <w:sz w:val="22"/>
              </w:rPr>
              <w:t xml:space="preserve">New hotel rooms added in tourism destination areas. </w:t>
            </w:r>
          </w:p>
        </w:tc>
      </w:tr>
      <w:tr w:rsidR="00EB2571" w:rsidRPr="00563D71" w14:paraId="28E674B0" w14:textId="77777777" w:rsidTr="00DE434F">
        <w:tc>
          <w:tcPr>
            <w:tcW w:w="656" w:type="dxa"/>
            <w:shd w:val="clear" w:color="auto" w:fill="auto"/>
            <w:noWrap/>
            <w:hideMark/>
          </w:tcPr>
          <w:p w14:paraId="11BBD7A6" w14:textId="77777777" w:rsidR="00EB2571" w:rsidRPr="00563D71" w:rsidRDefault="00EB2571" w:rsidP="00DE434F">
            <w:pPr>
              <w:spacing w:before="0"/>
              <w:ind w:left="0" w:firstLine="0"/>
              <w:jc w:val="left"/>
              <w:rPr>
                <w:rFonts w:eastAsia="Calibri"/>
                <w:bCs/>
                <w:color w:val="auto"/>
                <w:sz w:val="22"/>
              </w:rPr>
            </w:pPr>
            <w:r w:rsidRPr="00563D71">
              <w:rPr>
                <w:rFonts w:eastAsia="Calibri"/>
                <w:bCs/>
                <w:color w:val="auto"/>
                <w:sz w:val="22"/>
              </w:rPr>
              <w:t>2</w:t>
            </w:r>
          </w:p>
        </w:tc>
        <w:tc>
          <w:tcPr>
            <w:tcW w:w="791" w:type="dxa"/>
            <w:shd w:val="clear" w:color="auto" w:fill="auto"/>
            <w:noWrap/>
          </w:tcPr>
          <w:p w14:paraId="6E4CB692" w14:textId="7C99BE29"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hideMark/>
          </w:tcPr>
          <w:p w14:paraId="1004F2E2" w14:textId="4D20F3CA" w:rsidR="00EB2571" w:rsidRPr="00563D71" w:rsidRDefault="00EB2571" w:rsidP="00C33166">
            <w:pPr>
              <w:spacing w:before="0"/>
              <w:ind w:left="0" w:firstLine="0"/>
              <w:jc w:val="left"/>
              <w:rPr>
                <w:rFonts w:eastAsia="Calibri"/>
                <w:color w:val="auto"/>
                <w:sz w:val="22"/>
              </w:rPr>
            </w:pPr>
            <w:r w:rsidRPr="00563D71">
              <w:rPr>
                <w:rFonts w:eastAsia="Calibri"/>
                <w:color w:val="auto"/>
                <w:sz w:val="22"/>
              </w:rPr>
              <w:t>Percentage of the road network maintained in accordance to national standards and targets for stable maintenanc</w:t>
            </w:r>
            <w:r w:rsidR="00C412B1" w:rsidRPr="00563D71">
              <w:rPr>
                <w:rFonts w:eastAsia="Calibri"/>
                <w:color w:val="auto"/>
                <w:sz w:val="22"/>
              </w:rPr>
              <w:t>e conditions, defined as IRI ≤ 6</w:t>
            </w:r>
          </w:p>
        </w:tc>
      </w:tr>
      <w:tr w:rsidR="00EB2571" w:rsidRPr="00563D71" w14:paraId="7AEA5893" w14:textId="77777777" w:rsidTr="00DE434F">
        <w:tc>
          <w:tcPr>
            <w:tcW w:w="656" w:type="dxa"/>
            <w:shd w:val="clear" w:color="auto" w:fill="auto"/>
            <w:noWrap/>
            <w:hideMark/>
          </w:tcPr>
          <w:p w14:paraId="2C173A56" w14:textId="77777777" w:rsidR="00EB2571" w:rsidRPr="00563D71" w:rsidRDefault="00EB2571" w:rsidP="00DE434F">
            <w:pPr>
              <w:spacing w:before="0"/>
              <w:ind w:left="0" w:firstLine="0"/>
              <w:jc w:val="left"/>
              <w:rPr>
                <w:rFonts w:eastAsia="Calibri"/>
                <w:bCs/>
                <w:color w:val="auto"/>
                <w:sz w:val="22"/>
              </w:rPr>
            </w:pPr>
            <w:r w:rsidRPr="00563D71">
              <w:rPr>
                <w:rFonts w:eastAsia="Calibri"/>
                <w:bCs/>
                <w:color w:val="auto"/>
                <w:sz w:val="22"/>
              </w:rPr>
              <w:t>3</w:t>
            </w:r>
          </w:p>
        </w:tc>
        <w:tc>
          <w:tcPr>
            <w:tcW w:w="791" w:type="dxa"/>
            <w:shd w:val="clear" w:color="auto" w:fill="auto"/>
            <w:noWrap/>
          </w:tcPr>
          <w:p w14:paraId="1225CA24" w14:textId="20969EBB" w:rsidR="00EB2571" w:rsidRPr="00563D71" w:rsidRDefault="00EB2571" w:rsidP="00DE434F">
            <w:pPr>
              <w:spacing w:before="0"/>
              <w:ind w:left="0" w:firstLine="0"/>
              <w:jc w:val="left"/>
              <w:rPr>
                <w:rFonts w:eastAsia="Calibri"/>
                <w:color w:val="auto"/>
                <w:sz w:val="22"/>
              </w:rPr>
            </w:pPr>
          </w:p>
        </w:tc>
        <w:tc>
          <w:tcPr>
            <w:tcW w:w="7974" w:type="dxa"/>
            <w:shd w:val="clear" w:color="auto" w:fill="auto"/>
            <w:noWrap/>
            <w:vAlign w:val="bottom"/>
            <w:hideMark/>
          </w:tcPr>
          <w:p w14:paraId="4EC872D6" w14:textId="1D6EE031" w:rsidR="00EB2571" w:rsidRPr="00563D71" w:rsidRDefault="00EB2571" w:rsidP="00DE434F">
            <w:pPr>
              <w:spacing w:before="0"/>
              <w:ind w:left="0" w:firstLine="0"/>
              <w:jc w:val="left"/>
              <w:rPr>
                <w:rFonts w:eastAsia="Calibri"/>
                <w:color w:val="auto"/>
                <w:sz w:val="22"/>
              </w:rPr>
            </w:pPr>
            <w:r w:rsidRPr="00563D71">
              <w:rPr>
                <w:rFonts w:eastAsia="Calibri"/>
                <w:color w:val="auto"/>
                <w:sz w:val="22"/>
              </w:rPr>
              <w:t>New dedicated space created for non-motorized traffic in m</w:t>
            </w:r>
            <w:r w:rsidRPr="00563D71">
              <w:rPr>
                <w:rFonts w:eastAsia="Calibri"/>
                <w:color w:val="auto"/>
                <w:sz w:val="22"/>
                <w:vertAlign w:val="superscript"/>
              </w:rPr>
              <w:t>2</w:t>
            </w:r>
          </w:p>
        </w:tc>
      </w:tr>
      <w:tr w:rsidR="00EB2571" w:rsidRPr="00563D71" w14:paraId="4B7A7232" w14:textId="77777777" w:rsidTr="00DE434F">
        <w:tc>
          <w:tcPr>
            <w:tcW w:w="656" w:type="dxa"/>
            <w:shd w:val="clear" w:color="auto" w:fill="auto"/>
            <w:noWrap/>
          </w:tcPr>
          <w:p w14:paraId="3687E333" w14:textId="1DA85AF1" w:rsidR="00EB2571" w:rsidRPr="00563D71" w:rsidRDefault="00EB2571" w:rsidP="00DE434F">
            <w:pPr>
              <w:spacing w:before="0"/>
              <w:ind w:left="0" w:firstLine="0"/>
              <w:jc w:val="left"/>
              <w:rPr>
                <w:rFonts w:eastAsia="Calibri"/>
                <w:bCs/>
                <w:color w:val="auto"/>
                <w:sz w:val="22"/>
              </w:rPr>
            </w:pPr>
            <w:r w:rsidRPr="00563D71">
              <w:rPr>
                <w:rFonts w:eastAsia="Calibri"/>
                <w:bCs/>
                <w:color w:val="auto"/>
                <w:sz w:val="22"/>
              </w:rPr>
              <w:t>4</w:t>
            </w:r>
          </w:p>
        </w:tc>
        <w:tc>
          <w:tcPr>
            <w:tcW w:w="791" w:type="dxa"/>
            <w:shd w:val="clear" w:color="auto" w:fill="auto"/>
            <w:noWrap/>
          </w:tcPr>
          <w:p w14:paraId="1623DC58" w14:textId="31211BF6"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tcPr>
          <w:p w14:paraId="78C8D403" w14:textId="00F38039" w:rsidR="00EB2571" w:rsidRPr="00563D71" w:rsidRDefault="00EB2571" w:rsidP="00DE434F">
            <w:pPr>
              <w:spacing w:before="0"/>
              <w:ind w:left="0" w:firstLine="0"/>
              <w:jc w:val="left"/>
              <w:rPr>
                <w:rFonts w:eastAsia="Calibri"/>
                <w:color w:val="auto"/>
                <w:sz w:val="22"/>
              </w:rPr>
            </w:pPr>
            <w:r w:rsidRPr="00563D71">
              <w:rPr>
                <w:rFonts w:eastAsia="Calibri"/>
                <w:color w:val="auto"/>
                <w:sz w:val="22"/>
              </w:rPr>
              <w:t>Percentage of households (including hotels and restaurants) in the core tourism destination areas provided with access to sustainable piped water supply</w:t>
            </w:r>
          </w:p>
        </w:tc>
      </w:tr>
      <w:tr w:rsidR="009A223F" w:rsidRPr="00563D71" w14:paraId="3AB9D16D" w14:textId="77777777" w:rsidTr="00DE434F">
        <w:tc>
          <w:tcPr>
            <w:tcW w:w="656" w:type="dxa"/>
            <w:shd w:val="clear" w:color="auto" w:fill="auto"/>
            <w:noWrap/>
          </w:tcPr>
          <w:p w14:paraId="615C9052" w14:textId="50B3ACAA" w:rsidR="009A223F" w:rsidRPr="00563D71" w:rsidRDefault="009A223F" w:rsidP="00DE434F">
            <w:pPr>
              <w:spacing w:before="0"/>
              <w:ind w:left="0" w:firstLine="0"/>
              <w:jc w:val="left"/>
              <w:rPr>
                <w:rFonts w:eastAsia="Calibri"/>
                <w:bCs/>
                <w:color w:val="auto"/>
                <w:sz w:val="22"/>
              </w:rPr>
            </w:pPr>
            <w:r w:rsidRPr="00563D71">
              <w:rPr>
                <w:rFonts w:eastAsia="Calibri"/>
                <w:bCs/>
                <w:color w:val="auto"/>
                <w:sz w:val="22"/>
              </w:rPr>
              <w:t>5</w:t>
            </w:r>
          </w:p>
        </w:tc>
        <w:tc>
          <w:tcPr>
            <w:tcW w:w="791" w:type="dxa"/>
            <w:shd w:val="clear" w:color="auto" w:fill="auto"/>
            <w:noWrap/>
          </w:tcPr>
          <w:p w14:paraId="371995CC" w14:textId="77777777" w:rsidR="009A223F" w:rsidRPr="00563D71" w:rsidRDefault="009A223F" w:rsidP="00DE434F">
            <w:pPr>
              <w:spacing w:before="0"/>
              <w:ind w:left="0" w:firstLine="0"/>
              <w:jc w:val="left"/>
              <w:rPr>
                <w:rFonts w:eastAsia="Calibri"/>
                <w:color w:val="auto"/>
                <w:sz w:val="22"/>
              </w:rPr>
            </w:pPr>
          </w:p>
        </w:tc>
        <w:tc>
          <w:tcPr>
            <w:tcW w:w="7974" w:type="dxa"/>
            <w:shd w:val="clear" w:color="auto" w:fill="auto"/>
            <w:noWrap/>
            <w:vAlign w:val="bottom"/>
          </w:tcPr>
          <w:p w14:paraId="6B947E2F" w14:textId="33CE4089" w:rsidR="009A223F" w:rsidRPr="00563D71" w:rsidRDefault="009A223F" w:rsidP="00DE434F">
            <w:pPr>
              <w:spacing w:before="0"/>
              <w:ind w:left="0" w:firstLine="0"/>
              <w:jc w:val="left"/>
              <w:rPr>
                <w:rFonts w:eastAsia="Calibri"/>
                <w:color w:val="auto"/>
                <w:sz w:val="22"/>
              </w:rPr>
            </w:pPr>
            <w:r w:rsidRPr="00563D71">
              <w:rPr>
                <w:rFonts w:eastAsia="Calibri"/>
                <w:color w:val="auto"/>
                <w:sz w:val="22"/>
              </w:rPr>
              <w:t>Number of Areas in which shared distribution network (JDB) have been built to serve House Connection (SR)</w:t>
            </w:r>
          </w:p>
        </w:tc>
      </w:tr>
      <w:tr w:rsidR="00EB2571" w:rsidRPr="00563D71" w14:paraId="1B273104" w14:textId="77777777" w:rsidTr="00DE434F">
        <w:tc>
          <w:tcPr>
            <w:tcW w:w="656" w:type="dxa"/>
            <w:shd w:val="clear" w:color="auto" w:fill="auto"/>
            <w:noWrap/>
          </w:tcPr>
          <w:p w14:paraId="569396BF" w14:textId="3184B6F4" w:rsidR="00EB2571" w:rsidRPr="00563D71" w:rsidRDefault="009A223F" w:rsidP="00DE434F">
            <w:pPr>
              <w:spacing w:before="0"/>
              <w:ind w:left="0" w:firstLine="0"/>
              <w:jc w:val="left"/>
              <w:rPr>
                <w:rFonts w:eastAsia="Calibri"/>
                <w:bCs/>
                <w:color w:val="auto"/>
                <w:sz w:val="22"/>
              </w:rPr>
            </w:pPr>
            <w:r w:rsidRPr="00563D71">
              <w:rPr>
                <w:rFonts w:eastAsia="Calibri"/>
                <w:bCs/>
                <w:color w:val="auto"/>
                <w:sz w:val="22"/>
              </w:rPr>
              <w:t>6</w:t>
            </w:r>
          </w:p>
        </w:tc>
        <w:tc>
          <w:tcPr>
            <w:tcW w:w="791" w:type="dxa"/>
            <w:shd w:val="clear" w:color="auto" w:fill="auto"/>
            <w:noWrap/>
          </w:tcPr>
          <w:p w14:paraId="770B0EE6" w14:textId="5E3A89F3"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tcPr>
          <w:p w14:paraId="7E4794DF" w14:textId="74858934" w:rsidR="00EB2571" w:rsidRPr="00563D71" w:rsidRDefault="009A223F" w:rsidP="00DE434F">
            <w:pPr>
              <w:spacing w:before="0"/>
              <w:ind w:left="0" w:firstLine="0"/>
              <w:jc w:val="left"/>
              <w:rPr>
                <w:rFonts w:eastAsia="Calibri"/>
                <w:color w:val="auto"/>
                <w:sz w:val="22"/>
              </w:rPr>
            </w:pPr>
            <w:r w:rsidRPr="00563D71">
              <w:rPr>
                <w:rFonts w:eastAsia="Calibri"/>
                <w:color w:val="auto"/>
                <w:sz w:val="22"/>
              </w:rPr>
              <w:t>Percentage of access to sustainable sanitation services in the key tourism destination areas</w:t>
            </w:r>
          </w:p>
        </w:tc>
      </w:tr>
      <w:tr w:rsidR="00EB2571" w:rsidRPr="00563D71" w14:paraId="7BE943EB" w14:textId="77777777" w:rsidTr="00DE434F">
        <w:tc>
          <w:tcPr>
            <w:tcW w:w="656" w:type="dxa"/>
            <w:shd w:val="clear" w:color="auto" w:fill="auto"/>
            <w:noWrap/>
          </w:tcPr>
          <w:p w14:paraId="386A1616" w14:textId="41ED7438" w:rsidR="00EB2571" w:rsidRPr="00563D71" w:rsidRDefault="009A223F" w:rsidP="00DE434F">
            <w:pPr>
              <w:spacing w:before="0"/>
              <w:ind w:left="0" w:firstLine="0"/>
              <w:jc w:val="left"/>
              <w:rPr>
                <w:rFonts w:eastAsia="Calibri"/>
                <w:bCs/>
                <w:color w:val="auto"/>
                <w:sz w:val="22"/>
              </w:rPr>
            </w:pPr>
            <w:r w:rsidRPr="00563D71">
              <w:rPr>
                <w:rFonts w:eastAsia="Calibri"/>
                <w:bCs/>
                <w:color w:val="auto"/>
                <w:sz w:val="22"/>
              </w:rPr>
              <w:t>7</w:t>
            </w:r>
          </w:p>
        </w:tc>
        <w:tc>
          <w:tcPr>
            <w:tcW w:w="791" w:type="dxa"/>
            <w:shd w:val="clear" w:color="auto" w:fill="auto"/>
            <w:noWrap/>
          </w:tcPr>
          <w:p w14:paraId="58DE1BBD" w14:textId="06CB2A77"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tcPr>
          <w:p w14:paraId="5BDB0204" w14:textId="38D3F53B" w:rsidR="00EB2571" w:rsidRPr="00563D71" w:rsidRDefault="00CA5BB5" w:rsidP="00DE434F">
            <w:pPr>
              <w:spacing w:before="0"/>
              <w:ind w:left="0" w:firstLine="0"/>
              <w:jc w:val="left"/>
              <w:rPr>
                <w:rFonts w:eastAsia="Calibri"/>
                <w:color w:val="auto"/>
                <w:sz w:val="22"/>
              </w:rPr>
            </w:pPr>
            <w:r w:rsidRPr="00563D71">
              <w:rPr>
                <w:rFonts w:eastAsia="Calibri"/>
                <w:color w:val="auto"/>
                <w:sz w:val="22"/>
              </w:rPr>
              <w:t xml:space="preserve">Percentage of access to sustainable solid waste collection services in the key tourism destination areas </w:t>
            </w:r>
          </w:p>
        </w:tc>
      </w:tr>
      <w:tr w:rsidR="00DE6681" w:rsidRPr="00563D71" w14:paraId="76432072" w14:textId="77777777" w:rsidTr="00DE434F">
        <w:tc>
          <w:tcPr>
            <w:tcW w:w="656" w:type="dxa"/>
            <w:shd w:val="clear" w:color="auto" w:fill="auto"/>
            <w:noWrap/>
          </w:tcPr>
          <w:p w14:paraId="636E12F6" w14:textId="77777777" w:rsidR="00DE6681" w:rsidRPr="00563D71" w:rsidRDefault="00DE6681" w:rsidP="00DE434F">
            <w:pPr>
              <w:spacing w:before="0"/>
              <w:ind w:left="0" w:firstLine="0"/>
              <w:jc w:val="left"/>
              <w:rPr>
                <w:rFonts w:eastAsia="Calibri"/>
                <w:bCs/>
                <w:color w:val="auto"/>
                <w:sz w:val="22"/>
              </w:rPr>
            </w:pPr>
          </w:p>
        </w:tc>
        <w:tc>
          <w:tcPr>
            <w:tcW w:w="791" w:type="dxa"/>
            <w:shd w:val="clear" w:color="auto" w:fill="auto"/>
            <w:noWrap/>
          </w:tcPr>
          <w:p w14:paraId="10DA4D93" w14:textId="77777777" w:rsidR="00DE6681" w:rsidRPr="00563D71" w:rsidRDefault="00DE6681" w:rsidP="00DE434F">
            <w:pPr>
              <w:spacing w:before="0"/>
              <w:ind w:left="0" w:firstLine="0"/>
              <w:jc w:val="left"/>
              <w:rPr>
                <w:rFonts w:eastAsia="Calibri"/>
                <w:color w:val="auto"/>
                <w:sz w:val="22"/>
              </w:rPr>
            </w:pPr>
          </w:p>
        </w:tc>
        <w:tc>
          <w:tcPr>
            <w:tcW w:w="7974" w:type="dxa"/>
            <w:shd w:val="clear" w:color="auto" w:fill="auto"/>
            <w:noWrap/>
            <w:vAlign w:val="bottom"/>
          </w:tcPr>
          <w:p w14:paraId="21DEAA97" w14:textId="08409B18" w:rsidR="00DE6681" w:rsidRPr="00563D71" w:rsidRDefault="00DE6681" w:rsidP="00DE434F">
            <w:pPr>
              <w:spacing w:before="0"/>
              <w:ind w:left="0" w:firstLine="0"/>
              <w:jc w:val="left"/>
              <w:rPr>
                <w:rFonts w:eastAsia="Calibri"/>
                <w:b/>
                <w:color w:val="auto"/>
                <w:sz w:val="22"/>
              </w:rPr>
            </w:pPr>
            <w:r w:rsidRPr="00563D71">
              <w:rPr>
                <w:rFonts w:eastAsia="Calibri"/>
                <w:b/>
                <w:color w:val="auto"/>
                <w:sz w:val="22"/>
              </w:rPr>
              <w:t xml:space="preserve">Result Area 2: Promote local participation in tourism economy </w:t>
            </w:r>
          </w:p>
        </w:tc>
      </w:tr>
      <w:tr w:rsidR="00EB2571" w:rsidRPr="00563D71" w14:paraId="1CE19AE3" w14:textId="77777777" w:rsidTr="00DE434F">
        <w:tc>
          <w:tcPr>
            <w:tcW w:w="656" w:type="dxa"/>
            <w:shd w:val="clear" w:color="auto" w:fill="auto"/>
            <w:noWrap/>
          </w:tcPr>
          <w:p w14:paraId="0B5501A2" w14:textId="36739966" w:rsidR="00EB2571" w:rsidRPr="00563D71" w:rsidRDefault="009A223F" w:rsidP="00DE434F">
            <w:pPr>
              <w:spacing w:before="0"/>
              <w:ind w:left="0" w:firstLine="0"/>
              <w:jc w:val="left"/>
              <w:rPr>
                <w:rFonts w:eastAsia="Calibri"/>
                <w:bCs/>
                <w:color w:val="auto"/>
                <w:sz w:val="22"/>
              </w:rPr>
            </w:pPr>
            <w:r w:rsidRPr="00563D71">
              <w:rPr>
                <w:rFonts w:eastAsia="Calibri"/>
                <w:bCs/>
                <w:color w:val="auto"/>
                <w:sz w:val="22"/>
              </w:rPr>
              <w:t>8</w:t>
            </w:r>
          </w:p>
        </w:tc>
        <w:tc>
          <w:tcPr>
            <w:tcW w:w="791" w:type="dxa"/>
            <w:shd w:val="clear" w:color="auto" w:fill="auto"/>
            <w:noWrap/>
            <w:hideMark/>
          </w:tcPr>
          <w:p w14:paraId="572C4BA3" w14:textId="3B28BC05"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hideMark/>
          </w:tcPr>
          <w:p w14:paraId="595E975C" w14:textId="714AE95B" w:rsidR="00EB2571" w:rsidRPr="00563D71" w:rsidRDefault="00932A73" w:rsidP="008A2878">
            <w:pPr>
              <w:spacing w:before="0"/>
              <w:ind w:left="0" w:firstLine="0"/>
              <w:jc w:val="left"/>
              <w:rPr>
                <w:rFonts w:eastAsia="Calibri"/>
                <w:color w:val="auto"/>
                <w:sz w:val="22"/>
              </w:rPr>
            </w:pPr>
            <w:r w:rsidRPr="00563D71">
              <w:rPr>
                <w:rFonts w:eastAsia="Calibri"/>
                <w:color w:val="auto"/>
                <w:sz w:val="22"/>
              </w:rPr>
              <w:t>Trainees and tourism professional receiving competency-based certification</w:t>
            </w:r>
          </w:p>
        </w:tc>
      </w:tr>
      <w:tr w:rsidR="00EB2571" w:rsidRPr="00563D71" w14:paraId="374D9B55" w14:textId="77777777" w:rsidTr="00DE434F">
        <w:tc>
          <w:tcPr>
            <w:tcW w:w="656" w:type="dxa"/>
            <w:shd w:val="clear" w:color="auto" w:fill="auto"/>
            <w:noWrap/>
          </w:tcPr>
          <w:p w14:paraId="0FF8E34C" w14:textId="24C1ECC7" w:rsidR="00EB2571" w:rsidRPr="00563D71" w:rsidRDefault="00730D9B" w:rsidP="00DE434F">
            <w:pPr>
              <w:spacing w:before="0"/>
              <w:ind w:left="0" w:firstLine="0"/>
              <w:jc w:val="left"/>
              <w:rPr>
                <w:rFonts w:eastAsia="Calibri"/>
                <w:bCs/>
                <w:color w:val="auto"/>
                <w:sz w:val="22"/>
              </w:rPr>
            </w:pPr>
            <w:r w:rsidRPr="00563D71">
              <w:rPr>
                <w:rFonts w:eastAsia="Calibri"/>
                <w:bCs/>
                <w:color w:val="auto"/>
                <w:sz w:val="22"/>
              </w:rPr>
              <w:t>9</w:t>
            </w:r>
          </w:p>
        </w:tc>
        <w:tc>
          <w:tcPr>
            <w:tcW w:w="791" w:type="dxa"/>
            <w:shd w:val="clear" w:color="auto" w:fill="auto"/>
            <w:noWrap/>
          </w:tcPr>
          <w:p w14:paraId="5A3487CA" w14:textId="3EA5436B" w:rsidR="00EB2571"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hideMark/>
          </w:tcPr>
          <w:p w14:paraId="2C4A3E87" w14:textId="61E74DA7" w:rsidR="00EB2571" w:rsidRPr="00563D71" w:rsidRDefault="00DE6681" w:rsidP="00DE434F">
            <w:pPr>
              <w:spacing w:before="0"/>
              <w:ind w:left="0" w:firstLine="0"/>
              <w:jc w:val="left"/>
              <w:rPr>
                <w:rFonts w:eastAsia="Calibri"/>
                <w:color w:val="auto"/>
                <w:sz w:val="22"/>
              </w:rPr>
            </w:pPr>
            <w:r w:rsidRPr="00563D71">
              <w:rPr>
                <w:rFonts w:eastAsia="Calibri"/>
                <w:color w:val="auto"/>
                <w:sz w:val="22"/>
              </w:rPr>
              <w:t xml:space="preserve">Number of tourism </w:t>
            </w:r>
            <w:r w:rsidR="000465D3" w:rsidRPr="00563D71">
              <w:rPr>
                <w:rFonts w:eastAsia="Calibri"/>
                <w:color w:val="auto"/>
                <w:sz w:val="22"/>
              </w:rPr>
              <w:t xml:space="preserve">businesses </w:t>
            </w:r>
            <w:r w:rsidRPr="00563D71">
              <w:rPr>
                <w:rFonts w:eastAsia="Calibri"/>
                <w:color w:val="auto"/>
                <w:sz w:val="22"/>
              </w:rPr>
              <w:t>with an online presence</w:t>
            </w:r>
          </w:p>
        </w:tc>
      </w:tr>
      <w:tr w:rsidR="00DE6681" w:rsidRPr="00563D71" w14:paraId="3E0BC94F" w14:textId="77777777" w:rsidTr="00DE434F">
        <w:tc>
          <w:tcPr>
            <w:tcW w:w="656" w:type="dxa"/>
            <w:shd w:val="clear" w:color="auto" w:fill="auto"/>
            <w:noWrap/>
          </w:tcPr>
          <w:p w14:paraId="164525A9" w14:textId="65183164" w:rsidR="00DE6681" w:rsidRPr="00563D71" w:rsidRDefault="00DE6681"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0</w:t>
            </w:r>
          </w:p>
        </w:tc>
        <w:tc>
          <w:tcPr>
            <w:tcW w:w="791" w:type="dxa"/>
            <w:shd w:val="clear" w:color="auto" w:fill="auto"/>
            <w:noWrap/>
          </w:tcPr>
          <w:p w14:paraId="75C27851" w14:textId="68EAC304" w:rsidR="00DE6681" w:rsidRPr="00563D71" w:rsidRDefault="00DE6681" w:rsidP="00DE434F">
            <w:pPr>
              <w:spacing w:before="0"/>
              <w:ind w:left="0" w:firstLine="0"/>
              <w:jc w:val="left"/>
              <w:rPr>
                <w:rFonts w:eastAsia="Calibri"/>
                <w:color w:val="auto"/>
                <w:sz w:val="22"/>
              </w:rPr>
            </w:pPr>
          </w:p>
        </w:tc>
        <w:tc>
          <w:tcPr>
            <w:tcW w:w="7974" w:type="dxa"/>
            <w:shd w:val="clear" w:color="auto" w:fill="auto"/>
            <w:noWrap/>
            <w:vAlign w:val="bottom"/>
          </w:tcPr>
          <w:p w14:paraId="408EB6E8" w14:textId="11486D83" w:rsidR="00DE6681" w:rsidRPr="00563D71" w:rsidRDefault="000465D3" w:rsidP="00DE434F">
            <w:pPr>
              <w:spacing w:before="0"/>
              <w:ind w:left="0" w:firstLine="0"/>
              <w:jc w:val="left"/>
              <w:rPr>
                <w:rFonts w:eastAsia="Calibri"/>
                <w:color w:val="auto"/>
                <w:sz w:val="22"/>
              </w:rPr>
            </w:pPr>
            <w:r w:rsidRPr="00563D71">
              <w:rPr>
                <w:rFonts w:eastAsia="Calibri"/>
                <w:color w:val="auto"/>
                <w:sz w:val="22"/>
              </w:rPr>
              <w:t>Number of tourism businesses with an increase in service and quality ratings</w:t>
            </w:r>
            <w:r w:rsidRPr="00563D71">
              <w:rPr>
                <w:rStyle w:val="FootnoteReference"/>
                <w:rFonts w:eastAsia="Calibri"/>
                <w:color w:val="auto"/>
                <w:sz w:val="22"/>
              </w:rPr>
              <w:footnoteReference w:id="27"/>
            </w:r>
            <w:r w:rsidRPr="00563D71">
              <w:rPr>
                <w:rFonts w:eastAsia="Calibri"/>
                <w:color w:val="auto"/>
                <w:sz w:val="22"/>
              </w:rPr>
              <w:t xml:space="preserve"> </w:t>
            </w:r>
          </w:p>
        </w:tc>
      </w:tr>
      <w:tr w:rsidR="00DE6681" w:rsidRPr="00563D71" w14:paraId="10B8F4F3" w14:textId="77777777" w:rsidTr="00DE434F">
        <w:tc>
          <w:tcPr>
            <w:tcW w:w="656" w:type="dxa"/>
            <w:shd w:val="clear" w:color="auto" w:fill="auto"/>
            <w:noWrap/>
          </w:tcPr>
          <w:p w14:paraId="1F817975" w14:textId="77777777" w:rsidR="00DE6681" w:rsidRPr="00563D71" w:rsidRDefault="00DE6681" w:rsidP="00DE434F">
            <w:pPr>
              <w:spacing w:before="0"/>
              <w:ind w:left="0" w:firstLine="0"/>
              <w:jc w:val="left"/>
              <w:rPr>
                <w:rFonts w:eastAsia="Calibri"/>
                <w:bCs/>
                <w:color w:val="auto"/>
                <w:sz w:val="22"/>
              </w:rPr>
            </w:pPr>
          </w:p>
        </w:tc>
        <w:tc>
          <w:tcPr>
            <w:tcW w:w="791" w:type="dxa"/>
            <w:shd w:val="clear" w:color="auto" w:fill="auto"/>
            <w:noWrap/>
          </w:tcPr>
          <w:p w14:paraId="451D4848" w14:textId="77777777" w:rsidR="00DE6681" w:rsidRPr="00563D71" w:rsidRDefault="00DE6681" w:rsidP="00DE434F">
            <w:pPr>
              <w:spacing w:before="0"/>
              <w:ind w:left="0" w:firstLine="0"/>
              <w:jc w:val="left"/>
              <w:rPr>
                <w:rFonts w:eastAsia="Calibri"/>
                <w:color w:val="auto"/>
                <w:sz w:val="22"/>
              </w:rPr>
            </w:pPr>
          </w:p>
        </w:tc>
        <w:tc>
          <w:tcPr>
            <w:tcW w:w="7974" w:type="dxa"/>
            <w:shd w:val="clear" w:color="auto" w:fill="auto"/>
            <w:noWrap/>
            <w:vAlign w:val="bottom"/>
          </w:tcPr>
          <w:p w14:paraId="0F6AD6A3" w14:textId="2299B791" w:rsidR="00DE6681" w:rsidRPr="00563D71" w:rsidRDefault="00DE6681" w:rsidP="00DE434F">
            <w:pPr>
              <w:spacing w:before="0"/>
              <w:ind w:left="0" w:firstLine="0"/>
              <w:jc w:val="left"/>
              <w:rPr>
                <w:rFonts w:eastAsia="Calibri"/>
                <w:b/>
                <w:color w:val="auto"/>
                <w:sz w:val="22"/>
              </w:rPr>
            </w:pPr>
            <w:r w:rsidRPr="00563D71">
              <w:rPr>
                <w:rFonts w:eastAsia="Calibri"/>
                <w:b/>
                <w:color w:val="auto"/>
                <w:sz w:val="22"/>
              </w:rPr>
              <w:t>Result Area 3: Enhance enabling environment for private investment and business entry in tourism</w:t>
            </w:r>
          </w:p>
        </w:tc>
      </w:tr>
      <w:tr w:rsidR="00802ABE" w:rsidRPr="00563D71" w14:paraId="2505BB6C" w14:textId="77777777" w:rsidTr="00DE434F">
        <w:tc>
          <w:tcPr>
            <w:tcW w:w="656" w:type="dxa"/>
            <w:shd w:val="clear" w:color="auto" w:fill="auto"/>
            <w:noWrap/>
          </w:tcPr>
          <w:p w14:paraId="374CE100" w14:textId="6C2BBB24" w:rsidR="00DE6681" w:rsidRPr="00563D71" w:rsidRDefault="009A223F"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1</w:t>
            </w:r>
          </w:p>
        </w:tc>
        <w:tc>
          <w:tcPr>
            <w:tcW w:w="791" w:type="dxa"/>
            <w:shd w:val="clear" w:color="auto" w:fill="auto"/>
            <w:noWrap/>
          </w:tcPr>
          <w:p w14:paraId="1B607DAA" w14:textId="20ABA960" w:rsidR="00DE6681" w:rsidRPr="00563D71" w:rsidRDefault="00DE6681" w:rsidP="00DE434F">
            <w:pPr>
              <w:spacing w:before="0"/>
              <w:ind w:left="0" w:firstLine="0"/>
              <w:jc w:val="left"/>
              <w:rPr>
                <w:rFonts w:eastAsia="Calibri"/>
                <w:color w:val="auto"/>
                <w:sz w:val="22"/>
              </w:rPr>
            </w:pPr>
          </w:p>
        </w:tc>
        <w:tc>
          <w:tcPr>
            <w:tcW w:w="7974" w:type="dxa"/>
            <w:shd w:val="clear" w:color="auto" w:fill="auto"/>
            <w:noWrap/>
            <w:vAlign w:val="bottom"/>
            <w:hideMark/>
          </w:tcPr>
          <w:p w14:paraId="5FC1B33B" w14:textId="6FA91B13" w:rsidR="00DE6681" w:rsidRPr="00563D71" w:rsidRDefault="00DE6681" w:rsidP="00DE434F">
            <w:pPr>
              <w:spacing w:before="0"/>
              <w:ind w:left="0" w:firstLine="0"/>
              <w:jc w:val="left"/>
              <w:rPr>
                <w:rFonts w:eastAsia="Calibri"/>
                <w:color w:val="auto"/>
                <w:sz w:val="22"/>
              </w:rPr>
            </w:pPr>
            <w:r w:rsidRPr="00563D71">
              <w:rPr>
                <w:rFonts w:eastAsia="Calibri"/>
                <w:color w:val="auto"/>
                <w:sz w:val="22"/>
              </w:rPr>
              <w:t xml:space="preserve">Reduction in average time (days) to obtain all licenses for establishing a new tourism-related business. </w:t>
            </w:r>
          </w:p>
        </w:tc>
      </w:tr>
      <w:tr w:rsidR="00802ABE" w:rsidRPr="00563D71" w14:paraId="50ECAE52" w14:textId="77777777" w:rsidTr="00DE434F">
        <w:tc>
          <w:tcPr>
            <w:tcW w:w="656" w:type="dxa"/>
            <w:shd w:val="clear" w:color="auto" w:fill="auto"/>
            <w:noWrap/>
          </w:tcPr>
          <w:p w14:paraId="5A91DF05" w14:textId="64B750E8" w:rsidR="00802ABE" w:rsidRPr="00563D71" w:rsidDel="00EB2571" w:rsidRDefault="00802ABE"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2</w:t>
            </w:r>
          </w:p>
        </w:tc>
        <w:tc>
          <w:tcPr>
            <w:tcW w:w="791" w:type="dxa"/>
            <w:shd w:val="clear" w:color="auto" w:fill="auto"/>
            <w:noWrap/>
          </w:tcPr>
          <w:p w14:paraId="2925AECA" w14:textId="74688A5A" w:rsidR="00802ABE" w:rsidRPr="00563D71" w:rsidRDefault="00802ABE" w:rsidP="00DE434F">
            <w:pPr>
              <w:spacing w:before="0"/>
              <w:ind w:left="0" w:firstLine="0"/>
              <w:jc w:val="left"/>
              <w:rPr>
                <w:rFonts w:eastAsia="Calibri"/>
                <w:color w:val="auto"/>
                <w:sz w:val="22"/>
              </w:rPr>
            </w:pPr>
          </w:p>
        </w:tc>
        <w:tc>
          <w:tcPr>
            <w:tcW w:w="7974" w:type="dxa"/>
            <w:shd w:val="clear" w:color="auto" w:fill="auto"/>
            <w:noWrap/>
            <w:vAlign w:val="bottom"/>
          </w:tcPr>
          <w:p w14:paraId="25AF4B68" w14:textId="795C2E2D" w:rsidR="00802ABE" w:rsidRPr="00563D71" w:rsidDel="00DE6681" w:rsidRDefault="000465D3" w:rsidP="00DE434F">
            <w:pPr>
              <w:spacing w:before="0"/>
              <w:ind w:left="0" w:firstLine="0"/>
              <w:jc w:val="left"/>
              <w:rPr>
                <w:rFonts w:eastAsia="Calibri"/>
                <w:color w:val="auto"/>
                <w:sz w:val="22"/>
              </w:rPr>
            </w:pPr>
            <w:r w:rsidRPr="00563D71">
              <w:rPr>
                <w:rFonts w:eastAsia="Calibri"/>
                <w:color w:val="auto"/>
                <w:sz w:val="22"/>
              </w:rPr>
              <w:t>Value of n</w:t>
            </w:r>
            <w:r w:rsidR="00802ABE" w:rsidRPr="00563D71">
              <w:rPr>
                <w:rFonts w:eastAsia="Calibri"/>
                <w:color w:val="auto"/>
                <w:sz w:val="22"/>
              </w:rPr>
              <w:t>ew</w:t>
            </w:r>
            <w:r w:rsidRPr="00563D71">
              <w:rPr>
                <w:rFonts w:eastAsia="Calibri"/>
                <w:color w:val="auto"/>
                <w:sz w:val="22"/>
              </w:rPr>
              <w:t xml:space="preserve"> private investment realization in tourism-related businesses</w:t>
            </w:r>
            <w:r w:rsidR="00802ABE" w:rsidRPr="00563D71">
              <w:rPr>
                <w:rFonts w:eastAsia="Calibri"/>
                <w:color w:val="auto"/>
                <w:sz w:val="22"/>
              </w:rPr>
              <w:t xml:space="preserve"> </w:t>
            </w:r>
          </w:p>
        </w:tc>
      </w:tr>
      <w:tr w:rsidR="00802ABE" w:rsidRPr="00563D71" w14:paraId="0903CE6A" w14:textId="77777777" w:rsidTr="00DE434F">
        <w:tc>
          <w:tcPr>
            <w:tcW w:w="656" w:type="dxa"/>
            <w:shd w:val="clear" w:color="auto" w:fill="auto"/>
            <w:noWrap/>
          </w:tcPr>
          <w:p w14:paraId="61194527" w14:textId="67A7C5CC" w:rsidR="00802ABE" w:rsidRPr="00563D71" w:rsidDel="00EB2571" w:rsidRDefault="00802ABE" w:rsidP="00DE434F">
            <w:pPr>
              <w:spacing w:before="0"/>
              <w:ind w:left="0" w:firstLine="0"/>
              <w:jc w:val="left"/>
              <w:rPr>
                <w:rFonts w:eastAsia="Calibri"/>
                <w:bCs/>
                <w:color w:val="auto"/>
                <w:sz w:val="22"/>
              </w:rPr>
            </w:pPr>
            <w:r w:rsidRPr="00563D71">
              <w:rPr>
                <w:rFonts w:eastAsia="Calibri"/>
                <w:bCs/>
                <w:color w:val="auto"/>
                <w:sz w:val="22"/>
              </w:rPr>
              <w:lastRenderedPageBreak/>
              <w:t>1</w:t>
            </w:r>
            <w:r w:rsidR="00730D9B" w:rsidRPr="00563D71">
              <w:rPr>
                <w:rFonts w:eastAsia="Calibri"/>
                <w:bCs/>
                <w:color w:val="auto"/>
                <w:sz w:val="22"/>
              </w:rPr>
              <w:t>3</w:t>
            </w:r>
          </w:p>
        </w:tc>
        <w:tc>
          <w:tcPr>
            <w:tcW w:w="791" w:type="dxa"/>
            <w:shd w:val="clear" w:color="auto" w:fill="auto"/>
            <w:noWrap/>
          </w:tcPr>
          <w:p w14:paraId="217EDDC2" w14:textId="2A5C0411" w:rsidR="00802ABE"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tcPr>
          <w:p w14:paraId="1B0E273B" w14:textId="12A657A2" w:rsidR="00802ABE" w:rsidRPr="00563D71" w:rsidRDefault="00802ABE" w:rsidP="00DE434F">
            <w:pPr>
              <w:spacing w:before="0"/>
              <w:ind w:left="0" w:firstLine="0"/>
              <w:jc w:val="left"/>
              <w:rPr>
                <w:rFonts w:eastAsia="Calibri"/>
                <w:color w:val="auto"/>
                <w:sz w:val="22"/>
              </w:rPr>
            </w:pPr>
            <w:r w:rsidRPr="00563D71">
              <w:rPr>
                <w:rFonts w:eastAsia="Calibri"/>
                <w:color w:val="auto"/>
                <w:sz w:val="22"/>
              </w:rPr>
              <w:t xml:space="preserve">Number of new </w:t>
            </w:r>
            <w:r w:rsidR="000465D3" w:rsidRPr="00563D71">
              <w:rPr>
                <w:rFonts w:eastAsia="Calibri"/>
                <w:color w:val="auto"/>
                <w:sz w:val="22"/>
              </w:rPr>
              <w:t xml:space="preserve">private </w:t>
            </w:r>
            <w:r w:rsidRPr="00563D71">
              <w:rPr>
                <w:rFonts w:eastAsia="Calibri"/>
                <w:color w:val="auto"/>
                <w:sz w:val="22"/>
              </w:rPr>
              <w:t xml:space="preserve">investment licenses </w:t>
            </w:r>
            <w:r w:rsidR="009E2175" w:rsidRPr="00563D71">
              <w:rPr>
                <w:rFonts w:eastAsia="Calibri"/>
                <w:color w:val="auto"/>
                <w:sz w:val="22"/>
              </w:rPr>
              <w:t xml:space="preserve">in tourism-related businesses </w:t>
            </w:r>
            <w:r w:rsidRPr="00563D71">
              <w:rPr>
                <w:rFonts w:eastAsia="Calibri"/>
                <w:color w:val="auto"/>
                <w:sz w:val="22"/>
              </w:rPr>
              <w:t>issued</w:t>
            </w:r>
          </w:p>
        </w:tc>
      </w:tr>
      <w:tr w:rsidR="00802ABE" w:rsidRPr="00563D71" w14:paraId="48096D96" w14:textId="77777777" w:rsidTr="00DE434F">
        <w:tc>
          <w:tcPr>
            <w:tcW w:w="656" w:type="dxa"/>
            <w:shd w:val="clear" w:color="auto" w:fill="auto"/>
            <w:noWrap/>
          </w:tcPr>
          <w:p w14:paraId="76914E52" w14:textId="2714DBAA" w:rsidR="00802ABE" w:rsidRPr="00563D71" w:rsidDel="00EB2571" w:rsidRDefault="00802ABE"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4</w:t>
            </w:r>
          </w:p>
        </w:tc>
        <w:tc>
          <w:tcPr>
            <w:tcW w:w="791" w:type="dxa"/>
            <w:shd w:val="clear" w:color="auto" w:fill="auto"/>
            <w:noWrap/>
          </w:tcPr>
          <w:p w14:paraId="3F769607" w14:textId="537626C9" w:rsidR="00802ABE" w:rsidRPr="00563D71" w:rsidRDefault="00802ABE" w:rsidP="00DE434F">
            <w:pPr>
              <w:spacing w:before="0"/>
              <w:ind w:left="0" w:firstLine="0"/>
              <w:jc w:val="left"/>
              <w:rPr>
                <w:rFonts w:eastAsia="Calibri"/>
                <w:color w:val="auto"/>
                <w:sz w:val="22"/>
              </w:rPr>
            </w:pPr>
          </w:p>
        </w:tc>
        <w:tc>
          <w:tcPr>
            <w:tcW w:w="7974" w:type="dxa"/>
            <w:shd w:val="clear" w:color="auto" w:fill="auto"/>
            <w:noWrap/>
            <w:vAlign w:val="bottom"/>
          </w:tcPr>
          <w:p w14:paraId="4366564C" w14:textId="76BAD6BE" w:rsidR="00802ABE" w:rsidRPr="00563D71" w:rsidRDefault="00802ABE" w:rsidP="00DE434F">
            <w:pPr>
              <w:spacing w:before="0"/>
              <w:ind w:left="0" w:firstLine="0"/>
              <w:jc w:val="left"/>
              <w:rPr>
                <w:rFonts w:eastAsia="Calibri"/>
                <w:color w:val="auto"/>
                <w:sz w:val="22"/>
              </w:rPr>
            </w:pPr>
            <w:r w:rsidRPr="00563D71">
              <w:rPr>
                <w:rFonts w:eastAsia="Calibri"/>
                <w:color w:val="auto"/>
                <w:sz w:val="22"/>
              </w:rPr>
              <w:t xml:space="preserve">Adoption of destination-specific investment promotion plans </w:t>
            </w:r>
          </w:p>
        </w:tc>
      </w:tr>
      <w:tr w:rsidR="00802ABE" w:rsidRPr="00563D71" w14:paraId="03E6A207" w14:textId="77777777" w:rsidTr="00DE434F">
        <w:tc>
          <w:tcPr>
            <w:tcW w:w="656" w:type="dxa"/>
            <w:shd w:val="clear" w:color="auto" w:fill="auto"/>
            <w:noWrap/>
          </w:tcPr>
          <w:p w14:paraId="43FF77B2" w14:textId="4E9AB88A" w:rsidR="00802ABE" w:rsidRPr="00563D71" w:rsidDel="00EB2571" w:rsidRDefault="00802ABE" w:rsidP="00DE434F">
            <w:pPr>
              <w:spacing w:before="0"/>
              <w:ind w:left="0" w:firstLine="0"/>
              <w:jc w:val="left"/>
              <w:rPr>
                <w:rFonts w:eastAsia="Calibri"/>
                <w:bCs/>
                <w:color w:val="auto"/>
                <w:sz w:val="22"/>
              </w:rPr>
            </w:pPr>
          </w:p>
        </w:tc>
        <w:tc>
          <w:tcPr>
            <w:tcW w:w="791" w:type="dxa"/>
            <w:shd w:val="clear" w:color="auto" w:fill="auto"/>
            <w:noWrap/>
          </w:tcPr>
          <w:p w14:paraId="3A9FC9D2" w14:textId="77777777" w:rsidR="00802ABE" w:rsidRPr="00563D71" w:rsidRDefault="00802ABE" w:rsidP="00DE434F">
            <w:pPr>
              <w:spacing w:before="0"/>
              <w:ind w:left="0" w:firstLine="0"/>
              <w:jc w:val="left"/>
              <w:rPr>
                <w:rFonts w:eastAsia="Calibri"/>
                <w:color w:val="auto"/>
                <w:sz w:val="22"/>
              </w:rPr>
            </w:pPr>
          </w:p>
        </w:tc>
        <w:tc>
          <w:tcPr>
            <w:tcW w:w="7974" w:type="dxa"/>
            <w:shd w:val="clear" w:color="auto" w:fill="auto"/>
            <w:noWrap/>
            <w:vAlign w:val="bottom"/>
          </w:tcPr>
          <w:p w14:paraId="1F0E552F" w14:textId="2061D80C" w:rsidR="00802ABE" w:rsidRPr="00563D71" w:rsidRDefault="00802ABE" w:rsidP="00DE434F">
            <w:pPr>
              <w:spacing w:before="0"/>
              <w:ind w:left="0" w:firstLine="0"/>
              <w:jc w:val="left"/>
              <w:rPr>
                <w:rFonts w:eastAsia="Calibri"/>
                <w:b/>
                <w:color w:val="auto"/>
                <w:sz w:val="22"/>
              </w:rPr>
            </w:pPr>
            <w:r w:rsidRPr="00563D71">
              <w:rPr>
                <w:rFonts w:eastAsia="Calibri"/>
                <w:b/>
                <w:color w:val="auto"/>
                <w:sz w:val="22"/>
              </w:rPr>
              <w:t>Result Area 4: Increase institutional capacity to facilitate integrated and sustainable tourism development</w:t>
            </w:r>
          </w:p>
        </w:tc>
      </w:tr>
      <w:tr w:rsidR="00802ABE" w:rsidRPr="00563D71" w14:paraId="79473F57" w14:textId="77777777" w:rsidTr="00DE434F">
        <w:tc>
          <w:tcPr>
            <w:tcW w:w="656" w:type="dxa"/>
            <w:shd w:val="clear" w:color="auto" w:fill="auto"/>
            <w:noWrap/>
          </w:tcPr>
          <w:p w14:paraId="67F3E1AB" w14:textId="663BDA47" w:rsidR="00802ABE" w:rsidRPr="00563D71" w:rsidRDefault="00B42784"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5</w:t>
            </w:r>
          </w:p>
        </w:tc>
        <w:tc>
          <w:tcPr>
            <w:tcW w:w="791" w:type="dxa"/>
            <w:shd w:val="clear" w:color="auto" w:fill="auto"/>
            <w:noWrap/>
            <w:hideMark/>
          </w:tcPr>
          <w:p w14:paraId="1225493F" w14:textId="2131C79C" w:rsidR="00802ABE"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hideMark/>
          </w:tcPr>
          <w:p w14:paraId="3B77AD7C" w14:textId="05BB28B4" w:rsidR="00802ABE" w:rsidRPr="00563D71" w:rsidRDefault="00802ABE" w:rsidP="00DE434F">
            <w:pPr>
              <w:spacing w:before="0"/>
              <w:ind w:left="0" w:firstLine="0"/>
              <w:jc w:val="left"/>
              <w:rPr>
                <w:rFonts w:eastAsia="Calibri"/>
                <w:color w:val="auto"/>
                <w:sz w:val="22"/>
              </w:rPr>
            </w:pPr>
            <w:r w:rsidRPr="00563D71">
              <w:rPr>
                <w:rFonts w:eastAsia="Calibri"/>
                <w:color w:val="auto"/>
                <w:sz w:val="22"/>
              </w:rPr>
              <w:t xml:space="preserve">Number of spatial plans or sectoral master plans adopted or revised with the </w:t>
            </w:r>
            <w:r w:rsidR="00BE421E" w:rsidRPr="00563D71">
              <w:rPr>
                <w:rFonts w:eastAsia="Calibri"/>
                <w:color w:val="auto"/>
                <w:sz w:val="22"/>
              </w:rPr>
              <w:t>integrated</w:t>
            </w:r>
            <w:r w:rsidRPr="00563D71">
              <w:rPr>
                <w:rFonts w:eastAsia="Calibri"/>
                <w:color w:val="auto"/>
                <w:sz w:val="22"/>
              </w:rPr>
              <w:t xml:space="preserve"> tourism master plans</w:t>
            </w:r>
          </w:p>
        </w:tc>
      </w:tr>
      <w:tr w:rsidR="00802ABE" w:rsidRPr="00563D71" w14:paraId="13B26BF6" w14:textId="77777777" w:rsidTr="00DE434F">
        <w:tc>
          <w:tcPr>
            <w:tcW w:w="656" w:type="dxa"/>
            <w:shd w:val="clear" w:color="auto" w:fill="auto"/>
            <w:noWrap/>
          </w:tcPr>
          <w:p w14:paraId="3D55EFE1" w14:textId="0DC38224" w:rsidR="00802ABE" w:rsidRPr="00563D71" w:rsidRDefault="00B42784" w:rsidP="00DE434F">
            <w:pPr>
              <w:spacing w:before="0"/>
              <w:ind w:left="0" w:firstLine="0"/>
              <w:jc w:val="left"/>
              <w:rPr>
                <w:rFonts w:eastAsia="Calibri"/>
                <w:bCs/>
                <w:color w:val="auto"/>
                <w:sz w:val="22"/>
              </w:rPr>
            </w:pPr>
            <w:r w:rsidRPr="00563D71">
              <w:rPr>
                <w:rFonts w:eastAsia="Calibri"/>
                <w:bCs/>
                <w:color w:val="auto"/>
                <w:sz w:val="22"/>
              </w:rPr>
              <w:t>1</w:t>
            </w:r>
            <w:r w:rsidR="00730D9B" w:rsidRPr="00563D71">
              <w:rPr>
                <w:rFonts w:eastAsia="Calibri"/>
                <w:bCs/>
                <w:color w:val="auto"/>
                <w:sz w:val="22"/>
              </w:rPr>
              <w:t>6</w:t>
            </w:r>
          </w:p>
        </w:tc>
        <w:tc>
          <w:tcPr>
            <w:tcW w:w="791" w:type="dxa"/>
            <w:shd w:val="clear" w:color="auto" w:fill="auto"/>
            <w:noWrap/>
          </w:tcPr>
          <w:p w14:paraId="24E06D92" w14:textId="20646A15" w:rsidR="00802ABE" w:rsidRPr="00563D71" w:rsidRDefault="004C0329" w:rsidP="00DE434F">
            <w:pPr>
              <w:spacing w:before="0"/>
              <w:ind w:left="0" w:firstLine="0"/>
              <w:jc w:val="left"/>
              <w:rPr>
                <w:rFonts w:eastAsia="Calibri"/>
                <w:color w:val="auto"/>
                <w:sz w:val="22"/>
              </w:rPr>
            </w:pPr>
            <w:r w:rsidRPr="00563D71">
              <w:rPr>
                <w:rFonts w:eastAsia="Calibri"/>
                <w:color w:val="auto"/>
                <w:sz w:val="22"/>
              </w:rPr>
              <w:t>√</w:t>
            </w:r>
          </w:p>
        </w:tc>
        <w:tc>
          <w:tcPr>
            <w:tcW w:w="7974" w:type="dxa"/>
            <w:shd w:val="clear" w:color="auto" w:fill="auto"/>
            <w:noWrap/>
            <w:vAlign w:val="bottom"/>
            <w:hideMark/>
          </w:tcPr>
          <w:p w14:paraId="50D843EB" w14:textId="3193687B" w:rsidR="00802ABE" w:rsidRPr="00563D71" w:rsidRDefault="00802ABE" w:rsidP="003D66DD">
            <w:pPr>
              <w:spacing w:before="0"/>
              <w:ind w:left="0" w:firstLine="0"/>
              <w:jc w:val="left"/>
              <w:rPr>
                <w:rFonts w:eastAsia="Calibri"/>
                <w:color w:val="auto"/>
                <w:sz w:val="22"/>
              </w:rPr>
            </w:pPr>
            <w:r w:rsidRPr="00563D71">
              <w:rPr>
                <w:rFonts w:eastAsia="Calibri"/>
                <w:color w:val="auto"/>
                <w:sz w:val="22"/>
              </w:rPr>
              <w:t>Number of periodic STO (Sustainable Tourism Observatory</w:t>
            </w:r>
            <w:r w:rsidR="00642A81" w:rsidRPr="00563D71">
              <w:rPr>
                <w:rFonts w:eastAsia="Calibri"/>
                <w:color w:val="auto"/>
                <w:sz w:val="22"/>
              </w:rPr>
              <w:t>)</w:t>
            </w:r>
            <w:r w:rsidR="00096260" w:rsidRPr="00563D71">
              <w:rPr>
                <w:rFonts w:eastAsia="Calibri"/>
                <w:color w:val="auto"/>
                <w:sz w:val="22"/>
              </w:rPr>
              <w:t>, or equivalent</w:t>
            </w:r>
            <w:r w:rsidR="006A2E88" w:rsidRPr="00563D71">
              <w:rPr>
                <w:rFonts w:eastAsia="Calibri"/>
                <w:color w:val="auto"/>
                <w:sz w:val="22"/>
              </w:rPr>
              <w:t>,</w:t>
            </w:r>
            <w:r w:rsidRPr="00563D71">
              <w:rPr>
                <w:rFonts w:eastAsia="Calibri"/>
                <w:color w:val="auto"/>
                <w:sz w:val="22"/>
              </w:rPr>
              <w:t xml:space="preserve"> monitoring reports published based on pre-agreed geographic scope of </w:t>
            </w:r>
            <w:r w:rsidR="00711C99" w:rsidRPr="00563D71">
              <w:rPr>
                <w:rFonts w:eastAsia="Calibri"/>
                <w:color w:val="auto"/>
                <w:sz w:val="22"/>
              </w:rPr>
              <w:t xml:space="preserve">key </w:t>
            </w:r>
            <w:r w:rsidRPr="00563D71">
              <w:rPr>
                <w:rFonts w:eastAsia="Calibri"/>
                <w:color w:val="auto"/>
                <w:sz w:val="22"/>
              </w:rPr>
              <w:t>tourism areas and list of critical indicators</w:t>
            </w:r>
          </w:p>
        </w:tc>
      </w:tr>
      <w:tr w:rsidR="00711C99" w:rsidRPr="00563D71" w14:paraId="44F49422" w14:textId="77777777" w:rsidTr="00DE434F">
        <w:tc>
          <w:tcPr>
            <w:tcW w:w="656" w:type="dxa"/>
            <w:shd w:val="clear" w:color="auto" w:fill="auto"/>
            <w:noWrap/>
          </w:tcPr>
          <w:p w14:paraId="1C55115D" w14:textId="08ACACF2" w:rsidR="00711C99" w:rsidRPr="00563D71" w:rsidRDefault="00711C99" w:rsidP="00DE434F">
            <w:pPr>
              <w:spacing w:before="0"/>
              <w:ind w:left="0" w:firstLine="0"/>
              <w:jc w:val="left"/>
              <w:rPr>
                <w:rFonts w:eastAsia="Calibri"/>
                <w:bCs/>
                <w:color w:val="auto"/>
                <w:sz w:val="22"/>
              </w:rPr>
            </w:pPr>
            <w:r w:rsidRPr="00563D71">
              <w:rPr>
                <w:rFonts w:eastAsia="Calibri"/>
                <w:bCs/>
                <w:color w:val="auto"/>
                <w:sz w:val="22"/>
              </w:rPr>
              <w:t>17</w:t>
            </w:r>
            <w:r w:rsidRPr="00563D71">
              <w:rPr>
                <w:rStyle w:val="FootnoteReference"/>
                <w:rFonts w:eastAsia="Calibri"/>
                <w:bCs/>
                <w:color w:val="auto"/>
                <w:sz w:val="22"/>
              </w:rPr>
              <w:footnoteReference w:id="28"/>
            </w:r>
          </w:p>
        </w:tc>
        <w:tc>
          <w:tcPr>
            <w:tcW w:w="791" w:type="dxa"/>
            <w:shd w:val="clear" w:color="auto" w:fill="auto"/>
            <w:noWrap/>
          </w:tcPr>
          <w:p w14:paraId="0687CB05" w14:textId="4F83F9D4" w:rsidR="00711C99" w:rsidRPr="00563D71" w:rsidRDefault="00711C99" w:rsidP="00DE434F">
            <w:pPr>
              <w:spacing w:before="0"/>
              <w:ind w:left="0" w:firstLine="0"/>
              <w:jc w:val="left"/>
              <w:rPr>
                <w:rFonts w:eastAsia="Calibri"/>
                <w:color w:val="auto"/>
                <w:sz w:val="22"/>
              </w:rPr>
            </w:pPr>
          </w:p>
        </w:tc>
        <w:tc>
          <w:tcPr>
            <w:tcW w:w="7974" w:type="dxa"/>
            <w:shd w:val="clear" w:color="auto" w:fill="auto"/>
            <w:noWrap/>
            <w:vAlign w:val="bottom"/>
          </w:tcPr>
          <w:p w14:paraId="22843511" w14:textId="3765C0F0" w:rsidR="00711C99" w:rsidRPr="00563D71" w:rsidRDefault="00711C99" w:rsidP="003D66DD">
            <w:pPr>
              <w:spacing w:before="0"/>
              <w:ind w:left="0" w:firstLine="0"/>
              <w:jc w:val="left"/>
              <w:rPr>
                <w:rFonts w:eastAsia="Calibri"/>
                <w:color w:val="auto"/>
                <w:sz w:val="22"/>
              </w:rPr>
            </w:pPr>
            <w:r w:rsidRPr="00563D71">
              <w:rPr>
                <w:rFonts w:eastAsia="Calibri"/>
                <w:color w:val="auto"/>
                <w:sz w:val="22"/>
              </w:rPr>
              <w:t xml:space="preserve">Increased performance on the indicators monitored based on pre-agreed geographic scope of key tourism areas and list of critical indicators. </w:t>
            </w:r>
          </w:p>
        </w:tc>
      </w:tr>
      <w:tr w:rsidR="00802ABE" w:rsidRPr="00563D71" w14:paraId="7A132D3B" w14:textId="77777777" w:rsidTr="00DE434F">
        <w:tc>
          <w:tcPr>
            <w:tcW w:w="656" w:type="dxa"/>
            <w:shd w:val="clear" w:color="auto" w:fill="auto"/>
            <w:noWrap/>
          </w:tcPr>
          <w:p w14:paraId="3EE46AD3" w14:textId="7F1BF565" w:rsidR="00802ABE" w:rsidRPr="00563D71" w:rsidRDefault="00B42784" w:rsidP="00DE434F">
            <w:pPr>
              <w:spacing w:before="0"/>
              <w:ind w:left="0" w:firstLine="0"/>
              <w:jc w:val="left"/>
              <w:rPr>
                <w:rFonts w:eastAsia="Calibri"/>
                <w:bCs/>
                <w:color w:val="auto"/>
                <w:sz w:val="22"/>
              </w:rPr>
            </w:pPr>
            <w:r w:rsidRPr="00563D71">
              <w:rPr>
                <w:rFonts w:eastAsia="Calibri"/>
                <w:bCs/>
                <w:color w:val="auto"/>
                <w:sz w:val="22"/>
              </w:rPr>
              <w:t>1</w:t>
            </w:r>
            <w:r w:rsidR="00711C99" w:rsidRPr="00563D71">
              <w:rPr>
                <w:rFonts w:eastAsia="Calibri"/>
                <w:bCs/>
                <w:color w:val="auto"/>
                <w:sz w:val="22"/>
              </w:rPr>
              <w:t>8</w:t>
            </w:r>
          </w:p>
        </w:tc>
        <w:tc>
          <w:tcPr>
            <w:tcW w:w="791" w:type="dxa"/>
            <w:shd w:val="clear" w:color="auto" w:fill="auto"/>
            <w:noWrap/>
          </w:tcPr>
          <w:p w14:paraId="5BE2EBCE" w14:textId="285B0247" w:rsidR="00802ABE" w:rsidRPr="00563D71" w:rsidRDefault="00802ABE" w:rsidP="00DE434F">
            <w:pPr>
              <w:spacing w:before="0"/>
              <w:ind w:left="0" w:firstLine="0"/>
              <w:jc w:val="left"/>
              <w:rPr>
                <w:rFonts w:eastAsia="Calibri"/>
                <w:color w:val="auto"/>
                <w:sz w:val="22"/>
              </w:rPr>
            </w:pPr>
          </w:p>
        </w:tc>
        <w:tc>
          <w:tcPr>
            <w:tcW w:w="7974" w:type="dxa"/>
            <w:shd w:val="clear" w:color="auto" w:fill="auto"/>
            <w:noWrap/>
            <w:vAlign w:val="bottom"/>
            <w:hideMark/>
          </w:tcPr>
          <w:p w14:paraId="2B7D1ECB" w14:textId="045424AF" w:rsidR="00802ABE" w:rsidRPr="00563D71" w:rsidRDefault="00802ABE" w:rsidP="00DE434F">
            <w:pPr>
              <w:spacing w:before="0"/>
              <w:ind w:left="0" w:firstLine="0"/>
              <w:jc w:val="left"/>
              <w:rPr>
                <w:rFonts w:eastAsia="Calibri"/>
                <w:color w:val="auto"/>
                <w:sz w:val="22"/>
              </w:rPr>
            </w:pPr>
            <w:r w:rsidRPr="00563D71">
              <w:rPr>
                <w:rFonts w:eastAsia="Calibri"/>
                <w:color w:val="auto"/>
                <w:sz w:val="22"/>
              </w:rPr>
              <w:t>Number of participants in “</w:t>
            </w:r>
            <w:r w:rsidRPr="00563D71">
              <w:rPr>
                <w:rFonts w:eastAsia="Calibri"/>
                <w:i/>
                <w:color w:val="auto"/>
                <w:sz w:val="22"/>
              </w:rPr>
              <w:t>Sadar Wisata</w:t>
            </w:r>
            <w:r w:rsidRPr="00563D71">
              <w:rPr>
                <w:rFonts w:eastAsia="Calibri"/>
                <w:color w:val="auto"/>
                <w:sz w:val="22"/>
              </w:rPr>
              <w:t>” tourism awareness</w:t>
            </w:r>
            <w:r w:rsidR="001A6850" w:rsidRPr="00563D71">
              <w:rPr>
                <w:rFonts w:eastAsia="Calibri"/>
                <w:color w:val="auto"/>
                <w:sz w:val="22"/>
              </w:rPr>
              <w:t>-</w:t>
            </w:r>
            <w:r w:rsidRPr="00563D71">
              <w:rPr>
                <w:rFonts w:eastAsia="Calibri"/>
                <w:color w:val="auto"/>
                <w:sz w:val="22"/>
              </w:rPr>
              <w:t xml:space="preserve">raising programs. </w:t>
            </w:r>
          </w:p>
        </w:tc>
      </w:tr>
      <w:tr w:rsidR="00E5723D" w:rsidRPr="00563D71" w14:paraId="4F896DC1" w14:textId="77777777" w:rsidTr="0032029F">
        <w:trPr>
          <w:trHeight w:val="333"/>
        </w:trPr>
        <w:tc>
          <w:tcPr>
            <w:tcW w:w="656" w:type="dxa"/>
            <w:shd w:val="clear" w:color="auto" w:fill="auto"/>
            <w:noWrap/>
          </w:tcPr>
          <w:p w14:paraId="76CE8A3D" w14:textId="5F31F3D9" w:rsidR="00CE0003" w:rsidRPr="00563D71" w:rsidRDefault="00E5723D" w:rsidP="000D66E4">
            <w:pPr>
              <w:spacing w:before="0"/>
              <w:ind w:left="0" w:firstLine="0"/>
              <w:jc w:val="left"/>
              <w:rPr>
                <w:rFonts w:eastAsia="Calibri"/>
                <w:bCs/>
                <w:color w:val="auto"/>
                <w:sz w:val="22"/>
              </w:rPr>
            </w:pPr>
            <w:r w:rsidRPr="00563D71">
              <w:rPr>
                <w:rFonts w:eastAsia="Calibri"/>
                <w:bCs/>
                <w:color w:val="auto"/>
                <w:sz w:val="22"/>
              </w:rPr>
              <w:t>1</w:t>
            </w:r>
            <w:r w:rsidR="00711C99" w:rsidRPr="00563D71">
              <w:rPr>
                <w:rFonts w:eastAsia="Calibri"/>
                <w:bCs/>
                <w:color w:val="auto"/>
                <w:sz w:val="22"/>
              </w:rPr>
              <w:t>9</w:t>
            </w:r>
          </w:p>
        </w:tc>
        <w:tc>
          <w:tcPr>
            <w:tcW w:w="791" w:type="dxa"/>
            <w:shd w:val="clear" w:color="auto" w:fill="auto"/>
            <w:noWrap/>
          </w:tcPr>
          <w:p w14:paraId="6C9A3ECB" w14:textId="5672F4C9" w:rsidR="00CE0003" w:rsidRPr="00563D71" w:rsidDel="009A223F" w:rsidRDefault="00CE0003" w:rsidP="00304B91">
            <w:pPr>
              <w:spacing w:before="0"/>
              <w:ind w:left="0" w:firstLine="0"/>
              <w:jc w:val="left"/>
              <w:rPr>
                <w:rFonts w:eastAsia="Calibri"/>
                <w:color w:val="auto"/>
                <w:sz w:val="22"/>
              </w:rPr>
            </w:pPr>
          </w:p>
        </w:tc>
        <w:tc>
          <w:tcPr>
            <w:tcW w:w="7974" w:type="dxa"/>
            <w:shd w:val="clear" w:color="auto" w:fill="auto"/>
            <w:noWrap/>
            <w:vAlign w:val="bottom"/>
          </w:tcPr>
          <w:p w14:paraId="7467DCAA" w14:textId="269B5676" w:rsidR="00CE0003" w:rsidRPr="00563D71" w:rsidRDefault="00096260" w:rsidP="000D66E4">
            <w:pPr>
              <w:spacing w:before="0"/>
              <w:ind w:left="0" w:firstLine="0"/>
              <w:jc w:val="left"/>
              <w:rPr>
                <w:rFonts w:eastAsia="Calibri"/>
                <w:color w:val="auto"/>
                <w:sz w:val="22"/>
              </w:rPr>
            </w:pPr>
            <w:r w:rsidRPr="00563D71">
              <w:rPr>
                <w:rFonts w:eastAsia="Calibri"/>
                <w:color w:val="auto"/>
                <w:sz w:val="22"/>
              </w:rPr>
              <w:t xml:space="preserve">Local community </w:t>
            </w:r>
            <w:r w:rsidR="000556EF" w:rsidRPr="00563D71">
              <w:rPr>
                <w:rFonts w:eastAsia="Calibri"/>
                <w:color w:val="auto"/>
                <w:sz w:val="22"/>
              </w:rPr>
              <w:t xml:space="preserve">(including IPs, if any) </w:t>
            </w:r>
            <w:r w:rsidRPr="00563D71">
              <w:rPr>
                <w:rFonts w:eastAsia="Calibri"/>
                <w:color w:val="auto"/>
                <w:sz w:val="22"/>
              </w:rPr>
              <w:t>satisfaction with participation in destination planning and budgeting processes.</w:t>
            </w:r>
          </w:p>
        </w:tc>
      </w:tr>
    </w:tbl>
    <w:p w14:paraId="656D933F" w14:textId="2531A772" w:rsidR="009D7EC2" w:rsidRPr="00563D71" w:rsidRDefault="009D7EC2" w:rsidP="00563D71">
      <w:pPr>
        <w:pStyle w:val="MainParanoChapter-Ch3"/>
        <w:spacing w:before="120"/>
        <w:rPr>
          <w:bCs/>
        </w:rPr>
      </w:pPr>
      <w:r w:rsidRPr="00563D71">
        <w:rPr>
          <w:bCs/>
        </w:rPr>
        <w:t>A Ministerial-level tourism coordination team, chaired by Indonesia’s Vice</w:t>
      </w:r>
      <w:r w:rsidR="00932A73" w:rsidRPr="00563D71">
        <w:rPr>
          <w:bCs/>
        </w:rPr>
        <w:t xml:space="preserve"> </w:t>
      </w:r>
      <w:r w:rsidRPr="00563D71">
        <w:rPr>
          <w:bCs/>
        </w:rPr>
        <w:t>President, provides overall guidance to the Program</w:t>
      </w:r>
      <w:r w:rsidR="001A6850" w:rsidRPr="00563D71">
        <w:rPr>
          <w:bCs/>
        </w:rPr>
        <w:t xml:space="preserve"> and</w:t>
      </w:r>
      <w:r w:rsidRPr="00563D71">
        <w:rPr>
          <w:bCs/>
        </w:rPr>
        <w:t xml:space="preserve"> has appointed the Minister of Tourism for overall coordination and entrusted </w:t>
      </w:r>
      <w:r w:rsidR="001A6850" w:rsidRPr="00563D71">
        <w:rPr>
          <w:bCs/>
        </w:rPr>
        <w:t>the Ministry of Public Works and Housing (</w:t>
      </w:r>
      <w:r w:rsidRPr="00563D71">
        <w:rPr>
          <w:bCs/>
        </w:rPr>
        <w:t>MPWH</w:t>
      </w:r>
      <w:r w:rsidR="001A6850" w:rsidRPr="00563D71">
        <w:rPr>
          <w:bCs/>
        </w:rPr>
        <w:t>)</w:t>
      </w:r>
      <w:r w:rsidRPr="00563D71">
        <w:rPr>
          <w:bCs/>
        </w:rPr>
        <w:t xml:space="preserve"> with the management of the Program. For central government coordination, the MPWH has proposed to</w:t>
      </w:r>
      <w:r w:rsidR="001A6850" w:rsidRPr="00563D71">
        <w:rPr>
          <w:bCs/>
        </w:rPr>
        <w:t xml:space="preserve"> </w:t>
      </w:r>
      <w:r w:rsidRPr="00563D71">
        <w:rPr>
          <w:bCs/>
        </w:rPr>
        <w:t xml:space="preserve">establish an </w:t>
      </w:r>
      <w:r w:rsidRPr="00563D71">
        <w:rPr>
          <w:bCs/>
          <w:iCs/>
        </w:rPr>
        <w:t>Echelon 1</w:t>
      </w:r>
      <w:r w:rsidRPr="00563D71">
        <w:rPr>
          <w:bCs/>
        </w:rPr>
        <w:t xml:space="preserve"> Steering Committee,</w:t>
      </w:r>
      <w:r w:rsidRPr="00563D71">
        <w:rPr>
          <w:rStyle w:val="FootnoteReference"/>
          <w:bCs/>
        </w:rPr>
        <w:footnoteReference w:id="29"/>
      </w:r>
      <w:r w:rsidRPr="00563D71">
        <w:rPr>
          <w:bCs/>
        </w:rPr>
        <w:t xml:space="preserve"> an </w:t>
      </w:r>
      <w:r w:rsidRPr="00563D71">
        <w:rPr>
          <w:bCs/>
          <w:iCs/>
        </w:rPr>
        <w:t>Echelon 2</w:t>
      </w:r>
      <w:r w:rsidRPr="00563D71">
        <w:rPr>
          <w:bCs/>
        </w:rPr>
        <w:t xml:space="preserve"> Technical Committee,</w:t>
      </w:r>
      <w:r w:rsidRPr="00563D71">
        <w:rPr>
          <w:rStyle w:val="FootnoteReference"/>
          <w:bCs/>
        </w:rPr>
        <w:footnoteReference w:id="30"/>
      </w:r>
      <w:r w:rsidRPr="00563D71">
        <w:rPr>
          <w:bCs/>
        </w:rPr>
        <w:t xml:space="preserve"> and increased </w:t>
      </w:r>
      <w:r w:rsidR="002D6CA1" w:rsidRPr="00563D71">
        <w:rPr>
          <w:bCs/>
        </w:rPr>
        <w:lastRenderedPageBreak/>
        <w:t>P</w:t>
      </w:r>
      <w:r w:rsidRPr="00563D71">
        <w:rPr>
          <w:bCs/>
        </w:rPr>
        <w:t xml:space="preserve">rogram </w:t>
      </w:r>
      <w:r w:rsidR="002D6CA1" w:rsidRPr="00563D71">
        <w:rPr>
          <w:bCs/>
        </w:rPr>
        <w:t>M</w:t>
      </w:r>
      <w:r w:rsidRPr="00563D71">
        <w:rPr>
          <w:bCs/>
        </w:rPr>
        <w:t xml:space="preserve">anagement </w:t>
      </w:r>
      <w:r w:rsidR="002D6CA1" w:rsidRPr="00563D71">
        <w:rPr>
          <w:bCs/>
        </w:rPr>
        <w:t>S</w:t>
      </w:r>
      <w:r w:rsidRPr="00563D71">
        <w:rPr>
          <w:bCs/>
        </w:rPr>
        <w:t xml:space="preserve">upport through additional </w:t>
      </w:r>
      <w:r w:rsidR="000B0DC9" w:rsidRPr="00563D71">
        <w:rPr>
          <w:bCs/>
        </w:rPr>
        <w:t xml:space="preserve">qualified </w:t>
      </w:r>
      <w:r w:rsidRPr="00563D71">
        <w:rPr>
          <w:bCs/>
        </w:rPr>
        <w:t xml:space="preserve">staff in the Regional Infrastructure Development Agency (RIDA) of </w:t>
      </w:r>
      <w:r w:rsidR="00932A73" w:rsidRPr="00563D71">
        <w:rPr>
          <w:bCs/>
        </w:rPr>
        <w:t xml:space="preserve">the </w:t>
      </w:r>
      <w:r w:rsidR="001A6850" w:rsidRPr="00563D71">
        <w:rPr>
          <w:bCs/>
        </w:rPr>
        <w:t xml:space="preserve">MPWH </w:t>
      </w:r>
      <w:r w:rsidR="00932A73" w:rsidRPr="00563D71">
        <w:rPr>
          <w:bCs/>
        </w:rPr>
        <w:t>and</w:t>
      </w:r>
      <w:r w:rsidRPr="00563D71">
        <w:rPr>
          <w:bCs/>
        </w:rPr>
        <w:t xml:space="preserve"> the Program Management Support Consultants’ Services (financed under the IPF).</w:t>
      </w:r>
    </w:p>
    <w:p w14:paraId="076732AF" w14:textId="77777777" w:rsidR="00D63013" w:rsidRPr="00563D71" w:rsidRDefault="00D63013" w:rsidP="00D63013">
      <w:pPr>
        <w:pStyle w:val="MainParanoChapter-Ch3"/>
        <w:numPr>
          <w:ilvl w:val="0"/>
          <w:numId w:val="0"/>
        </w:numPr>
        <w:rPr>
          <w:bCs/>
        </w:rPr>
      </w:pPr>
    </w:p>
    <w:p w14:paraId="37B6B985" w14:textId="206532BE" w:rsidR="009D7EC2" w:rsidRPr="00563D71" w:rsidRDefault="009D7EC2" w:rsidP="009D7EC2">
      <w:pPr>
        <w:pStyle w:val="MainParanoChapter-Ch3"/>
        <w:rPr>
          <w:bCs/>
        </w:rPr>
      </w:pPr>
      <w:r w:rsidRPr="00563D71">
        <w:rPr>
          <w:bCs/>
        </w:rPr>
        <w:t>The Program will be implemented by the MPWH, the Ministry of Tourism, the Investment Coordinating Board (</w:t>
      </w:r>
      <w:r w:rsidRPr="00563D71">
        <w:rPr>
          <w:bCs/>
          <w:i/>
        </w:rPr>
        <w:t>Badan Koordinasi Penanaman Modal</w:t>
      </w:r>
      <w:r w:rsidRPr="00563D71">
        <w:rPr>
          <w:bCs/>
        </w:rPr>
        <w:t>, BKPM), and possibly several other Ministries/Agencies (e.g. Manpower and Transmigration), including at the subnational level (e.g. provincial/local Public Works Agencies, Environmental Boards, technical and vocational education and training (TVET) tertiary institutions, local one-stop integrated services (</w:t>
      </w:r>
      <w:r w:rsidRPr="00563D71">
        <w:rPr>
          <w:bCs/>
          <w:i/>
        </w:rPr>
        <w:t>Pelayanan Terpadu Satu Pintu</w:t>
      </w:r>
      <w:r w:rsidRPr="00563D71">
        <w:rPr>
          <w:bCs/>
        </w:rPr>
        <w:t>, PTSP-local)</w:t>
      </w:r>
      <w:r w:rsidR="00F11996" w:rsidRPr="00563D71">
        <w:rPr>
          <w:bCs/>
        </w:rPr>
        <w:t>)</w:t>
      </w:r>
      <w:r w:rsidRPr="00563D71">
        <w:rPr>
          <w:bCs/>
        </w:rPr>
        <w:t>.</w:t>
      </w:r>
    </w:p>
    <w:p w14:paraId="781E8716" w14:textId="65805371" w:rsidR="009D7EC2" w:rsidRPr="00563D71" w:rsidRDefault="009D7EC2" w:rsidP="00CF22F2">
      <w:pPr>
        <w:pStyle w:val="MainParanoChapter-Ch3"/>
        <w:numPr>
          <w:ilvl w:val="0"/>
          <w:numId w:val="0"/>
        </w:numPr>
        <w:rPr>
          <w:bCs/>
        </w:rPr>
      </w:pPr>
    </w:p>
    <w:p w14:paraId="381F6A26" w14:textId="6558621C" w:rsidR="00307B98" w:rsidRPr="00563D71" w:rsidRDefault="009D7EC2" w:rsidP="003D2E29">
      <w:pPr>
        <w:pStyle w:val="MainParanoChapter-Ch3"/>
        <w:rPr>
          <w:bCs/>
        </w:rPr>
      </w:pPr>
      <w:r w:rsidRPr="00563D71">
        <w:rPr>
          <w:bCs/>
        </w:rPr>
        <w:t>Destination</w:t>
      </w:r>
      <w:r w:rsidR="001A6850" w:rsidRPr="00563D71">
        <w:rPr>
          <w:bCs/>
        </w:rPr>
        <w:t>-</w:t>
      </w:r>
      <w:r w:rsidRPr="00563D71">
        <w:rPr>
          <w:bCs/>
        </w:rPr>
        <w:t>level coordination mechanisms are yet to be established, except for Lake Toba</w:t>
      </w:r>
      <w:r w:rsidR="000D5C7A" w:rsidRPr="00563D71">
        <w:rPr>
          <w:bCs/>
        </w:rPr>
        <w:t>,</w:t>
      </w:r>
      <w:r w:rsidRPr="00563D71">
        <w:rPr>
          <w:bCs/>
        </w:rPr>
        <w:t xml:space="preserve"> where the Lake Toba Tourism Area Management Authority Board was established.</w:t>
      </w:r>
      <w:r w:rsidRPr="00563D71">
        <w:rPr>
          <w:rStyle w:val="FootnoteReference"/>
          <w:bCs/>
        </w:rPr>
        <w:footnoteReference w:id="31"/>
      </w:r>
      <w:r w:rsidRPr="00563D71">
        <w:rPr>
          <w:bCs/>
        </w:rPr>
        <w:t xml:space="preserve"> Presidential Regulation No. 49, issued on June 13, 2016, creates a specific organizational structure for the planning, management, development, construction</w:t>
      </w:r>
      <w:r w:rsidR="000D5C7A" w:rsidRPr="00563D71">
        <w:rPr>
          <w:bCs/>
        </w:rPr>
        <w:t>,</w:t>
      </w:r>
      <w:r w:rsidRPr="00563D71">
        <w:rPr>
          <w:bCs/>
        </w:rPr>
        <w:t xml:space="preserve"> and control of a site of approximately 500 Ha in Lake Toba (the so-called ‘authority zone’). The specific geographic boundary of the broader so-called ‘coordination zone’, for which the Management Authority</w:t>
      </w:r>
      <w:r w:rsidRPr="00563D71">
        <w:rPr>
          <w:b/>
        </w:rPr>
        <w:t xml:space="preserve"> </w:t>
      </w:r>
      <w:r w:rsidRPr="00563D71">
        <w:rPr>
          <w:bCs/>
        </w:rPr>
        <w:t xml:space="preserve">has a coordinating role, is according to Presidential Regulation No. 81 </w:t>
      </w:r>
      <w:r w:rsidR="0023488B" w:rsidRPr="00563D71">
        <w:rPr>
          <w:bCs/>
        </w:rPr>
        <w:t xml:space="preserve">Year </w:t>
      </w:r>
      <w:r w:rsidRPr="00563D71">
        <w:rPr>
          <w:bCs/>
        </w:rPr>
        <w:t xml:space="preserve">2014. The Regulation created two bodies: </w:t>
      </w:r>
      <w:r w:rsidR="000D5C7A" w:rsidRPr="00563D71">
        <w:rPr>
          <w:bCs/>
        </w:rPr>
        <w:t>a</w:t>
      </w:r>
      <w:r w:rsidRPr="00563D71">
        <w:rPr>
          <w:bCs/>
        </w:rPr>
        <w:t>n Advisory Board, chaired by the Coordinating Minister for Maritime Affairs, which will establish the general policy, provide overall direction and supervision of the Lake Toba intervention; and an Executive Board, a working unit under the Ministry of Tourism, which will coordinate, synchronize, and facilitate the planning, development</w:t>
      </w:r>
      <w:r w:rsidR="000D5C7A" w:rsidRPr="00563D71">
        <w:rPr>
          <w:bCs/>
        </w:rPr>
        <w:t>,</w:t>
      </w:r>
      <w:r w:rsidRPr="00563D71">
        <w:rPr>
          <w:bCs/>
        </w:rPr>
        <w:t xml:space="preserve"> and construction of this tourism destination. Different ministries, agencies</w:t>
      </w:r>
      <w:r w:rsidR="000D5C7A" w:rsidRPr="00563D71">
        <w:rPr>
          <w:bCs/>
        </w:rPr>
        <w:t>,</w:t>
      </w:r>
      <w:r w:rsidRPr="00563D71">
        <w:rPr>
          <w:bCs/>
        </w:rPr>
        <w:t xml:space="preserve"> and the Governor of North Sumatra are also members of the Advisory Board. The Executive Board will be responsible for the preparation of a Master</w:t>
      </w:r>
      <w:r w:rsidR="00C23CD2" w:rsidRPr="00563D71">
        <w:rPr>
          <w:bCs/>
        </w:rPr>
        <w:t xml:space="preserve"> P</w:t>
      </w:r>
      <w:r w:rsidRPr="00563D71">
        <w:rPr>
          <w:bCs/>
        </w:rPr>
        <w:t>lan for the Development and Construction of Lake Toba Tourism Area (the approximately 500 Ha site) for a period of 25 years, as well as a 5-year detailed plan. The tourism coordination team agreed to keep the responsibility for the integrated tourism master</w:t>
      </w:r>
      <w:r w:rsidR="00C23CD2" w:rsidRPr="00563D71">
        <w:rPr>
          <w:bCs/>
        </w:rPr>
        <w:t xml:space="preserve"> </w:t>
      </w:r>
      <w:r w:rsidRPr="00563D71">
        <w:rPr>
          <w:bCs/>
        </w:rPr>
        <w:t xml:space="preserve">plan for the tourism destination area </w:t>
      </w:r>
      <w:r w:rsidRPr="00563D71">
        <w:rPr>
          <w:bCs/>
        </w:rPr>
        <w:lastRenderedPageBreak/>
        <w:t xml:space="preserve">with the Ministry of Public Works and Housing. Additionally, the Executive Board will also have authority to plan the allocation and use of land, </w:t>
      </w:r>
      <w:r w:rsidR="00E71A61" w:rsidRPr="00563D71">
        <w:rPr>
          <w:bCs/>
        </w:rPr>
        <w:t xml:space="preserve">and </w:t>
      </w:r>
      <w:r w:rsidRPr="00563D71">
        <w:rPr>
          <w:bCs/>
        </w:rPr>
        <w:t>the right to manage the Lake Toba Tourism Area and organize licensing and non-licensing services. Destination</w:t>
      </w:r>
      <w:r w:rsidR="00E71A61" w:rsidRPr="00563D71">
        <w:rPr>
          <w:bCs/>
        </w:rPr>
        <w:t>-</w:t>
      </w:r>
      <w:r w:rsidRPr="00563D71">
        <w:rPr>
          <w:bCs/>
        </w:rPr>
        <w:t xml:space="preserve">level coordination mechanisms for the other destinations are expected to be established </w:t>
      </w:r>
      <w:r w:rsidR="00CB3C96" w:rsidRPr="00563D71">
        <w:rPr>
          <w:bCs/>
        </w:rPr>
        <w:t>as well.</w:t>
      </w:r>
      <w:r w:rsidR="00C25F55" w:rsidRPr="00563D71">
        <w:rPr>
          <w:bCs/>
        </w:rPr>
        <w:t xml:space="preserve"> The Presidential Regulation for the Borobudur destination authority has been issue</w:t>
      </w:r>
      <w:r w:rsidR="00B756BA" w:rsidRPr="00563D71">
        <w:rPr>
          <w:bCs/>
        </w:rPr>
        <w:t>d</w:t>
      </w:r>
      <w:r w:rsidR="00C25F55" w:rsidRPr="00563D71">
        <w:rPr>
          <w:bCs/>
        </w:rPr>
        <w:t xml:space="preserve"> recently. </w:t>
      </w:r>
    </w:p>
    <w:p w14:paraId="07A51A9D" w14:textId="77777777" w:rsidR="000D5C7A" w:rsidRPr="00563D71" w:rsidRDefault="000D5C7A" w:rsidP="003D2E29">
      <w:pPr>
        <w:pStyle w:val="NoSpacing"/>
        <w:rPr>
          <w:b w:val="0"/>
          <w:bCs/>
        </w:rPr>
      </w:pPr>
      <w:bookmarkStart w:id="25" w:name="_Toc468969232"/>
      <w:bookmarkStart w:id="26" w:name="_Toc481484046"/>
    </w:p>
    <w:p w14:paraId="4090E128" w14:textId="1D6A150A" w:rsidR="001F190E" w:rsidRPr="00563D71" w:rsidRDefault="001F190E" w:rsidP="00AA6B8F">
      <w:pPr>
        <w:pStyle w:val="Heading2"/>
        <w:tabs>
          <w:tab w:val="center" w:pos="1509"/>
        </w:tabs>
        <w:spacing w:after="0"/>
        <w:ind w:left="-15" w:firstLine="0"/>
      </w:pPr>
      <w:bookmarkStart w:id="27" w:name="_Toc485831025"/>
      <w:r w:rsidRPr="00563D71">
        <w:t>1.</w:t>
      </w:r>
      <w:r w:rsidR="00FF16D7" w:rsidRPr="00563D71">
        <w:t>2</w:t>
      </w:r>
      <w:r w:rsidRPr="00563D71">
        <w:rPr>
          <w:rFonts w:ascii="Arial" w:eastAsia="Arial" w:hAnsi="Arial" w:cs="Arial"/>
        </w:rPr>
        <w:t xml:space="preserve"> </w:t>
      </w:r>
      <w:r w:rsidRPr="00563D71">
        <w:rPr>
          <w:rFonts w:ascii="Arial" w:eastAsia="Arial" w:hAnsi="Arial" w:cs="Arial"/>
        </w:rPr>
        <w:tab/>
      </w:r>
      <w:r w:rsidRPr="00563D71">
        <w:t xml:space="preserve">Typology of </w:t>
      </w:r>
      <w:bookmarkEnd w:id="25"/>
      <w:bookmarkEnd w:id="26"/>
      <w:r w:rsidR="00005ABF" w:rsidRPr="00563D71">
        <w:t>Expenditures</w:t>
      </w:r>
      <w:bookmarkEnd w:id="27"/>
    </w:p>
    <w:p w14:paraId="3897D76B" w14:textId="6CCE6910" w:rsidR="009D0351" w:rsidRPr="00563D71" w:rsidRDefault="00BF6DE4" w:rsidP="00416DC0">
      <w:pPr>
        <w:pStyle w:val="MainParanoChapter-Ch3"/>
        <w:rPr>
          <w:bCs/>
        </w:rPr>
      </w:pPr>
      <w:r w:rsidRPr="00563D71">
        <w:rPr>
          <w:bCs/>
        </w:rPr>
        <w:t xml:space="preserve">The Investment and Expenditure Menu of the Program is designed to achieve the Program results. </w:t>
      </w:r>
      <w:r w:rsidR="009D0351" w:rsidRPr="00563D71">
        <w:rPr>
          <w:bCs/>
        </w:rPr>
        <w:t>It is based on the Demand Assessments</w:t>
      </w:r>
      <w:r w:rsidR="00C25F55" w:rsidRPr="00563D71">
        <w:rPr>
          <w:bCs/>
        </w:rPr>
        <w:t>, which also included transport and basic services baselines and future investment needs</w:t>
      </w:r>
      <w:r w:rsidR="00757B5A" w:rsidRPr="00563D71">
        <w:rPr>
          <w:bCs/>
        </w:rPr>
        <w:t>.</w:t>
      </w:r>
      <w:r w:rsidR="00757B5A" w:rsidRPr="00563D71">
        <w:rPr>
          <w:rStyle w:val="FootnoteReference"/>
          <w:bCs/>
        </w:rPr>
        <w:footnoteReference w:id="32"/>
      </w:r>
      <w:r w:rsidR="003266B9" w:rsidRPr="00563D71">
        <w:rPr>
          <w:bCs/>
        </w:rPr>
        <w:t xml:space="preserve"> </w:t>
      </w:r>
      <w:r w:rsidR="009D0351" w:rsidRPr="00563D71">
        <w:rPr>
          <w:bCs/>
        </w:rPr>
        <w:t xml:space="preserve">On an annual basis, as part of the regular government work plan cycle, all proposed Program infrastructure investments </w:t>
      </w:r>
      <w:r w:rsidR="00932A73" w:rsidRPr="00563D71">
        <w:rPr>
          <w:bCs/>
        </w:rPr>
        <w:t xml:space="preserve">and expenditures </w:t>
      </w:r>
      <w:r w:rsidR="009D0351" w:rsidRPr="00563D71">
        <w:rPr>
          <w:bCs/>
        </w:rPr>
        <w:t xml:space="preserve">will be </w:t>
      </w:r>
      <w:r w:rsidR="00317581" w:rsidRPr="00563D71">
        <w:rPr>
          <w:bCs/>
        </w:rPr>
        <w:t xml:space="preserve">reviewed against the Investment and Expenditure Menu of the Program. They will also be </w:t>
      </w:r>
      <w:r w:rsidR="003266B9" w:rsidRPr="00563D71">
        <w:rPr>
          <w:bCs/>
        </w:rPr>
        <w:t>screened to ensure they are in line with the</w:t>
      </w:r>
      <w:r w:rsidR="00C25F55" w:rsidRPr="00563D71">
        <w:rPr>
          <w:bCs/>
        </w:rPr>
        <w:t xml:space="preserve"> ITMPs</w:t>
      </w:r>
      <w:r w:rsidR="003266B9" w:rsidRPr="00563D71">
        <w:rPr>
          <w:bCs/>
        </w:rPr>
        <w:t xml:space="preserve">. In case the Program’s Steering Committee wants to add new types of investments to the Menu, they need to be </w:t>
      </w:r>
      <w:r w:rsidR="009D0351" w:rsidRPr="00563D71">
        <w:rPr>
          <w:bCs/>
        </w:rPr>
        <w:t>screened according to the significance of their potential environmental and social impacts</w:t>
      </w:r>
      <w:r w:rsidR="003266B9" w:rsidRPr="00563D71">
        <w:rPr>
          <w:bCs/>
        </w:rPr>
        <w:t xml:space="preserve"> using the adopted screening mechanism</w:t>
      </w:r>
      <w:r w:rsidR="00317581" w:rsidRPr="00563D71">
        <w:rPr>
          <w:bCs/>
        </w:rPr>
        <w:t xml:space="preserve"> (</w:t>
      </w:r>
      <w:r w:rsidR="003266B9" w:rsidRPr="00563D71">
        <w:rPr>
          <w:bCs/>
        </w:rPr>
        <w:t xml:space="preserve">see </w:t>
      </w:r>
      <w:r w:rsidR="00317581" w:rsidRPr="00563D71">
        <w:rPr>
          <w:bCs/>
        </w:rPr>
        <w:t xml:space="preserve">Annex 3). </w:t>
      </w:r>
      <w:r w:rsidR="0087096F" w:rsidRPr="00563D71">
        <w:rPr>
          <w:bCs/>
        </w:rPr>
        <w:t xml:space="preserve">The same applies to the year 1 work plan, when </w:t>
      </w:r>
      <w:r w:rsidR="00C25F55" w:rsidRPr="00563D71">
        <w:rPr>
          <w:bCs/>
        </w:rPr>
        <w:t xml:space="preserve">the ITMPs are </w:t>
      </w:r>
      <w:r w:rsidR="0087096F" w:rsidRPr="00563D71">
        <w:rPr>
          <w:bCs/>
        </w:rPr>
        <w:t xml:space="preserve">not yet finalized. </w:t>
      </w:r>
      <w:r w:rsidR="003266B9" w:rsidRPr="00563D71">
        <w:rPr>
          <w:bCs/>
        </w:rPr>
        <w:t xml:space="preserve">Adoption of the Investment and Expenditure Menu of the Program, the mechanism for reviewing the proposed annual work plan against the Menu and the </w:t>
      </w:r>
      <w:r w:rsidR="00C25F55" w:rsidRPr="00563D71">
        <w:rPr>
          <w:bCs/>
        </w:rPr>
        <w:t>ITMPs</w:t>
      </w:r>
      <w:r w:rsidR="003266B9" w:rsidRPr="00563D71">
        <w:rPr>
          <w:bCs/>
        </w:rPr>
        <w:t>, and the screening mechanism for year 1 investments and proposed additions to the Menu is part of the Program Action</w:t>
      </w:r>
      <w:r w:rsidR="00932A73" w:rsidRPr="00563D71">
        <w:rPr>
          <w:bCs/>
        </w:rPr>
        <w:t xml:space="preserve"> Plan and is required prior to loan e</w:t>
      </w:r>
      <w:r w:rsidR="003266B9" w:rsidRPr="00563D71">
        <w:rPr>
          <w:bCs/>
        </w:rPr>
        <w:t xml:space="preserve">ffectiveness. The </w:t>
      </w:r>
      <w:r w:rsidR="009D0351" w:rsidRPr="00563D71">
        <w:rPr>
          <w:bCs/>
        </w:rPr>
        <w:t>screening mechanism will be prepared by the P</w:t>
      </w:r>
      <w:r w:rsidR="00932A73" w:rsidRPr="00563D71">
        <w:rPr>
          <w:bCs/>
        </w:rPr>
        <w:t>rogram manager (MPWH) based on A</w:t>
      </w:r>
      <w:r w:rsidR="009D0351" w:rsidRPr="00563D71">
        <w:rPr>
          <w:bCs/>
        </w:rPr>
        <w:t xml:space="preserve">nnex </w:t>
      </w:r>
      <w:r w:rsidR="0087096F" w:rsidRPr="00563D71">
        <w:rPr>
          <w:bCs/>
        </w:rPr>
        <w:t>3</w:t>
      </w:r>
      <w:r w:rsidR="009D0351" w:rsidRPr="00563D71">
        <w:rPr>
          <w:bCs/>
        </w:rPr>
        <w:t xml:space="preserve">. Similarly, for investments proposed by subnational agencies, </w:t>
      </w:r>
      <w:r w:rsidR="00E350A2">
        <w:rPr>
          <w:bCs/>
        </w:rPr>
        <w:t>BAPPEDA</w:t>
      </w:r>
      <w:r w:rsidR="009D0351" w:rsidRPr="00563D71">
        <w:rPr>
          <w:bCs/>
        </w:rPr>
        <w:t xml:space="preserve">s (the provincial and </w:t>
      </w:r>
      <w:r w:rsidR="00FC25B9">
        <w:rPr>
          <w:bCs/>
          <w:i/>
          <w:iCs/>
        </w:rPr>
        <w:t>kabupaten/k</w:t>
      </w:r>
      <w:r w:rsidR="009D0351" w:rsidRPr="00563D71">
        <w:rPr>
          <w:bCs/>
          <w:i/>
          <w:iCs/>
        </w:rPr>
        <w:t xml:space="preserve">ota </w:t>
      </w:r>
      <w:r w:rsidR="009D0351" w:rsidRPr="00563D71">
        <w:rPr>
          <w:bCs/>
        </w:rPr>
        <w:t>level system integrators) will perform such a review role, supported by the MPWH, which will deploy in-destination Program management capacities to strengthen Program preparation at the subnational level.</w:t>
      </w:r>
    </w:p>
    <w:p w14:paraId="28A2CB3A" w14:textId="77777777" w:rsidR="00BF6DE4" w:rsidRPr="00563D71" w:rsidRDefault="004436C4" w:rsidP="00AF643E">
      <w:pPr>
        <w:pStyle w:val="MainParanoChapter-Ch3"/>
        <w:numPr>
          <w:ilvl w:val="0"/>
          <w:numId w:val="0"/>
        </w:numPr>
        <w:rPr>
          <w:bCs/>
        </w:rPr>
      </w:pPr>
      <w:r w:rsidRPr="00563D71">
        <w:rPr>
          <w:bCs/>
        </w:rPr>
        <w:t xml:space="preserve"> </w:t>
      </w:r>
    </w:p>
    <w:p w14:paraId="3351B1F0" w14:textId="485CAC85" w:rsidR="00B84267" w:rsidRPr="00563D71" w:rsidRDefault="001F190E" w:rsidP="0044640C">
      <w:pPr>
        <w:pStyle w:val="MainParanoChapter-Ch3"/>
        <w:rPr>
          <w:bCs/>
        </w:rPr>
      </w:pPr>
      <w:r w:rsidRPr="00563D71">
        <w:rPr>
          <w:bCs/>
        </w:rPr>
        <w:t xml:space="preserve">Table </w:t>
      </w:r>
      <w:r w:rsidR="00704623" w:rsidRPr="00563D71">
        <w:rPr>
          <w:bCs/>
        </w:rPr>
        <w:t>3</w:t>
      </w:r>
      <w:r w:rsidRPr="00563D71">
        <w:rPr>
          <w:bCs/>
        </w:rPr>
        <w:t xml:space="preserve"> summarizes the </w:t>
      </w:r>
      <w:r w:rsidR="00C25F55" w:rsidRPr="00563D71">
        <w:rPr>
          <w:bCs/>
        </w:rPr>
        <w:t xml:space="preserve">Investment and Expenditure Menu </w:t>
      </w:r>
      <w:r w:rsidR="009E2175" w:rsidRPr="00563D71">
        <w:rPr>
          <w:bCs/>
        </w:rPr>
        <w:t xml:space="preserve">related to </w:t>
      </w:r>
      <w:r w:rsidR="009E2175" w:rsidRPr="00563D71">
        <w:rPr>
          <w:rFonts w:eastAsia="Calibri"/>
          <w:bCs/>
        </w:rPr>
        <w:t>Result Area 1</w:t>
      </w:r>
      <w:r w:rsidR="00525D16" w:rsidRPr="00563D71">
        <w:rPr>
          <w:rFonts w:eastAsia="Calibri"/>
          <w:bCs/>
        </w:rPr>
        <w:t>—i</w:t>
      </w:r>
      <w:r w:rsidR="009E2175" w:rsidRPr="00563D71">
        <w:rPr>
          <w:rFonts w:eastAsia="Calibri"/>
          <w:bCs/>
        </w:rPr>
        <w:t>mprove sustainability and tourism carrying capacity of selected destinations</w:t>
      </w:r>
      <w:r w:rsidR="002200E6" w:rsidRPr="00563D71">
        <w:rPr>
          <w:bCs/>
        </w:rPr>
        <w:t>—</w:t>
      </w:r>
      <w:r w:rsidRPr="00563D71">
        <w:rPr>
          <w:bCs/>
        </w:rPr>
        <w:t>to be implemented through the Program.</w:t>
      </w:r>
      <w:r w:rsidR="00B0024D" w:rsidRPr="00563D71">
        <w:rPr>
          <w:bCs/>
        </w:rPr>
        <w:t xml:space="preserve"> The </w:t>
      </w:r>
      <w:r w:rsidR="00B8220D" w:rsidRPr="00563D71">
        <w:rPr>
          <w:bCs/>
        </w:rPr>
        <w:t xml:space="preserve">typology of activities is based on the </w:t>
      </w:r>
      <w:r w:rsidR="007A3AA6" w:rsidRPr="00563D71">
        <w:rPr>
          <w:bCs/>
        </w:rPr>
        <w:t xml:space="preserve">Demand Assessment findings which provides </w:t>
      </w:r>
      <w:r w:rsidR="00CA2751" w:rsidRPr="00563D71">
        <w:rPr>
          <w:bCs/>
        </w:rPr>
        <w:t xml:space="preserve">guidance on the expenditure planning </w:t>
      </w:r>
      <w:r w:rsidR="00B0024D" w:rsidRPr="00563D71">
        <w:rPr>
          <w:bCs/>
        </w:rPr>
        <w:t>for the three first-priority destinations</w:t>
      </w:r>
      <w:r w:rsidR="00525D16" w:rsidRPr="00563D71">
        <w:rPr>
          <w:bCs/>
        </w:rPr>
        <w:t>—</w:t>
      </w:r>
      <w:r w:rsidR="00841685" w:rsidRPr="00563D71">
        <w:rPr>
          <w:bCs/>
        </w:rPr>
        <w:t xml:space="preserve">Lombok, </w:t>
      </w:r>
      <w:r w:rsidR="00B0024D" w:rsidRPr="00563D71">
        <w:rPr>
          <w:bCs/>
        </w:rPr>
        <w:t>Borobudur</w:t>
      </w:r>
      <w:r w:rsidR="00841685" w:rsidRPr="00563D71">
        <w:rPr>
          <w:bCs/>
        </w:rPr>
        <w:t>-Yogyakarta-Prambanan</w:t>
      </w:r>
      <w:r w:rsidR="00B0024D" w:rsidRPr="00563D71">
        <w:rPr>
          <w:bCs/>
        </w:rPr>
        <w:t xml:space="preserve">, and </w:t>
      </w:r>
      <w:r w:rsidR="00841685" w:rsidRPr="00563D71">
        <w:rPr>
          <w:bCs/>
        </w:rPr>
        <w:t>Lake Toba</w:t>
      </w:r>
      <w:r w:rsidR="00B0024D" w:rsidRPr="00563D71">
        <w:rPr>
          <w:bCs/>
        </w:rPr>
        <w:t xml:space="preserve">. </w:t>
      </w:r>
    </w:p>
    <w:p w14:paraId="0B87CF8A" w14:textId="77777777" w:rsidR="00983575" w:rsidRDefault="00983575" w:rsidP="003D2E29">
      <w:pPr>
        <w:pStyle w:val="MainParanoChapter-Ch3"/>
        <w:numPr>
          <w:ilvl w:val="0"/>
          <w:numId w:val="0"/>
        </w:numPr>
      </w:pPr>
    </w:p>
    <w:p w14:paraId="600E6B22" w14:textId="77777777" w:rsidR="00544961" w:rsidRDefault="00544961" w:rsidP="003D2E29">
      <w:pPr>
        <w:pStyle w:val="MainParanoChapter-Ch3"/>
        <w:numPr>
          <w:ilvl w:val="0"/>
          <w:numId w:val="0"/>
        </w:numPr>
      </w:pPr>
    </w:p>
    <w:p w14:paraId="2430EFB0" w14:textId="77777777" w:rsidR="00544961" w:rsidRDefault="00544961" w:rsidP="003D2E29">
      <w:pPr>
        <w:pStyle w:val="MainParanoChapter-Ch3"/>
        <w:numPr>
          <w:ilvl w:val="0"/>
          <w:numId w:val="0"/>
        </w:numPr>
      </w:pPr>
    </w:p>
    <w:p w14:paraId="30B035E2" w14:textId="77777777" w:rsidR="00544961" w:rsidRDefault="00544961" w:rsidP="003D2E29">
      <w:pPr>
        <w:pStyle w:val="MainParanoChapter-Ch3"/>
        <w:numPr>
          <w:ilvl w:val="0"/>
          <w:numId w:val="0"/>
        </w:numPr>
      </w:pPr>
    </w:p>
    <w:p w14:paraId="730FFA49" w14:textId="77777777" w:rsidR="00544961" w:rsidRPr="00563D71" w:rsidRDefault="00544961" w:rsidP="003D2E29">
      <w:pPr>
        <w:pStyle w:val="MainParanoChapter-Ch3"/>
        <w:numPr>
          <w:ilvl w:val="0"/>
          <w:numId w:val="0"/>
        </w:numPr>
      </w:pPr>
    </w:p>
    <w:p w14:paraId="0311633C" w14:textId="35E200DE" w:rsidR="00D5458A" w:rsidRDefault="00D04B10" w:rsidP="003D2E29">
      <w:pPr>
        <w:spacing w:before="0" w:line="259" w:lineRule="auto"/>
        <w:ind w:left="0" w:firstLine="0"/>
        <w:jc w:val="center"/>
        <w:rPr>
          <w:rStyle w:val="NoSpacingChar"/>
        </w:rPr>
      </w:pPr>
      <w:bookmarkStart w:id="28" w:name="_Toc485824764"/>
      <w:r w:rsidRPr="00563D71">
        <w:rPr>
          <w:rStyle w:val="NoSpacingChar"/>
        </w:rPr>
        <w:lastRenderedPageBreak/>
        <w:t xml:space="preserve">Table </w:t>
      </w:r>
      <w:r w:rsidR="00704623" w:rsidRPr="00563D71">
        <w:rPr>
          <w:rStyle w:val="NoSpacingChar"/>
        </w:rPr>
        <w:t>3</w:t>
      </w:r>
      <w:r w:rsidR="0060091A">
        <w:rPr>
          <w:rStyle w:val="NoSpacingChar"/>
        </w:rPr>
        <w:t>.</w:t>
      </w:r>
      <w:r w:rsidRPr="00563D71">
        <w:rPr>
          <w:rStyle w:val="NoSpacingChar"/>
        </w:rPr>
        <w:t xml:space="preserve"> </w:t>
      </w:r>
      <w:r w:rsidR="00C25F55" w:rsidRPr="00563D71">
        <w:rPr>
          <w:rStyle w:val="NoSpacingChar"/>
        </w:rPr>
        <w:t xml:space="preserve">Investment and Expenditure Menu </w:t>
      </w:r>
      <w:r w:rsidRPr="00563D71">
        <w:rPr>
          <w:rStyle w:val="NoSpacingChar"/>
        </w:rPr>
        <w:t xml:space="preserve">the Program </w:t>
      </w:r>
      <w:r w:rsidR="00B0024D" w:rsidRPr="00563D71">
        <w:rPr>
          <w:rStyle w:val="NoSpacingChar"/>
        </w:rPr>
        <w:t>will support at priority destinations</w:t>
      </w:r>
      <w:r w:rsidR="00085F2C" w:rsidRPr="00563D71">
        <w:rPr>
          <w:rStyle w:val="NoSpacingChar"/>
        </w:rPr>
        <w:t xml:space="preserve"> under RA1</w:t>
      </w:r>
      <w:bookmarkEnd w:id="28"/>
      <w:r w:rsidR="00B0024D" w:rsidRPr="00563D71">
        <w:rPr>
          <w:rStyle w:val="FootnoteReference"/>
          <w:sz w:val="20"/>
          <w:szCs w:val="20"/>
        </w:rPr>
        <w:footnoteReference w:id="33"/>
      </w:r>
    </w:p>
    <w:p w14:paraId="046801D7" w14:textId="77777777" w:rsidR="00544961" w:rsidRPr="00563D71" w:rsidRDefault="00544961" w:rsidP="003D2E29">
      <w:pPr>
        <w:spacing w:before="0" w:line="259" w:lineRule="auto"/>
        <w:ind w:left="0" w:firstLine="0"/>
        <w:jc w:val="center"/>
        <w:rPr>
          <w:rStyle w:val="NoSpacingChar"/>
          <w:b w:val="0"/>
          <w:szCs w:val="24"/>
        </w:rPr>
      </w:pPr>
    </w:p>
    <w:tbl>
      <w:tblPr>
        <w:tblStyle w:val="TableGrid81"/>
        <w:tblW w:w="5000" w:type="pct"/>
        <w:tblLook w:val="04A0" w:firstRow="1" w:lastRow="0" w:firstColumn="1" w:lastColumn="0" w:noHBand="0" w:noVBand="1"/>
      </w:tblPr>
      <w:tblGrid>
        <w:gridCol w:w="1331"/>
        <w:gridCol w:w="6910"/>
        <w:gridCol w:w="1109"/>
      </w:tblGrid>
      <w:tr w:rsidR="00FB0B15" w:rsidRPr="00563D71" w14:paraId="489FFFAD" w14:textId="77777777" w:rsidTr="00FB0B15">
        <w:tc>
          <w:tcPr>
            <w:tcW w:w="712" w:type="pct"/>
          </w:tcPr>
          <w:p w14:paraId="7D5A951C" w14:textId="77777777" w:rsidR="00FB0B15" w:rsidRPr="00563D71" w:rsidRDefault="00FB0B15" w:rsidP="00FB0B15">
            <w:pPr>
              <w:rPr>
                <w:rFonts w:eastAsiaTheme="minorHAnsi"/>
                <w:b/>
                <w:color w:val="auto"/>
                <w:sz w:val="20"/>
                <w:szCs w:val="20"/>
              </w:rPr>
            </w:pPr>
            <w:r w:rsidRPr="00563D71">
              <w:rPr>
                <w:rFonts w:eastAsiaTheme="minorHAnsi"/>
                <w:b/>
                <w:color w:val="auto"/>
                <w:sz w:val="20"/>
                <w:szCs w:val="20"/>
              </w:rPr>
              <w:t>Expenditure category</w:t>
            </w:r>
          </w:p>
        </w:tc>
        <w:tc>
          <w:tcPr>
            <w:tcW w:w="3695" w:type="pct"/>
          </w:tcPr>
          <w:p w14:paraId="1717454A" w14:textId="77777777" w:rsidR="00FB0B15" w:rsidRPr="00563D71" w:rsidRDefault="00FB0B15" w:rsidP="00FB0B15">
            <w:pPr>
              <w:rPr>
                <w:rFonts w:eastAsiaTheme="minorHAnsi"/>
                <w:b/>
                <w:color w:val="auto"/>
                <w:sz w:val="20"/>
                <w:szCs w:val="20"/>
              </w:rPr>
            </w:pPr>
            <w:r w:rsidRPr="00563D71">
              <w:rPr>
                <w:rFonts w:eastAsiaTheme="minorHAnsi"/>
                <w:b/>
                <w:color w:val="auto"/>
                <w:sz w:val="20"/>
                <w:szCs w:val="20"/>
              </w:rPr>
              <w:t>Type of expenditures proposed to be financed</w:t>
            </w:r>
          </w:p>
        </w:tc>
        <w:tc>
          <w:tcPr>
            <w:tcW w:w="593" w:type="pct"/>
          </w:tcPr>
          <w:p w14:paraId="72C9F3EF" w14:textId="77777777" w:rsidR="00FB0B15" w:rsidRPr="00563D71" w:rsidRDefault="00FB0B15" w:rsidP="00FB0B15">
            <w:pPr>
              <w:jc w:val="center"/>
              <w:rPr>
                <w:rFonts w:eastAsiaTheme="minorHAnsi"/>
                <w:b/>
                <w:color w:val="auto"/>
                <w:sz w:val="20"/>
                <w:szCs w:val="20"/>
              </w:rPr>
            </w:pPr>
            <w:r w:rsidRPr="00563D71">
              <w:rPr>
                <w:rFonts w:eastAsiaTheme="minorHAnsi"/>
                <w:b/>
                <w:color w:val="auto"/>
                <w:sz w:val="20"/>
                <w:szCs w:val="20"/>
              </w:rPr>
              <w:t>EA Category</w:t>
            </w:r>
          </w:p>
        </w:tc>
      </w:tr>
      <w:tr w:rsidR="00FB0B15" w:rsidRPr="00563D71" w14:paraId="0A9E6662" w14:textId="77777777" w:rsidTr="00FB0B15">
        <w:tc>
          <w:tcPr>
            <w:tcW w:w="712" w:type="pct"/>
            <w:vMerge w:val="restart"/>
            <w:tcBorders>
              <w:top w:val="single" w:sz="4" w:space="0" w:color="auto"/>
              <w:right w:val="single" w:sz="4" w:space="0" w:color="auto"/>
            </w:tcBorders>
          </w:tcPr>
          <w:p w14:paraId="6A6815A1" w14:textId="77777777" w:rsidR="00FB0B15" w:rsidRPr="00563D71" w:rsidRDefault="00FB0B15" w:rsidP="00FB0B15">
            <w:pPr>
              <w:rPr>
                <w:rFonts w:eastAsiaTheme="minorHAnsi"/>
                <w:color w:val="auto"/>
                <w:sz w:val="20"/>
                <w:szCs w:val="20"/>
              </w:rPr>
            </w:pPr>
            <w:r w:rsidRPr="00563D71">
              <w:rPr>
                <w:rFonts w:eastAsiaTheme="minorHAnsi"/>
                <w:color w:val="auto"/>
                <w:sz w:val="20"/>
                <w:szCs w:val="20"/>
              </w:rPr>
              <w:t>Roads and other transport</w:t>
            </w:r>
          </w:p>
        </w:tc>
        <w:tc>
          <w:tcPr>
            <w:tcW w:w="3695" w:type="pct"/>
            <w:tcBorders>
              <w:top w:val="single" w:sz="4" w:space="0" w:color="auto"/>
              <w:left w:val="single" w:sz="4" w:space="0" w:color="auto"/>
              <w:bottom w:val="single" w:sz="4" w:space="0" w:color="auto"/>
              <w:right w:val="single" w:sz="4" w:space="0" w:color="auto"/>
            </w:tcBorders>
          </w:tcPr>
          <w:p w14:paraId="3612A48B" w14:textId="107FA795"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Routine maintenance: roadside verge clearing and grass cutting, cleaning of silted ditches and culverts, patching, pothole repair, etc</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043F4749"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577A8630" w14:textId="77777777" w:rsidTr="00FB0B15">
        <w:tc>
          <w:tcPr>
            <w:tcW w:w="712" w:type="pct"/>
            <w:vMerge/>
            <w:tcBorders>
              <w:right w:val="single" w:sz="4" w:space="0" w:color="auto"/>
            </w:tcBorders>
          </w:tcPr>
          <w:p w14:paraId="79CA6D2E"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65CB64A9" w14:textId="3BE985F2"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Periodic maintenance: resealing, resurfacing, overlay, pavement reconstruction, etc</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46E1976A"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600E05DB" w14:textId="77777777" w:rsidTr="00FB0B15">
        <w:tc>
          <w:tcPr>
            <w:tcW w:w="712" w:type="pct"/>
            <w:vMerge/>
            <w:tcBorders>
              <w:right w:val="single" w:sz="4" w:space="0" w:color="auto"/>
            </w:tcBorders>
          </w:tcPr>
          <w:p w14:paraId="127AC09F"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A3C5DCB"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Road safety improvements: geometric design improvement, instalment of pedestrian crossing facilities (pedestrian bridge, traffic light), etc.</w:t>
            </w:r>
          </w:p>
        </w:tc>
        <w:tc>
          <w:tcPr>
            <w:tcW w:w="593" w:type="pct"/>
            <w:tcBorders>
              <w:top w:val="single" w:sz="4" w:space="0" w:color="auto"/>
              <w:left w:val="single" w:sz="4" w:space="0" w:color="auto"/>
              <w:bottom w:val="single" w:sz="4" w:space="0" w:color="auto"/>
              <w:right w:val="single" w:sz="4" w:space="0" w:color="auto"/>
            </w:tcBorders>
          </w:tcPr>
          <w:p w14:paraId="48E6F9E8"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7BAE7BB1" w14:textId="77777777" w:rsidTr="00FB0B15">
        <w:tc>
          <w:tcPr>
            <w:tcW w:w="712" w:type="pct"/>
            <w:vMerge/>
            <w:tcBorders>
              <w:right w:val="single" w:sz="4" w:space="0" w:color="auto"/>
            </w:tcBorders>
          </w:tcPr>
          <w:p w14:paraId="150394D4"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45713C91"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Traffic management improvement: marking, intersection design improvement, etc.</w:t>
            </w:r>
          </w:p>
        </w:tc>
        <w:tc>
          <w:tcPr>
            <w:tcW w:w="593" w:type="pct"/>
            <w:tcBorders>
              <w:top w:val="single" w:sz="4" w:space="0" w:color="auto"/>
              <w:left w:val="single" w:sz="4" w:space="0" w:color="auto"/>
              <w:bottom w:val="single" w:sz="4" w:space="0" w:color="auto"/>
              <w:right w:val="single" w:sz="4" w:space="0" w:color="auto"/>
            </w:tcBorders>
          </w:tcPr>
          <w:p w14:paraId="242D5F51"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33DC5A78" w14:textId="77777777" w:rsidTr="00FB0B15">
        <w:tc>
          <w:tcPr>
            <w:tcW w:w="712" w:type="pct"/>
            <w:vMerge/>
            <w:tcBorders>
              <w:right w:val="single" w:sz="4" w:space="0" w:color="auto"/>
            </w:tcBorders>
          </w:tcPr>
          <w:p w14:paraId="6FCC2A43"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67E3B03" w14:textId="2FC5292F" w:rsidR="00FB0B15" w:rsidRPr="00563D71" w:rsidRDefault="00B55869" w:rsidP="003D66DD">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sz w:val="20"/>
                <w:szCs w:val="20"/>
              </w:rPr>
              <w:t>Feasibility studies (FSs) and detailed engineering designs (DEDs) for physical investments to be financed under the Program</w:t>
            </w:r>
            <w:r w:rsidRPr="00563D71">
              <w:rPr>
                <w:rFonts w:eastAsiaTheme="minorHAnsi"/>
                <w:color w:val="auto"/>
                <w:sz w:val="20"/>
                <w:szCs w:val="20"/>
              </w:rPr>
              <w:t>.</w:t>
            </w:r>
            <w:r w:rsidRPr="00563D71">
              <w:rPr>
                <w:rFonts w:eastAsiaTheme="minorHAnsi"/>
                <w:color w:val="auto"/>
                <w:sz w:val="20"/>
                <w:szCs w:val="20"/>
                <w:vertAlign w:val="superscript"/>
              </w:rPr>
              <w:footnoteReference w:id="34"/>
            </w:r>
            <w:r w:rsidRPr="00563D71">
              <w:rPr>
                <w:rFonts w:eastAsiaTheme="minorHAnsi"/>
                <w:color w:val="auto"/>
                <w:sz w:val="20"/>
                <w:szCs w:val="20"/>
              </w:rPr>
              <w:t xml:space="preserve"> </w:t>
            </w:r>
          </w:p>
        </w:tc>
        <w:tc>
          <w:tcPr>
            <w:tcW w:w="593" w:type="pct"/>
            <w:tcBorders>
              <w:top w:val="single" w:sz="4" w:space="0" w:color="auto"/>
              <w:left w:val="single" w:sz="4" w:space="0" w:color="auto"/>
              <w:bottom w:val="single" w:sz="4" w:space="0" w:color="auto"/>
              <w:right w:val="single" w:sz="4" w:space="0" w:color="auto"/>
            </w:tcBorders>
          </w:tcPr>
          <w:p w14:paraId="33AAA082" w14:textId="39C9C6C4"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3BFF1095" w14:textId="77777777" w:rsidTr="00FB0B15">
        <w:tc>
          <w:tcPr>
            <w:tcW w:w="712" w:type="pct"/>
            <w:vMerge/>
            <w:tcBorders>
              <w:right w:val="single" w:sz="4" w:space="0" w:color="auto"/>
            </w:tcBorders>
          </w:tcPr>
          <w:p w14:paraId="27876CC3"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1642D0A"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Construction or improvement of facilities for public transport, such as bus stops and terminals and ferry terminals, taxi and truck stands.</w:t>
            </w:r>
          </w:p>
        </w:tc>
        <w:tc>
          <w:tcPr>
            <w:tcW w:w="593" w:type="pct"/>
            <w:tcBorders>
              <w:top w:val="single" w:sz="4" w:space="0" w:color="auto"/>
              <w:left w:val="single" w:sz="4" w:space="0" w:color="auto"/>
              <w:bottom w:val="single" w:sz="4" w:space="0" w:color="auto"/>
              <w:right w:val="single" w:sz="4" w:space="0" w:color="auto"/>
            </w:tcBorders>
          </w:tcPr>
          <w:p w14:paraId="4B2094F3"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B/C</w:t>
            </w:r>
          </w:p>
        </w:tc>
      </w:tr>
      <w:tr w:rsidR="00FB0B15" w:rsidRPr="00563D71" w14:paraId="078D11E4" w14:textId="77777777" w:rsidTr="00FB0B15">
        <w:tc>
          <w:tcPr>
            <w:tcW w:w="712" w:type="pct"/>
            <w:vMerge/>
            <w:tcBorders>
              <w:right w:val="single" w:sz="4" w:space="0" w:color="auto"/>
            </w:tcBorders>
          </w:tcPr>
          <w:p w14:paraId="432C09F5"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B86D014"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Replacement or improvement of small bridges.</w:t>
            </w:r>
          </w:p>
        </w:tc>
        <w:tc>
          <w:tcPr>
            <w:tcW w:w="593" w:type="pct"/>
            <w:tcBorders>
              <w:top w:val="single" w:sz="4" w:space="0" w:color="auto"/>
              <w:left w:val="single" w:sz="4" w:space="0" w:color="auto"/>
              <w:bottom w:val="single" w:sz="4" w:space="0" w:color="auto"/>
              <w:right w:val="single" w:sz="4" w:space="0" w:color="auto"/>
            </w:tcBorders>
          </w:tcPr>
          <w:p w14:paraId="4DE93B19"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0DB79E73" w14:textId="77777777" w:rsidTr="00FB0B15">
        <w:tc>
          <w:tcPr>
            <w:tcW w:w="712" w:type="pct"/>
            <w:vMerge/>
            <w:tcBorders>
              <w:right w:val="single" w:sz="4" w:space="0" w:color="auto"/>
            </w:tcBorders>
          </w:tcPr>
          <w:p w14:paraId="49F40935"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321204A1"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Other road-related infrastructure (signage, street furniture, etc.).</w:t>
            </w:r>
          </w:p>
        </w:tc>
        <w:tc>
          <w:tcPr>
            <w:tcW w:w="593" w:type="pct"/>
            <w:tcBorders>
              <w:top w:val="single" w:sz="4" w:space="0" w:color="auto"/>
              <w:left w:val="single" w:sz="4" w:space="0" w:color="auto"/>
              <w:bottom w:val="single" w:sz="4" w:space="0" w:color="auto"/>
              <w:right w:val="single" w:sz="4" w:space="0" w:color="auto"/>
            </w:tcBorders>
          </w:tcPr>
          <w:p w14:paraId="78486E2D"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29BB42F6" w14:textId="77777777" w:rsidTr="00FB0B15">
        <w:tc>
          <w:tcPr>
            <w:tcW w:w="712" w:type="pct"/>
            <w:vMerge/>
            <w:tcBorders>
              <w:right w:val="single" w:sz="4" w:space="0" w:color="auto"/>
            </w:tcBorders>
          </w:tcPr>
          <w:p w14:paraId="58465D0B"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E6C62D6" w14:textId="55C7BA99"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Construction of new road sections, bridges, fords and culverts</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3F187E8A"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53E27ABD" w14:textId="77777777" w:rsidTr="00FB0B15">
        <w:tc>
          <w:tcPr>
            <w:tcW w:w="712" w:type="pct"/>
            <w:vMerge/>
            <w:tcBorders>
              <w:bottom w:val="single" w:sz="4" w:space="0" w:color="auto"/>
              <w:right w:val="single" w:sz="4" w:space="0" w:color="auto"/>
            </w:tcBorders>
          </w:tcPr>
          <w:p w14:paraId="10048E25"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9CDCC74" w14:textId="0A2BF73E" w:rsidR="00FB0B15" w:rsidRPr="00563D71" w:rsidRDefault="00B55869"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Rehabilitation and reconstruction of roads, including </w:t>
            </w:r>
            <w:r w:rsidR="00A31A3F" w:rsidRPr="00563D71">
              <w:rPr>
                <w:rFonts w:eastAsiaTheme="minorHAnsi"/>
                <w:color w:val="auto"/>
                <w:sz w:val="20"/>
                <w:szCs w:val="20"/>
              </w:rPr>
              <w:t xml:space="preserve">small </w:t>
            </w:r>
            <w:r w:rsidRPr="00563D71">
              <w:rPr>
                <w:rFonts w:eastAsiaTheme="minorHAnsi"/>
                <w:color w:val="auto"/>
                <w:sz w:val="20"/>
                <w:szCs w:val="20"/>
              </w:rPr>
              <w:t>widening, paving, changes of alignment and geometry, drainage improvements, etc.</w:t>
            </w:r>
          </w:p>
        </w:tc>
        <w:tc>
          <w:tcPr>
            <w:tcW w:w="593" w:type="pct"/>
            <w:tcBorders>
              <w:top w:val="single" w:sz="4" w:space="0" w:color="auto"/>
              <w:left w:val="single" w:sz="4" w:space="0" w:color="auto"/>
              <w:bottom w:val="single" w:sz="4" w:space="0" w:color="auto"/>
              <w:right w:val="single" w:sz="4" w:space="0" w:color="auto"/>
            </w:tcBorders>
          </w:tcPr>
          <w:p w14:paraId="07293BA9" w14:textId="58096B58"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r w:rsidR="00B55869" w:rsidRPr="00563D71">
              <w:rPr>
                <w:rFonts w:eastAsiaTheme="minorHAnsi"/>
                <w:color w:val="auto"/>
                <w:sz w:val="20"/>
                <w:szCs w:val="20"/>
              </w:rPr>
              <w:t>/C</w:t>
            </w:r>
          </w:p>
        </w:tc>
      </w:tr>
      <w:tr w:rsidR="00FB0B15" w:rsidRPr="00563D71" w14:paraId="7BD9F1BD" w14:textId="77777777" w:rsidTr="00FB0B15">
        <w:tc>
          <w:tcPr>
            <w:tcW w:w="712" w:type="pct"/>
            <w:vMerge w:val="restart"/>
            <w:tcBorders>
              <w:top w:val="single" w:sz="4" w:space="0" w:color="auto"/>
              <w:right w:val="single" w:sz="4" w:space="0" w:color="auto"/>
            </w:tcBorders>
          </w:tcPr>
          <w:p w14:paraId="328B9547" w14:textId="77777777" w:rsidR="00FB0B15" w:rsidRPr="00563D71" w:rsidRDefault="00FB0B15" w:rsidP="00FB0B15">
            <w:pPr>
              <w:rPr>
                <w:rFonts w:eastAsiaTheme="minorHAnsi"/>
                <w:color w:val="auto"/>
                <w:sz w:val="20"/>
                <w:szCs w:val="20"/>
              </w:rPr>
            </w:pPr>
            <w:r w:rsidRPr="00563D71">
              <w:rPr>
                <w:rFonts w:eastAsiaTheme="minorHAnsi"/>
                <w:color w:val="auto"/>
                <w:sz w:val="20"/>
                <w:szCs w:val="20"/>
              </w:rPr>
              <w:t>Non-motorized traffic</w:t>
            </w:r>
          </w:p>
        </w:tc>
        <w:tc>
          <w:tcPr>
            <w:tcW w:w="3695" w:type="pct"/>
            <w:tcBorders>
              <w:top w:val="single" w:sz="4" w:space="0" w:color="auto"/>
              <w:left w:val="single" w:sz="4" w:space="0" w:color="auto"/>
              <w:bottom w:val="single" w:sz="4" w:space="0" w:color="auto"/>
              <w:right w:val="single" w:sz="4" w:space="0" w:color="auto"/>
            </w:tcBorders>
          </w:tcPr>
          <w:p w14:paraId="2FEA9EDC"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Construction and improvement of infrastructure for pedestrians, bicycles, and non-motorized transport, such as sidewalks, walkways, bicycle paths, road crossings, pedestrian bridges, etc. </w:t>
            </w:r>
          </w:p>
        </w:tc>
        <w:tc>
          <w:tcPr>
            <w:tcW w:w="593" w:type="pct"/>
            <w:tcBorders>
              <w:top w:val="single" w:sz="4" w:space="0" w:color="auto"/>
              <w:left w:val="single" w:sz="4" w:space="0" w:color="auto"/>
              <w:bottom w:val="single" w:sz="4" w:space="0" w:color="auto"/>
              <w:right w:val="single" w:sz="4" w:space="0" w:color="auto"/>
            </w:tcBorders>
          </w:tcPr>
          <w:p w14:paraId="56DD1E22"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B/C</w:t>
            </w:r>
          </w:p>
        </w:tc>
      </w:tr>
      <w:tr w:rsidR="00FB0B15" w:rsidRPr="00563D71" w14:paraId="5C51B04A" w14:textId="77777777" w:rsidTr="00FB0B15">
        <w:tc>
          <w:tcPr>
            <w:tcW w:w="712" w:type="pct"/>
            <w:vMerge/>
            <w:tcBorders>
              <w:right w:val="single" w:sz="4" w:space="0" w:color="auto"/>
            </w:tcBorders>
          </w:tcPr>
          <w:p w14:paraId="731BD55F"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DD58524"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Urban parks and greenery development projects for beautification.</w:t>
            </w:r>
          </w:p>
        </w:tc>
        <w:tc>
          <w:tcPr>
            <w:tcW w:w="593" w:type="pct"/>
            <w:tcBorders>
              <w:top w:val="single" w:sz="4" w:space="0" w:color="auto"/>
              <w:left w:val="single" w:sz="4" w:space="0" w:color="auto"/>
              <w:bottom w:val="single" w:sz="4" w:space="0" w:color="auto"/>
              <w:right w:val="single" w:sz="4" w:space="0" w:color="auto"/>
            </w:tcBorders>
          </w:tcPr>
          <w:p w14:paraId="536171A5"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6FB72F5C" w14:textId="77777777" w:rsidTr="00FB0B15">
        <w:tc>
          <w:tcPr>
            <w:tcW w:w="712" w:type="pct"/>
            <w:vMerge/>
            <w:tcBorders>
              <w:bottom w:val="single" w:sz="4" w:space="0" w:color="auto"/>
              <w:right w:val="single" w:sz="4" w:space="0" w:color="auto"/>
            </w:tcBorders>
          </w:tcPr>
          <w:p w14:paraId="44E4EF8F"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DC71146" w14:textId="53B8C0A4"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FSs</w:t>
            </w:r>
            <w:r w:rsidR="00B55869" w:rsidRPr="00563D71">
              <w:rPr>
                <w:rFonts w:eastAsiaTheme="minorHAnsi"/>
                <w:color w:val="auto"/>
                <w:sz w:val="20"/>
                <w:szCs w:val="20"/>
              </w:rPr>
              <w:t xml:space="preserve"> and </w:t>
            </w:r>
            <w:r w:rsidRPr="00563D71">
              <w:rPr>
                <w:rFonts w:eastAsiaTheme="minorHAnsi"/>
                <w:color w:val="auto"/>
                <w:sz w:val="20"/>
                <w:szCs w:val="20"/>
              </w:rPr>
              <w:t xml:space="preserve">DEDs </w:t>
            </w:r>
            <w:r w:rsidRPr="00563D71">
              <w:rPr>
                <w:sz w:val="20"/>
                <w:szCs w:val="20"/>
              </w:rPr>
              <w:t>for physical investments to be financed under the Program</w:t>
            </w:r>
            <w:r w:rsidR="00A31A3F" w:rsidRPr="00563D71">
              <w:rPr>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78EE797A" w14:textId="05513C4C"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4AFB3E1A" w14:textId="77777777" w:rsidTr="00FB0B15">
        <w:tc>
          <w:tcPr>
            <w:tcW w:w="712" w:type="pct"/>
            <w:vMerge w:val="restart"/>
            <w:tcBorders>
              <w:top w:val="single" w:sz="4" w:space="0" w:color="auto"/>
              <w:right w:val="single" w:sz="4" w:space="0" w:color="auto"/>
            </w:tcBorders>
          </w:tcPr>
          <w:p w14:paraId="61A0C7F1" w14:textId="77777777" w:rsidR="00FB0B15" w:rsidRPr="00563D71" w:rsidRDefault="00FB0B15" w:rsidP="00FB0B15">
            <w:pPr>
              <w:rPr>
                <w:rFonts w:eastAsiaTheme="minorHAnsi"/>
                <w:color w:val="auto"/>
                <w:sz w:val="20"/>
                <w:szCs w:val="20"/>
              </w:rPr>
            </w:pPr>
            <w:r w:rsidRPr="00563D71">
              <w:rPr>
                <w:rFonts w:eastAsiaTheme="minorHAnsi"/>
                <w:color w:val="auto"/>
                <w:sz w:val="20"/>
                <w:szCs w:val="20"/>
              </w:rPr>
              <w:t>Access to sustainable piped water supply</w:t>
            </w:r>
          </w:p>
          <w:p w14:paraId="70235B90"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228E7CCE" w14:textId="71C3397A" w:rsidR="00FB0B15" w:rsidRPr="00563D71" w:rsidRDefault="00FB0B15" w:rsidP="0032029F">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Expansion of existing and construction of new water supply network</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4F56AB6C"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551701B1" w14:textId="77777777" w:rsidTr="00FB0B15">
        <w:tc>
          <w:tcPr>
            <w:tcW w:w="712" w:type="pct"/>
            <w:vMerge/>
            <w:tcBorders>
              <w:right w:val="single" w:sz="4" w:space="0" w:color="auto"/>
            </w:tcBorders>
          </w:tcPr>
          <w:p w14:paraId="238A4C8E"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BA7A6A6" w14:textId="02C52BC4"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Expansion of existing or construction of new municipal water treatment facilities</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39B0F796"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361CC8CF" w14:textId="77777777" w:rsidTr="00FB0B15">
        <w:tc>
          <w:tcPr>
            <w:tcW w:w="712" w:type="pct"/>
            <w:vMerge/>
            <w:tcBorders>
              <w:right w:val="single" w:sz="4" w:space="0" w:color="auto"/>
            </w:tcBorders>
          </w:tcPr>
          <w:p w14:paraId="6EA8D916"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5E9D0F83" w14:textId="7059D604"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Repair or replace existing (or damaged) water storage facilities</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4A68EB6E"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7C6304A8" w14:textId="77777777" w:rsidTr="00FB0B15">
        <w:tc>
          <w:tcPr>
            <w:tcW w:w="712" w:type="pct"/>
            <w:vMerge/>
            <w:tcBorders>
              <w:bottom w:val="single" w:sz="4" w:space="0" w:color="auto"/>
              <w:right w:val="single" w:sz="4" w:space="0" w:color="auto"/>
            </w:tcBorders>
          </w:tcPr>
          <w:p w14:paraId="09506B9E"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6D3D4BA3" w14:textId="6980FEB8"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sz w:val="20"/>
                <w:szCs w:val="20"/>
              </w:rPr>
              <w:t>FSs</w:t>
            </w:r>
            <w:r w:rsidR="00B55869" w:rsidRPr="00563D71">
              <w:rPr>
                <w:sz w:val="20"/>
                <w:szCs w:val="20"/>
              </w:rPr>
              <w:t xml:space="preserve"> and </w:t>
            </w:r>
            <w:r w:rsidRPr="00563D71">
              <w:rPr>
                <w:sz w:val="20"/>
                <w:szCs w:val="20"/>
              </w:rPr>
              <w:t>DEDs for physical investments to be financed under the Program</w:t>
            </w:r>
            <w:r w:rsidR="00A31A3F" w:rsidRPr="00563D71">
              <w:rPr>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638B91BE" w14:textId="177B8A11"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28FEA865" w14:textId="77777777" w:rsidTr="00FB0B15">
        <w:tc>
          <w:tcPr>
            <w:tcW w:w="712" w:type="pct"/>
            <w:vMerge w:val="restart"/>
            <w:tcBorders>
              <w:top w:val="single" w:sz="4" w:space="0" w:color="auto"/>
              <w:right w:val="single" w:sz="4" w:space="0" w:color="auto"/>
            </w:tcBorders>
          </w:tcPr>
          <w:p w14:paraId="7DB68AAD" w14:textId="77777777" w:rsidR="00FB0B15" w:rsidRPr="00563D71" w:rsidRDefault="00FB0B15" w:rsidP="00FB0B15">
            <w:pPr>
              <w:rPr>
                <w:rFonts w:eastAsiaTheme="minorHAnsi"/>
                <w:color w:val="auto"/>
                <w:sz w:val="20"/>
                <w:szCs w:val="20"/>
              </w:rPr>
            </w:pPr>
            <w:r w:rsidRPr="00563D71">
              <w:rPr>
                <w:rFonts w:eastAsiaTheme="minorHAnsi"/>
                <w:color w:val="auto"/>
                <w:sz w:val="20"/>
                <w:szCs w:val="20"/>
              </w:rPr>
              <w:t>Solid waste management</w:t>
            </w:r>
          </w:p>
        </w:tc>
        <w:tc>
          <w:tcPr>
            <w:tcW w:w="3695" w:type="pct"/>
            <w:tcBorders>
              <w:top w:val="single" w:sz="4" w:space="0" w:color="auto"/>
              <w:left w:val="single" w:sz="4" w:space="0" w:color="auto"/>
              <w:bottom w:val="single" w:sz="4" w:space="0" w:color="auto"/>
              <w:right w:val="single" w:sz="4" w:space="0" w:color="auto"/>
            </w:tcBorders>
          </w:tcPr>
          <w:p w14:paraId="5EF3138B" w14:textId="14B8CD5C"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Small</w:t>
            </w:r>
            <w:r w:rsidR="001A36B9" w:rsidRPr="00563D71">
              <w:rPr>
                <w:rFonts w:eastAsiaTheme="minorHAnsi"/>
                <w:color w:val="auto"/>
                <w:sz w:val="20"/>
                <w:szCs w:val="20"/>
              </w:rPr>
              <w:t xml:space="preserve"> </w:t>
            </w:r>
            <w:r w:rsidRPr="00563D71">
              <w:rPr>
                <w:rFonts w:eastAsiaTheme="minorHAnsi"/>
                <w:color w:val="auto"/>
                <w:sz w:val="20"/>
                <w:szCs w:val="20"/>
              </w:rPr>
              <w:t xml:space="preserve">solid waste processing facilities </w:t>
            </w:r>
          </w:p>
        </w:tc>
        <w:tc>
          <w:tcPr>
            <w:tcW w:w="593" w:type="pct"/>
            <w:tcBorders>
              <w:top w:val="single" w:sz="4" w:space="0" w:color="auto"/>
              <w:left w:val="single" w:sz="4" w:space="0" w:color="auto"/>
              <w:bottom w:val="single" w:sz="4" w:space="0" w:color="auto"/>
              <w:right w:val="single" w:sz="4" w:space="0" w:color="auto"/>
            </w:tcBorders>
          </w:tcPr>
          <w:p w14:paraId="2E41AFB6"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3CCE5CB1" w14:textId="77777777" w:rsidTr="00FB0B15">
        <w:tc>
          <w:tcPr>
            <w:tcW w:w="712" w:type="pct"/>
            <w:vMerge/>
            <w:tcBorders>
              <w:right w:val="single" w:sz="4" w:space="0" w:color="auto"/>
            </w:tcBorders>
          </w:tcPr>
          <w:p w14:paraId="4C8EE4E9"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20F09DA8"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Garbage collection trucks and other collection equipment</w:t>
            </w:r>
          </w:p>
        </w:tc>
        <w:tc>
          <w:tcPr>
            <w:tcW w:w="593" w:type="pct"/>
            <w:tcBorders>
              <w:top w:val="single" w:sz="4" w:space="0" w:color="auto"/>
              <w:left w:val="single" w:sz="4" w:space="0" w:color="auto"/>
              <w:bottom w:val="single" w:sz="4" w:space="0" w:color="auto"/>
              <w:right w:val="single" w:sz="4" w:space="0" w:color="auto"/>
            </w:tcBorders>
          </w:tcPr>
          <w:p w14:paraId="49DCF5CC"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143A7704" w14:textId="77777777" w:rsidTr="00FB0B15">
        <w:tc>
          <w:tcPr>
            <w:tcW w:w="712" w:type="pct"/>
            <w:vMerge/>
            <w:tcBorders>
              <w:right w:val="single" w:sz="4" w:space="0" w:color="auto"/>
            </w:tcBorders>
          </w:tcPr>
          <w:p w14:paraId="53C6B403"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08F4BC66"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Collection bins, transfer stations, collection points</w:t>
            </w:r>
          </w:p>
        </w:tc>
        <w:tc>
          <w:tcPr>
            <w:tcW w:w="593" w:type="pct"/>
            <w:tcBorders>
              <w:top w:val="single" w:sz="4" w:space="0" w:color="auto"/>
              <w:left w:val="single" w:sz="4" w:space="0" w:color="auto"/>
              <w:bottom w:val="single" w:sz="4" w:space="0" w:color="auto"/>
              <w:right w:val="single" w:sz="4" w:space="0" w:color="auto"/>
            </w:tcBorders>
          </w:tcPr>
          <w:p w14:paraId="2FEC3859"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7E86871E" w14:textId="77777777" w:rsidTr="00FB0B15">
        <w:tc>
          <w:tcPr>
            <w:tcW w:w="712" w:type="pct"/>
            <w:vMerge/>
            <w:tcBorders>
              <w:right w:val="single" w:sz="4" w:space="0" w:color="auto"/>
            </w:tcBorders>
          </w:tcPr>
          <w:p w14:paraId="21F48F46"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3E293A76" w14:textId="3BD00D4E" w:rsidR="00FB0B15" w:rsidRPr="00563D71" w:rsidRDefault="00106389" w:rsidP="00106389">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Small-scale biogas and composting facilities</w:t>
            </w:r>
          </w:p>
        </w:tc>
        <w:tc>
          <w:tcPr>
            <w:tcW w:w="593" w:type="pct"/>
            <w:tcBorders>
              <w:top w:val="single" w:sz="4" w:space="0" w:color="auto"/>
              <w:left w:val="single" w:sz="4" w:space="0" w:color="auto"/>
              <w:bottom w:val="single" w:sz="4" w:space="0" w:color="auto"/>
              <w:right w:val="single" w:sz="4" w:space="0" w:color="auto"/>
            </w:tcBorders>
          </w:tcPr>
          <w:p w14:paraId="4EB48607"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58386248" w14:textId="77777777" w:rsidTr="00FB0B15">
        <w:tc>
          <w:tcPr>
            <w:tcW w:w="712" w:type="pct"/>
            <w:vMerge/>
            <w:tcBorders>
              <w:right w:val="single" w:sz="4" w:space="0" w:color="auto"/>
            </w:tcBorders>
          </w:tcPr>
          <w:p w14:paraId="09FA7C2B"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697A313F"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Covering small canals, ponds and ditches.</w:t>
            </w:r>
          </w:p>
        </w:tc>
        <w:tc>
          <w:tcPr>
            <w:tcW w:w="593" w:type="pct"/>
            <w:tcBorders>
              <w:top w:val="single" w:sz="4" w:space="0" w:color="auto"/>
              <w:left w:val="single" w:sz="4" w:space="0" w:color="auto"/>
              <w:bottom w:val="single" w:sz="4" w:space="0" w:color="auto"/>
              <w:right w:val="single" w:sz="4" w:space="0" w:color="auto"/>
            </w:tcBorders>
          </w:tcPr>
          <w:p w14:paraId="0FC01D80"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C</w:t>
            </w:r>
          </w:p>
        </w:tc>
      </w:tr>
      <w:tr w:rsidR="00FB0B15" w:rsidRPr="00563D71" w14:paraId="24CCA3FF" w14:textId="77777777" w:rsidTr="00FB0B15">
        <w:tc>
          <w:tcPr>
            <w:tcW w:w="712" w:type="pct"/>
            <w:vMerge/>
            <w:tcBorders>
              <w:right w:val="single" w:sz="4" w:space="0" w:color="auto"/>
            </w:tcBorders>
          </w:tcPr>
          <w:p w14:paraId="061F597F"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7BB921D8"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Temporary Disposal Sites</w:t>
            </w:r>
          </w:p>
        </w:tc>
        <w:tc>
          <w:tcPr>
            <w:tcW w:w="593" w:type="pct"/>
            <w:tcBorders>
              <w:top w:val="single" w:sz="4" w:space="0" w:color="auto"/>
              <w:left w:val="single" w:sz="4" w:space="0" w:color="auto"/>
              <w:bottom w:val="single" w:sz="4" w:space="0" w:color="auto"/>
              <w:right w:val="single" w:sz="4" w:space="0" w:color="auto"/>
            </w:tcBorders>
          </w:tcPr>
          <w:p w14:paraId="08544AF7"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709ADB1A" w14:textId="77777777" w:rsidTr="00FB0B15">
        <w:tc>
          <w:tcPr>
            <w:tcW w:w="712" w:type="pct"/>
            <w:vMerge/>
            <w:tcBorders>
              <w:right w:val="single" w:sz="4" w:space="0" w:color="auto"/>
            </w:tcBorders>
          </w:tcPr>
          <w:p w14:paraId="59BC454D"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26BB88BF" w14:textId="10AB0736"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Expansion/ rehabilitation/upgrading of existing Final Disposal Site (to adopt sanitary landfill method</w:t>
            </w:r>
            <w:r w:rsidR="00A31A3F" w:rsidRPr="00563D71">
              <w:rPr>
                <w:rFonts w:eastAsiaTheme="minorHAnsi"/>
                <w:color w:val="auto"/>
                <w:sz w:val="20"/>
                <w:szCs w:val="20"/>
              </w:rPr>
              <w:t>)</w:t>
            </w:r>
          </w:p>
        </w:tc>
        <w:tc>
          <w:tcPr>
            <w:tcW w:w="593" w:type="pct"/>
            <w:tcBorders>
              <w:top w:val="single" w:sz="4" w:space="0" w:color="auto"/>
              <w:left w:val="single" w:sz="4" w:space="0" w:color="auto"/>
              <w:bottom w:val="single" w:sz="4" w:space="0" w:color="auto"/>
              <w:right w:val="single" w:sz="4" w:space="0" w:color="auto"/>
            </w:tcBorders>
          </w:tcPr>
          <w:p w14:paraId="0379BED6"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7339CD4B" w14:textId="77777777" w:rsidTr="00FB0B15">
        <w:tc>
          <w:tcPr>
            <w:tcW w:w="712" w:type="pct"/>
            <w:vMerge/>
            <w:tcBorders>
              <w:right w:val="single" w:sz="4" w:space="0" w:color="auto"/>
            </w:tcBorders>
          </w:tcPr>
          <w:p w14:paraId="7FD45998"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07E24D1" w14:textId="0C404C5B"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sz w:val="20"/>
                <w:szCs w:val="20"/>
              </w:rPr>
              <w:t>FSs</w:t>
            </w:r>
            <w:r w:rsidR="00B55869" w:rsidRPr="00563D71">
              <w:rPr>
                <w:sz w:val="20"/>
                <w:szCs w:val="20"/>
              </w:rPr>
              <w:t xml:space="preserve"> and</w:t>
            </w:r>
            <w:r w:rsidRPr="00563D71">
              <w:rPr>
                <w:sz w:val="20"/>
                <w:szCs w:val="20"/>
              </w:rPr>
              <w:t xml:space="preserve"> DEDs for physical investments to be financed under the Program</w:t>
            </w:r>
          </w:p>
        </w:tc>
        <w:tc>
          <w:tcPr>
            <w:tcW w:w="593" w:type="pct"/>
            <w:tcBorders>
              <w:top w:val="single" w:sz="4" w:space="0" w:color="auto"/>
              <w:left w:val="single" w:sz="4" w:space="0" w:color="auto"/>
              <w:bottom w:val="single" w:sz="4" w:space="0" w:color="auto"/>
              <w:right w:val="single" w:sz="4" w:space="0" w:color="auto"/>
            </w:tcBorders>
          </w:tcPr>
          <w:p w14:paraId="52571E7F" w14:textId="706E333D"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711C99" w:rsidRPr="00563D71" w14:paraId="23184CE4" w14:textId="77777777" w:rsidTr="00B55869">
        <w:trPr>
          <w:trHeight w:val="474"/>
        </w:trPr>
        <w:tc>
          <w:tcPr>
            <w:tcW w:w="712" w:type="pct"/>
            <w:vMerge/>
            <w:tcBorders>
              <w:right w:val="single" w:sz="4" w:space="0" w:color="auto"/>
            </w:tcBorders>
          </w:tcPr>
          <w:p w14:paraId="0B85AA50" w14:textId="77777777" w:rsidR="00711C99" w:rsidRPr="00563D71" w:rsidRDefault="00711C99" w:rsidP="00FB0B15">
            <w:pPr>
              <w:rPr>
                <w:rFonts w:eastAsiaTheme="minorHAnsi"/>
                <w:color w:val="auto"/>
                <w:sz w:val="20"/>
                <w:szCs w:val="20"/>
              </w:rPr>
            </w:pPr>
          </w:p>
        </w:tc>
        <w:tc>
          <w:tcPr>
            <w:tcW w:w="3695" w:type="pct"/>
            <w:tcBorders>
              <w:top w:val="single" w:sz="4" w:space="0" w:color="auto"/>
              <w:left w:val="single" w:sz="4" w:space="0" w:color="auto"/>
              <w:right w:val="single" w:sz="4" w:space="0" w:color="auto"/>
            </w:tcBorders>
          </w:tcPr>
          <w:p w14:paraId="21E3807A" w14:textId="0E3B8A60" w:rsidR="00711C99" w:rsidRPr="00563D71" w:rsidRDefault="00711C99" w:rsidP="00FB0B15">
            <w:pPr>
              <w:numPr>
                <w:ilvl w:val="0"/>
                <w:numId w:val="82"/>
              </w:numPr>
              <w:autoSpaceDE w:val="0"/>
              <w:autoSpaceDN w:val="0"/>
              <w:adjustRightInd w:val="0"/>
              <w:spacing w:before="0"/>
              <w:ind w:left="252" w:hanging="180"/>
              <w:contextualSpacing/>
              <w:rPr>
                <w:rFonts w:eastAsiaTheme="minorHAnsi"/>
                <w:strike/>
                <w:color w:val="auto"/>
                <w:sz w:val="20"/>
                <w:szCs w:val="20"/>
              </w:rPr>
            </w:pPr>
            <w:r w:rsidRPr="00563D71">
              <w:rPr>
                <w:rFonts w:eastAsiaTheme="minorHAnsi"/>
                <w:color w:val="auto"/>
                <w:sz w:val="20"/>
                <w:szCs w:val="20"/>
              </w:rPr>
              <w:t xml:space="preserve">Establishment of 3R organizations or community services (e.g. waste banks program) </w:t>
            </w:r>
          </w:p>
        </w:tc>
        <w:tc>
          <w:tcPr>
            <w:tcW w:w="593" w:type="pct"/>
            <w:tcBorders>
              <w:top w:val="single" w:sz="4" w:space="0" w:color="auto"/>
              <w:left w:val="single" w:sz="4" w:space="0" w:color="auto"/>
              <w:right w:val="single" w:sz="4" w:space="0" w:color="auto"/>
            </w:tcBorders>
          </w:tcPr>
          <w:p w14:paraId="2FC491C0" w14:textId="02683CD6" w:rsidR="00711C99" w:rsidRPr="00563D71" w:rsidRDefault="00711C99"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144B317D" w14:textId="77777777" w:rsidTr="00FB0B15">
        <w:tc>
          <w:tcPr>
            <w:tcW w:w="712" w:type="pct"/>
            <w:vMerge w:val="restart"/>
            <w:tcBorders>
              <w:right w:val="single" w:sz="4" w:space="0" w:color="auto"/>
            </w:tcBorders>
          </w:tcPr>
          <w:p w14:paraId="289B3651" w14:textId="77777777" w:rsidR="00FB0B15" w:rsidRPr="00563D71" w:rsidRDefault="00FB0B15" w:rsidP="00FB0B15">
            <w:pPr>
              <w:rPr>
                <w:rFonts w:eastAsiaTheme="minorHAnsi"/>
                <w:color w:val="auto"/>
                <w:sz w:val="20"/>
                <w:szCs w:val="20"/>
              </w:rPr>
            </w:pPr>
            <w:r w:rsidRPr="00563D71">
              <w:rPr>
                <w:rFonts w:eastAsiaTheme="minorHAnsi"/>
                <w:color w:val="auto"/>
                <w:sz w:val="20"/>
                <w:szCs w:val="20"/>
              </w:rPr>
              <w:t xml:space="preserve">Wastewater Management &amp; Sanitation </w:t>
            </w:r>
          </w:p>
        </w:tc>
        <w:tc>
          <w:tcPr>
            <w:tcW w:w="3695" w:type="pct"/>
            <w:tcBorders>
              <w:top w:val="single" w:sz="4" w:space="0" w:color="auto"/>
              <w:left w:val="single" w:sz="4" w:space="0" w:color="auto"/>
              <w:bottom w:val="single" w:sz="4" w:space="0" w:color="auto"/>
              <w:right w:val="single" w:sz="4" w:space="0" w:color="auto"/>
            </w:tcBorders>
          </w:tcPr>
          <w:p w14:paraId="657F83CF"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Urban drainage systems and the like</w:t>
            </w:r>
          </w:p>
        </w:tc>
        <w:tc>
          <w:tcPr>
            <w:tcW w:w="593" w:type="pct"/>
            <w:tcBorders>
              <w:top w:val="single" w:sz="4" w:space="0" w:color="auto"/>
              <w:left w:val="single" w:sz="4" w:space="0" w:color="auto"/>
              <w:bottom w:val="single" w:sz="4" w:space="0" w:color="auto"/>
              <w:right w:val="single" w:sz="4" w:space="0" w:color="auto"/>
            </w:tcBorders>
          </w:tcPr>
          <w:p w14:paraId="67F099DA" w14:textId="698E4D42"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2165818B" w14:textId="77777777" w:rsidTr="00FB0B15">
        <w:tc>
          <w:tcPr>
            <w:tcW w:w="712" w:type="pct"/>
            <w:vMerge/>
            <w:tcBorders>
              <w:right w:val="single" w:sz="4" w:space="0" w:color="auto"/>
            </w:tcBorders>
          </w:tcPr>
          <w:p w14:paraId="23B65477"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24D31AB8"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Construction and upgrading of treatment plants, pump stations, and sewage connections to buildings</w:t>
            </w:r>
          </w:p>
        </w:tc>
        <w:tc>
          <w:tcPr>
            <w:tcW w:w="593" w:type="pct"/>
            <w:tcBorders>
              <w:top w:val="single" w:sz="4" w:space="0" w:color="auto"/>
              <w:left w:val="single" w:sz="4" w:space="0" w:color="auto"/>
              <w:bottom w:val="single" w:sz="4" w:space="0" w:color="auto"/>
              <w:right w:val="single" w:sz="4" w:space="0" w:color="auto"/>
            </w:tcBorders>
          </w:tcPr>
          <w:p w14:paraId="51B4D53E"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7CF3B2CD" w14:textId="77777777" w:rsidTr="00FB0B15">
        <w:tc>
          <w:tcPr>
            <w:tcW w:w="712" w:type="pct"/>
            <w:vMerge/>
            <w:tcBorders>
              <w:right w:val="single" w:sz="4" w:space="0" w:color="auto"/>
            </w:tcBorders>
          </w:tcPr>
          <w:p w14:paraId="4E27790D"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5B5BD378"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Sewer reticulation systems</w:t>
            </w:r>
          </w:p>
        </w:tc>
        <w:tc>
          <w:tcPr>
            <w:tcW w:w="593" w:type="pct"/>
            <w:tcBorders>
              <w:top w:val="single" w:sz="4" w:space="0" w:color="auto"/>
              <w:left w:val="single" w:sz="4" w:space="0" w:color="auto"/>
              <w:bottom w:val="single" w:sz="4" w:space="0" w:color="auto"/>
              <w:right w:val="single" w:sz="4" w:space="0" w:color="auto"/>
            </w:tcBorders>
          </w:tcPr>
          <w:p w14:paraId="6CCC8413"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4B83BE1D" w14:textId="77777777" w:rsidTr="00FB0B15">
        <w:tc>
          <w:tcPr>
            <w:tcW w:w="712" w:type="pct"/>
            <w:vMerge/>
            <w:tcBorders>
              <w:right w:val="single" w:sz="4" w:space="0" w:color="auto"/>
            </w:tcBorders>
          </w:tcPr>
          <w:p w14:paraId="2C1F63E0"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4B475686" w14:textId="77777777"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Wastewater treatment ponds</w:t>
            </w:r>
          </w:p>
        </w:tc>
        <w:tc>
          <w:tcPr>
            <w:tcW w:w="593" w:type="pct"/>
            <w:tcBorders>
              <w:top w:val="single" w:sz="4" w:space="0" w:color="auto"/>
              <w:left w:val="single" w:sz="4" w:space="0" w:color="auto"/>
              <w:bottom w:val="single" w:sz="4" w:space="0" w:color="auto"/>
              <w:right w:val="single" w:sz="4" w:space="0" w:color="auto"/>
            </w:tcBorders>
          </w:tcPr>
          <w:p w14:paraId="0ACF3DD5"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5F863785" w14:textId="77777777" w:rsidTr="00FB0B15">
        <w:tc>
          <w:tcPr>
            <w:tcW w:w="712" w:type="pct"/>
            <w:vMerge/>
            <w:tcBorders>
              <w:right w:val="single" w:sz="4" w:space="0" w:color="auto"/>
            </w:tcBorders>
          </w:tcPr>
          <w:p w14:paraId="18213F0C"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4E7C6109" w14:textId="253DBD6C"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Public toilet and sanitation facilities </w:t>
            </w:r>
            <w:r w:rsidR="003D66DD" w:rsidRPr="00563D71">
              <w:rPr>
                <w:rFonts w:eastAsiaTheme="minorHAnsi"/>
                <w:color w:val="auto"/>
                <w:sz w:val="20"/>
                <w:szCs w:val="20"/>
              </w:rPr>
              <w:t>(e.g. community toilet facilities (MCK) in the local community areas/parks)</w:t>
            </w:r>
          </w:p>
        </w:tc>
        <w:tc>
          <w:tcPr>
            <w:tcW w:w="593" w:type="pct"/>
            <w:tcBorders>
              <w:top w:val="single" w:sz="4" w:space="0" w:color="auto"/>
              <w:left w:val="single" w:sz="4" w:space="0" w:color="auto"/>
              <w:bottom w:val="single" w:sz="4" w:space="0" w:color="auto"/>
              <w:right w:val="single" w:sz="4" w:space="0" w:color="auto"/>
            </w:tcBorders>
          </w:tcPr>
          <w:p w14:paraId="14A38085" w14:textId="77777777"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3D828B96" w14:textId="77777777" w:rsidTr="00FB0B15">
        <w:tc>
          <w:tcPr>
            <w:tcW w:w="712" w:type="pct"/>
            <w:vMerge/>
            <w:tcBorders>
              <w:right w:val="single" w:sz="4" w:space="0" w:color="auto"/>
            </w:tcBorders>
          </w:tcPr>
          <w:p w14:paraId="3B0CD4EA"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7650E88D" w14:textId="3FB8EFB6"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sz w:val="20"/>
                <w:szCs w:val="20"/>
              </w:rPr>
              <w:t>FSs</w:t>
            </w:r>
            <w:r w:rsidR="00B55869" w:rsidRPr="00563D71">
              <w:rPr>
                <w:sz w:val="20"/>
                <w:szCs w:val="20"/>
              </w:rPr>
              <w:t xml:space="preserve"> and</w:t>
            </w:r>
            <w:r w:rsidRPr="00563D71">
              <w:rPr>
                <w:sz w:val="20"/>
                <w:szCs w:val="20"/>
              </w:rPr>
              <w:t xml:space="preserve"> DEDs for physical investments to be financed under the Program</w:t>
            </w:r>
          </w:p>
        </w:tc>
        <w:tc>
          <w:tcPr>
            <w:tcW w:w="593" w:type="pct"/>
            <w:tcBorders>
              <w:top w:val="single" w:sz="4" w:space="0" w:color="auto"/>
              <w:left w:val="single" w:sz="4" w:space="0" w:color="auto"/>
              <w:bottom w:val="single" w:sz="4" w:space="0" w:color="auto"/>
              <w:right w:val="single" w:sz="4" w:space="0" w:color="auto"/>
            </w:tcBorders>
          </w:tcPr>
          <w:p w14:paraId="18F6575F" w14:textId="356F5718"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B55869" w:rsidRPr="00563D71" w14:paraId="28FA4D34" w14:textId="77777777" w:rsidTr="0032029F">
        <w:trPr>
          <w:trHeight w:val="224"/>
        </w:trPr>
        <w:tc>
          <w:tcPr>
            <w:tcW w:w="712" w:type="pct"/>
            <w:vMerge/>
            <w:tcBorders>
              <w:right w:val="single" w:sz="4" w:space="0" w:color="auto"/>
            </w:tcBorders>
          </w:tcPr>
          <w:p w14:paraId="5431DC8C" w14:textId="77777777" w:rsidR="00B55869" w:rsidRPr="00563D71" w:rsidRDefault="00B55869" w:rsidP="00FB0B15">
            <w:pPr>
              <w:rPr>
                <w:rFonts w:eastAsiaTheme="minorHAnsi"/>
                <w:color w:val="auto"/>
                <w:sz w:val="20"/>
                <w:szCs w:val="20"/>
              </w:rPr>
            </w:pPr>
          </w:p>
        </w:tc>
        <w:tc>
          <w:tcPr>
            <w:tcW w:w="3695" w:type="pct"/>
            <w:tcBorders>
              <w:top w:val="single" w:sz="4" w:space="0" w:color="auto"/>
              <w:left w:val="single" w:sz="4" w:space="0" w:color="auto"/>
              <w:right w:val="single" w:sz="4" w:space="0" w:color="auto"/>
            </w:tcBorders>
          </w:tcPr>
          <w:p w14:paraId="17E6C5A5" w14:textId="108B5614" w:rsidR="00B55869" w:rsidRPr="00563D71" w:rsidRDefault="00B55869" w:rsidP="00FB0B15">
            <w:pPr>
              <w:numPr>
                <w:ilvl w:val="0"/>
                <w:numId w:val="82"/>
              </w:numPr>
              <w:autoSpaceDE w:val="0"/>
              <w:autoSpaceDN w:val="0"/>
              <w:adjustRightInd w:val="0"/>
              <w:spacing w:before="0"/>
              <w:ind w:left="252" w:hanging="180"/>
              <w:contextualSpacing/>
              <w:rPr>
                <w:rFonts w:eastAsiaTheme="minorHAnsi"/>
                <w:strike/>
                <w:color w:val="auto"/>
                <w:sz w:val="20"/>
                <w:szCs w:val="20"/>
              </w:rPr>
            </w:pPr>
            <w:r w:rsidRPr="00563D71">
              <w:rPr>
                <w:rFonts w:eastAsiaTheme="minorHAnsi"/>
                <w:color w:val="auto"/>
                <w:sz w:val="20"/>
                <w:szCs w:val="20"/>
              </w:rPr>
              <w:t xml:space="preserve">Local wastewater collection and treatment systems </w:t>
            </w:r>
          </w:p>
        </w:tc>
        <w:tc>
          <w:tcPr>
            <w:tcW w:w="593" w:type="pct"/>
            <w:tcBorders>
              <w:top w:val="single" w:sz="4" w:space="0" w:color="auto"/>
              <w:left w:val="single" w:sz="4" w:space="0" w:color="auto"/>
              <w:right w:val="single" w:sz="4" w:space="0" w:color="auto"/>
            </w:tcBorders>
          </w:tcPr>
          <w:p w14:paraId="0B391C2B" w14:textId="4C874F63" w:rsidR="00B55869" w:rsidRPr="00563D71" w:rsidRDefault="00B55869" w:rsidP="003D66DD">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FB0B15" w:rsidRPr="00563D71" w14:paraId="0A440372" w14:textId="77777777" w:rsidTr="00FB0B15">
        <w:tc>
          <w:tcPr>
            <w:tcW w:w="712" w:type="pct"/>
            <w:vMerge/>
            <w:tcBorders>
              <w:bottom w:val="single" w:sz="4" w:space="0" w:color="auto"/>
              <w:right w:val="single" w:sz="4" w:space="0" w:color="auto"/>
            </w:tcBorders>
          </w:tcPr>
          <w:p w14:paraId="63DFCE03" w14:textId="77777777" w:rsidR="00FB0B15" w:rsidRPr="00563D71" w:rsidRDefault="00FB0B15" w:rsidP="00FB0B15">
            <w:pPr>
              <w:rPr>
                <w:rFonts w:eastAsiaTheme="minorHAnsi"/>
                <w:color w:val="auto"/>
                <w:sz w:val="20"/>
                <w:szCs w:val="20"/>
              </w:rPr>
            </w:pPr>
          </w:p>
        </w:tc>
        <w:tc>
          <w:tcPr>
            <w:tcW w:w="3695" w:type="pct"/>
            <w:tcBorders>
              <w:top w:val="single" w:sz="4" w:space="0" w:color="auto"/>
              <w:left w:val="single" w:sz="4" w:space="0" w:color="auto"/>
              <w:bottom w:val="single" w:sz="4" w:space="0" w:color="auto"/>
              <w:right w:val="single" w:sz="4" w:space="0" w:color="auto"/>
            </w:tcBorders>
          </w:tcPr>
          <w:p w14:paraId="1BEF3BCF" w14:textId="7DFD5C82" w:rsidR="00FB0B15" w:rsidRPr="00563D71" w:rsidRDefault="00FB0B15" w:rsidP="00FB0B15">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Septic tank </w:t>
            </w:r>
            <w:r w:rsidR="009F2D50" w:rsidRPr="00563D71">
              <w:rPr>
                <w:rFonts w:eastAsiaTheme="minorHAnsi"/>
                <w:color w:val="auto"/>
                <w:sz w:val="20"/>
                <w:szCs w:val="20"/>
              </w:rPr>
              <w:t>pump out</w:t>
            </w:r>
            <w:r w:rsidRPr="00563D71">
              <w:rPr>
                <w:rFonts w:eastAsiaTheme="minorHAnsi"/>
                <w:color w:val="auto"/>
                <w:sz w:val="20"/>
                <w:szCs w:val="20"/>
              </w:rPr>
              <w:t xml:space="preserve"> trucks and small-scale septage treatment facilities </w:t>
            </w:r>
          </w:p>
        </w:tc>
        <w:tc>
          <w:tcPr>
            <w:tcW w:w="593" w:type="pct"/>
            <w:tcBorders>
              <w:top w:val="single" w:sz="4" w:space="0" w:color="auto"/>
              <w:left w:val="single" w:sz="4" w:space="0" w:color="auto"/>
              <w:bottom w:val="single" w:sz="4" w:space="0" w:color="auto"/>
              <w:right w:val="single" w:sz="4" w:space="0" w:color="auto"/>
            </w:tcBorders>
          </w:tcPr>
          <w:p w14:paraId="43D62B32" w14:textId="1C42C488" w:rsidR="00FB0B15" w:rsidRPr="00563D71" w:rsidRDefault="00FB0B15" w:rsidP="00FB0B15">
            <w:pPr>
              <w:autoSpaceDE w:val="0"/>
              <w:autoSpaceDN w:val="0"/>
              <w:adjustRightInd w:val="0"/>
              <w:ind w:left="252" w:firstLine="0"/>
              <w:contextualSpacing/>
              <w:rPr>
                <w:rFonts w:eastAsiaTheme="minorHAnsi"/>
                <w:color w:val="auto"/>
                <w:sz w:val="20"/>
                <w:szCs w:val="20"/>
              </w:rPr>
            </w:pPr>
            <w:r w:rsidRPr="00563D71">
              <w:rPr>
                <w:rFonts w:eastAsiaTheme="minorHAnsi"/>
                <w:color w:val="auto"/>
                <w:sz w:val="20"/>
                <w:szCs w:val="20"/>
              </w:rPr>
              <w:t>B</w:t>
            </w:r>
          </w:p>
        </w:tc>
      </w:tr>
      <w:tr w:rsidR="00B55869" w:rsidRPr="00563D71" w14:paraId="4D0316E1" w14:textId="77777777" w:rsidTr="0032029F">
        <w:trPr>
          <w:trHeight w:val="827"/>
        </w:trPr>
        <w:tc>
          <w:tcPr>
            <w:tcW w:w="712" w:type="pct"/>
            <w:tcBorders>
              <w:bottom w:val="single" w:sz="4" w:space="0" w:color="auto"/>
              <w:right w:val="single" w:sz="4" w:space="0" w:color="auto"/>
            </w:tcBorders>
          </w:tcPr>
          <w:p w14:paraId="0AD47CC6" w14:textId="410E92C7" w:rsidR="00B55869" w:rsidRPr="00563D71" w:rsidRDefault="00B55869" w:rsidP="00FB0B15">
            <w:pPr>
              <w:rPr>
                <w:rFonts w:eastAsiaTheme="minorHAnsi"/>
                <w:color w:val="auto"/>
                <w:sz w:val="20"/>
                <w:szCs w:val="20"/>
              </w:rPr>
            </w:pPr>
            <w:r w:rsidRPr="00563D71">
              <w:rPr>
                <w:rFonts w:eastAsiaTheme="minorHAnsi"/>
                <w:color w:val="auto"/>
                <w:sz w:val="20"/>
                <w:szCs w:val="20"/>
              </w:rPr>
              <w:t>Negative list</w:t>
            </w:r>
          </w:p>
        </w:tc>
        <w:tc>
          <w:tcPr>
            <w:tcW w:w="3695" w:type="pct"/>
            <w:tcBorders>
              <w:top w:val="single" w:sz="4" w:space="0" w:color="auto"/>
              <w:left w:val="single" w:sz="4" w:space="0" w:color="auto"/>
              <w:bottom w:val="single" w:sz="4" w:space="0" w:color="auto"/>
              <w:right w:val="single" w:sz="4" w:space="0" w:color="auto"/>
            </w:tcBorders>
          </w:tcPr>
          <w:p w14:paraId="60D39595" w14:textId="3E6CD06B" w:rsidR="00B55869" w:rsidRPr="00563D71" w:rsidRDefault="00B55869" w:rsidP="0032029F">
            <w:pPr>
              <w:autoSpaceDE w:val="0"/>
              <w:autoSpaceDN w:val="0"/>
              <w:adjustRightInd w:val="0"/>
              <w:spacing w:before="0"/>
              <w:ind w:left="0" w:firstLine="0"/>
              <w:contextualSpacing/>
              <w:rPr>
                <w:rFonts w:eastAsiaTheme="minorHAnsi"/>
                <w:color w:val="auto"/>
                <w:sz w:val="20"/>
                <w:szCs w:val="20"/>
              </w:rPr>
            </w:pPr>
            <w:r w:rsidRPr="00563D71">
              <w:rPr>
                <w:rFonts w:eastAsiaTheme="minorHAnsi"/>
                <w:color w:val="auto"/>
                <w:sz w:val="20"/>
                <w:szCs w:val="20"/>
              </w:rPr>
              <w:t>The negative list of investment that contains items that the Program cannot finance</w:t>
            </w:r>
            <w:r w:rsidR="00A750B5" w:rsidRPr="00563D71">
              <w:rPr>
                <w:rFonts w:eastAsiaTheme="minorHAnsi"/>
                <w:color w:val="auto"/>
                <w:sz w:val="20"/>
                <w:szCs w:val="20"/>
              </w:rPr>
              <w:t xml:space="preserve"> include:</w:t>
            </w:r>
            <w:r w:rsidR="003D66DD" w:rsidRPr="00563D71">
              <w:rPr>
                <w:rStyle w:val="FootnoteReference"/>
                <w:rFonts w:eastAsiaTheme="minorHAnsi"/>
                <w:color w:val="auto"/>
                <w:sz w:val="20"/>
                <w:szCs w:val="20"/>
              </w:rPr>
              <w:footnoteReference w:id="35"/>
            </w:r>
          </w:p>
          <w:p w14:paraId="301E6B71" w14:textId="06C775B8" w:rsidR="00B55869" w:rsidRPr="00563D71" w:rsidRDefault="00B55869" w:rsidP="0032029F">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No new landfills </w:t>
            </w:r>
          </w:p>
          <w:p w14:paraId="1A0CA0A0" w14:textId="725DC993" w:rsidR="00B55869" w:rsidRPr="00563D71" w:rsidRDefault="00B55869" w:rsidP="0032029F">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Roads – construction or rehabilitation of roads that require significant resettlement of people (more than 200 people).</w:t>
            </w:r>
          </w:p>
          <w:p w14:paraId="717AD40B" w14:textId="0E236BE8" w:rsidR="00B55869" w:rsidRPr="00563D71" w:rsidRDefault="00B55869" w:rsidP="0032029F">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No large regional solid waste facilities </w:t>
            </w:r>
          </w:p>
          <w:p w14:paraId="10259380" w14:textId="046FAE29" w:rsidR="00B55869" w:rsidRPr="00563D71" w:rsidRDefault="00B55869" w:rsidP="0032029F">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 xml:space="preserve">No large regional waste water facilities/ system </w:t>
            </w:r>
          </w:p>
          <w:p w14:paraId="14C37573" w14:textId="0DA39F31" w:rsidR="00B55869" w:rsidRPr="00563D71" w:rsidRDefault="00B55869" w:rsidP="003D66DD">
            <w:pPr>
              <w:numPr>
                <w:ilvl w:val="0"/>
                <w:numId w:val="82"/>
              </w:numPr>
              <w:autoSpaceDE w:val="0"/>
              <w:autoSpaceDN w:val="0"/>
              <w:adjustRightInd w:val="0"/>
              <w:spacing w:before="0"/>
              <w:ind w:left="252" w:hanging="180"/>
              <w:contextualSpacing/>
              <w:rPr>
                <w:rFonts w:eastAsiaTheme="minorHAnsi"/>
                <w:color w:val="auto"/>
                <w:sz w:val="20"/>
                <w:szCs w:val="20"/>
              </w:rPr>
            </w:pPr>
            <w:r w:rsidRPr="00563D71">
              <w:rPr>
                <w:rFonts w:eastAsiaTheme="minorHAnsi"/>
                <w:color w:val="auto"/>
                <w:sz w:val="20"/>
                <w:szCs w:val="20"/>
              </w:rPr>
              <w:t>No new toll roads</w:t>
            </w:r>
          </w:p>
        </w:tc>
        <w:tc>
          <w:tcPr>
            <w:tcW w:w="593" w:type="pct"/>
            <w:tcBorders>
              <w:top w:val="single" w:sz="4" w:space="0" w:color="auto"/>
              <w:left w:val="single" w:sz="4" w:space="0" w:color="auto"/>
              <w:bottom w:val="single" w:sz="4" w:space="0" w:color="auto"/>
              <w:right w:val="single" w:sz="4" w:space="0" w:color="auto"/>
            </w:tcBorders>
          </w:tcPr>
          <w:p w14:paraId="297D7520" w14:textId="77777777" w:rsidR="00B55869" w:rsidRPr="00563D71" w:rsidRDefault="00B55869" w:rsidP="00FB0B15">
            <w:pPr>
              <w:autoSpaceDE w:val="0"/>
              <w:autoSpaceDN w:val="0"/>
              <w:adjustRightInd w:val="0"/>
              <w:ind w:left="252" w:firstLine="0"/>
              <w:contextualSpacing/>
              <w:rPr>
                <w:rFonts w:eastAsiaTheme="minorHAnsi"/>
                <w:color w:val="auto"/>
                <w:sz w:val="20"/>
                <w:szCs w:val="20"/>
              </w:rPr>
            </w:pPr>
          </w:p>
        </w:tc>
      </w:tr>
    </w:tbl>
    <w:p w14:paraId="47AEA821" w14:textId="77777777" w:rsidR="00C4370B" w:rsidRPr="00563D71" w:rsidRDefault="00C4370B" w:rsidP="00CF22F2">
      <w:pPr>
        <w:spacing w:line="259" w:lineRule="auto"/>
        <w:ind w:left="0" w:firstLine="0"/>
        <w:jc w:val="center"/>
        <w:rPr>
          <w:sz w:val="20"/>
          <w:szCs w:val="20"/>
        </w:rPr>
      </w:pPr>
    </w:p>
    <w:p w14:paraId="1B6E6A28" w14:textId="3CA0FF03" w:rsidR="0017022B" w:rsidRPr="00563D71" w:rsidRDefault="00546626" w:rsidP="008A53F0">
      <w:pPr>
        <w:pStyle w:val="MainParanoChapter-Ch3"/>
        <w:rPr>
          <w:bCs/>
        </w:rPr>
      </w:pPr>
      <w:r w:rsidRPr="00563D71">
        <w:rPr>
          <w:bCs/>
        </w:rPr>
        <w:t>Because water, wastewater, and solid waste management facilities can have significant impacts such that they woul</w:t>
      </w:r>
      <w:r w:rsidR="00460618" w:rsidRPr="00563D71">
        <w:rPr>
          <w:bCs/>
        </w:rPr>
        <w:t>d</w:t>
      </w:r>
      <w:r w:rsidRPr="00563D71">
        <w:rPr>
          <w:bCs/>
        </w:rPr>
        <w:t xml:space="preserve"> be ineligible for PforR, some explanation of those that appear in Table 3 is in order. The key infrastructure for wastewater and sanitation recommended in the Demand Assessment (short term planning </w:t>
      </w:r>
      <w:r w:rsidR="00460618" w:rsidRPr="00563D71">
        <w:rPr>
          <w:bCs/>
        </w:rPr>
        <w:t>for the first 5 years</w:t>
      </w:r>
      <w:r w:rsidRPr="00563D71">
        <w:rPr>
          <w:bCs/>
        </w:rPr>
        <w:t>) for Lake Toba consists of communal (MCK) toilet</w:t>
      </w:r>
      <w:r w:rsidR="001A36B9" w:rsidRPr="00563D71">
        <w:rPr>
          <w:bCs/>
        </w:rPr>
        <w:t>s</w:t>
      </w:r>
      <w:r w:rsidRPr="00563D71">
        <w:rPr>
          <w:bCs/>
        </w:rPr>
        <w:t xml:space="preserve"> connected to a septic tank, installation of sufficient numbers of septic tanks in residential areas in key tourism </w:t>
      </w:r>
      <w:r w:rsidRPr="00563D71">
        <w:rPr>
          <w:bCs/>
          <w:i/>
        </w:rPr>
        <w:t>kecamatans</w:t>
      </w:r>
      <w:r w:rsidRPr="00563D71">
        <w:rPr>
          <w:bCs/>
        </w:rPr>
        <w:t xml:space="preserve">, small scale wastewater treatment plants, and public toilet and sanitation facilities at tourism sites. </w:t>
      </w:r>
      <w:r w:rsidR="001A36B9" w:rsidRPr="00563D71">
        <w:rPr>
          <w:bCs/>
        </w:rPr>
        <w:t xml:space="preserve">For </w:t>
      </w:r>
      <w:r w:rsidRPr="00563D71">
        <w:rPr>
          <w:bCs/>
        </w:rPr>
        <w:t>Lombok destination, the immediate actions needed to support the overall solid waste management system are improving the solid waste collection system and its coverage</w:t>
      </w:r>
      <w:r w:rsidR="001A36B9" w:rsidRPr="00563D71">
        <w:rPr>
          <w:bCs/>
        </w:rPr>
        <w:t xml:space="preserve"> in the key tourism </w:t>
      </w:r>
      <w:r w:rsidR="001A36B9" w:rsidRPr="00563D71">
        <w:rPr>
          <w:bCs/>
          <w:i/>
          <w:iCs/>
        </w:rPr>
        <w:t>kecamatans</w:t>
      </w:r>
      <w:r w:rsidR="00460618" w:rsidRPr="00563D71">
        <w:rPr>
          <w:bCs/>
        </w:rPr>
        <w:t>.</w:t>
      </w:r>
      <w:r w:rsidRPr="00563D71">
        <w:rPr>
          <w:rStyle w:val="FootnoteReference"/>
          <w:bCs/>
        </w:rPr>
        <w:footnoteReference w:id="36"/>
      </w:r>
      <w:r w:rsidRPr="00563D71">
        <w:rPr>
          <w:bCs/>
        </w:rPr>
        <w:t xml:space="preserve"> The recommendations for the short term (</w:t>
      </w:r>
      <w:r w:rsidR="003D66DD" w:rsidRPr="00563D71">
        <w:rPr>
          <w:bCs/>
        </w:rPr>
        <w:t>first 5 years</w:t>
      </w:r>
      <w:r w:rsidRPr="00563D71">
        <w:rPr>
          <w:bCs/>
        </w:rPr>
        <w:t xml:space="preserve">) are: allocation of sufficient numbers of Temporary Disposal Sites (i.e., transfer stations, or TPS), improvement of </w:t>
      </w:r>
      <w:r w:rsidR="001A36B9" w:rsidRPr="00563D71">
        <w:rPr>
          <w:bCs/>
        </w:rPr>
        <w:t xml:space="preserve">the </w:t>
      </w:r>
      <w:r w:rsidRPr="00563D71">
        <w:rPr>
          <w:bCs/>
        </w:rPr>
        <w:t>solid waste collection system at all settlements along the coastline</w:t>
      </w:r>
      <w:r w:rsidR="001A36B9" w:rsidRPr="00563D71">
        <w:rPr>
          <w:bCs/>
        </w:rPr>
        <w:t xml:space="preserve"> (within the key tourism </w:t>
      </w:r>
      <w:r w:rsidR="001A36B9" w:rsidRPr="00563D71">
        <w:rPr>
          <w:bCs/>
          <w:i/>
          <w:iCs/>
        </w:rPr>
        <w:t>kecamatans</w:t>
      </w:r>
      <w:r w:rsidR="001A36B9" w:rsidRPr="00563D71">
        <w:rPr>
          <w:bCs/>
        </w:rPr>
        <w:t>)</w:t>
      </w:r>
      <w:r w:rsidRPr="00563D71">
        <w:rPr>
          <w:bCs/>
        </w:rPr>
        <w:t xml:space="preserve">, and expansion of the existing Final Disposal Site. In Borobudur-Yogyakarta-Prambanan, </w:t>
      </w:r>
      <w:r w:rsidR="0017022B" w:rsidRPr="00563D71">
        <w:rPr>
          <w:bCs/>
        </w:rPr>
        <w:t>the Demand Assessment recommends that</w:t>
      </w:r>
      <w:r w:rsidRPr="00563D71">
        <w:rPr>
          <w:bCs/>
        </w:rPr>
        <w:t xml:space="preserve"> water loss in the water supply system </w:t>
      </w:r>
      <w:r w:rsidR="008A53F0" w:rsidRPr="00563D71">
        <w:rPr>
          <w:bCs/>
        </w:rPr>
        <w:t>be</w:t>
      </w:r>
      <w:r w:rsidR="001A36B9" w:rsidRPr="00563D71">
        <w:rPr>
          <w:bCs/>
        </w:rPr>
        <w:t xml:space="preserve"> </w:t>
      </w:r>
      <w:r w:rsidRPr="00563D71">
        <w:rPr>
          <w:bCs/>
        </w:rPr>
        <w:t xml:space="preserve">addressed immediately by implementing sustainable piped water supply. </w:t>
      </w:r>
      <w:r w:rsidR="0017022B" w:rsidRPr="00563D71">
        <w:rPr>
          <w:bCs/>
        </w:rPr>
        <w:t>This</w:t>
      </w:r>
      <w:r w:rsidRPr="00563D71">
        <w:rPr>
          <w:bCs/>
        </w:rPr>
        <w:t xml:space="preserve"> is defined as having house connection</w:t>
      </w:r>
      <w:r w:rsidR="0017022B" w:rsidRPr="00563D71">
        <w:rPr>
          <w:bCs/>
        </w:rPr>
        <w:t>s</w:t>
      </w:r>
      <w:r w:rsidRPr="00563D71">
        <w:rPr>
          <w:bCs/>
        </w:rPr>
        <w:t xml:space="preserve"> and 24</w:t>
      </w:r>
      <w:r w:rsidR="008A53F0" w:rsidRPr="00563D71">
        <w:rPr>
          <w:bCs/>
        </w:rPr>
        <w:t>-</w:t>
      </w:r>
      <w:r w:rsidRPr="00563D71">
        <w:rPr>
          <w:bCs/>
        </w:rPr>
        <w:t xml:space="preserve">hour access to water supply. This expansion of </w:t>
      </w:r>
      <w:r w:rsidR="001A36B9" w:rsidRPr="00563D71">
        <w:rPr>
          <w:bCs/>
        </w:rPr>
        <w:t xml:space="preserve">the </w:t>
      </w:r>
      <w:r w:rsidRPr="00563D71">
        <w:rPr>
          <w:bCs/>
        </w:rPr>
        <w:t xml:space="preserve">existing water supply network will serve residents of </w:t>
      </w:r>
      <w:r w:rsidR="0017022B" w:rsidRPr="00563D71">
        <w:rPr>
          <w:bCs/>
        </w:rPr>
        <w:t>six</w:t>
      </w:r>
      <w:r w:rsidRPr="00563D71">
        <w:rPr>
          <w:bCs/>
        </w:rPr>
        <w:t xml:space="preserve"> cultural villages </w:t>
      </w:r>
      <w:r w:rsidR="001A36B9" w:rsidRPr="00563D71">
        <w:rPr>
          <w:bCs/>
        </w:rPr>
        <w:t xml:space="preserve">(around </w:t>
      </w:r>
      <w:r w:rsidR="001A36B9" w:rsidRPr="00563D71">
        <w:rPr>
          <w:bCs/>
        </w:rPr>
        <w:lastRenderedPageBreak/>
        <w:t xml:space="preserve">Borobudur, in the key tourism </w:t>
      </w:r>
      <w:r w:rsidR="001A36B9" w:rsidRPr="00563D71">
        <w:rPr>
          <w:bCs/>
          <w:i/>
          <w:iCs/>
        </w:rPr>
        <w:t>kecamatans</w:t>
      </w:r>
      <w:r w:rsidR="001A36B9" w:rsidRPr="00563D71">
        <w:rPr>
          <w:bCs/>
        </w:rPr>
        <w:t xml:space="preserve">) </w:t>
      </w:r>
      <w:r w:rsidRPr="00563D71">
        <w:rPr>
          <w:bCs/>
        </w:rPr>
        <w:t>and improv</w:t>
      </w:r>
      <w:r w:rsidR="0017022B" w:rsidRPr="00563D71">
        <w:rPr>
          <w:bCs/>
        </w:rPr>
        <w:t>e</w:t>
      </w:r>
      <w:r w:rsidRPr="00563D71">
        <w:rPr>
          <w:bCs/>
        </w:rPr>
        <w:t xml:space="preserve"> the comfort of the</w:t>
      </w:r>
      <w:r w:rsidR="003D66DD" w:rsidRPr="00563D71">
        <w:rPr>
          <w:bCs/>
        </w:rPr>
        <w:t xml:space="preserve"> visitors</w:t>
      </w:r>
      <w:r w:rsidRPr="00563D71">
        <w:rPr>
          <w:bCs/>
        </w:rPr>
        <w:t xml:space="preserve">. </w:t>
      </w:r>
      <w:r w:rsidR="0017022B" w:rsidRPr="00563D71">
        <w:rPr>
          <w:bCs/>
        </w:rPr>
        <w:t>R</w:t>
      </w:r>
      <w:r w:rsidRPr="00563D71">
        <w:rPr>
          <w:bCs/>
        </w:rPr>
        <w:t>educing water losses to 20</w:t>
      </w:r>
      <w:r w:rsidR="0017022B" w:rsidRPr="00563D71">
        <w:rPr>
          <w:bCs/>
        </w:rPr>
        <w:t xml:space="preserve"> percent will also</w:t>
      </w:r>
      <w:r w:rsidR="00460618" w:rsidRPr="00563D71">
        <w:rPr>
          <w:bCs/>
        </w:rPr>
        <w:t xml:space="preserve"> </w:t>
      </w:r>
      <w:r w:rsidRPr="00563D71">
        <w:rPr>
          <w:bCs/>
        </w:rPr>
        <w:t>address water scarcity and protect water resources from depleti</w:t>
      </w:r>
      <w:r w:rsidR="0017022B" w:rsidRPr="00563D71">
        <w:rPr>
          <w:bCs/>
        </w:rPr>
        <w:t>on</w:t>
      </w:r>
      <w:r w:rsidRPr="00563D71">
        <w:rPr>
          <w:bCs/>
        </w:rPr>
        <w:t xml:space="preserve">. </w:t>
      </w:r>
      <w:r w:rsidR="001A36B9" w:rsidRPr="00563D71">
        <w:rPr>
          <w:bCs/>
        </w:rPr>
        <w:t xml:space="preserve">The </w:t>
      </w:r>
      <w:r w:rsidR="0017022B" w:rsidRPr="00563D71">
        <w:rPr>
          <w:bCs/>
        </w:rPr>
        <w:t xml:space="preserve">Demand Assessment </w:t>
      </w:r>
      <w:r w:rsidRPr="00563D71">
        <w:rPr>
          <w:bCs/>
        </w:rPr>
        <w:t>recommendation</w:t>
      </w:r>
      <w:r w:rsidR="0017022B" w:rsidRPr="00563D71">
        <w:rPr>
          <w:bCs/>
        </w:rPr>
        <w:t>s</w:t>
      </w:r>
      <w:r w:rsidRPr="00563D71">
        <w:rPr>
          <w:bCs/>
        </w:rPr>
        <w:t xml:space="preserve"> for</w:t>
      </w:r>
      <w:r w:rsidR="003D66DD" w:rsidRPr="00563D71">
        <w:rPr>
          <w:bCs/>
        </w:rPr>
        <w:t xml:space="preserve"> short-term </w:t>
      </w:r>
      <w:r w:rsidRPr="00563D71">
        <w:rPr>
          <w:bCs/>
        </w:rPr>
        <w:t xml:space="preserve">infrastructure </w:t>
      </w:r>
      <w:r w:rsidR="0017022B" w:rsidRPr="00563D71">
        <w:rPr>
          <w:bCs/>
        </w:rPr>
        <w:t xml:space="preserve">have </w:t>
      </w:r>
      <w:r w:rsidRPr="00563D71">
        <w:rPr>
          <w:bCs/>
        </w:rPr>
        <w:t>been a</w:t>
      </w:r>
      <w:r w:rsidR="001A36B9" w:rsidRPr="00563D71">
        <w:rPr>
          <w:bCs/>
        </w:rPr>
        <w:t xml:space="preserve">n important </w:t>
      </w:r>
      <w:r w:rsidRPr="00563D71">
        <w:rPr>
          <w:bCs/>
        </w:rPr>
        <w:t xml:space="preserve">reference for the GOI and </w:t>
      </w:r>
      <w:r w:rsidR="0017022B" w:rsidRPr="00563D71">
        <w:rPr>
          <w:bCs/>
        </w:rPr>
        <w:t xml:space="preserve">will be included as </w:t>
      </w:r>
      <w:r w:rsidR="001A36B9" w:rsidRPr="00563D71">
        <w:rPr>
          <w:bCs/>
        </w:rPr>
        <w:t xml:space="preserve">the </w:t>
      </w:r>
      <w:r w:rsidR="003D66DD" w:rsidRPr="00563D71">
        <w:rPr>
          <w:bCs/>
        </w:rPr>
        <w:t xml:space="preserve">key reference in </w:t>
      </w:r>
      <w:r w:rsidRPr="00563D71">
        <w:rPr>
          <w:bCs/>
        </w:rPr>
        <w:t xml:space="preserve">the </w:t>
      </w:r>
      <w:r w:rsidR="003D66DD" w:rsidRPr="00563D71">
        <w:rPr>
          <w:bCs/>
        </w:rPr>
        <w:t xml:space="preserve">terms of reference </w:t>
      </w:r>
      <w:r w:rsidRPr="00563D71">
        <w:rPr>
          <w:bCs/>
        </w:rPr>
        <w:t xml:space="preserve">of </w:t>
      </w:r>
      <w:r w:rsidR="003D66DD" w:rsidRPr="00563D71">
        <w:rPr>
          <w:bCs/>
        </w:rPr>
        <w:t xml:space="preserve">the </w:t>
      </w:r>
      <w:r w:rsidRPr="00563D71">
        <w:rPr>
          <w:bCs/>
        </w:rPr>
        <w:t>I</w:t>
      </w:r>
      <w:r w:rsidR="0017022B" w:rsidRPr="00563D71">
        <w:rPr>
          <w:bCs/>
        </w:rPr>
        <w:t>T</w:t>
      </w:r>
      <w:r w:rsidRPr="00563D71">
        <w:rPr>
          <w:bCs/>
        </w:rPr>
        <w:t>MP</w:t>
      </w:r>
      <w:r w:rsidR="003D66DD" w:rsidRPr="00563D71">
        <w:rPr>
          <w:bCs/>
        </w:rPr>
        <w:t>s.</w:t>
      </w:r>
      <w:r w:rsidR="000B37CA" w:rsidRPr="00563D71">
        <w:rPr>
          <w:rStyle w:val="FootnoteReference"/>
          <w:bCs/>
        </w:rPr>
        <w:footnoteReference w:id="37"/>
      </w:r>
    </w:p>
    <w:p w14:paraId="5FB1EECC" w14:textId="77777777" w:rsidR="0017022B" w:rsidRPr="00563D71" w:rsidRDefault="0017022B" w:rsidP="00AF643E">
      <w:pPr>
        <w:pStyle w:val="MainParanoChapter-Ch3"/>
        <w:numPr>
          <w:ilvl w:val="0"/>
          <w:numId w:val="0"/>
        </w:numPr>
        <w:rPr>
          <w:bCs/>
        </w:rPr>
      </w:pPr>
    </w:p>
    <w:p w14:paraId="5EA14C40" w14:textId="1A8316A6" w:rsidR="0017022B" w:rsidRPr="00563D71" w:rsidRDefault="0017022B" w:rsidP="00546626">
      <w:pPr>
        <w:pStyle w:val="MainParanoChapter-Ch3"/>
        <w:rPr>
          <w:bCs/>
        </w:rPr>
      </w:pPr>
      <w:r w:rsidRPr="00563D71">
        <w:rPr>
          <w:bCs/>
        </w:rPr>
        <w:t xml:space="preserve">The environmental assessment category that would apply if the </w:t>
      </w:r>
      <w:r w:rsidR="00317581" w:rsidRPr="00563D71">
        <w:rPr>
          <w:bCs/>
        </w:rPr>
        <w:t xml:space="preserve">Program </w:t>
      </w:r>
      <w:r w:rsidR="007440A3" w:rsidRPr="00563D71">
        <w:rPr>
          <w:bCs/>
        </w:rPr>
        <w:t xml:space="preserve">were </w:t>
      </w:r>
      <w:r w:rsidRPr="00563D71">
        <w:rPr>
          <w:bCs/>
        </w:rPr>
        <w:t>financed by a Bank IPF is shown in Table 3 to make clear that no Category A-type investments will be financed under the Program.</w:t>
      </w:r>
      <w:r w:rsidR="000B37CA" w:rsidRPr="00563D71">
        <w:rPr>
          <w:rStyle w:val="FootnoteReference"/>
          <w:bCs/>
        </w:rPr>
        <w:footnoteReference w:id="38"/>
      </w:r>
      <w:r w:rsidRPr="00563D71">
        <w:rPr>
          <w:bCs/>
        </w:rPr>
        <w:t xml:space="preserve"> It is of course possible that an investment that would normally have only moderate impacts could have significant impacts if placed in a location with sensitive environmental, social</w:t>
      </w:r>
      <w:r w:rsidR="008A53F0" w:rsidRPr="00563D71">
        <w:rPr>
          <w:bCs/>
        </w:rPr>
        <w:t>,</w:t>
      </w:r>
      <w:r w:rsidRPr="00563D71">
        <w:rPr>
          <w:bCs/>
        </w:rPr>
        <w:t xml:space="preserve"> or cultural features. One of the objectives of the ITMPs is to prevent this through systematic, sound siting of infrastructure. In the first year of the Program, before ITMPs are</w:t>
      </w:r>
      <w:r w:rsidR="008A0A9C" w:rsidRPr="00563D71">
        <w:rPr>
          <w:bCs/>
        </w:rPr>
        <w:t xml:space="preserve"> finalized</w:t>
      </w:r>
      <w:r w:rsidRPr="00563D71">
        <w:rPr>
          <w:bCs/>
        </w:rPr>
        <w:t>, a screening process based on the Indonesian system will be applied. It is described in Annex 3 of the ESSA.</w:t>
      </w:r>
    </w:p>
    <w:p w14:paraId="6E0CFC40" w14:textId="1D9CA3BE" w:rsidR="0087096F" w:rsidRPr="00563D71" w:rsidRDefault="0087096F" w:rsidP="00AF643E">
      <w:pPr>
        <w:pStyle w:val="MainParanoChapter-Ch3"/>
        <w:numPr>
          <w:ilvl w:val="0"/>
          <w:numId w:val="0"/>
        </w:numPr>
        <w:rPr>
          <w:bCs/>
        </w:rPr>
      </w:pPr>
    </w:p>
    <w:p w14:paraId="7B9F35BA" w14:textId="592966FE" w:rsidR="008A0A9C" w:rsidRPr="00563D71" w:rsidRDefault="00546626" w:rsidP="004A1A9F">
      <w:pPr>
        <w:pStyle w:val="MainParanoChapter-Ch3"/>
        <w:rPr>
          <w:b/>
        </w:rPr>
      </w:pPr>
      <w:r w:rsidRPr="00563D71">
        <w:rPr>
          <w:bCs/>
        </w:rPr>
        <w:t>The Indonesian Ministry of Environment Regulation No. 5 Year 2012 states the requirement</w:t>
      </w:r>
      <w:r w:rsidR="004A1A9F" w:rsidRPr="00563D71">
        <w:rPr>
          <w:bCs/>
        </w:rPr>
        <w:t>s</w:t>
      </w:r>
      <w:r w:rsidRPr="00563D71">
        <w:rPr>
          <w:bCs/>
        </w:rPr>
        <w:t xml:space="preserve"> </w:t>
      </w:r>
      <w:r w:rsidR="004A1A9F" w:rsidRPr="00563D71">
        <w:rPr>
          <w:bCs/>
        </w:rPr>
        <w:t>for</w:t>
      </w:r>
      <w:r w:rsidRPr="00563D71">
        <w:rPr>
          <w:bCs/>
        </w:rPr>
        <w:t xml:space="preserve"> activities </w:t>
      </w:r>
      <w:r w:rsidR="004A1A9F" w:rsidRPr="00563D71">
        <w:rPr>
          <w:bCs/>
        </w:rPr>
        <w:t xml:space="preserve">to be </w:t>
      </w:r>
      <w:r w:rsidRPr="00563D71">
        <w:rPr>
          <w:bCs/>
        </w:rPr>
        <w:t xml:space="preserve">required to have AMDAL (full environmental and social impact assessment). It is in itself a two-level screening process. Annex 1, which is an integral part of this regulation, is an extensive list of types of activities organized by sector. A few of them require AMDAL regardless of size, but for most, the size threshold at or above which AMDAL is required is defined. Below the threshold, the less intensive “environmental management effort” (UKL) and “environmental monitoring effort” (UPL) must be prepared, except in cases of negligible impact. </w:t>
      </w:r>
      <w:r w:rsidR="009A5A65">
        <w:rPr>
          <w:bCs/>
        </w:rPr>
        <w:t>UKL-</w:t>
      </w:r>
      <w:r w:rsidRPr="00563D71">
        <w:rPr>
          <w:bCs/>
        </w:rPr>
        <w:t>UPL is comparable to the ESMP that is often used for Category B projects being implemented under Bank safeguards. When impacts are negligible, in projects that would be in Category C under Bank safeguards, the Indonesian system provides for a third instrument, a Statement of Environmental Management and Monitoring Undertaking (SPPL) to be executed by the proponent</w:t>
      </w:r>
      <w:r w:rsidR="00753F34" w:rsidRPr="00563D71">
        <w:rPr>
          <w:bCs/>
        </w:rPr>
        <w:t xml:space="preserve">. </w:t>
      </w:r>
      <w:r w:rsidR="00C5686D" w:rsidRPr="00563D71">
        <w:rPr>
          <w:bCs/>
        </w:rPr>
        <w:t>Most of the investments in Results Area 1 of the Pro</w:t>
      </w:r>
      <w:r w:rsidR="00B9762D" w:rsidRPr="00563D71">
        <w:rPr>
          <w:bCs/>
        </w:rPr>
        <w:t>gram (Table 3) will require UKL-</w:t>
      </w:r>
      <w:r w:rsidR="00C5686D" w:rsidRPr="00563D71">
        <w:rPr>
          <w:bCs/>
        </w:rPr>
        <w:t>UPL</w:t>
      </w:r>
      <w:r w:rsidR="00C5686D" w:rsidRPr="00563D71">
        <w:t>, but an SPPL will suffice for some. Few, if any, are likely to need AMDAL</w:t>
      </w:r>
      <w:r w:rsidR="00C5686D" w:rsidRPr="00563D71">
        <w:rPr>
          <w:b/>
        </w:rPr>
        <w:t xml:space="preserve">.  </w:t>
      </w:r>
      <w:r w:rsidR="00753F34" w:rsidRPr="00563D71">
        <w:rPr>
          <w:b/>
        </w:rPr>
        <w:t xml:space="preserve"> </w:t>
      </w:r>
    </w:p>
    <w:p w14:paraId="55B252B0" w14:textId="4D6C9E29" w:rsidR="00546626" w:rsidRPr="00563D71" w:rsidRDefault="00546626" w:rsidP="00AF643E">
      <w:pPr>
        <w:pStyle w:val="MainParanoChapter-Ch3"/>
        <w:numPr>
          <w:ilvl w:val="0"/>
          <w:numId w:val="0"/>
        </w:numPr>
        <w:rPr>
          <w:b/>
        </w:rPr>
      </w:pPr>
    </w:p>
    <w:p w14:paraId="509241A0" w14:textId="766E480D" w:rsidR="002C07B4" w:rsidRPr="00563D71" w:rsidRDefault="0017022B" w:rsidP="00AF643E">
      <w:pPr>
        <w:pStyle w:val="MainParanoChapter-Ch3"/>
        <w:rPr>
          <w:bCs/>
        </w:rPr>
      </w:pPr>
      <w:r w:rsidRPr="00563D71">
        <w:rPr>
          <w:bCs/>
        </w:rPr>
        <w:t>Table 4 summarizes the types of activities in the Program to promote local participation in the tourism economy</w:t>
      </w:r>
      <w:r w:rsidR="003D5F68" w:rsidRPr="00563D71">
        <w:rPr>
          <w:bCs/>
        </w:rPr>
        <w:t>.</w:t>
      </w:r>
    </w:p>
    <w:p w14:paraId="607E55FC" w14:textId="77777777" w:rsidR="002C07B4" w:rsidRPr="00563D71" w:rsidRDefault="002C07B4" w:rsidP="003D2E29">
      <w:pPr>
        <w:pStyle w:val="MainParanoChapter-Ch3"/>
        <w:numPr>
          <w:ilvl w:val="0"/>
          <w:numId w:val="0"/>
        </w:numPr>
      </w:pPr>
    </w:p>
    <w:p w14:paraId="5594572F" w14:textId="77777777" w:rsidR="00C752D5" w:rsidRDefault="00C752D5" w:rsidP="003D2E29">
      <w:pPr>
        <w:pStyle w:val="NoSpacing"/>
        <w:ind w:left="0"/>
        <w:jc w:val="center"/>
      </w:pPr>
      <w:bookmarkStart w:id="29" w:name="_Toc485824765"/>
    </w:p>
    <w:p w14:paraId="33C342D3" w14:textId="696B5477" w:rsidR="00D5458A" w:rsidRPr="00563D71" w:rsidRDefault="004436C4" w:rsidP="003D2E29">
      <w:pPr>
        <w:pStyle w:val="NoSpacing"/>
        <w:ind w:left="0"/>
        <w:jc w:val="center"/>
      </w:pPr>
      <w:r w:rsidRPr="00563D71">
        <w:lastRenderedPageBreak/>
        <w:t xml:space="preserve">Table </w:t>
      </w:r>
      <w:r w:rsidR="00704623" w:rsidRPr="00563D71">
        <w:t>4</w:t>
      </w:r>
      <w:r w:rsidR="0060091A">
        <w:t>.</w:t>
      </w:r>
      <w:r w:rsidRPr="00563D71">
        <w:t xml:space="preserve"> Typology of activities the Program will support at priority destinations under RA2</w:t>
      </w:r>
      <w:bookmarkEnd w:id="29"/>
    </w:p>
    <w:p w14:paraId="46CE244C" w14:textId="77777777" w:rsidR="00C4370B" w:rsidRPr="00563D71" w:rsidRDefault="00C4370B" w:rsidP="003D2E29">
      <w:pPr>
        <w:pStyle w:val="NoSpacing"/>
      </w:pPr>
    </w:p>
    <w:tbl>
      <w:tblPr>
        <w:tblStyle w:val="TableGrid0"/>
        <w:tblW w:w="5000" w:type="pct"/>
        <w:tblLook w:val="04A0" w:firstRow="1" w:lastRow="0" w:firstColumn="1" w:lastColumn="0" w:noHBand="0" w:noVBand="1"/>
      </w:tblPr>
      <w:tblGrid>
        <w:gridCol w:w="2053"/>
        <w:gridCol w:w="7297"/>
      </w:tblGrid>
      <w:tr w:rsidR="00413A0C" w:rsidRPr="00563D71" w14:paraId="1C5ACC73" w14:textId="77777777" w:rsidTr="003D2E29">
        <w:trPr>
          <w:trHeight w:val="395"/>
        </w:trPr>
        <w:tc>
          <w:tcPr>
            <w:tcW w:w="1098" w:type="pct"/>
          </w:tcPr>
          <w:p w14:paraId="64E75C76" w14:textId="77777777" w:rsidR="00413A0C" w:rsidRPr="00614EA1" w:rsidRDefault="00413A0C" w:rsidP="00E37426">
            <w:pPr>
              <w:pStyle w:val="MainParanoChapter-Ch3"/>
              <w:numPr>
                <w:ilvl w:val="0"/>
                <w:numId w:val="0"/>
              </w:numPr>
              <w:tabs>
                <w:tab w:val="left" w:pos="8730"/>
                <w:tab w:val="left" w:pos="8820"/>
              </w:tabs>
              <w:ind w:right="630"/>
              <w:jc w:val="left"/>
              <w:rPr>
                <w:b/>
                <w:bCs/>
                <w:sz w:val="20"/>
                <w:szCs w:val="20"/>
              </w:rPr>
            </w:pPr>
            <w:r w:rsidRPr="00614EA1">
              <w:rPr>
                <w:b/>
                <w:bCs/>
                <w:sz w:val="20"/>
                <w:szCs w:val="20"/>
              </w:rPr>
              <w:t>No.</w:t>
            </w:r>
          </w:p>
        </w:tc>
        <w:tc>
          <w:tcPr>
            <w:tcW w:w="3902" w:type="pct"/>
          </w:tcPr>
          <w:p w14:paraId="1AD30378" w14:textId="77777777" w:rsidR="00413A0C" w:rsidRPr="00614EA1" w:rsidRDefault="00413A0C" w:rsidP="00E37426">
            <w:pPr>
              <w:pStyle w:val="MainParanoChapter-Ch3"/>
              <w:numPr>
                <w:ilvl w:val="0"/>
                <w:numId w:val="0"/>
              </w:numPr>
              <w:tabs>
                <w:tab w:val="left" w:pos="8730"/>
                <w:tab w:val="left" w:pos="8820"/>
              </w:tabs>
              <w:ind w:right="630"/>
              <w:rPr>
                <w:b/>
                <w:bCs/>
                <w:sz w:val="20"/>
                <w:szCs w:val="20"/>
              </w:rPr>
            </w:pPr>
            <w:r w:rsidRPr="00614EA1">
              <w:rPr>
                <w:b/>
                <w:bCs/>
                <w:sz w:val="20"/>
                <w:szCs w:val="20"/>
              </w:rPr>
              <w:t>Indicative Activities under Program’s Expenditures</w:t>
            </w:r>
          </w:p>
        </w:tc>
      </w:tr>
      <w:tr w:rsidR="00413A0C" w:rsidRPr="00563D71" w14:paraId="4640DC59" w14:textId="77777777" w:rsidTr="00CF22F2">
        <w:tc>
          <w:tcPr>
            <w:tcW w:w="1098" w:type="pct"/>
          </w:tcPr>
          <w:p w14:paraId="62622314" w14:textId="77777777"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szCs w:val="20"/>
              </w:rPr>
              <w:t>1.</w:t>
            </w:r>
          </w:p>
        </w:tc>
        <w:tc>
          <w:tcPr>
            <w:tcW w:w="3902" w:type="pct"/>
          </w:tcPr>
          <w:p w14:paraId="6C83F4AE" w14:textId="555DEF15" w:rsidR="00C5686D" w:rsidRPr="00614EA1" w:rsidRDefault="00413A0C" w:rsidP="000B0DC9">
            <w:pPr>
              <w:pStyle w:val="MainParanoChapter-Ch3"/>
              <w:numPr>
                <w:ilvl w:val="0"/>
                <w:numId w:val="0"/>
              </w:numPr>
              <w:tabs>
                <w:tab w:val="left" w:pos="8730"/>
                <w:tab w:val="left" w:pos="8820"/>
              </w:tabs>
              <w:rPr>
                <w:bCs/>
                <w:sz w:val="20"/>
                <w:szCs w:val="20"/>
              </w:rPr>
            </w:pPr>
            <w:r w:rsidRPr="00614EA1">
              <w:rPr>
                <w:bCs/>
                <w:sz w:val="20"/>
                <w:szCs w:val="20"/>
              </w:rPr>
              <w:t xml:space="preserve">Consultants’ </w:t>
            </w:r>
            <w:r w:rsidR="006576FB" w:rsidRPr="00614EA1">
              <w:rPr>
                <w:bCs/>
                <w:sz w:val="20"/>
                <w:szCs w:val="20"/>
              </w:rPr>
              <w:t>s</w:t>
            </w:r>
            <w:r w:rsidRPr="00614EA1">
              <w:rPr>
                <w:bCs/>
                <w:sz w:val="20"/>
                <w:szCs w:val="20"/>
              </w:rPr>
              <w:t xml:space="preserve">ervices, </w:t>
            </w:r>
            <w:r w:rsidR="006576FB" w:rsidRPr="00614EA1">
              <w:rPr>
                <w:bCs/>
                <w:sz w:val="20"/>
                <w:szCs w:val="20"/>
              </w:rPr>
              <w:t>t</w:t>
            </w:r>
            <w:r w:rsidRPr="00614EA1">
              <w:rPr>
                <w:bCs/>
                <w:sz w:val="20"/>
                <w:szCs w:val="20"/>
              </w:rPr>
              <w:t xml:space="preserve">raining, </w:t>
            </w:r>
            <w:r w:rsidR="006576FB" w:rsidRPr="00614EA1">
              <w:rPr>
                <w:bCs/>
                <w:sz w:val="20"/>
                <w:szCs w:val="20"/>
              </w:rPr>
              <w:t>o</w:t>
            </w:r>
            <w:r w:rsidRPr="00614EA1">
              <w:rPr>
                <w:bCs/>
                <w:sz w:val="20"/>
                <w:szCs w:val="20"/>
              </w:rPr>
              <w:t xml:space="preserve">perating </w:t>
            </w:r>
            <w:r w:rsidR="006576FB" w:rsidRPr="00614EA1">
              <w:rPr>
                <w:bCs/>
                <w:sz w:val="20"/>
                <w:szCs w:val="20"/>
              </w:rPr>
              <w:t>c</w:t>
            </w:r>
            <w:r w:rsidRPr="00614EA1">
              <w:rPr>
                <w:bCs/>
                <w:sz w:val="20"/>
                <w:szCs w:val="20"/>
              </w:rPr>
              <w:t>osts, non-consulting services</w:t>
            </w:r>
            <w:r w:rsidR="006576FB" w:rsidRPr="00614EA1">
              <w:rPr>
                <w:bCs/>
                <w:sz w:val="20"/>
                <w:szCs w:val="20"/>
              </w:rPr>
              <w:t>,</w:t>
            </w:r>
            <w:r w:rsidRPr="00614EA1">
              <w:rPr>
                <w:bCs/>
                <w:sz w:val="20"/>
                <w:szCs w:val="20"/>
              </w:rPr>
              <w:t xml:space="preserve"> and possibly small grants for the alignment of competency-based training (CBT) to the demand of private sector employers in the priority destinations, including for developing: (a) guidance on work plans and results frameworks for TVET institutions; (b) CBT curricular training packages and material; (c) training of trainers for TVET and LSP (assessor and certifiers); (d) SOPs for LSP to assess competency standards; </w:t>
            </w:r>
            <w:r w:rsidR="00C5686D" w:rsidRPr="00614EA1">
              <w:rPr>
                <w:bCs/>
                <w:sz w:val="20"/>
                <w:szCs w:val="20"/>
              </w:rPr>
              <w:t xml:space="preserve">and </w:t>
            </w:r>
            <w:r w:rsidRPr="00614EA1">
              <w:rPr>
                <w:bCs/>
                <w:sz w:val="20"/>
                <w:szCs w:val="20"/>
              </w:rPr>
              <w:t>(e) a graduate tracking mechanism for TVET institutes</w:t>
            </w:r>
            <w:r w:rsidR="00C5686D" w:rsidRPr="00614EA1">
              <w:rPr>
                <w:bCs/>
                <w:sz w:val="20"/>
                <w:szCs w:val="20"/>
              </w:rPr>
              <w:t xml:space="preserve">. </w:t>
            </w:r>
          </w:p>
          <w:p w14:paraId="69E8A528" w14:textId="604D9E22" w:rsidR="00413A0C" w:rsidRPr="00614EA1" w:rsidRDefault="00C5686D" w:rsidP="00604C9B">
            <w:pPr>
              <w:pStyle w:val="MainParanoChapter-Ch3"/>
              <w:numPr>
                <w:ilvl w:val="0"/>
                <w:numId w:val="0"/>
              </w:numPr>
              <w:tabs>
                <w:tab w:val="left" w:pos="8730"/>
                <w:tab w:val="left" w:pos="8820"/>
              </w:tabs>
              <w:rPr>
                <w:bCs/>
                <w:sz w:val="20"/>
                <w:szCs w:val="20"/>
              </w:rPr>
            </w:pPr>
            <w:r w:rsidRPr="00614EA1">
              <w:rPr>
                <w:bCs/>
                <w:sz w:val="20"/>
                <w:szCs w:val="20"/>
              </w:rPr>
              <w:t>W</w:t>
            </w:r>
            <w:r w:rsidR="00413A0C" w:rsidRPr="00614EA1">
              <w:rPr>
                <w:bCs/>
                <w:sz w:val="20"/>
                <w:szCs w:val="20"/>
              </w:rPr>
              <w:t>orks, good</w:t>
            </w:r>
            <w:r w:rsidR="00471D39" w:rsidRPr="00614EA1">
              <w:rPr>
                <w:bCs/>
                <w:sz w:val="20"/>
                <w:szCs w:val="20"/>
              </w:rPr>
              <w:t>s,</w:t>
            </w:r>
            <w:r w:rsidR="00413A0C" w:rsidRPr="00614EA1">
              <w:rPr>
                <w:bCs/>
                <w:sz w:val="20"/>
                <w:szCs w:val="20"/>
              </w:rPr>
              <w:t xml:space="preserve"> and services for the upgrad</w:t>
            </w:r>
            <w:r w:rsidR="00471D39" w:rsidRPr="00614EA1">
              <w:rPr>
                <w:bCs/>
                <w:sz w:val="20"/>
                <w:szCs w:val="20"/>
              </w:rPr>
              <w:t>ing</w:t>
            </w:r>
            <w:r w:rsidR="00413A0C" w:rsidRPr="00614EA1">
              <w:rPr>
                <w:bCs/>
                <w:sz w:val="20"/>
                <w:szCs w:val="20"/>
              </w:rPr>
              <w:t xml:space="preserve"> of physical facilities and training equipment of TVET institutions. </w:t>
            </w:r>
          </w:p>
        </w:tc>
      </w:tr>
      <w:tr w:rsidR="00413A0C" w:rsidRPr="00563D71" w14:paraId="746CF648" w14:textId="77777777" w:rsidTr="00CF22F2">
        <w:tc>
          <w:tcPr>
            <w:tcW w:w="1098" w:type="pct"/>
          </w:tcPr>
          <w:p w14:paraId="41522D1B" w14:textId="77777777" w:rsidR="00413A0C" w:rsidRPr="00563D71" w:rsidRDefault="00413A0C" w:rsidP="00841685">
            <w:pPr>
              <w:pStyle w:val="MainParanoChapter-Ch3"/>
              <w:numPr>
                <w:ilvl w:val="0"/>
                <w:numId w:val="0"/>
              </w:numPr>
              <w:tabs>
                <w:tab w:val="left" w:pos="8730"/>
                <w:tab w:val="left" w:pos="8820"/>
              </w:tabs>
              <w:ind w:right="630"/>
              <w:rPr>
                <w:b/>
                <w:sz w:val="20"/>
                <w:szCs w:val="20"/>
              </w:rPr>
            </w:pPr>
            <w:r w:rsidRPr="00563D71">
              <w:rPr>
                <w:b/>
                <w:sz w:val="20"/>
                <w:szCs w:val="20"/>
              </w:rPr>
              <w:t>2.</w:t>
            </w:r>
          </w:p>
        </w:tc>
        <w:tc>
          <w:tcPr>
            <w:tcW w:w="3902" w:type="pct"/>
          </w:tcPr>
          <w:p w14:paraId="0899386F" w14:textId="4226385E" w:rsidR="00413A0C" w:rsidRPr="00614EA1" w:rsidRDefault="00413A0C" w:rsidP="000B0DC9">
            <w:pPr>
              <w:pStyle w:val="MainParanoChapter-Ch3"/>
              <w:numPr>
                <w:ilvl w:val="0"/>
                <w:numId w:val="0"/>
              </w:numPr>
              <w:tabs>
                <w:tab w:val="left" w:pos="8730"/>
                <w:tab w:val="left" w:pos="8820"/>
              </w:tabs>
              <w:rPr>
                <w:bCs/>
                <w:sz w:val="20"/>
                <w:szCs w:val="20"/>
              </w:rPr>
            </w:pPr>
            <w:r w:rsidRPr="00614EA1">
              <w:rPr>
                <w:bCs/>
                <w:sz w:val="20"/>
                <w:szCs w:val="20"/>
              </w:rPr>
              <w:t>Expand the travel website company-Ministry of Tourism</w:t>
            </w:r>
            <w:r w:rsidRPr="00614EA1" w:rsidDel="003F1A53">
              <w:rPr>
                <w:bCs/>
                <w:sz w:val="20"/>
                <w:szCs w:val="20"/>
              </w:rPr>
              <w:t xml:space="preserve"> </w:t>
            </w:r>
            <w:r w:rsidRPr="00614EA1">
              <w:rPr>
                <w:bCs/>
                <w:sz w:val="20"/>
                <w:szCs w:val="20"/>
              </w:rPr>
              <w:t>partnership to improve its benefits to local tourism businesses</w:t>
            </w:r>
            <w:r w:rsidR="00C5686D" w:rsidRPr="00614EA1">
              <w:rPr>
                <w:bCs/>
                <w:sz w:val="20"/>
                <w:szCs w:val="20"/>
              </w:rPr>
              <w:t>.</w:t>
            </w:r>
          </w:p>
        </w:tc>
      </w:tr>
      <w:tr w:rsidR="00413A0C" w:rsidRPr="00563D71" w14:paraId="15601D9E" w14:textId="77777777" w:rsidTr="00CF22F2">
        <w:tc>
          <w:tcPr>
            <w:tcW w:w="1098" w:type="pct"/>
          </w:tcPr>
          <w:p w14:paraId="7C50796B" w14:textId="77777777" w:rsidR="00413A0C" w:rsidRPr="00563D71" w:rsidRDefault="00413A0C" w:rsidP="00841685">
            <w:pPr>
              <w:pStyle w:val="MainParanoChapter-Ch3"/>
              <w:numPr>
                <w:ilvl w:val="0"/>
                <w:numId w:val="0"/>
              </w:numPr>
              <w:tabs>
                <w:tab w:val="left" w:pos="8730"/>
                <w:tab w:val="left" w:pos="8820"/>
              </w:tabs>
              <w:ind w:right="630"/>
              <w:rPr>
                <w:b/>
                <w:sz w:val="20"/>
                <w:szCs w:val="20"/>
              </w:rPr>
            </w:pPr>
            <w:r w:rsidRPr="00563D71">
              <w:rPr>
                <w:b/>
                <w:sz w:val="20"/>
                <w:szCs w:val="20"/>
              </w:rPr>
              <w:t>4.</w:t>
            </w:r>
          </w:p>
        </w:tc>
        <w:tc>
          <w:tcPr>
            <w:tcW w:w="3902" w:type="pct"/>
          </w:tcPr>
          <w:p w14:paraId="364EF6A8" w14:textId="7466A4C9" w:rsidR="00413A0C" w:rsidRPr="00614EA1" w:rsidRDefault="00413A0C" w:rsidP="000B0DC9">
            <w:pPr>
              <w:pStyle w:val="MainParanoChapter-Ch3"/>
              <w:numPr>
                <w:ilvl w:val="0"/>
                <w:numId w:val="0"/>
              </w:numPr>
              <w:tabs>
                <w:tab w:val="left" w:pos="8730"/>
                <w:tab w:val="left" w:pos="8820"/>
              </w:tabs>
              <w:rPr>
                <w:bCs/>
                <w:sz w:val="20"/>
                <w:szCs w:val="20"/>
              </w:rPr>
            </w:pPr>
            <w:r w:rsidRPr="00614EA1">
              <w:rPr>
                <w:bCs/>
                <w:sz w:val="20"/>
                <w:szCs w:val="20"/>
              </w:rPr>
              <w:t>Training and capacity building of businesses on how to respond to consumer feedback and improve their travel website rankings</w:t>
            </w:r>
            <w:r w:rsidR="00C5686D" w:rsidRPr="00614EA1">
              <w:rPr>
                <w:bCs/>
                <w:sz w:val="20"/>
                <w:szCs w:val="20"/>
              </w:rPr>
              <w:t>.</w:t>
            </w:r>
          </w:p>
        </w:tc>
      </w:tr>
      <w:tr w:rsidR="00413A0C" w:rsidRPr="00563D71" w14:paraId="32D1F8D0" w14:textId="77777777" w:rsidTr="00CF22F2">
        <w:tc>
          <w:tcPr>
            <w:tcW w:w="1098" w:type="pct"/>
          </w:tcPr>
          <w:p w14:paraId="235D05E6" w14:textId="77777777"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szCs w:val="20"/>
              </w:rPr>
              <w:t>5.</w:t>
            </w:r>
          </w:p>
        </w:tc>
        <w:tc>
          <w:tcPr>
            <w:tcW w:w="3902" w:type="pct"/>
          </w:tcPr>
          <w:p w14:paraId="42B817AE" w14:textId="71447181" w:rsidR="00413A0C" w:rsidRPr="00614EA1" w:rsidRDefault="00413A0C" w:rsidP="00841685">
            <w:pPr>
              <w:pStyle w:val="MainParanoChapter-Ch3"/>
              <w:numPr>
                <w:ilvl w:val="0"/>
                <w:numId w:val="0"/>
              </w:numPr>
              <w:tabs>
                <w:tab w:val="left" w:pos="8730"/>
                <w:tab w:val="left" w:pos="8820"/>
              </w:tabs>
              <w:rPr>
                <w:bCs/>
                <w:sz w:val="20"/>
                <w:szCs w:val="20"/>
              </w:rPr>
            </w:pPr>
            <w:r w:rsidRPr="00614EA1">
              <w:rPr>
                <w:bCs/>
                <w:sz w:val="20"/>
                <w:szCs w:val="20"/>
              </w:rPr>
              <w:t>Improving basic tourism data collection and data base management and utilization through digital method</w:t>
            </w:r>
            <w:r w:rsidR="00C5686D" w:rsidRPr="00614EA1">
              <w:rPr>
                <w:bCs/>
                <w:sz w:val="20"/>
                <w:szCs w:val="20"/>
              </w:rPr>
              <w:t>.</w:t>
            </w:r>
            <w:r w:rsidRPr="00614EA1">
              <w:rPr>
                <w:bCs/>
                <w:sz w:val="20"/>
                <w:szCs w:val="20"/>
              </w:rPr>
              <w:t xml:space="preserve"> </w:t>
            </w:r>
          </w:p>
        </w:tc>
      </w:tr>
      <w:tr w:rsidR="00413A0C" w:rsidRPr="00563D71" w14:paraId="65A21E18" w14:textId="77777777" w:rsidTr="00CF22F2">
        <w:tc>
          <w:tcPr>
            <w:tcW w:w="1098" w:type="pct"/>
          </w:tcPr>
          <w:p w14:paraId="3C430294" w14:textId="77777777"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szCs w:val="20"/>
              </w:rPr>
              <w:t>6.</w:t>
            </w:r>
          </w:p>
        </w:tc>
        <w:tc>
          <w:tcPr>
            <w:tcW w:w="3902" w:type="pct"/>
          </w:tcPr>
          <w:p w14:paraId="71C6B863" w14:textId="6B99B8D0" w:rsidR="00413A0C" w:rsidRPr="00614EA1" w:rsidRDefault="00413A0C" w:rsidP="000B0DC9">
            <w:pPr>
              <w:pStyle w:val="MainParanoChapter-Ch3"/>
              <w:numPr>
                <w:ilvl w:val="0"/>
                <w:numId w:val="0"/>
              </w:numPr>
              <w:tabs>
                <w:tab w:val="left" w:pos="8730"/>
                <w:tab w:val="left" w:pos="8820"/>
              </w:tabs>
              <w:rPr>
                <w:bCs/>
                <w:sz w:val="20"/>
                <w:szCs w:val="20"/>
              </w:rPr>
            </w:pPr>
            <w:r w:rsidRPr="00614EA1">
              <w:rPr>
                <w:bCs/>
                <w:sz w:val="20"/>
                <w:szCs w:val="20"/>
              </w:rPr>
              <w:t>Establishment (operating costs) and capacity building of a new data management team</w:t>
            </w:r>
            <w:r w:rsidR="00C5686D" w:rsidRPr="00614EA1">
              <w:rPr>
                <w:bCs/>
                <w:sz w:val="20"/>
                <w:szCs w:val="20"/>
              </w:rPr>
              <w:t>.</w:t>
            </w:r>
            <w:r w:rsidRPr="00614EA1">
              <w:rPr>
                <w:bCs/>
                <w:sz w:val="20"/>
                <w:szCs w:val="20"/>
              </w:rPr>
              <w:t xml:space="preserve"> </w:t>
            </w:r>
          </w:p>
        </w:tc>
      </w:tr>
    </w:tbl>
    <w:p w14:paraId="72E59396" w14:textId="77777777" w:rsidR="00387249" w:rsidRPr="00563D71" w:rsidRDefault="00387249" w:rsidP="003D2E29">
      <w:pPr>
        <w:pStyle w:val="MainParanoChapter-Ch3"/>
        <w:numPr>
          <w:ilvl w:val="0"/>
          <w:numId w:val="0"/>
        </w:numPr>
      </w:pPr>
    </w:p>
    <w:p w14:paraId="7A7E70F4" w14:textId="1C6248BE" w:rsidR="00387249" w:rsidRPr="00563D71" w:rsidRDefault="00606979" w:rsidP="008F2191">
      <w:pPr>
        <w:pStyle w:val="MainParanoChapter-Ch3"/>
        <w:rPr>
          <w:bCs/>
        </w:rPr>
      </w:pPr>
      <w:r w:rsidRPr="00563D71">
        <w:rPr>
          <w:bCs/>
        </w:rPr>
        <w:t xml:space="preserve">Table </w:t>
      </w:r>
      <w:r w:rsidR="00704623" w:rsidRPr="00563D71">
        <w:rPr>
          <w:bCs/>
        </w:rPr>
        <w:t>5</w:t>
      </w:r>
      <w:r w:rsidRPr="00563D71">
        <w:rPr>
          <w:bCs/>
        </w:rPr>
        <w:t xml:space="preserve"> summarizes the typology of </w:t>
      </w:r>
      <w:r w:rsidR="00A14F58" w:rsidRPr="00563D71">
        <w:rPr>
          <w:bCs/>
        </w:rPr>
        <w:t xml:space="preserve">supporting tourism services, marketing and investment promotion </w:t>
      </w:r>
      <w:r w:rsidRPr="00563D71">
        <w:rPr>
          <w:bCs/>
        </w:rPr>
        <w:t xml:space="preserve">activities to be implemented through the Program. </w:t>
      </w:r>
    </w:p>
    <w:p w14:paraId="23A52B58" w14:textId="63F1F4C5" w:rsidR="00413A0C" w:rsidRPr="00563D71" w:rsidRDefault="00413A0C">
      <w:pPr>
        <w:spacing w:before="0"/>
        <w:ind w:left="11" w:hanging="11"/>
        <w:rPr>
          <w:b/>
        </w:rPr>
      </w:pPr>
    </w:p>
    <w:p w14:paraId="728798A3" w14:textId="29B20AA5" w:rsidR="004436C4" w:rsidRPr="00563D71" w:rsidRDefault="004436C4" w:rsidP="003D2E29">
      <w:pPr>
        <w:pStyle w:val="NoSpacing"/>
        <w:ind w:left="0"/>
        <w:jc w:val="center"/>
      </w:pPr>
      <w:bookmarkStart w:id="30" w:name="_Toc485824766"/>
      <w:r w:rsidRPr="00563D71">
        <w:t xml:space="preserve">Table </w:t>
      </w:r>
      <w:r w:rsidR="00704623" w:rsidRPr="00563D71">
        <w:t>5</w:t>
      </w:r>
      <w:r w:rsidR="0060091A">
        <w:t>.</w:t>
      </w:r>
      <w:r w:rsidRPr="00563D71">
        <w:t xml:space="preserve"> Typology of activities the Program will support at priority destinations under RA3</w:t>
      </w:r>
      <w:bookmarkEnd w:id="30"/>
    </w:p>
    <w:p w14:paraId="57B93B4A" w14:textId="77777777" w:rsidR="00C4370B" w:rsidRPr="00563D71" w:rsidRDefault="00C4370B" w:rsidP="003D2E29">
      <w:pPr>
        <w:pStyle w:val="NoSpacing"/>
        <w:jc w:val="center"/>
      </w:pPr>
    </w:p>
    <w:tbl>
      <w:tblPr>
        <w:tblStyle w:val="TableGrid0"/>
        <w:tblW w:w="5000" w:type="pct"/>
        <w:tblLook w:val="04A0" w:firstRow="1" w:lastRow="0" w:firstColumn="1" w:lastColumn="0" w:noHBand="0" w:noVBand="1"/>
      </w:tblPr>
      <w:tblGrid>
        <w:gridCol w:w="2010"/>
        <w:gridCol w:w="7340"/>
      </w:tblGrid>
      <w:tr w:rsidR="00413A0C" w:rsidRPr="00563D71" w14:paraId="27B5D582" w14:textId="77777777" w:rsidTr="00CF22F2">
        <w:tc>
          <w:tcPr>
            <w:tcW w:w="1075" w:type="pct"/>
          </w:tcPr>
          <w:p w14:paraId="7BCE572D" w14:textId="77777777" w:rsidR="00413A0C" w:rsidRPr="00614EA1" w:rsidRDefault="00413A0C" w:rsidP="00E37426">
            <w:pPr>
              <w:pStyle w:val="MainParanoChapter-Ch3"/>
              <w:numPr>
                <w:ilvl w:val="0"/>
                <w:numId w:val="0"/>
              </w:numPr>
              <w:tabs>
                <w:tab w:val="left" w:pos="8730"/>
                <w:tab w:val="left" w:pos="8820"/>
              </w:tabs>
              <w:ind w:right="630"/>
              <w:rPr>
                <w:b/>
                <w:bCs/>
                <w:sz w:val="20"/>
                <w:szCs w:val="20"/>
              </w:rPr>
            </w:pPr>
            <w:r w:rsidRPr="00614EA1">
              <w:rPr>
                <w:b/>
                <w:bCs/>
                <w:sz w:val="20"/>
                <w:szCs w:val="20"/>
              </w:rPr>
              <w:t>No.</w:t>
            </w:r>
          </w:p>
        </w:tc>
        <w:tc>
          <w:tcPr>
            <w:tcW w:w="3925" w:type="pct"/>
          </w:tcPr>
          <w:p w14:paraId="35F34911" w14:textId="77777777" w:rsidR="00413A0C" w:rsidRPr="00614EA1" w:rsidRDefault="00413A0C" w:rsidP="00E37426">
            <w:pPr>
              <w:pStyle w:val="MainParanoChapter-Ch3"/>
              <w:numPr>
                <w:ilvl w:val="0"/>
                <w:numId w:val="0"/>
              </w:numPr>
              <w:tabs>
                <w:tab w:val="left" w:pos="8730"/>
                <w:tab w:val="left" w:pos="8820"/>
              </w:tabs>
              <w:ind w:right="630"/>
              <w:rPr>
                <w:b/>
                <w:bCs/>
                <w:sz w:val="20"/>
                <w:szCs w:val="20"/>
              </w:rPr>
            </w:pPr>
            <w:r w:rsidRPr="00614EA1">
              <w:rPr>
                <w:b/>
                <w:bCs/>
                <w:sz w:val="20"/>
                <w:szCs w:val="20"/>
              </w:rPr>
              <w:t>Indicative Activities under Program Expenditures</w:t>
            </w:r>
          </w:p>
        </w:tc>
      </w:tr>
      <w:tr w:rsidR="00413A0C" w:rsidRPr="00563D71" w14:paraId="0E2B77F2" w14:textId="77777777" w:rsidTr="00CF22F2">
        <w:tc>
          <w:tcPr>
            <w:tcW w:w="1075" w:type="pct"/>
          </w:tcPr>
          <w:p w14:paraId="05CCA0A4" w14:textId="77777777"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szCs w:val="20"/>
              </w:rPr>
              <w:t>1.</w:t>
            </w:r>
          </w:p>
        </w:tc>
        <w:tc>
          <w:tcPr>
            <w:tcW w:w="3925" w:type="pct"/>
          </w:tcPr>
          <w:p w14:paraId="163B60D6" w14:textId="7F22AD6C" w:rsidR="00413A0C" w:rsidRPr="00614EA1" w:rsidRDefault="00413A0C" w:rsidP="00A512D3">
            <w:pPr>
              <w:pStyle w:val="MainParanoChapter-Ch3"/>
              <w:numPr>
                <w:ilvl w:val="0"/>
                <w:numId w:val="0"/>
              </w:numPr>
              <w:tabs>
                <w:tab w:val="left" w:pos="8730"/>
                <w:tab w:val="left" w:pos="8820"/>
              </w:tabs>
              <w:ind w:right="-18"/>
              <w:rPr>
                <w:bCs/>
                <w:sz w:val="20"/>
                <w:szCs w:val="20"/>
              </w:rPr>
            </w:pPr>
            <w:r w:rsidRPr="00614EA1">
              <w:rPr>
                <w:bCs/>
                <w:sz w:val="20"/>
                <w:szCs w:val="20"/>
              </w:rPr>
              <w:t xml:space="preserve">Consultants’ </w:t>
            </w:r>
            <w:r w:rsidR="006576FB" w:rsidRPr="00614EA1">
              <w:rPr>
                <w:bCs/>
                <w:sz w:val="20"/>
                <w:szCs w:val="20"/>
              </w:rPr>
              <w:t>s</w:t>
            </w:r>
            <w:r w:rsidRPr="00614EA1">
              <w:rPr>
                <w:bCs/>
                <w:sz w:val="20"/>
                <w:szCs w:val="20"/>
              </w:rPr>
              <w:t xml:space="preserve">ervices, </w:t>
            </w:r>
            <w:r w:rsidR="006576FB" w:rsidRPr="00614EA1">
              <w:rPr>
                <w:bCs/>
                <w:sz w:val="20"/>
                <w:szCs w:val="20"/>
              </w:rPr>
              <w:t>t</w:t>
            </w:r>
            <w:r w:rsidRPr="00614EA1">
              <w:rPr>
                <w:bCs/>
                <w:sz w:val="20"/>
                <w:szCs w:val="20"/>
              </w:rPr>
              <w:t xml:space="preserve">raining, </w:t>
            </w:r>
            <w:r w:rsidR="006576FB" w:rsidRPr="00614EA1">
              <w:rPr>
                <w:bCs/>
                <w:sz w:val="20"/>
                <w:szCs w:val="20"/>
              </w:rPr>
              <w:t>o</w:t>
            </w:r>
            <w:r w:rsidRPr="00614EA1">
              <w:rPr>
                <w:bCs/>
                <w:sz w:val="20"/>
                <w:szCs w:val="20"/>
              </w:rPr>
              <w:t xml:space="preserve">perating </w:t>
            </w:r>
            <w:r w:rsidR="006576FB" w:rsidRPr="00614EA1">
              <w:rPr>
                <w:bCs/>
                <w:sz w:val="20"/>
                <w:szCs w:val="20"/>
              </w:rPr>
              <w:t>c</w:t>
            </w:r>
            <w:r w:rsidRPr="00614EA1">
              <w:rPr>
                <w:bCs/>
                <w:sz w:val="20"/>
                <w:szCs w:val="20"/>
              </w:rPr>
              <w:t>osts, non-consulting services</w:t>
            </w:r>
            <w:r w:rsidR="006576FB" w:rsidRPr="00614EA1">
              <w:rPr>
                <w:bCs/>
                <w:sz w:val="20"/>
                <w:szCs w:val="20"/>
              </w:rPr>
              <w:t>,</w:t>
            </w:r>
            <w:r w:rsidRPr="00614EA1">
              <w:rPr>
                <w:bCs/>
                <w:sz w:val="20"/>
                <w:szCs w:val="20"/>
              </w:rPr>
              <w:t xml:space="preserve"> and possibly small grants for the simplification of investment procedures and licensing requirements in the tourism sector through: (a) development of comprehensive mapping of licensing procedures in specific parts of the tourism sector; (b) strengthening of coordination mechanism for implementing the simplification program at the national and sub-national level; and (c) Capacity building for key agencies to undertake ongoing simplification for other business fields in the tourism sector in line with the agreed agency. </w:t>
            </w:r>
          </w:p>
        </w:tc>
      </w:tr>
      <w:tr w:rsidR="00413A0C" w:rsidRPr="00563D71" w14:paraId="7FE6E2B1" w14:textId="77777777" w:rsidTr="003D2E29">
        <w:trPr>
          <w:trHeight w:val="2564"/>
        </w:trPr>
        <w:tc>
          <w:tcPr>
            <w:tcW w:w="1075" w:type="pct"/>
          </w:tcPr>
          <w:p w14:paraId="1AC8B36A" w14:textId="75CE67FD"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szCs w:val="20"/>
              </w:rPr>
              <w:t>2.</w:t>
            </w:r>
          </w:p>
        </w:tc>
        <w:tc>
          <w:tcPr>
            <w:tcW w:w="3925" w:type="pct"/>
          </w:tcPr>
          <w:p w14:paraId="09710B8A" w14:textId="188F2E64" w:rsidR="00413A0C" w:rsidRPr="00614EA1" w:rsidRDefault="00413A0C" w:rsidP="00A512D3">
            <w:pPr>
              <w:pStyle w:val="MainParanoChapter-Ch3"/>
              <w:numPr>
                <w:ilvl w:val="0"/>
                <w:numId w:val="0"/>
              </w:numPr>
              <w:tabs>
                <w:tab w:val="left" w:pos="8730"/>
                <w:tab w:val="left" w:pos="8820"/>
              </w:tabs>
              <w:ind w:right="-18"/>
              <w:rPr>
                <w:bCs/>
                <w:sz w:val="20"/>
                <w:szCs w:val="20"/>
              </w:rPr>
            </w:pPr>
            <w:r w:rsidRPr="00614EA1">
              <w:rPr>
                <w:bCs/>
                <w:sz w:val="20"/>
                <w:szCs w:val="20"/>
              </w:rPr>
              <w:t xml:space="preserve">Consultants’ services, </w:t>
            </w:r>
            <w:r w:rsidR="00536BFD" w:rsidRPr="00614EA1">
              <w:rPr>
                <w:bCs/>
                <w:sz w:val="20"/>
                <w:szCs w:val="20"/>
              </w:rPr>
              <w:t>t</w:t>
            </w:r>
            <w:r w:rsidRPr="00614EA1">
              <w:rPr>
                <w:bCs/>
                <w:sz w:val="20"/>
                <w:szCs w:val="20"/>
              </w:rPr>
              <w:t xml:space="preserve">raining, </w:t>
            </w:r>
            <w:r w:rsidR="00536BFD" w:rsidRPr="00614EA1">
              <w:rPr>
                <w:bCs/>
                <w:sz w:val="20"/>
                <w:szCs w:val="20"/>
              </w:rPr>
              <w:t>o</w:t>
            </w:r>
            <w:r w:rsidRPr="00614EA1">
              <w:rPr>
                <w:bCs/>
                <w:sz w:val="20"/>
                <w:szCs w:val="20"/>
              </w:rPr>
              <w:t xml:space="preserve">perating </w:t>
            </w:r>
            <w:r w:rsidR="00536BFD" w:rsidRPr="00614EA1">
              <w:rPr>
                <w:bCs/>
                <w:sz w:val="20"/>
                <w:szCs w:val="20"/>
              </w:rPr>
              <w:t>c</w:t>
            </w:r>
            <w:r w:rsidRPr="00614EA1">
              <w:rPr>
                <w:bCs/>
                <w:sz w:val="20"/>
                <w:szCs w:val="20"/>
              </w:rPr>
              <w:t>osts, non-consulting services</w:t>
            </w:r>
            <w:r w:rsidR="00536BFD" w:rsidRPr="00614EA1">
              <w:rPr>
                <w:bCs/>
                <w:sz w:val="20"/>
                <w:szCs w:val="20"/>
              </w:rPr>
              <w:t>,</w:t>
            </w:r>
            <w:r w:rsidRPr="00614EA1">
              <w:rPr>
                <w:bCs/>
                <w:sz w:val="20"/>
                <w:szCs w:val="20"/>
              </w:rPr>
              <w:t xml:space="preserve"> and possibly small grants for the strengthening of systems mechanism  to monitor, promote and facilitate private investments through (a) the development and execution of destination-specific investment promotion plans; (b) actions to improve coordination amongst key agencies to promote investment in tourism; and (c) strengthening the targeted outreach strategies, including building investor databases and tracking processes using examples from other countries, participation in tourism investment events, booth costs, advertising and promotional materials; and (d)</w:t>
            </w:r>
            <w:r w:rsidRPr="00614EA1">
              <w:rPr>
                <w:bCs/>
                <w:sz w:val="20"/>
              </w:rPr>
              <w:t xml:space="preserve"> </w:t>
            </w:r>
            <w:r w:rsidR="00536BFD" w:rsidRPr="00614EA1">
              <w:rPr>
                <w:bCs/>
                <w:sz w:val="20"/>
                <w:szCs w:val="20"/>
              </w:rPr>
              <w:t>c</w:t>
            </w:r>
            <w:r w:rsidRPr="00614EA1">
              <w:rPr>
                <w:bCs/>
                <w:sz w:val="20"/>
                <w:szCs w:val="20"/>
              </w:rPr>
              <w:t xml:space="preserve">apacity building for key agencies, including training/workshops on effective investment promotion, investor outreach, facilitation and aftercare, and the strengthening of shared investor tracking systems for BKPM and partners. </w:t>
            </w:r>
          </w:p>
        </w:tc>
      </w:tr>
      <w:tr w:rsidR="00413A0C" w:rsidRPr="00563D71" w14:paraId="6AEB9D35" w14:textId="77777777" w:rsidTr="00CF22F2">
        <w:tc>
          <w:tcPr>
            <w:tcW w:w="1075" w:type="pct"/>
          </w:tcPr>
          <w:p w14:paraId="4ACA5F2A" w14:textId="2CA87659" w:rsidR="00413A0C" w:rsidRPr="00563D71" w:rsidRDefault="00413A0C" w:rsidP="00BE5C55">
            <w:pPr>
              <w:pStyle w:val="MainParanoChapter-Ch3"/>
              <w:numPr>
                <w:ilvl w:val="0"/>
                <w:numId w:val="0"/>
              </w:numPr>
              <w:tabs>
                <w:tab w:val="left" w:pos="8730"/>
                <w:tab w:val="left" w:pos="8820"/>
              </w:tabs>
              <w:ind w:right="630"/>
              <w:rPr>
                <w:b/>
                <w:sz w:val="20"/>
                <w:szCs w:val="20"/>
              </w:rPr>
            </w:pPr>
            <w:r w:rsidRPr="00563D71">
              <w:rPr>
                <w:b/>
                <w:sz w:val="20"/>
                <w:szCs w:val="20"/>
              </w:rPr>
              <w:t>3.</w:t>
            </w:r>
          </w:p>
        </w:tc>
        <w:tc>
          <w:tcPr>
            <w:tcW w:w="3925" w:type="pct"/>
          </w:tcPr>
          <w:p w14:paraId="50B1BC37" w14:textId="7AA2AF77" w:rsidR="00413A0C" w:rsidRPr="00614EA1" w:rsidRDefault="00413A0C">
            <w:pPr>
              <w:pStyle w:val="MainParanoChapter-Ch3"/>
              <w:numPr>
                <w:ilvl w:val="0"/>
                <w:numId w:val="0"/>
              </w:numPr>
              <w:tabs>
                <w:tab w:val="left" w:pos="8730"/>
                <w:tab w:val="left" w:pos="8820"/>
              </w:tabs>
              <w:ind w:right="-18"/>
              <w:rPr>
                <w:bCs/>
                <w:sz w:val="20"/>
                <w:szCs w:val="20"/>
              </w:rPr>
            </w:pPr>
            <w:r w:rsidRPr="00614EA1">
              <w:rPr>
                <w:bCs/>
                <w:sz w:val="20"/>
                <w:szCs w:val="20"/>
              </w:rPr>
              <w:t xml:space="preserve">Consultants’ services, </w:t>
            </w:r>
            <w:r w:rsidR="00536BFD" w:rsidRPr="00614EA1">
              <w:rPr>
                <w:bCs/>
                <w:sz w:val="20"/>
                <w:szCs w:val="20"/>
              </w:rPr>
              <w:t>t</w:t>
            </w:r>
            <w:r w:rsidRPr="00614EA1">
              <w:rPr>
                <w:bCs/>
                <w:sz w:val="20"/>
                <w:szCs w:val="20"/>
              </w:rPr>
              <w:t xml:space="preserve">raining, </w:t>
            </w:r>
            <w:r w:rsidR="00536BFD" w:rsidRPr="00614EA1">
              <w:rPr>
                <w:bCs/>
                <w:sz w:val="20"/>
                <w:szCs w:val="20"/>
              </w:rPr>
              <w:t>o</w:t>
            </w:r>
            <w:r w:rsidRPr="00614EA1">
              <w:rPr>
                <w:bCs/>
                <w:sz w:val="20"/>
                <w:szCs w:val="20"/>
              </w:rPr>
              <w:t xml:space="preserve">perating </w:t>
            </w:r>
            <w:r w:rsidR="00536BFD" w:rsidRPr="00614EA1">
              <w:rPr>
                <w:bCs/>
                <w:sz w:val="20"/>
                <w:szCs w:val="20"/>
              </w:rPr>
              <w:t>c</w:t>
            </w:r>
            <w:r w:rsidRPr="00614EA1">
              <w:rPr>
                <w:bCs/>
                <w:sz w:val="20"/>
                <w:szCs w:val="20"/>
              </w:rPr>
              <w:t xml:space="preserve">osts, </w:t>
            </w:r>
            <w:r w:rsidR="00536BFD" w:rsidRPr="00614EA1">
              <w:rPr>
                <w:bCs/>
                <w:sz w:val="20"/>
                <w:szCs w:val="20"/>
              </w:rPr>
              <w:t xml:space="preserve">and </w:t>
            </w:r>
            <w:r w:rsidRPr="00614EA1">
              <w:rPr>
                <w:bCs/>
                <w:sz w:val="20"/>
                <w:szCs w:val="20"/>
              </w:rPr>
              <w:t xml:space="preserve">non-consulting services to improve the effectiveness of investment policies and incentives to attract investments in the tourism sector, such as revision of the Negative List (DNI) and in the SEZ arrangements. </w:t>
            </w:r>
          </w:p>
        </w:tc>
      </w:tr>
    </w:tbl>
    <w:p w14:paraId="5AC20917" w14:textId="77777777" w:rsidR="00387249" w:rsidRPr="00563D71" w:rsidRDefault="00387249" w:rsidP="003D2E29">
      <w:pPr>
        <w:pStyle w:val="MainParanoChapter-Ch3"/>
        <w:numPr>
          <w:ilvl w:val="0"/>
          <w:numId w:val="0"/>
        </w:numPr>
      </w:pPr>
    </w:p>
    <w:p w14:paraId="34E9CB4F" w14:textId="64626342" w:rsidR="00475FCB" w:rsidRPr="00563D71" w:rsidRDefault="00E531BA" w:rsidP="00FB7E1E">
      <w:pPr>
        <w:pStyle w:val="MainParanoChapter-Ch3"/>
        <w:rPr>
          <w:bCs/>
        </w:rPr>
      </w:pPr>
      <w:r w:rsidRPr="00563D71">
        <w:rPr>
          <w:bCs/>
        </w:rPr>
        <w:t xml:space="preserve">Table </w:t>
      </w:r>
      <w:r w:rsidR="00704623" w:rsidRPr="00563D71">
        <w:rPr>
          <w:bCs/>
        </w:rPr>
        <w:t>6</w:t>
      </w:r>
      <w:r w:rsidRPr="00563D71">
        <w:rPr>
          <w:bCs/>
        </w:rPr>
        <w:t xml:space="preserve"> summarizes the typology of </w:t>
      </w:r>
      <w:r w:rsidR="00E129EE" w:rsidRPr="00563D71">
        <w:rPr>
          <w:bCs/>
        </w:rPr>
        <w:t xml:space="preserve">institutions and mechanisms for sustainable tourism development </w:t>
      </w:r>
      <w:r w:rsidRPr="00563D71">
        <w:rPr>
          <w:bCs/>
        </w:rPr>
        <w:t>activities to be implemented through the Program for the three first-priority destinations</w:t>
      </w:r>
      <w:r w:rsidR="002200E6" w:rsidRPr="00563D71">
        <w:rPr>
          <w:bCs/>
        </w:rPr>
        <w:t>—</w:t>
      </w:r>
      <w:r w:rsidRPr="00563D71">
        <w:rPr>
          <w:bCs/>
        </w:rPr>
        <w:t>Lake Toba, Borobudur, and Lombok.</w:t>
      </w:r>
    </w:p>
    <w:p w14:paraId="32318524" w14:textId="77777777" w:rsidR="00387249" w:rsidRPr="00563D71" w:rsidRDefault="00387249" w:rsidP="003D2E29">
      <w:pPr>
        <w:pStyle w:val="MainParanoChapter-Ch3"/>
        <w:numPr>
          <w:ilvl w:val="0"/>
          <w:numId w:val="0"/>
        </w:numPr>
      </w:pPr>
    </w:p>
    <w:p w14:paraId="3DB94A0E" w14:textId="2B4B7F52" w:rsidR="00E531BA" w:rsidRPr="00563D71" w:rsidRDefault="00E531BA" w:rsidP="003D2E29">
      <w:pPr>
        <w:pStyle w:val="NoSpacing"/>
        <w:ind w:left="0"/>
        <w:jc w:val="center"/>
      </w:pPr>
      <w:bookmarkStart w:id="31" w:name="_Toc485824767"/>
      <w:r w:rsidRPr="00563D71">
        <w:t xml:space="preserve">Table </w:t>
      </w:r>
      <w:r w:rsidR="00704623" w:rsidRPr="00563D71">
        <w:t>6</w:t>
      </w:r>
      <w:r w:rsidR="0060091A">
        <w:t>.</w:t>
      </w:r>
      <w:r w:rsidRPr="00563D71">
        <w:t xml:space="preserve"> Typology of activities the Program will support at priority destinations under RA4</w:t>
      </w:r>
      <w:bookmarkEnd w:id="31"/>
    </w:p>
    <w:p w14:paraId="19E485D7" w14:textId="77777777" w:rsidR="00C4370B" w:rsidRPr="00563D71" w:rsidRDefault="00C4370B" w:rsidP="003D2E29">
      <w:pPr>
        <w:pStyle w:val="NoSpacing"/>
      </w:pPr>
    </w:p>
    <w:tbl>
      <w:tblPr>
        <w:tblStyle w:val="TableGrid0"/>
        <w:tblW w:w="5000" w:type="pct"/>
        <w:tblLook w:val="04A0" w:firstRow="1" w:lastRow="0" w:firstColumn="1" w:lastColumn="0" w:noHBand="0" w:noVBand="1"/>
      </w:tblPr>
      <w:tblGrid>
        <w:gridCol w:w="1945"/>
        <w:gridCol w:w="7405"/>
      </w:tblGrid>
      <w:tr w:rsidR="00413A0C" w:rsidRPr="00563D71" w14:paraId="65B4A7E6" w14:textId="77777777" w:rsidTr="00CF22F2">
        <w:tc>
          <w:tcPr>
            <w:tcW w:w="1040" w:type="pct"/>
          </w:tcPr>
          <w:p w14:paraId="466E01C4" w14:textId="77777777" w:rsidR="00413A0C" w:rsidRPr="00614EA1" w:rsidRDefault="00413A0C" w:rsidP="00E37426">
            <w:pPr>
              <w:pStyle w:val="MainParanoChapter-Ch3"/>
              <w:numPr>
                <w:ilvl w:val="0"/>
                <w:numId w:val="0"/>
              </w:numPr>
              <w:tabs>
                <w:tab w:val="left" w:pos="8730"/>
                <w:tab w:val="left" w:pos="8820"/>
              </w:tabs>
              <w:ind w:right="630"/>
              <w:rPr>
                <w:b/>
                <w:bCs/>
                <w:sz w:val="20"/>
                <w:szCs w:val="20"/>
              </w:rPr>
            </w:pPr>
            <w:r w:rsidRPr="00614EA1">
              <w:rPr>
                <w:b/>
                <w:bCs/>
                <w:sz w:val="20"/>
                <w:szCs w:val="20"/>
              </w:rPr>
              <w:t>No.</w:t>
            </w:r>
          </w:p>
        </w:tc>
        <w:tc>
          <w:tcPr>
            <w:tcW w:w="3960" w:type="pct"/>
          </w:tcPr>
          <w:p w14:paraId="054693B9" w14:textId="4B4D7554" w:rsidR="00413A0C" w:rsidRPr="00614EA1" w:rsidRDefault="00413A0C" w:rsidP="00E37426">
            <w:pPr>
              <w:pStyle w:val="MainParanoChapter-Ch3"/>
              <w:numPr>
                <w:ilvl w:val="0"/>
                <w:numId w:val="0"/>
              </w:numPr>
              <w:tabs>
                <w:tab w:val="left" w:pos="8730"/>
                <w:tab w:val="left" w:pos="8820"/>
              </w:tabs>
              <w:ind w:right="630"/>
              <w:rPr>
                <w:b/>
                <w:bCs/>
                <w:sz w:val="20"/>
                <w:szCs w:val="20"/>
              </w:rPr>
            </w:pPr>
            <w:r w:rsidRPr="00614EA1">
              <w:rPr>
                <w:b/>
                <w:bCs/>
                <w:sz w:val="20"/>
                <w:szCs w:val="20"/>
              </w:rPr>
              <w:t>Indicative Activities under Program Expenditures</w:t>
            </w:r>
            <w:r w:rsidRPr="00614EA1">
              <w:rPr>
                <w:rStyle w:val="FootnoteReference"/>
                <w:b/>
                <w:bCs/>
                <w:sz w:val="20"/>
                <w:szCs w:val="20"/>
              </w:rPr>
              <w:footnoteReference w:id="39"/>
            </w:r>
          </w:p>
        </w:tc>
      </w:tr>
      <w:tr w:rsidR="00413A0C" w:rsidRPr="00563D71" w14:paraId="606CFAEF" w14:textId="77777777" w:rsidTr="00CF22F2">
        <w:tc>
          <w:tcPr>
            <w:tcW w:w="1040" w:type="pct"/>
          </w:tcPr>
          <w:p w14:paraId="5E9A0BAD" w14:textId="04B7F175" w:rsidR="00413A0C" w:rsidRPr="00563D71" w:rsidRDefault="00413A0C" w:rsidP="00E37426">
            <w:pPr>
              <w:pStyle w:val="MainParanoChapter-Ch3"/>
              <w:numPr>
                <w:ilvl w:val="0"/>
                <w:numId w:val="0"/>
              </w:numPr>
              <w:tabs>
                <w:tab w:val="left" w:pos="8730"/>
                <w:tab w:val="left" w:pos="8820"/>
              </w:tabs>
              <w:ind w:right="630"/>
              <w:rPr>
                <w:b/>
                <w:sz w:val="20"/>
                <w:szCs w:val="20"/>
              </w:rPr>
            </w:pPr>
            <w:r w:rsidRPr="00563D71">
              <w:rPr>
                <w:b/>
                <w:sz w:val="20"/>
              </w:rPr>
              <w:t>1.</w:t>
            </w:r>
          </w:p>
          <w:p w14:paraId="1FB6C3A9" w14:textId="77777777" w:rsidR="00413A0C" w:rsidRPr="00563D71" w:rsidRDefault="00413A0C" w:rsidP="00C83738">
            <w:pPr>
              <w:rPr>
                <w:color w:val="auto"/>
              </w:rPr>
            </w:pPr>
          </w:p>
        </w:tc>
        <w:tc>
          <w:tcPr>
            <w:tcW w:w="3960" w:type="pct"/>
          </w:tcPr>
          <w:p w14:paraId="56BEE5FB" w14:textId="7540EB1A" w:rsidR="00413A0C" w:rsidRPr="00614EA1" w:rsidRDefault="00413A0C" w:rsidP="003D2E29">
            <w:pPr>
              <w:pStyle w:val="MainParanoChapter-Ch3"/>
              <w:numPr>
                <w:ilvl w:val="0"/>
                <w:numId w:val="0"/>
              </w:numPr>
              <w:tabs>
                <w:tab w:val="left" w:pos="8730"/>
                <w:tab w:val="left" w:pos="8820"/>
              </w:tabs>
              <w:rPr>
                <w:bCs/>
                <w:sz w:val="20"/>
              </w:rPr>
            </w:pPr>
            <w:r w:rsidRPr="00614EA1">
              <w:rPr>
                <w:bCs/>
                <w:sz w:val="20"/>
              </w:rPr>
              <w:t xml:space="preserve">Consultants’ services, </w:t>
            </w:r>
            <w:r w:rsidR="002704A6" w:rsidRPr="00614EA1">
              <w:rPr>
                <w:bCs/>
                <w:sz w:val="20"/>
              </w:rPr>
              <w:t>t</w:t>
            </w:r>
            <w:r w:rsidRPr="00614EA1">
              <w:rPr>
                <w:bCs/>
                <w:sz w:val="20"/>
              </w:rPr>
              <w:t xml:space="preserve">raining, </w:t>
            </w:r>
            <w:r w:rsidR="002704A6" w:rsidRPr="00614EA1">
              <w:rPr>
                <w:bCs/>
                <w:sz w:val="20"/>
              </w:rPr>
              <w:t>o</w:t>
            </w:r>
            <w:r w:rsidRPr="00614EA1">
              <w:rPr>
                <w:bCs/>
                <w:sz w:val="20"/>
              </w:rPr>
              <w:t xml:space="preserve">perating </w:t>
            </w:r>
            <w:r w:rsidR="002704A6" w:rsidRPr="00614EA1">
              <w:rPr>
                <w:bCs/>
                <w:sz w:val="20"/>
              </w:rPr>
              <w:t>c</w:t>
            </w:r>
            <w:r w:rsidRPr="00614EA1">
              <w:rPr>
                <w:bCs/>
                <w:sz w:val="20"/>
              </w:rPr>
              <w:t>osts</w:t>
            </w:r>
            <w:r w:rsidR="002704A6" w:rsidRPr="00614EA1">
              <w:rPr>
                <w:bCs/>
                <w:sz w:val="20"/>
              </w:rPr>
              <w:t>,</w:t>
            </w:r>
            <w:r w:rsidRPr="00614EA1">
              <w:rPr>
                <w:bCs/>
                <w:sz w:val="20"/>
              </w:rPr>
              <w:t xml:space="preserve"> and non-consulting services to support and strengthen the tourism coordination team, the technical level coordination team (Steering Committee and Technical Committee), the Executing Agency, and destination-level coordinating bodies.</w:t>
            </w:r>
            <w:r w:rsidRPr="00614EA1">
              <w:rPr>
                <w:rStyle w:val="FootnoteReference"/>
                <w:bCs/>
                <w:sz w:val="20"/>
                <w:szCs w:val="20"/>
              </w:rPr>
              <w:footnoteReference w:id="40"/>
            </w:r>
          </w:p>
        </w:tc>
      </w:tr>
      <w:tr w:rsidR="00413A0C" w:rsidRPr="00563D71" w14:paraId="367B49AC" w14:textId="77777777" w:rsidTr="00CF22F2">
        <w:tc>
          <w:tcPr>
            <w:tcW w:w="1040" w:type="pct"/>
          </w:tcPr>
          <w:p w14:paraId="3DFBD6B4" w14:textId="77777777" w:rsidR="00413A0C" w:rsidRPr="00563D71" w:rsidRDefault="00413A0C" w:rsidP="00E37426">
            <w:pPr>
              <w:pStyle w:val="MainParanoChapter-Ch3"/>
              <w:numPr>
                <w:ilvl w:val="0"/>
                <w:numId w:val="0"/>
              </w:numPr>
              <w:tabs>
                <w:tab w:val="left" w:pos="8730"/>
                <w:tab w:val="left" w:pos="8820"/>
              </w:tabs>
              <w:ind w:right="630"/>
              <w:rPr>
                <w:b/>
                <w:sz w:val="20"/>
              </w:rPr>
            </w:pPr>
            <w:r w:rsidRPr="00563D71">
              <w:rPr>
                <w:b/>
                <w:sz w:val="20"/>
              </w:rPr>
              <w:t>3.</w:t>
            </w:r>
          </w:p>
        </w:tc>
        <w:tc>
          <w:tcPr>
            <w:tcW w:w="3960" w:type="pct"/>
          </w:tcPr>
          <w:p w14:paraId="01687AFB" w14:textId="1CB87378" w:rsidR="00413A0C" w:rsidRPr="00614EA1" w:rsidRDefault="00413A0C" w:rsidP="00051096">
            <w:pPr>
              <w:pStyle w:val="MainParanoChapter-Ch3"/>
              <w:numPr>
                <w:ilvl w:val="0"/>
                <w:numId w:val="0"/>
              </w:numPr>
              <w:tabs>
                <w:tab w:val="left" w:pos="8730"/>
                <w:tab w:val="left" w:pos="8820"/>
              </w:tabs>
              <w:rPr>
                <w:bCs/>
                <w:sz w:val="20"/>
              </w:rPr>
            </w:pPr>
            <w:r w:rsidRPr="00614EA1">
              <w:rPr>
                <w:bCs/>
                <w:sz w:val="20"/>
              </w:rPr>
              <w:t xml:space="preserve">Awareness and capacity building on environmental and social safeguards for the staff of MPWH, </w:t>
            </w:r>
            <w:r w:rsidR="00E62922" w:rsidRPr="00614EA1">
              <w:rPr>
                <w:bCs/>
                <w:sz w:val="20"/>
              </w:rPr>
              <w:t xml:space="preserve">Ministry of Tourism, </w:t>
            </w:r>
            <w:r w:rsidRPr="00614EA1">
              <w:rPr>
                <w:bCs/>
                <w:sz w:val="20"/>
              </w:rPr>
              <w:t>and other central agencies involved in the Program</w:t>
            </w:r>
            <w:r w:rsidRPr="00614EA1">
              <w:rPr>
                <w:bCs/>
                <w:color w:val="FF0000"/>
                <w:sz w:val="20"/>
                <w:szCs w:val="20"/>
              </w:rPr>
              <w:t>.</w:t>
            </w:r>
          </w:p>
        </w:tc>
      </w:tr>
      <w:tr w:rsidR="00413A0C" w:rsidRPr="00563D71" w14:paraId="63028547" w14:textId="77777777" w:rsidTr="00CF22F2">
        <w:tc>
          <w:tcPr>
            <w:tcW w:w="1040" w:type="pct"/>
          </w:tcPr>
          <w:p w14:paraId="32C62909" w14:textId="77777777" w:rsidR="00413A0C" w:rsidRPr="00563D71" w:rsidRDefault="00413A0C" w:rsidP="00E37426">
            <w:pPr>
              <w:pStyle w:val="MainParanoChapter-Ch3"/>
              <w:numPr>
                <w:ilvl w:val="0"/>
                <w:numId w:val="0"/>
              </w:numPr>
              <w:tabs>
                <w:tab w:val="left" w:pos="8730"/>
                <w:tab w:val="left" w:pos="8820"/>
              </w:tabs>
              <w:ind w:right="630"/>
              <w:rPr>
                <w:b/>
                <w:sz w:val="20"/>
              </w:rPr>
            </w:pPr>
            <w:r w:rsidRPr="00563D71">
              <w:rPr>
                <w:b/>
                <w:sz w:val="20"/>
              </w:rPr>
              <w:t>4.</w:t>
            </w:r>
          </w:p>
        </w:tc>
        <w:tc>
          <w:tcPr>
            <w:tcW w:w="3960" w:type="pct"/>
          </w:tcPr>
          <w:p w14:paraId="7720FC75" w14:textId="03C49CEC" w:rsidR="00413A0C" w:rsidRPr="00614EA1" w:rsidRDefault="00413A0C">
            <w:pPr>
              <w:pStyle w:val="MainParanoChapter-Ch3"/>
              <w:numPr>
                <w:ilvl w:val="0"/>
                <w:numId w:val="0"/>
              </w:numPr>
              <w:tabs>
                <w:tab w:val="left" w:pos="8730"/>
                <w:tab w:val="left" w:pos="8820"/>
              </w:tabs>
              <w:rPr>
                <w:bCs/>
                <w:sz w:val="20"/>
              </w:rPr>
            </w:pPr>
            <w:r w:rsidRPr="00614EA1">
              <w:rPr>
                <w:bCs/>
                <w:sz w:val="20"/>
              </w:rPr>
              <w:t>Awareness and capacity building on environmental and social safeguards for the local government staff and other stakeholders involved in the Program</w:t>
            </w:r>
            <w:r w:rsidRPr="00614EA1">
              <w:rPr>
                <w:bCs/>
                <w:color w:val="FF0000"/>
                <w:sz w:val="20"/>
                <w:szCs w:val="20"/>
              </w:rPr>
              <w:t>.</w:t>
            </w:r>
          </w:p>
        </w:tc>
      </w:tr>
      <w:tr w:rsidR="00413A0C" w:rsidRPr="00563D71" w14:paraId="25EBE13A" w14:textId="77777777" w:rsidTr="00CF22F2">
        <w:tc>
          <w:tcPr>
            <w:tcW w:w="1040" w:type="pct"/>
          </w:tcPr>
          <w:p w14:paraId="72BFD932" w14:textId="77777777" w:rsidR="00413A0C" w:rsidRPr="00563D71" w:rsidRDefault="00413A0C" w:rsidP="00E37426">
            <w:pPr>
              <w:pStyle w:val="MainParanoChapter-Ch3"/>
              <w:numPr>
                <w:ilvl w:val="0"/>
                <w:numId w:val="0"/>
              </w:numPr>
              <w:tabs>
                <w:tab w:val="left" w:pos="8730"/>
                <w:tab w:val="left" w:pos="8820"/>
              </w:tabs>
              <w:ind w:right="630"/>
              <w:rPr>
                <w:b/>
                <w:sz w:val="20"/>
              </w:rPr>
            </w:pPr>
            <w:r w:rsidRPr="00563D71">
              <w:rPr>
                <w:b/>
                <w:sz w:val="20"/>
              </w:rPr>
              <w:t>5.</w:t>
            </w:r>
          </w:p>
        </w:tc>
        <w:tc>
          <w:tcPr>
            <w:tcW w:w="3960" w:type="pct"/>
          </w:tcPr>
          <w:p w14:paraId="44FC3C4A" w14:textId="77777777" w:rsidR="00413A0C" w:rsidRPr="00614EA1" w:rsidRDefault="00413A0C" w:rsidP="00E37426">
            <w:pPr>
              <w:pStyle w:val="MainParanoChapter-Ch3"/>
              <w:numPr>
                <w:ilvl w:val="0"/>
                <w:numId w:val="0"/>
              </w:numPr>
              <w:tabs>
                <w:tab w:val="left" w:pos="8730"/>
                <w:tab w:val="left" w:pos="8820"/>
              </w:tabs>
              <w:rPr>
                <w:bCs/>
                <w:sz w:val="20"/>
              </w:rPr>
            </w:pPr>
            <w:r w:rsidRPr="00614EA1">
              <w:rPr>
                <w:bCs/>
                <w:sz w:val="20"/>
              </w:rPr>
              <w:t xml:space="preserve">Establish or strengthen existing local institutions </w:t>
            </w:r>
            <w:r w:rsidRPr="00614EA1">
              <w:rPr>
                <w:bCs/>
                <w:sz w:val="20"/>
                <w:szCs w:val="20"/>
              </w:rPr>
              <w:t xml:space="preserve">(e.g. STOs) </w:t>
            </w:r>
            <w:r w:rsidRPr="00614EA1">
              <w:rPr>
                <w:bCs/>
                <w:sz w:val="20"/>
              </w:rPr>
              <w:t>to monitor natural and cultural assets at the tourism areas in the destination</w:t>
            </w:r>
            <w:r w:rsidRPr="00614EA1">
              <w:rPr>
                <w:bCs/>
                <w:sz w:val="20"/>
                <w:szCs w:val="20"/>
              </w:rPr>
              <w:t>.</w:t>
            </w:r>
          </w:p>
        </w:tc>
      </w:tr>
      <w:tr w:rsidR="00413A0C" w:rsidRPr="00563D71" w14:paraId="57789FD5" w14:textId="77777777" w:rsidTr="00CF22F2">
        <w:tc>
          <w:tcPr>
            <w:tcW w:w="1040" w:type="pct"/>
          </w:tcPr>
          <w:p w14:paraId="652C37DF" w14:textId="77777777" w:rsidR="00413A0C" w:rsidRPr="00563D71" w:rsidRDefault="00413A0C" w:rsidP="00E37426">
            <w:pPr>
              <w:pStyle w:val="MainParanoChapter-Ch3"/>
              <w:numPr>
                <w:ilvl w:val="0"/>
                <w:numId w:val="0"/>
              </w:numPr>
              <w:tabs>
                <w:tab w:val="left" w:pos="8730"/>
                <w:tab w:val="left" w:pos="8820"/>
              </w:tabs>
              <w:ind w:right="630"/>
              <w:rPr>
                <w:b/>
                <w:sz w:val="20"/>
              </w:rPr>
            </w:pPr>
            <w:r w:rsidRPr="00563D71">
              <w:rPr>
                <w:b/>
                <w:sz w:val="20"/>
              </w:rPr>
              <w:t>6.</w:t>
            </w:r>
          </w:p>
        </w:tc>
        <w:tc>
          <w:tcPr>
            <w:tcW w:w="3960" w:type="pct"/>
          </w:tcPr>
          <w:p w14:paraId="6C6862FD" w14:textId="65DA65C0" w:rsidR="00413A0C" w:rsidRPr="00614EA1" w:rsidRDefault="00413A0C" w:rsidP="000B0DC9">
            <w:pPr>
              <w:pStyle w:val="MainParanoChapter-Ch3"/>
              <w:numPr>
                <w:ilvl w:val="0"/>
                <w:numId w:val="0"/>
              </w:numPr>
              <w:tabs>
                <w:tab w:val="left" w:pos="8730"/>
                <w:tab w:val="left" w:pos="8820"/>
              </w:tabs>
              <w:ind w:right="-18"/>
              <w:rPr>
                <w:bCs/>
                <w:sz w:val="20"/>
              </w:rPr>
            </w:pPr>
            <w:r w:rsidRPr="00614EA1">
              <w:rPr>
                <w:bCs/>
                <w:sz w:val="20"/>
              </w:rPr>
              <w:t xml:space="preserve">Establish or strengthen </w:t>
            </w:r>
            <w:r w:rsidR="00B6338E" w:rsidRPr="00614EA1">
              <w:rPr>
                <w:bCs/>
                <w:sz w:val="20"/>
              </w:rPr>
              <w:t xml:space="preserve">community awareness raising </w:t>
            </w:r>
            <w:r w:rsidRPr="00614EA1">
              <w:rPr>
                <w:bCs/>
                <w:sz w:val="20"/>
                <w:szCs w:val="20"/>
              </w:rPr>
              <w:t xml:space="preserve">programs; surveys for community feedback. </w:t>
            </w:r>
          </w:p>
        </w:tc>
      </w:tr>
    </w:tbl>
    <w:p w14:paraId="397442C5" w14:textId="77777777" w:rsidR="002B2D3C" w:rsidRPr="00563D71" w:rsidRDefault="002B2D3C" w:rsidP="0032029F">
      <w:bookmarkStart w:id="32" w:name="_Toc468969233"/>
      <w:bookmarkStart w:id="33" w:name="_Toc481484047"/>
    </w:p>
    <w:p w14:paraId="1EE96E0E" w14:textId="77777777" w:rsidR="008A45CD" w:rsidRDefault="008A45CD">
      <w:pPr>
        <w:spacing w:before="0"/>
        <w:ind w:left="11" w:hanging="11"/>
        <w:rPr>
          <w:b/>
        </w:rPr>
      </w:pPr>
      <w:r>
        <w:br w:type="page"/>
      </w:r>
    </w:p>
    <w:p w14:paraId="28B8B2C0" w14:textId="1BCE022B" w:rsidR="00245F03" w:rsidRPr="00563D71" w:rsidRDefault="00960566" w:rsidP="003D2E29">
      <w:pPr>
        <w:pStyle w:val="Heading1"/>
        <w:spacing w:after="0"/>
        <w:ind w:left="14" w:hanging="14"/>
        <w:jc w:val="center"/>
      </w:pPr>
      <w:bookmarkStart w:id="34" w:name="_Toc485831026"/>
      <w:r w:rsidRPr="00563D71">
        <w:lastRenderedPageBreak/>
        <w:t>2</w:t>
      </w:r>
      <w:r w:rsidRPr="00563D71">
        <w:tab/>
        <w:t>SCOPE AND METHODOLOGY</w:t>
      </w:r>
      <w:bookmarkEnd w:id="32"/>
      <w:bookmarkEnd w:id="33"/>
      <w:bookmarkEnd w:id="34"/>
    </w:p>
    <w:p w14:paraId="1698998B" w14:textId="77777777" w:rsidR="00563D71" w:rsidRPr="00563D71" w:rsidRDefault="00563D71" w:rsidP="00563D71">
      <w:pPr>
        <w:pStyle w:val="MainParanoChapter-Ch3"/>
        <w:numPr>
          <w:ilvl w:val="0"/>
          <w:numId w:val="0"/>
        </w:numPr>
        <w:rPr>
          <w:bCs/>
        </w:rPr>
      </w:pPr>
    </w:p>
    <w:p w14:paraId="1CEA655B" w14:textId="1872BACE" w:rsidR="00960566" w:rsidRPr="00563D71" w:rsidRDefault="00960566" w:rsidP="0032029F">
      <w:pPr>
        <w:pStyle w:val="MainParanoChapter-Ch3"/>
        <w:rPr>
          <w:bCs/>
        </w:rPr>
      </w:pPr>
      <w:r w:rsidRPr="00563D71">
        <w:rPr>
          <w:bCs/>
        </w:rPr>
        <w:t>To prepare the ESSA, the following activities were undertaken:</w:t>
      </w:r>
    </w:p>
    <w:p w14:paraId="673F0E0D" w14:textId="6A1702ED" w:rsidR="00960566" w:rsidRPr="00563D71" w:rsidRDefault="00960566" w:rsidP="00FD3B46">
      <w:pPr>
        <w:numPr>
          <w:ilvl w:val="0"/>
          <w:numId w:val="5"/>
        </w:numPr>
        <w:spacing w:after="120"/>
        <w:ind w:left="1080" w:right="270"/>
        <w:rPr>
          <w:color w:val="auto"/>
          <w:szCs w:val="24"/>
        </w:rPr>
      </w:pPr>
      <w:r w:rsidRPr="00563D71">
        <w:rPr>
          <w:color w:val="auto"/>
          <w:szCs w:val="24"/>
        </w:rPr>
        <w:t>Review of the relevant laws, regulatory frameworks, and guidelines and identification of inconsistencies with the social and environmental elements of the PforR Policy</w:t>
      </w:r>
    </w:p>
    <w:p w14:paraId="790AF930" w14:textId="6FB2DE0A" w:rsidR="00960566" w:rsidRPr="00563D71" w:rsidRDefault="00960566" w:rsidP="00FD3B46">
      <w:pPr>
        <w:numPr>
          <w:ilvl w:val="0"/>
          <w:numId w:val="5"/>
        </w:numPr>
        <w:spacing w:after="120"/>
        <w:ind w:left="1080" w:right="270"/>
        <w:rPr>
          <w:color w:val="auto"/>
          <w:szCs w:val="24"/>
        </w:rPr>
      </w:pPr>
      <w:r w:rsidRPr="00563D71">
        <w:rPr>
          <w:color w:val="auto"/>
          <w:szCs w:val="24"/>
        </w:rPr>
        <w:t xml:space="preserve">Assessment of the potential environmental and social risks of the </w:t>
      </w:r>
      <w:r w:rsidR="002D6CA1" w:rsidRPr="00563D71">
        <w:rPr>
          <w:color w:val="auto"/>
          <w:szCs w:val="24"/>
        </w:rPr>
        <w:t>P</w:t>
      </w:r>
      <w:r w:rsidRPr="00563D71">
        <w:rPr>
          <w:color w:val="auto"/>
          <w:szCs w:val="24"/>
        </w:rPr>
        <w:t>rogram</w:t>
      </w:r>
    </w:p>
    <w:p w14:paraId="350698EE" w14:textId="3AD49544" w:rsidR="00960566" w:rsidRPr="00563D71" w:rsidRDefault="00960566" w:rsidP="00FD3B46">
      <w:pPr>
        <w:numPr>
          <w:ilvl w:val="0"/>
          <w:numId w:val="5"/>
        </w:numPr>
        <w:spacing w:after="120"/>
        <w:ind w:left="1080" w:right="270"/>
        <w:rPr>
          <w:color w:val="auto"/>
          <w:szCs w:val="24"/>
        </w:rPr>
      </w:pPr>
      <w:r w:rsidRPr="00563D71">
        <w:rPr>
          <w:color w:val="auto"/>
          <w:szCs w:val="24"/>
        </w:rPr>
        <w:t>Review and assessment of the institutional roles, responsibilities, and coordination of relevant agencies, and analysis of current capacity and performance to carry out those roles and responsibilities</w:t>
      </w:r>
    </w:p>
    <w:p w14:paraId="4701C4E5" w14:textId="6E4F1AA6" w:rsidR="00544961" w:rsidRPr="00544961" w:rsidRDefault="0001423C" w:rsidP="00544961">
      <w:pPr>
        <w:numPr>
          <w:ilvl w:val="0"/>
          <w:numId w:val="5"/>
        </w:numPr>
        <w:spacing w:after="240"/>
        <w:ind w:left="1080" w:right="274"/>
        <w:rPr>
          <w:color w:val="auto"/>
          <w:szCs w:val="24"/>
        </w:rPr>
      </w:pPr>
      <w:r w:rsidRPr="00563D71">
        <w:rPr>
          <w:color w:val="auto"/>
          <w:szCs w:val="24"/>
        </w:rPr>
        <w:t>P</w:t>
      </w:r>
      <w:r w:rsidR="00960566" w:rsidRPr="00563D71">
        <w:rPr>
          <w:color w:val="auto"/>
          <w:szCs w:val="24"/>
        </w:rPr>
        <w:t xml:space="preserve">ublic participation that included a stakeholder’s </w:t>
      </w:r>
      <w:r w:rsidRPr="00563D71">
        <w:rPr>
          <w:color w:val="auto"/>
          <w:szCs w:val="24"/>
        </w:rPr>
        <w:t xml:space="preserve">consultation </w:t>
      </w:r>
      <w:r w:rsidR="00960566" w:rsidRPr="00563D71">
        <w:rPr>
          <w:color w:val="auto"/>
          <w:szCs w:val="24"/>
        </w:rPr>
        <w:t>workshop, social inclusion, and grievance redress mechanisms.</w:t>
      </w:r>
    </w:p>
    <w:p w14:paraId="573DEF75" w14:textId="6E4F1AA6" w:rsidR="00F756C3" w:rsidRPr="00563D71" w:rsidRDefault="00960566" w:rsidP="0032029F">
      <w:pPr>
        <w:pStyle w:val="MainParanoChapter-Ch3"/>
      </w:pPr>
      <w:r w:rsidRPr="00563D71">
        <w:rPr>
          <w:bCs/>
        </w:rPr>
        <w:t>The process included: (i) analysis</w:t>
      </w:r>
      <w:r w:rsidRPr="00563D71">
        <w:t xml:space="preserve"> of the national system for environmental and social management for planning and implementing programs in the sector for consistency with the standards outlined in the </w:t>
      </w:r>
      <w:r w:rsidR="0001423C" w:rsidRPr="00563D71">
        <w:t xml:space="preserve">Bank’s </w:t>
      </w:r>
      <w:r w:rsidRPr="00563D71">
        <w:t>PforR Policy and PforR Directive</w:t>
      </w:r>
      <w:r w:rsidR="0001423C" w:rsidRPr="00563D71">
        <w:t>,</w:t>
      </w:r>
      <w:r w:rsidRPr="00563D71">
        <w:t xml:space="preserve"> and </w:t>
      </w:r>
      <w:r w:rsidR="0001423C" w:rsidRPr="00563D71">
        <w:t>identification of</w:t>
      </w:r>
      <w:r w:rsidRPr="00563D71">
        <w:t xml:space="preserve"> gaps; (ii) determining where there were procedural and policy gaps as well as performance constraints in carrying out environmental and social management processes; and (iii) developing a set of viable actions to strengthen the system and improve performance.  The ESSA team worked closely with </w:t>
      </w:r>
      <w:r w:rsidR="00D4448C" w:rsidRPr="00563D71">
        <w:t>the Ministry of Public Works (</w:t>
      </w:r>
      <w:r w:rsidR="009F31FD" w:rsidRPr="00563D71">
        <w:t>MPWH</w:t>
      </w:r>
      <w:r w:rsidR="00D4448C" w:rsidRPr="00563D71">
        <w:t>)</w:t>
      </w:r>
      <w:r w:rsidR="009F31FD" w:rsidRPr="00563D71">
        <w:t xml:space="preserve"> and </w:t>
      </w:r>
      <w:r w:rsidR="00D4448C" w:rsidRPr="00563D71">
        <w:t>Ministry of Tourism</w:t>
      </w:r>
      <w:r w:rsidR="009F31FD" w:rsidRPr="00563D71">
        <w:t xml:space="preserve"> </w:t>
      </w:r>
      <w:r w:rsidRPr="00563D71">
        <w:t xml:space="preserve">to develop the ESSA, and prepare the </w:t>
      </w:r>
      <w:r w:rsidR="00D71112" w:rsidRPr="00563D71">
        <w:t xml:space="preserve">Program </w:t>
      </w:r>
      <w:r w:rsidRPr="00563D71">
        <w:t>Action Plan as a guide to identify and mitigate impacts and strengthen the environmental and social management system</w:t>
      </w:r>
      <w:r w:rsidR="00F756C3" w:rsidRPr="00563D71">
        <w:rPr>
          <w:b/>
        </w:rPr>
        <w:t>.</w:t>
      </w:r>
    </w:p>
    <w:p w14:paraId="22AF26B7" w14:textId="77777777" w:rsidR="00F756C3" w:rsidRPr="00563D71" w:rsidRDefault="00F756C3" w:rsidP="0032029F">
      <w:pPr>
        <w:pStyle w:val="MainParanoChapter-Ch3"/>
        <w:numPr>
          <w:ilvl w:val="0"/>
          <w:numId w:val="0"/>
        </w:numPr>
      </w:pPr>
    </w:p>
    <w:p w14:paraId="6154620F" w14:textId="77777777" w:rsidR="00960566" w:rsidRPr="00563D71" w:rsidRDefault="00960566" w:rsidP="0032029F">
      <w:pPr>
        <w:pStyle w:val="MainParanoChapter-Ch3"/>
        <w:rPr>
          <w:bCs/>
        </w:rPr>
      </w:pPr>
      <w:r w:rsidRPr="00563D71">
        <w:rPr>
          <w:bCs/>
        </w:rPr>
        <w:t xml:space="preserve">The ESSA has drawn on various inputs, including: </w:t>
      </w:r>
    </w:p>
    <w:p w14:paraId="7D42D6F3" w14:textId="77777777" w:rsidR="00960566" w:rsidRPr="00563D71" w:rsidRDefault="00960566" w:rsidP="00FD3B46">
      <w:pPr>
        <w:numPr>
          <w:ilvl w:val="0"/>
          <w:numId w:val="6"/>
        </w:numPr>
        <w:spacing w:after="120"/>
        <w:ind w:left="1080" w:right="270"/>
        <w:rPr>
          <w:color w:val="auto"/>
          <w:szCs w:val="24"/>
        </w:rPr>
      </w:pPr>
      <w:r w:rsidRPr="00563D71">
        <w:rPr>
          <w:color w:val="auto"/>
          <w:szCs w:val="24"/>
        </w:rPr>
        <w:t xml:space="preserve">legal and regulatory analysis; </w:t>
      </w:r>
    </w:p>
    <w:p w14:paraId="44756C4E" w14:textId="45F19546" w:rsidR="00960566" w:rsidRPr="00563D71" w:rsidRDefault="00960566" w:rsidP="00FD3B46">
      <w:pPr>
        <w:numPr>
          <w:ilvl w:val="0"/>
          <w:numId w:val="6"/>
        </w:numPr>
        <w:spacing w:after="120"/>
        <w:ind w:left="1080" w:right="270"/>
        <w:rPr>
          <w:color w:val="auto"/>
          <w:szCs w:val="24"/>
        </w:rPr>
      </w:pPr>
      <w:r w:rsidRPr="00563D71">
        <w:rPr>
          <w:color w:val="auto"/>
          <w:szCs w:val="24"/>
        </w:rPr>
        <w:t xml:space="preserve">field visits to </w:t>
      </w:r>
      <w:r w:rsidR="00E66ED8" w:rsidRPr="00563D71">
        <w:rPr>
          <w:color w:val="auto"/>
          <w:szCs w:val="24"/>
        </w:rPr>
        <w:t xml:space="preserve">five </w:t>
      </w:r>
      <w:r w:rsidRPr="00563D71">
        <w:rPr>
          <w:color w:val="auto"/>
          <w:szCs w:val="24"/>
        </w:rPr>
        <w:t xml:space="preserve">tourism destinations proposed for </w:t>
      </w:r>
      <w:r w:rsidR="00E66ED8" w:rsidRPr="00563D71">
        <w:rPr>
          <w:color w:val="auto"/>
          <w:szCs w:val="24"/>
        </w:rPr>
        <w:t xml:space="preserve">possible </w:t>
      </w:r>
      <w:r w:rsidRPr="00563D71">
        <w:rPr>
          <w:color w:val="auto"/>
          <w:szCs w:val="24"/>
        </w:rPr>
        <w:t xml:space="preserve">support under the Program, </w:t>
      </w:r>
      <w:r w:rsidR="00E66ED8" w:rsidRPr="00563D71">
        <w:rPr>
          <w:color w:val="auto"/>
          <w:szCs w:val="24"/>
        </w:rPr>
        <w:t>including the three identified as first priority, a</w:t>
      </w:r>
      <w:r w:rsidRPr="00563D71">
        <w:rPr>
          <w:color w:val="auto"/>
          <w:szCs w:val="24"/>
        </w:rPr>
        <w:t xml:space="preserve">nd discussions with </w:t>
      </w:r>
      <w:r w:rsidR="00D71112" w:rsidRPr="00563D71">
        <w:rPr>
          <w:color w:val="auto"/>
          <w:szCs w:val="24"/>
        </w:rPr>
        <w:t xml:space="preserve">residents and businesses in </w:t>
      </w:r>
      <w:r w:rsidRPr="00563D71">
        <w:rPr>
          <w:color w:val="auto"/>
          <w:szCs w:val="24"/>
        </w:rPr>
        <w:t>communities</w:t>
      </w:r>
      <w:r w:rsidR="00C122F0" w:rsidRPr="00563D71">
        <w:rPr>
          <w:color w:val="auto"/>
          <w:szCs w:val="24"/>
        </w:rPr>
        <w:t xml:space="preserve"> at each location</w:t>
      </w:r>
      <w:r w:rsidRPr="00563D71">
        <w:rPr>
          <w:color w:val="auto"/>
          <w:szCs w:val="24"/>
        </w:rPr>
        <w:t xml:space="preserve">; </w:t>
      </w:r>
    </w:p>
    <w:p w14:paraId="67C8BB88" w14:textId="29D86214" w:rsidR="00960566" w:rsidRPr="00563D71" w:rsidRDefault="00C122F0" w:rsidP="00FD3B46">
      <w:pPr>
        <w:numPr>
          <w:ilvl w:val="0"/>
          <w:numId w:val="6"/>
        </w:numPr>
        <w:spacing w:after="120"/>
        <w:ind w:left="1080" w:right="270"/>
        <w:rPr>
          <w:color w:val="auto"/>
          <w:szCs w:val="24"/>
        </w:rPr>
      </w:pPr>
      <w:r w:rsidRPr="00563D71">
        <w:rPr>
          <w:color w:val="auto"/>
          <w:szCs w:val="24"/>
        </w:rPr>
        <w:t xml:space="preserve">meetings </w:t>
      </w:r>
      <w:r w:rsidR="00960566" w:rsidRPr="00563D71">
        <w:rPr>
          <w:color w:val="auto"/>
          <w:szCs w:val="24"/>
        </w:rPr>
        <w:t xml:space="preserve">with government agencies, </w:t>
      </w:r>
      <w:r w:rsidR="00E22A2B" w:rsidRPr="00563D71">
        <w:rPr>
          <w:color w:val="auto"/>
          <w:szCs w:val="24"/>
        </w:rPr>
        <w:t>development p</w:t>
      </w:r>
      <w:r w:rsidR="00960566" w:rsidRPr="00563D71">
        <w:rPr>
          <w:color w:val="auto"/>
          <w:szCs w:val="24"/>
        </w:rPr>
        <w:t xml:space="preserve">artners, NGOs, </w:t>
      </w:r>
      <w:r w:rsidR="00D71112" w:rsidRPr="00563D71">
        <w:rPr>
          <w:color w:val="auto"/>
          <w:szCs w:val="24"/>
        </w:rPr>
        <w:t>businesses</w:t>
      </w:r>
      <w:r w:rsidR="00E22A2B" w:rsidRPr="00563D71">
        <w:rPr>
          <w:color w:val="auto"/>
          <w:szCs w:val="24"/>
        </w:rPr>
        <w:t xml:space="preserve">, </w:t>
      </w:r>
      <w:r w:rsidR="00D71112" w:rsidRPr="00563D71">
        <w:rPr>
          <w:color w:val="auto"/>
          <w:szCs w:val="24"/>
        </w:rPr>
        <w:t>tourist industry representatives</w:t>
      </w:r>
      <w:r w:rsidR="00960566" w:rsidRPr="00563D71">
        <w:rPr>
          <w:color w:val="auto"/>
          <w:szCs w:val="24"/>
        </w:rPr>
        <w:t>, and other stakeholders</w:t>
      </w:r>
      <w:r w:rsidRPr="00563D71">
        <w:rPr>
          <w:color w:val="auto"/>
          <w:szCs w:val="24"/>
        </w:rPr>
        <w:t>;</w:t>
      </w:r>
      <w:r w:rsidR="00960566" w:rsidRPr="00563D71">
        <w:rPr>
          <w:color w:val="auto"/>
          <w:szCs w:val="24"/>
        </w:rPr>
        <w:t xml:space="preserve"> </w:t>
      </w:r>
    </w:p>
    <w:p w14:paraId="4511ED1D" w14:textId="77777777" w:rsidR="003D5F68" w:rsidRPr="00563D71" w:rsidRDefault="00C122F0" w:rsidP="00FD3B46">
      <w:pPr>
        <w:numPr>
          <w:ilvl w:val="0"/>
          <w:numId w:val="6"/>
        </w:numPr>
        <w:spacing w:after="120"/>
        <w:ind w:left="1080" w:right="270"/>
        <w:rPr>
          <w:color w:val="auto"/>
          <w:szCs w:val="24"/>
        </w:rPr>
      </w:pPr>
      <w:r w:rsidRPr="00563D71">
        <w:rPr>
          <w:color w:val="auto"/>
          <w:szCs w:val="24"/>
        </w:rPr>
        <w:t xml:space="preserve">assessments of performance </w:t>
      </w:r>
      <w:r w:rsidR="005378FC" w:rsidRPr="00563D71">
        <w:rPr>
          <w:color w:val="auto"/>
          <w:szCs w:val="24"/>
        </w:rPr>
        <w:t>and carrying capacity of the government agencies in previous or current World Bank projects in Indonesia</w:t>
      </w:r>
      <w:r w:rsidRPr="00563D71">
        <w:rPr>
          <w:color w:val="auto"/>
          <w:szCs w:val="24"/>
        </w:rPr>
        <w:t xml:space="preserve">; </w:t>
      </w:r>
    </w:p>
    <w:p w14:paraId="280102A2" w14:textId="3FFA1EA9" w:rsidR="005378FC" w:rsidRPr="00563D71" w:rsidRDefault="003D5F68" w:rsidP="00FD3B46">
      <w:pPr>
        <w:numPr>
          <w:ilvl w:val="0"/>
          <w:numId w:val="6"/>
        </w:numPr>
        <w:spacing w:after="120"/>
        <w:ind w:left="1080" w:right="270"/>
        <w:rPr>
          <w:color w:val="auto"/>
          <w:szCs w:val="24"/>
        </w:rPr>
      </w:pPr>
      <w:r w:rsidRPr="00563D71">
        <w:rPr>
          <w:color w:val="auto"/>
          <w:szCs w:val="24"/>
        </w:rPr>
        <w:t xml:space="preserve">the Demand Assessment for the three priority destinations; </w:t>
      </w:r>
      <w:r w:rsidR="00C122F0" w:rsidRPr="00563D71">
        <w:rPr>
          <w:color w:val="auto"/>
          <w:szCs w:val="24"/>
        </w:rPr>
        <w:t>and</w:t>
      </w:r>
      <w:r w:rsidR="005378FC" w:rsidRPr="00563D71">
        <w:rPr>
          <w:color w:val="auto"/>
          <w:szCs w:val="24"/>
        </w:rPr>
        <w:t xml:space="preserve"> </w:t>
      </w:r>
    </w:p>
    <w:p w14:paraId="20510C29" w14:textId="632027EB" w:rsidR="00A84C7D" w:rsidRPr="00563D71" w:rsidRDefault="0001423C" w:rsidP="00544961">
      <w:pPr>
        <w:numPr>
          <w:ilvl w:val="0"/>
          <w:numId w:val="6"/>
        </w:numPr>
        <w:spacing w:after="240"/>
        <w:ind w:left="1080" w:right="274"/>
        <w:rPr>
          <w:color w:val="auto"/>
          <w:szCs w:val="24"/>
        </w:rPr>
      </w:pPr>
      <w:r w:rsidRPr="00563D71">
        <w:rPr>
          <w:color w:val="auto"/>
          <w:szCs w:val="24"/>
        </w:rPr>
        <w:t xml:space="preserve">Stakeholders’ consultations on the draft ESSA [to be conducted in </w:t>
      </w:r>
      <w:r w:rsidR="005D4590">
        <w:rPr>
          <w:color w:val="auto"/>
          <w:szCs w:val="24"/>
        </w:rPr>
        <w:t>July</w:t>
      </w:r>
      <w:r w:rsidR="00D02013" w:rsidRPr="00563D71">
        <w:rPr>
          <w:color w:val="auto"/>
          <w:szCs w:val="24"/>
        </w:rPr>
        <w:t xml:space="preserve"> </w:t>
      </w:r>
      <w:r w:rsidRPr="00563D71">
        <w:rPr>
          <w:color w:val="auto"/>
          <w:szCs w:val="24"/>
        </w:rPr>
        <w:t>2017].</w:t>
      </w:r>
    </w:p>
    <w:p w14:paraId="165C760C" w14:textId="25812B58" w:rsidR="00475FCB" w:rsidRPr="008A45CD" w:rsidRDefault="00960566" w:rsidP="008A45CD">
      <w:pPr>
        <w:pStyle w:val="MainParanoChapter-Ch3"/>
        <w:rPr>
          <w:bCs/>
        </w:rPr>
      </w:pPr>
      <w:r w:rsidRPr="00563D71">
        <w:rPr>
          <w:bCs/>
        </w:rPr>
        <w:t>The system gaps with respect to the PforR Policy are considered on three levels: (i) the system as written in laws, regulation</w:t>
      </w:r>
      <w:r w:rsidR="0011625D" w:rsidRPr="00563D71">
        <w:rPr>
          <w:bCs/>
        </w:rPr>
        <w:t>s</w:t>
      </w:r>
      <w:r w:rsidRPr="00563D71">
        <w:rPr>
          <w:bCs/>
        </w:rPr>
        <w:t xml:space="preserve">, </w:t>
      </w:r>
      <w:r w:rsidR="0011625D" w:rsidRPr="00563D71">
        <w:rPr>
          <w:bCs/>
        </w:rPr>
        <w:t xml:space="preserve">and </w:t>
      </w:r>
      <w:r w:rsidRPr="00563D71">
        <w:rPr>
          <w:bCs/>
        </w:rPr>
        <w:t xml:space="preserve">procedures; (ii) the system as applied in practice; and (iii) the capacity of Program institutions to effectively implement the system. The analysis focuses on the strengths, gaps, potential actions, and risks associated with the systems currently in use in the </w:t>
      </w:r>
      <w:r w:rsidR="00B915E0" w:rsidRPr="00563D71">
        <w:rPr>
          <w:bCs/>
        </w:rPr>
        <w:t>t</w:t>
      </w:r>
      <w:r w:rsidRPr="00563D71">
        <w:rPr>
          <w:bCs/>
        </w:rPr>
        <w:t xml:space="preserve">ourism sector to address the environmental and social effects commensurate with the nature, </w:t>
      </w:r>
      <w:r w:rsidRPr="00563D71">
        <w:rPr>
          <w:bCs/>
        </w:rPr>
        <w:lastRenderedPageBreak/>
        <w:t xml:space="preserve">scale and scope of operations. This is structured to examine arrangements for managing the environmental and social effects (i.e., benefits, impacts and risks) of the Program. </w:t>
      </w:r>
    </w:p>
    <w:p w14:paraId="5B32AA87" w14:textId="77777777" w:rsidR="00544961" w:rsidRDefault="00544961">
      <w:pPr>
        <w:spacing w:before="0"/>
        <w:ind w:left="11" w:hanging="11"/>
        <w:rPr>
          <w:b/>
        </w:rPr>
      </w:pPr>
      <w:bookmarkStart w:id="35" w:name="_Toc468969234"/>
      <w:bookmarkStart w:id="36" w:name="_Toc481484048"/>
      <w:bookmarkStart w:id="37" w:name="_Toc485831027"/>
      <w:r>
        <w:br w:type="page"/>
      </w:r>
    </w:p>
    <w:p w14:paraId="50AE3642" w14:textId="4E84E42E" w:rsidR="00245F03" w:rsidRPr="00563D71" w:rsidRDefault="00960566" w:rsidP="008A45CD">
      <w:pPr>
        <w:pStyle w:val="Heading1"/>
        <w:spacing w:after="0"/>
        <w:ind w:left="0" w:firstLine="0"/>
        <w:jc w:val="center"/>
        <w:rPr>
          <w:b w:val="0"/>
        </w:rPr>
      </w:pPr>
      <w:r w:rsidRPr="00563D71">
        <w:lastRenderedPageBreak/>
        <w:t>3</w:t>
      </w:r>
      <w:r w:rsidRPr="00563D71">
        <w:rPr>
          <w:rFonts w:ascii="Arial" w:eastAsia="Arial" w:hAnsi="Arial" w:cs="Arial"/>
          <w:b w:val="0"/>
        </w:rPr>
        <w:tab/>
      </w:r>
      <w:r w:rsidRPr="00563D71">
        <w:rPr>
          <w:rStyle w:val="Heading1Char"/>
          <w:b/>
        </w:rPr>
        <w:t>PROGRAM CONTEXT AND POTENTIAL ENVIRONMENTAL AND SOCIAL EFFECTS</w:t>
      </w:r>
      <w:bookmarkEnd w:id="35"/>
      <w:bookmarkEnd w:id="36"/>
      <w:bookmarkEnd w:id="37"/>
    </w:p>
    <w:p w14:paraId="466458E5" w14:textId="7EF37333" w:rsidR="00245F03" w:rsidRPr="00563D71" w:rsidRDefault="00D04B10" w:rsidP="00FB7E1E">
      <w:pPr>
        <w:pStyle w:val="Heading2"/>
        <w:numPr>
          <w:ilvl w:val="1"/>
          <w:numId w:val="65"/>
        </w:numPr>
        <w:tabs>
          <w:tab w:val="left" w:pos="540"/>
          <w:tab w:val="center" w:pos="1743"/>
        </w:tabs>
        <w:spacing w:before="240" w:after="0"/>
      </w:pPr>
      <w:bookmarkStart w:id="38" w:name="_Toc468969235"/>
      <w:bookmarkStart w:id="39" w:name="_Toc481484049"/>
      <w:bookmarkStart w:id="40" w:name="_Toc485831028"/>
      <w:r w:rsidRPr="00563D71">
        <w:t xml:space="preserve">Environmental </w:t>
      </w:r>
      <w:r w:rsidR="006B44FB" w:rsidRPr="00563D71">
        <w:t xml:space="preserve">and Social </w:t>
      </w:r>
      <w:r w:rsidRPr="00563D71">
        <w:t>Context</w:t>
      </w:r>
      <w:bookmarkEnd w:id="38"/>
      <w:bookmarkEnd w:id="39"/>
      <w:bookmarkEnd w:id="40"/>
      <w:r w:rsidRPr="00563D71">
        <w:t xml:space="preserve"> </w:t>
      </w:r>
    </w:p>
    <w:p w14:paraId="6B014ED0" w14:textId="0D9F35B7" w:rsidR="001972CE" w:rsidRPr="00563D71" w:rsidRDefault="001972CE" w:rsidP="0032029F">
      <w:pPr>
        <w:pStyle w:val="MainParanoChapter-Ch3"/>
      </w:pPr>
      <w:r w:rsidRPr="00563D71">
        <w:t>Program location and physical characteristic of the</w:t>
      </w:r>
      <w:r w:rsidR="00C06C6B" w:rsidRPr="00563D71">
        <w:t xml:space="preserve"> Program</w:t>
      </w:r>
      <w:r w:rsidRPr="00563D71">
        <w:t xml:space="preserve"> area include the description of natural habitats and populations. </w:t>
      </w:r>
      <w:r w:rsidRPr="00563D71">
        <w:rPr>
          <w:bCs/>
        </w:rPr>
        <w:t>The Government’s program covers</w:t>
      </w:r>
      <w:r w:rsidR="00B6338E" w:rsidRPr="00563D71">
        <w:rPr>
          <w:bCs/>
        </w:rPr>
        <w:t xml:space="preserve"> priority</w:t>
      </w:r>
      <w:r w:rsidRPr="00563D71">
        <w:rPr>
          <w:bCs/>
        </w:rPr>
        <w:t xml:space="preserve"> destinations listed below. The PforR Program will focus on the first three in the list</w:t>
      </w:r>
      <w:r w:rsidR="00307B98" w:rsidRPr="00563D71">
        <w:rPr>
          <w:bCs/>
        </w:rPr>
        <w:t>, especially in terms of Results Area 1</w:t>
      </w:r>
      <w:r w:rsidR="003D5F68" w:rsidRPr="00563D71">
        <w:rPr>
          <w:bCs/>
        </w:rPr>
        <w:t xml:space="preserve"> and will focus on specific key tourism areas within these destinations</w:t>
      </w:r>
      <w:r w:rsidRPr="00563D71">
        <w:rPr>
          <w:bCs/>
        </w:rPr>
        <w:t xml:space="preserve">. </w:t>
      </w:r>
      <w:r w:rsidR="00307B98" w:rsidRPr="00563D71">
        <w:rPr>
          <w:bCs/>
        </w:rPr>
        <w:t xml:space="preserve">For the other Results Areas, the Program location is less </w:t>
      </w:r>
      <w:r w:rsidR="00200506" w:rsidRPr="00563D71">
        <w:rPr>
          <w:bCs/>
        </w:rPr>
        <w:t xml:space="preserve">specifically </w:t>
      </w:r>
      <w:r w:rsidR="00307B98" w:rsidRPr="00563D71">
        <w:rPr>
          <w:bCs/>
        </w:rPr>
        <w:t xml:space="preserve">defined. </w:t>
      </w:r>
      <w:r w:rsidR="009E0B7B" w:rsidRPr="00563D71">
        <w:rPr>
          <w:bCs/>
        </w:rPr>
        <w:t xml:space="preserve">For instance, the </w:t>
      </w:r>
      <w:r w:rsidR="00200506" w:rsidRPr="00563D71">
        <w:rPr>
          <w:bCs/>
        </w:rPr>
        <w:t xml:space="preserve">proposed </w:t>
      </w:r>
      <w:r w:rsidR="009E0B7B" w:rsidRPr="00563D71">
        <w:rPr>
          <w:bCs/>
        </w:rPr>
        <w:t>Program could support TVET training in Medan (to benefi</w:t>
      </w:r>
      <w:r w:rsidR="00200506" w:rsidRPr="00563D71">
        <w:rPr>
          <w:bCs/>
        </w:rPr>
        <w:t>t Lake Toba tourism destination</w:t>
      </w:r>
      <w:r w:rsidR="00451B27" w:rsidRPr="00563D71">
        <w:rPr>
          <w:bCs/>
        </w:rPr>
        <w:t xml:space="preserve"> specifically</w:t>
      </w:r>
      <w:r w:rsidR="00200506" w:rsidRPr="00563D71">
        <w:rPr>
          <w:bCs/>
        </w:rPr>
        <w:t>,</w:t>
      </w:r>
      <w:r w:rsidR="00451B27" w:rsidRPr="00563D71">
        <w:rPr>
          <w:bCs/>
        </w:rPr>
        <w:t xml:space="preserve"> but also the tourism sector in general</w:t>
      </w:r>
      <w:r w:rsidR="009E0B7B" w:rsidRPr="00563D71">
        <w:rPr>
          <w:bCs/>
        </w:rPr>
        <w:t xml:space="preserve">) and enhanced capabilities for investment promotion will benefit all tourism destinations. </w:t>
      </w:r>
      <w:r w:rsidRPr="00563D71">
        <w:rPr>
          <w:bCs/>
        </w:rPr>
        <w:t xml:space="preserve">Table </w:t>
      </w:r>
      <w:r w:rsidR="00704623" w:rsidRPr="00563D71">
        <w:rPr>
          <w:bCs/>
        </w:rPr>
        <w:t>7</w:t>
      </w:r>
      <w:r w:rsidRPr="00563D71">
        <w:rPr>
          <w:bCs/>
        </w:rPr>
        <w:t xml:space="preserve"> describes those three destinations in more detail, including the areas included in the Program and their environmental, social, and cultural characteristics. </w:t>
      </w:r>
    </w:p>
    <w:p w14:paraId="2C3966B8" w14:textId="77777777" w:rsidR="001972CE" w:rsidRPr="00563D71" w:rsidRDefault="001972CE" w:rsidP="00563D71">
      <w:pPr>
        <w:pStyle w:val="NumberList1"/>
        <w:numPr>
          <w:ilvl w:val="0"/>
          <w:numId w:val="64"/>
        </w:numPr>
        <w:spacing w:before="120" w:line="240" w:lineRule="auto"/>
        <w:rPr>
          <w:rFonts w:ascii="Times New Roman" w:hAnsi="Times New Roman" w:cs="Times New Roman"/>
          <w:b/>
          <w:sz w:val="24"/>
          <w:szCs w:val="24"/>
        </w:rPr>
      </w:pPr>
      <w:r w:rsidRPr="00563D71">
        <w:rPr>
          <w:rFonts w:ascii="Times New Roman" w:hAnsi="Times New Roman" w:cs="Times New Roman"/>
          <w:b/>
          <w:i/>
          <w:sz w:val="24"/>
          <w:szCs w:val="24"/>
        </w:rPr>
        <w:t>Lake Toba</w:t>
      </w:r>
    </w:p>
    <w:p w14:paraId="31265CB6" w14:textId="77777777" w:rsidR="001972CE" w:rsidRPr="00563D71" w:rsidRDefault="001972CE" w:rsidP="0032029F">
      <w:pPr>
        <w:pStyle w:val="NumberList1"/>
        <w:numPr>
          <w:ilvl w:val="0"/>
          <w:numId w:val="64"/>
        </w:numPr>
        <w:spacing w:line="240" w:lineRule="auto"/>
        <w:rPr>
          <w:rFonts w:ascii="Times New Roman" w:hAnsi="Times New Roman" w:cs="Times New Roman"/>
          <w:b/>
          <w:sz w:val="24"/>
          <w:szCs w:val="24"/>
        </w:rPr>
      </w:pPr>
      <w:r w:rsidRPr="00563D71">
        <w:rPr>
          <w:rFonts w:ascii="Times New Roman" w:hAnsi="Times New Roman" w:cs="Times New Roman"/>
          <w:b/>
          <w:i/>
          <w:sz w:val="24"/>
          <w:szCs w:val="24"/>
        </w:rPr>
        <w:t>Lombok</w:t>
      </w:r>
    </w:p>
    <w:p w14:paraId="27BF90FA" w14:textId="1CA841B8" w:rsidR="001972CE" w:rsidRPr="00563D71" w:rsidRDefault="001972CE" w:rsidP="0032029F">
      <w:pPr>
        <w:pStyle w:val="NumberList1"/>
        <w:numPr>
          <w:ilvl w:val="0"/>
          <w:numId w:val="64"/>
        </w:numPr>
        <w:spacing w:line="240" w:lineRule="auto"/>
        <w:rPr>
          <w:rFonts w:ascii="Times New Roman" w:hAnsi="Times New Roman" w:cs="Times New Roman"/>
          <w:b/>
          <w:sz w:val="24"/>
          <w:szCs w:val="24"/>
        </w:rPr>
      </w:pPr>
      <w:r w:rsidRPr="00563D71">
        <w:rPr>
          <w:rFonts w:ascii="Times New Roman" w:hAnsi="Times New Roman" w:cs="Times New Roman"/>
          <w:b/>
          <w:i/>
          <w:sz w:val="24"/>
          <w:szCs w:val="24"/>
        </w:rPr>
        <w:t>Borobodur/</w:t>
      </w:r>
      <w:r w:rsidR="00CA5BB5" w:rsidRPr="00563D71">
        <w:rPr>
          <w:rFonts w:ascii="Times New Roman" w:hAnsi="Times New Roman" w:cs="Times New Roman"/>
          <w:b/>
          <w:i/>
          <w:sz w:val="24"/>
          <w:szCs w:val="24"/>
        </w:rPr>
        <w:t>Yogyakarta</w:t>
      </w:r>
      <w:r w:rsidRPr="00563D71">
        <w:rPr>
          <w:rFonts w:ascii="Times New Roman" w:hAnsi="Times New Roman" w:cs="Times New Roman"/>
          <w:b/>
          <w:i/>
          <w:sz w:val="24"/>
          <w:szCs w:val="24"/>
        </w:rPr>
        <w:t xml:space="preserve">/Prambanan </w:t>
      </w:r>
    </w:p>
    <w:p w14:paraId="7B299F02"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Tanjung Kelayang</w:t>
      </w:r>
      <w:r w:rsidRPr="00563D71">
        <w:rPr>
          <w:rFonts w:ascii="Times New Roman" w:hAnsi="Times New Roman" w:cs="Times New Roman"/>
          <w:sz w:val="24"/>
          <w:szCs w:val="24"/>
        </w:rPr>
        <w:t xml:space="preserve"> </w:t>
      </w:r>
    </w:p>
    <w:p w14:paraId="06C607EA"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Tanjung Lesung</w:t>
      </w:r>
      <w:r w:rsidRPr="00563D71">
        <w:rPr>
          <w:rFonts w:ascii="Times New Roman" w:hAnsi="Times New Roman" w:cs="Times New Roman"/>
          <w:sz w:val="24"/>
          <w:szCs w:val="24"/>
        </w:rPr>
        <w:t xml:space="preserve">  </w:t>
      </w:r>
    </w:p>
    <w:p w14:paraId="762A5CF8"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Mount Bromo</w:t>
      </w:r>
      <w:r w:rsidRPr="00563D71">
        <w:rPr>
          <w:rFonts w:ascii="Times New Roman" w:hAnsi="Times New Roman" w:cs="Times New Roman"/>
          <w:sz w:val="24"/>
          <w:szCs w:val="24"/>
        </w:rPr>
        <w:t xml:space="preserve">  </w:t>
      </w:r>
    </w:p>
    <w:p w14:paraId="523D8270"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Labuan Bajo</w:t>
      </w:r>
    </w:p>
    <w:p w14:paraId="1CC1F5B4"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Wakatobi National Park</w:t>
      </w:r>
    </w:p>
    <w:p w14:paraId="57FBCD43"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Pulau Seribu</w:t>
      </w:r>
    </w:p>
    <w:p w14:paraId="71FE5921" w14:textId="77777777" w:rsidR="001972CE" w:rsidRPr="00563D71" w:rsidRDefault="001972CE" w:rsidP="0032029F">
      <w:pPr>
        <w:pStyle w:val="NumberList1"/>
        <w:numPr>
          <w:ilvl w:val="0"/>
          <w:numId w:val="64"/>
        </w:numPr>
        <w:spacing w:line="240" w:lineRule="auto"/>
        <w:rPr>
          <w:rFonts w:ascii="Times New Roman" w:hAnsi="Times New Roman" w:cs="Times New Roman"/>
          <w:sz w:val="24"/>
          <w:szCs w:val="24"/>
        </w:rPr>
      </w:pPr>
      <w:r w:rsidRPr="00563D71">
        <w:rPr>
          <w:rFonts w:ascii="Times New Roman" w:hAnsi="Times New Roman" w:cs="Times New Roman"/>
          <w:i/>
          <w:sz w:val="24"/>
          <w:szCs w:val="24"/>
        </w:rPr>
        <w:t>Morotai</w:t>
      </w:r>
    </w:p>
    <w:p w14:paraId="54E54806" w14:textId="659B3B10" w:rsidR="00E25AE9" w:rsidRPr="00563D71" w:rsidRDefault="00E25AE9">
      <w:pPr>
        <w:spacing w:before="0"/>
        <w:ind w:left="11" w:hanging="11"/>
        <w:rPr>
          <w:b/>
          <w:sz w:val="20"/>
          <w:szCs w:val="20"/>
        </w:rPr>
      </w:pPr>
    </w:p>
    <w:p w14:paraId="45AE465E" w14:textId="73875E06" w:rsidR="001972CE" w:rsidRPr="00563D71" w:rsidRDefault="001972CE" w:rsidP="003D2E29">
      <w:pPr>
        <w:pStyle w:val="NoSpacing"/>
        <w:ind w:left="0"/>
        <w:jc w:val="center"/>
      </w:pPr>
      <w:bookmarkStart w:id="41" w:name="_Toc485824768"/>
      <w:r w:rsidRPr="00563D71">
        <w:t xml:space="preserve">Table </w:t>
      </w:r>
      <w:r w:rsidR="00704623" w:rsidRPr="00563D71">
        <w:t>7</w:t>
      </w:r>
      <w:r w:rsidR="006F6E87" w:rsidRPr="00563D71">
        <w:t>.</w:t>
      </w:r>
      <w:r w:rsidRPr="00563D71">
        <w:t xml:space="preserve"> Program location and physical </w:t>
      </w:r>
      <w:r w:rsidR="006F6E87" w:rsidRPr="00563D71">
        <w:t xml:space="preserve">and demographic </w:t>
      </w:r>
      <w:r w:rsidRPr="00563D71">
        <w:t>characteristic</w:t>
      </w:r>
      <w:r w:rsidR="006F6E87" w:rsidRPr="00563D71">
        <w:t>s</w:t>
      </w:r>
      <w:r w:rsidRPr="00563D71">
        <w:t xml:space="preserve"> of the </w:t>
      </w:r>
      <w:r w:rsidR="00C06C6B" w:rsidRPr="00563D71">
        <w:t xml:space="preserve">Program </w:t>
      </w:r>
      <w:r w:rsidRPr="00563D71">
        <w:t>area include the description of natural habitats and populations.</w:t>
      </w:r>
      <w:bookmarkEnd w:id="41"/>
    </w:p>
    <w:p w14:paraId="4F26E84F" w14:textId="77777777" w:rsidR="00C4370B" w:rsidRPr="00563D71" w:rsidRDefault="00C4370B" w:rsidP="003D2E29">
      <w:pPr>
        <w:pStyle w:val="NoSpacing"/>
        <w:ind w:left="0"/>
        <w:jc w:val="center"/>
      </w:pPr>
    </w:p>
    <w:tbl>
      <w:tblPr>
        <w:tblStyle w:val="TableGrid0"/>
        <w:tblW w:w="5000" w:type="pct"/>
        <w:tblLook w:val="04A0" w:firstRow="1" w:lastRow="0" w:firstColumn="1" w:lastColumn="0" w:noHBand="0" w:noVBand="1"/>
      </w:tblPr>
      <w:tblGrid>
        <w:gridCol w:w="2104"/>
        <w:gridCol w:w="2457"/>
        <w:gridCol w:w="2474"/>
        <w:gridCol w:w="2315"/>
      </w:tblGrid>
      <w:tr w:rsidR="001972CE" w:rsidRPr="00563D71" w14:paraId="13E4F966" w14:textId="77777777" w:rsidTr="00F8628D">
        <w:trPr>
          <w:trHeight w:val="908"/>
        </w:trPr>
        <w:tc>
          <w:tcPr>
            <w:tcW w:w="1125" w:type="pct"/>
          </w:tcPr>
          <w:p w14:paraId="49CE55E5" w14:textId="53013890" w:rsidR="001972CE" w:rsidRPr="00563D71" w:rsidRDefault="001972CE" w:rsidP="00F8628D">
            <w:pPr>
              <w:spacing w:before="0"/>
              <w:ind w:left="142" w:firstLine="0"/>
              <w:rPr>
                <w:b/>
                <w:bCs/>
                <w:sz w:val="20"/>
                <w:szCs w:val="20"/>
              </w:rPr>
            </w:pPr>
            <w:r w:rsidRPr="00563D71">
              <w:rPr>
                <w:b/>
                <w:bCs/>
                <w:sz w:val="20"/>
                <w:szCs w:val="20"/>
              </w:rPr>
              <w:t>Program location/Description</w:t>
            </w:r>
          </w:p>
        </w:tc>
        <w:tc>
          <w:tcPr>
            <w:tcW w:w="1314" w:type="pct"/>
          </w:tcPr>
          <w:p w14:paraId="0BC2128D" w14:textId="6EA4700A" w:rsidR="001972CE" w:rsidRPr="00563D71" w:rsidRDefault="001972CE" w:rsidP="00F8628D">
            <w:pPr>
              <w:spacing w:before="0"/>
              <w:ind w:left="0"/>
              <w:jc w:val="center"/>
              <w:rPr>
                <w:b/>
                <w:bCs/>
                <w:sz w:val="20"/>
                <w:szCs w:val="20"/>
              </w:rPr>
            </w:pPr>
            <w:r w:rsidRPr="00563D71">
              <w:rPr>
                <w:b/>
                <w:bCs/>
                <w:sz w:val="20"/>
                <w:szCs w:val="20"/>
              </w:rPr>
              <w:t>Lake Toba</w:t>
            </w:r>
            <w:r w:rsidR="00D821F2" w:rsidRPr="00563D71">
              <w:rPr>
                <w:b/>
                <w:bCs/>
                <w:sz w:val="20"/>
                <w:szCs w:val="20"/>
              </w:rPr>
              <w:t xml:space="preserve"> </w:t>
            </w:r>
            <w:r w:rsidR="00C06C6B" w:rsidRPr="00563D71">
              <w:rPr>
                <w:b/>
                <w:bCs/>
                <w:sz w:val="20"/>
                <w:szCs w:val="20"/>
              </w:rPr>
              <w:t>tourism destination</w:t>
            </w:r>
          </w:p>
        </w:tc>
        <w:tc>
          <w:tcPr>
            <w:tcW w:w="1323" w:type="pct"/>
          </w:tcPr>
          <w:p w14:paraId="2F4E7554" w14:textId="15252A53" w:rsidR="001972CE" w:rsidRPr="00563D71" w:rsidRDefault="001972CE" w:rsidP="00F8628D">
            <w:pPr>
              <w:spacing w:before="0"/>
              <w:ind w:left="0"/>
              <w:jc w:val="center"/>
              <w:rPr>
                <w:b/>
                <w:bCs/>
                <w:sz w:val="20"/>
                <w:szCs w:val="20"/>
              </w:rPr>
            </w:pPr>
            <w:r w:rsidRPr="00563D71">
              <w:rPr>
                <w:b/>
                <w:bCs/>
                <w:sz w:val="20"/>
                <w:szCs w:val="20"/>
              </w:rPr>
              <w:t>Lombok</w:t>
            </w:r>
            <w:r w:rsidR="00307B98" w:rsidRPr="00563D71">
              <w:rPr>
                <w:b/>
                <w:bCs/>
                <w:sz w:val="20"/>
                <w:szCs w:val="20"/>
              </w:rPr>
              <w:t xml:space="preserve"> tourism destination</w:t>
            </w:r>
          </w:p>
        </w:tc>
        <w:tc>
          <w:tcPr>
            <w:tcW w:w="1238" w:type="pct"/>
          </w:tcPr>
          <w:p w14:paraId="6FF7E3A4" w14:textId="2E1EE575" w:rsidR="001972CE" w:rsidRPr="00563D71" w:rsidRDefault="009E0B7B" w:rsidP="00F8628D">
            <w:pPr>
              <w:spacing w:before="0"/>
              <w:ind w:left="0"/>
              <w:jc w:val="center"/>
              <w:rPr>
                <w:b/>
                <w:bCs/>
                <w:sz w:val="20"/>
                <w:szCs w:val="20"/>
              </w:rPr>
            </w:pPr>
            <w:r w:rsidRPr="00563D71">
              <w:rPr>
                <w:b/>
                <w:bCs/>
                <w:sz w:val="20"/>
                <w:szCs w:val="20"/>
              </w:rPr>
              <w:t>Borobudur</w:t>
            </w:r>
            <w:r w:rsidR="00307B98" w:rsidRPr="00563D71">
              <w:rPr>
                <w:b/>
                <w:bCs/>
                <w:sz w:val="20"/>
                <w:szCs w:val="20"/>
              </w:rPr>
              <w:t>-Yogyakarta-Prambanan tourism destination</w:t>
            </w:r>
          </w:p>
        </w:tc>
      </w:tr>
      <w:tr w:rsidR="001972CE" w:rsidRPr="00563D71" w14:paraId="1995E69D" w14:textId="77777777" w:rsidTr="00F8628D">
        <w:tc>
          <w:tcPr>
            <w:tcW w:w="1125" w:type="pct"/>
          </w:tcPr>
          <w:p w14:paraId="52408A68" w14:textId="68754D0D"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 xml:space="preserve">Size of </w:t>
            </w:r>
            <w:r w:rsidR="00C06C6B" w:rsidRPr="00563D71">
              <w:rPr>
                <w:rFonts w:ascii="Times New Roman" w:hAnsi="Times New Roman" w:cs="Times New Roman"/>
                <w:b/>
                <w:bCs/>
                <w:sz w:val="20"/>
                <w:szCs w:val="20"/>
              </w:rPr>
              <w:t xml:space="preserve">Program </w:t>
            </w:r>
            <w:r w:rsidRPr="00563D71">
              <w:rPr>
                <w:rFonts w:ascii="Times New Roman" w:hAnsi="Times New Roman" w:cs="Times New Roman"/>
                <w:b/>
                <w:bCs/>
                <w:sz w:val="20"/>
                <w:szCs w:val="20"/>
              </w:rPr>
              <w:t xml:space="preserve">area </w:t>
            </w:r>
          </w:p>
        </w:tc>
        <w:tc>
          <w:tcPr>
            <w:tcW w:w="1314" w:type="pct"/>
          </w:tcPr>
          <w:p w14:paraId="3CA93538" w14:textId="6A4DC34E" w:rsidR="00DC4426" w:rsidRPr="00563D71" w:rsidRDefault="00E25AE9" w:rsidP="00F8628D">
            <w:pPr>
              <w:spacing w:before="0"/>
              <w:rPr>
                <w:sz w:val="20"/>
                <w:szCs w:val="20"/>
              </w:rPr>
            </w:pPr>
            <w:r w:rsidRPr="00563D71">
              <w:rPr>
                <w:sz w:val="20"/>
                <w:szCs w:val="20"/>
              </w:rPr>
              <w:t xml:space="preserve">The Program will focus on the </w:t>
            </w:r>
            <w:r w:rsidR="00DC4426" w:rsidRPr="00563D71">
              <w:rPr>
                <w:sz w:val="20"/>
                <w:szCs w:val="20"/>
              </w:rPr>
              <w:t xml:space="preserve">key tourism areas: </w:t>
            </w:r>
          </w:p>
          <w:p w14:paraId="1E256BF4" w14:textId="1279595E" w:rsidR="00E25AE9" w:rsidRPr="00563D71" w:rsidRDefault="00E25AE9" w:rsidP="00F8628D">
            <w:pPr>
              <w:spacing w:before="0"/>
              <w:ind w:left="0"/>
              <w:rPr>
                <w:sz w:val="20"/>
                <w:szCs w:val="20"/>
              </w:rPr>
            </w:pPr>
            <w:r w:rsidRPr="00563D71">
              <w:rPr>
                <w:sz w:val="20"/>
                <w:szCs w:val="20"/>
              </w:rPr>
              <w:t>-</w:t>
            </w:r>
            <w:r w:rsidR="00DC4426" w:rsidRPr="00563D71">
              <w:rPr>
                <w:sz w:val="20"/>
                <w:szCs w:val="20"/>
              </w:rPr>
              <w:t xml:space="preserve">Parapat in </w:t>
            </w:r>
            <w:r w:rsidR="00DC4426" w:rsidRPr="00563D71">
              <w:rPr>
                <w:rFonts w:eastAsia="Calibri"/>
                <w:sz w:val="20"/>
                <w:szCs w:val="20"/>
              </w:rPr>
              <w:t>Kecamatan</w:t>
            </w:r>
            <w:r w:rsidR="00DC4426" w:rsidRPr="00563D71">
              <w:rPr>
                <w:sz w:val="20"/>
                <w:szCs w:val="20"/>
              </w:rPr>
              <w:t xml:space="preserve"> Girsang Sipangan Bolon in Kabupaten Simalungun and </w:t>
            </w:r>
            <w:r w:rsidR="00DC4426" w:rsidRPr="00563D71">
              <w:rPr>
                <w:rFonts w:eastAsia="Calibri"/>
                <w:sz w:val="20"/>
                <w:szCs w:val="20"/>
              </w:rPr>
              <w:t>Kecamatan</w:t>
            </w:r>
            <w:r w:rsidR="00DC4426" w:rsidRPr="00563D71">
              <w:rPr>
                <w:sz w:val="20"/>
                <w:szCs w:val="20"/>
              </w:rPr>
              <w:t xml:space="preserve"> Simanindo and </w:t>
            </w:r>
            <w:r w:rsidR="00DC4426" w:rsidRPr="00563D71">
              <w:rPr>
                <w:rFonts w:eastAsia="Calibri"/>
                <w:sz w:val="20"/>
                <w:szCs w:val="20"/>
              </w:rPr>
              <w:t>Kecamatan</w:t>
            </w:r>
            <w:r w:rsidR="00DC4426" w:rsidRPr="00563D71">
              <w:rPr>
                <w:sz w:val="20"/>
                <w:szCs w:val="20"/>
              </w:rPr>
              <w:t xml:space="preserve"> P</w:t>
            </w:r>
            <w:r w:rsidRPr="00563D71">
              <w:rPr>
                <w:sz w:val="20"/>
                <w:szCs w:val="20"/>
              </w:rPr>
              <w:t>angururan in Kabupaten Samosir.</w:t>
            </w:r>
          </w:p>
          <w:p w14:paraId="4EF4AE6E" w14:textId="16D18746" w:rsidR="004C0329" w:rsidRPr="00563D71" w:rsidRDefault="00E25AE9" w:rsidP="00F8628D">
            <w:pPr>
              <w:spacing w:before="0"/>
              <w:ind w:left="0"/>
              <w:rPr>
                <w:sz w:val="20"/>
                <w:szCs w:val="20"/>
              </w:rPr>
            </w:pPr>
            <w:r w:rsidRPr="00563D71">
              <w:rPr>
                <w:sz w:val="20"/>
                <w:szCs w:val="20"/>
              </w:rPr>
              <w:lastRenderedPageBreak/>
              <w:t>-</w:t>
            </w:r>
            <w:r w:rsidR="00DC4426" w:rsidRPr="00563D71">
              <w:rPr>
                <w:sz w:val="20"/>
                <w:szCs w:val="20"/>
              </w:rPr>
              <w:t xml:space="preserve">Kecamatan Balige in Kabupaten Toba Samosir. </w:t>
            </w:r>
          </w:p>
          <w:p w14:paraId="14916822" w14:textId="350449F4" w:rsidR="004C0329" w:rsidRPr="00563D71" w:rsidRDefault="004C0329" w:rsidP="00F8628D">
            <w:pPr>
              <w:spacing w:before="0"/>
              <w:rPr>
                <w:sz w:val="20"/>
                <w:szCs w:val="20"/>
              </w:rPr>
            </w:pPr>
            <w:r w:rsidRPr="00563D71">
              <w:rPr>
                <w:color w:val="auto"/>
                <w:sz w:val="20"/>
                <w:szCs w:val="20"/>
              </w:rPr>
              <w:t>T</w:t>
            </w:r>
            <w:r w:rsidR="00451B27" w:rsidRPr="00563D71">
              <w:rPr>
                <w:color w:val="auto"/>
                <w:sz w:val="20"/>
                <w:szCs w:val="20"/>
              </w:rPr>
              <w:t xml:space="preserve">he Program will focus on these areas for basic services. For transport, the focus is on </w:t>
            </w:r>
            <w:r w:rsidR="00BB21FE" w:rsidRPr="00563D71">
              <w:rPr>
                <w:color w:val="auto"/>
                <w:sz w:val="20"/>
                <w:szCs w:val="20"/>
              </w:rPr>
              <w:t xml:space="preserve">the key tourism areas and </w:t>
            </w:r>
            <w:r w:rsidR="00451B27" w:rsidRPr="00563D71">
              <w:rPr>
                <w:color w:val="auto"/>
                <w:sz w:val="20"/>
                <w:szCs w:val="20"/>
              </w:rPr>
              <w:t xml:space="preserve">Samosir </w:t>
            </w:r>
            <w:r w:rsidR="0053708F" w:rsidRPr="00563D71">
              <w:rPr>
                <w:color w:val="auto"/>
                <w:sz w:val="20"/>
                <w:szCs w:val="20"/>
              </w:rPr>
              <w:t>I</w:t>
            </w:r>
            <w:r w:rsidR="00451B27" w:rsidRPr="00563D71">
              <w:rPr>
                <w:color w:val="auto"/>
                <w:sz w:val="20"/>
                <w:szCs w:val="20"/>
              </w:rPr>
              <w:t>sland.</w:t>
            </w:r>
            <w:r w:rsidR="005F115B" w:rsidRPr="00563D71">
              <w:rPr>
                <w:color w:val="auto"/>
                <w:sz w:val="20"/>
                <w:szCs w:val="20"/>
              </w:rPr>
              <w:t xml:space="preserve"> </w:t>
            </w:r>
            <w:r w:rsidR="00604CCC" w:rsidRPr="00563D71">
              <w:rPr>
                <w:color w:val="auto"/>
                <w:sz w:val="20"/>
                <w:szCs w:val="20"/>
              </w:rPr>
              <w:t>For sanitation and solid waste, 31</w:t>
            </w:r>
            <w:r w:rsidR="003C1A4F" w:rsidRPr="00563D71">
              <w:rPr>
                <w:color w:val="auto"/>
                <w:sz w:val="20"/>
                <w:szCs w:val="20"/>
              </w:rPr>
              <w:t xml:space="preserve"> Kecamatan</w:t>
            </w:r>
            <w:r w:rsidR="0053708F" w:rsidRPr="00563D71">
              <w:rPr>
                <w:i/>
                <w:color w:val="auto"/>
                <w:sz w:val="20"/>
                <w:szCs w:val="20"/>
              </w:rPr>
              <w:t xml:space="preserve"> </w:t>
            </w:r>
            <w:r w:rsidR="00604CCC" w:rsidRPr="00563D71">
              <w:rPr>
                <w:color w:val="auto"/>
                <w:sz w:val="20"/>
                <w:szCs w:val="20"/>
              </w:rPr>
              <w:t>have been identified around the lake.</w:t>
            </w:r>
            <w:r w:rsidR="00604CCC" w:rsidRPr="00563D71">
              <w:rPr>
                <w:rStyle w:val="FootnoteReference"/>
                <w:color w:val="auto"/>
                <w:sz w:val="20"/>
                <w:szCs w:val="20"/>
              </w:rPr>
              <w:footnoteReference w:id="41"/>
            </w:r>
            <w:r w:rsidRPr="00563D71">
              <w:rPr>
                <w:color w:val="auto"/>
                <w:sz w:val="20"/>
                <w:szCs w:val="20"/>
              </w:rPr>
              <w:t xml:space="preserve"> </w:t>
            </w:r>
            <w:r w:rsidRPr="00563D71">
              <w:rPr>
                <w:sz w:val="20"/>
                <w:szCs w:val="20"/>
              </w:rPr>
              <w:t>For the other Results Areas, the Program location is less specifically defined. For instance, the proposed Program could support TVET training in Medan (to benefit Lake Toba tourism destination specifically, but also the tourism sector in general) and enhanced capabilities for investment promotion will benefit all tourism destinations.</w:t>
            </w:r>
          </w:p>
        </w:tc>
        <w:tc>
          <w:tcPr>
            <w:tcW w:w="1323" w:type="pct"/>
          </w:tcPr>
          <w:p w14:paraId="2F6F40FA" w14:textId="77777777" w:rsidR="00E25AE9" w:rsidRPr="00563D71" w:rsidRDefault="001972CE" w:rsidP="00F8628D">
            <w:pPr>
              <w:spacing w:before="0"/>
              <w:rPr>
                <w:sz w:val="20"/>
                <w:szCs w:val="20"/>
              </w:rPr>
            </w:pPr>
            <w:r w:rsidRPr="00563D71">
              <w:rPr>
                <w:sz w:val="20"/>
                <w:szCs w:val="20"/>
              </w:rPr>
              <w:lastRenderedPageBreak/>
              <w:t xml:space="preserve"> </w:t>
            </w:r>
            <w:r w:rsidR="00E25AE9" w:rsidRPr="00563D71">
              <w:rPr>
                <w:sz w:val="20"/>
                <w:szCs w:val="20"/>
              </w:rPr>
              <w:t xml:space="preserve">The Program will focus on the key tourism areas: </w:t>
            </w:r>
          </w:p>
          <w:p w14:paraId="48F1A16B" w14:textId="54C029DA" w:rsidR="00DC4426" w:rsidRPr="00563D71" w:rsidRDefault="00BB21FE" w:rsidP="00F8628D">
            <w:pPr>
              <w:spacing w:before="0"/>
              <w:ind w:left="0"/>
              <w:jc w:val="left"/>
              <w:rPr>
                <w:sz w:val="20"/>
                <w:szCs w:val="20"/>
              </w:rPr>
            </w:pPr>
            <w:r w:rsidRPr="00563D71">
              <w:rPr>
                <w:sz w:val="20"/>
                <w:szCs w:val="20"/>
              </w:rPr>
              <w:t>-</w:t>
            </w:r>
            <w:r w:rsidR="00DC4426" w:rsidRPr="00563D71">
              <w:rPr>
                <w:sz w:val="20"/>
                <w:szCs w:val="20"/>
              </w:rPr>
              <w:t xml:space="preserve">Gili Islands-Senggigi covering: </w:t>
            </w:r>
            <w:r w:rsidR="00DC4426" w:rsidRPr="00563D71">
              <w:rPr>
                <w:rFonts w:eastAsia="Calibri"/>
                <w:sz w:val="20"/>
                <w:szCs w:val="20"/>
              </w:rPr>
              <w:t>Kecamatan</w:t>
            </w:r>
            <w:r w:rsidR="00DC4426" w:rsidRPr="00563D71">
              <w:rPr>
                <w:sz w:val="20"/>
                <w:szCs w:val="20"/>
              </w:rPr>
              <w:t xml:space="preserve"> Batu Layar in Kabupaten West Lombok; </w:t>
            </w:r>
            <w:r w:rsidR="00DC4426" w:rsidRPr="00563D71">
              <w:rPr>
                <w:rFonts w:eastAsia="Calibri"/>
                <w:sz w:val="20"/>
                <w:szCs w:val="20"/>
              </w:rPr>
              <w:t>Kecamatan</w:t>
            </w:r>
            <w:r w:rsidR="00DC4426" w:rsidRPr="00563D71">
              <w:rPr>
                <w:sz w:val="20"/>
                <w:szCs w:val="20"/>
              </w:rPr>
              <w:t xml:space="preserve"> Pemenang and </w:t>
            </w:r>
            <w:r w:rsidR="00DC4426" w:rsidRPr="00563D71">
              <w:rPr>
                <w:rFonts w:eastAsia="Calibri"/>
                <w:sz w:val="20"/>
                <w:szCs w:val="20"/>
              </w:rPr>
              <w:t>Kecamatan</w:t>
            </w:r>
            <w:r w:rsidR="00DC4426" w:rsidRPr="00563D71">
              <w:rPr>
                <w:sz w:val="20"/>
                <w:szCs w:val="20"/>
              </w:rPr>
              <w:t xml:space="preserve"> Tanjung in Kabupaten North Lombok. </w:t>
            </w:r>
          </w:p>
          <w:p w14:paraId="78CA507F" w14:textId="6DF4B229" w:rsidR="00DC4426" w:rsidRPr="00563D71" w:rsidRDefault="00BB21FE" w:rsidP="00F8628D">
            <w:pPr>
              <w:spacing w:before="0"/>
              <w:ind w:left="0"/>
              <w:rPr>
                <w:sz w:val="20"/>
                <w:szCs w:val="20"/>
              </w:rPr>
            </w:pPr>
            <w:r w:rsidRPr="00563D71">
              <w:rPr>
                <w:sz w:val="20"/>
                <w:szCs w:val="20"/>
              </w:rPr>
              <w:lastRenderedPageBreak/>
              <w:t>-</w:t>
            </w:r>
            <w:r w:rsidR="000126F3" w:rsidRPr="00563D71">
              <w:rPr>
                <w:sz w:val="20"/>
                <w:szCs w:val="20"/>
              </w:rPr>
              <w:t>The s</w:t>
            </w:r>
            <w:r w:rsidR="00DC4426" w:rsidRPr="00563D71">
              <w:rPr>
                <w:sz w:val="20"/>
                <w:szCs w:val="20"/>
              </w:rPr>
              <w:t>outhern coast</w:t>
            </w:r>
            <w:r w:rsidR="000126F3" w:rsidRPr="00563D71">
              <w:rPr>
                <w:sz w:val="20"/>
                <w:szCs w:val="20"/>
              </w:rPr>
              <w:t>al</w:t>
            </w:r>
            <w:r w:rsidR="00DC4426" w:rsidRPr="00563D71">
              <w:rPr>
                <w:sz w:val="20"/>
                <w:szCs w:val="20"/>
              </w:rPr>
              <w:t xml:space="preserve"> area covering: </w:t>
            </w:r>
            <w:r w:rsidR="00DC4426" w:rsidRPr="00563D71">
              <w:rPr>
                <w:rFonts w:eastAsia="Calibri"/>
                <w:sz w:val="20"/>
                <w:szCs w:val="20"/>
              </w:rPr>
              <w:t>Kecamatan</w:t>
            </w:r>
            <w:r w:rsidR="00DC4426" w:rsidRPr="00563D71">
              <w:rPr>
                <w:sz w:val="20"/>
                <w:szCs w:val="20"/>
              </w:rPr>
              <w:t xml:space="preserve"> Pujut and </w:t>
            </w:r>
            <w:r w:rsidR="00DC4426" w:rsidRPr="00563D71">
              <w:rPr>
                <w:rFonts w:eastAsia="Calibri"/>
                <w:sz w:val="20"/>
                <w:szCs w:val="20"/>
              </w:rPr>
              <w:t>Kecamatan</w:t>
            </w:r>
            <w:r w:rsidR="00DC4426" w:rsidRPr="00563D71">
              <w:rPr>
                <w:sz w:val="20"/>
                <w:szCs w:val="20"/>
              </w:rPr>
              <w:t xml:space="preserve"> Praya Barat in Kabupaten Central Lombok; </w:t>
            </w:r>
            <w:r w:rsidR="00DC4426" w:rsidRPr="00563D71">
              <w:rPr>
                <w:rFonts w:eastAsia="Calibri"/>
                <w:sz w:val="20"/>
                <w:szCs w:val="20"/>
              </w:rPr>
              <w:t>Kecamatan</w:t>
            </w:r>
            <w:r w:rsidR="00DC4426" w:rsidRPr="00563D71">
              <w:rPr>
                <w:sz w:val="20"/>
                <w:szCs w:val="20"/>
              </w:rPr>
              <w:t xml:space="preserve"> Sekotong in Kabupaten West Lombok; and </w:t>
            </w:r>
            <w:r w:rsidR="00DC4426" w:rsidRPr="00563D71">
              <w:rPr>
                <w:rFonts w:eastAsia="Calibri"/>
                <w:sz w:val="20"/>
                <w:szCs w:val="20"/>
              </w:rPr>
              <w:t>Kecamatan</w:t>
            </w:r>
            <w:r w:rsidR="00DC4426" w:rsidRPr="00563D71">
              <w:rPr>
                <w:sz w:val="20"/>
                <w:szCs w:val="20"/>
              </w:rPr>
              <w:t xml:space="preserve"> Jerowaru in Kabupaten East Lombok.</w:t>
            </w:r>
            <w:r w:rsidR="001A6041" w:rsidRPr="00563D71">
              <w:rPr>
                <w:sz w:val="20"/>
                <w:szCs w:val="20"/>
              </w:rPr>
              <w:t xml:space="preserve"> The Program does not include Mandalika SEZ managed by the Indonesia Tourism Development Corporation (ITDC).</w:t>
            </w:r>
            <w:r w:rsidR="00DC4426" w:rsidRPr="00563D71">
              <w:rPr>
                <w:sz w:val="20"/>
                <w:szCs w:val="20"/>
              </w:rPr>
              <w:t xml:space="preserve"> </w:t>
            </w:r>
          </w:p>
          <w:p w14:paraId="752E7C83" w14:textId="2B7592E8" w:rsidR="00BB21FE" w:rsidRPr="00563D71" w:rsidRDefault="00BB21FE" w:rsidP="00F8628D">
            <w:pPr>
              <w:spacing w:before="0"/>
              <w:ind w:left="0"/>
              <w:rPr>
                <w:sz w:val="20"/>
                <w:szCs w:val="20"/>
              </w:rPr>
            </w:pPr>
            <w:r w:rsidRPr="00563D71">
              <w:rPr>
                <w:color w:val="auto"/>
                <w:sz w:val="20"/>
                <w:szCs w:val="20"/>
              </w:rPr>
              <w:t xml:space="preserve">The Program will focus on these areas for basic services. For transport, the focus is on key connecting roads to the key tourism areas and the areas themselves. </w:t>
            </w:r>
            <w:r w:rsidRPr="00563D71">
              <w:rPr>
                <w:sz w:val="20"/>
                <w:szCs w:val="20"/>
              </w:rPr>
              <w:t>For the other Results Areas, the Program location is less specifically defined. For instance, the proposed Program could support TVET training in Mataram (to benefit Lombok tourism destination specifically, but also the tourism sector in general) and enhanced capabilities for investment promotion will benefit all tourism destinations.</w:t>
            </w:r>
            <w:r w:rsidR="001A6041" w:rsidRPr="00563D71">
              <w:rPr>
                <w:sz w:val="20"/>
                <w:szCs w:val="20"/>
              </w:rPr>
              <w:t xml:space="preserve"> </w:t>
            </w:r>
          </w:p>
          <w:p w14:paraId="54C51B66" w14:textId="4B19687D" w:rsidR="001972CE" w:rsidRPr="00563D71" w:rsidRDefault="001972CE" w:rsidP="00F8628D">
            <w:pPr>
              <w:spacing w:before="0"/>
              <w:ind w:left="0"/>
              <w:rPr>
                <w:sz w:val="20"/>
                <w:szCs w:val="20"/>
              </w:rPr>
            </w:pPr>
          </w:p>
        </w:tc>
        <w:tc>
          <w:tcPr>
            <w:tcW w:w="1238" w:type="pct"/>
          </w:tcPr>
          <w:p w14:paraId="22F3C388" w14:textId="11C23317" w:rsidR="00E25AE9" w:rsidRPr="00563D71" w:rsidRDefault="00E25AE9" w:rsidP="00F8628D">
            <w:pPr>
              <w:spacing w:before="0"/>
              <w:rPr>
                <w:sz w:val="20"/>
                <w:szCs w:val="20"/>
              </w:rPr>
            </w:pPr>
            <w:r w:rsidRPr="00563D71">
              <w:rPr>
                <w:sz w:val="20"/>
                <w:szCs w:val="20"/>
              </w:rPr>
              <w:lastRenderedPageBreak/>
              <w:t xml:space="preserve">The Program will focus on the key tourism areas: </w:t>
            </w:r>
          </w:p>
          <w:p w14:paraId="638B2199" w14:textId="74C9B71F" w:rsidR="00BB21FE" w:rsidRPr="00563D71" w:rsidRDefault="00BB21FE" w:rsidP="00F8628D">
            <w:pPr>
              <w:pStyle w:val="Default"/>
              <w:contextualSpacing/>
              <w:jc w:val="left"/>
              <w:rPr>
                <w:color w:val="auto"/>
                <w:sz w:val="20"/>
                <w:szCs w:val="20"/>
              </w:rPr>
            </w:pPr>
            <w:r w:rsidRPr="00563D71">
              <w:rPr>
                <w:color w:val="auto"/>
                <w:sz w:val="20"/>
                <w:szCs w:val="20"/>
              </w:rPr>
              <w:t>-</w:t>
            </w:r>
            <w:r w:rsidR="00DC4426" w:rsidRPr="00563D71">
              <w:rPr>
                <w:color w:val="auto"/>
                <w:sz w:val="20"/>
                <w:szCs w:val="20"/>
              </w:rPr>
              <w:t xml:space="preserve">The Borobudur Cluster covering two Kecamatan: Borobudur and Mungkid. </w:t>
            </w:r>
          </w:p>
          <w:p w14:paraId="78AD2F16" w14:textId="3901E5E3" w:rsidR="00DC4426" w:rsidRPr="00563D71" w:rsidRDefault="00BB21FE" w:rsidP="00F8628D">
            <w:pPr>
              <w:pStyle w:val="Default"/>
              <w:contextualSpacing/>
              <w:jc w:val="left"/>
              <w:rPr>
                <w:color w:val="auto"/>
                <w:sz w:val="20"/>
                <w:szCs w:val="20"/>
              </w:rPr>
            </w:pPr>
            <w:r w:rsidRPr="00563D71">
              <w:rPr>
                <w:color w:val="auto"/>
                <w:sz w:val="20"/>
                <w:szCs w:val="20"/>
              </w:rPr>
              <w:t>-</w:t>
            </w:r>
            <w:r w:rsidR="00DC4426" w:rsidRPr="00563D71">
              <w:rPr>
                <w:color w:val="auto"/>
                <w:sz w:val="20"/>
                <w:szCs w:val="20"/>
              </w:rPr>
              <w:t xml:space="preserve">The Prambanan-Boko Cluster covering Kecamatan Prambanan in Kabupaten Sleman and </w:t>
            </w:r>
            <w:r w:rsidR="00DC4426" w:rsidRPr="00563D71">
              <w:rPr>
                <w:color w:val="auto"/>
                <w:sz w:val="20"/>
                <w:szCs w:val="20"/>
              </w:rPr>
              <w:lastRenderedPageBreak/>
              <w:t xml:space="preserve">Kecamatan Prambanan in Kabupaten Klaten.  </w:t>
            </w:r>
          </w:p>
          <w:p w14:paraId="1F874878" w14:textId="30E9C1DC" w:rsidR="001972CE" w:rsidRPr="00563D71" w:rsidRDefault="00BB21FE" w:rsidP="00F8628D">
            <w:pPr>
              <w:pStyle w:val="Default"/>
              <w:contextualSpacing/>
              <w:jc w:val="left"/>
              <w:rPr>
                <w:color w:val="auto"/>
                <w:sz w:val="20"/>
                <w:szCs w:val="20"/>
              </w:rPr>
            </w:pPr>
            <w:r w:rsidRPr="00563D71">
              <w:rPr>
                <w:color w:val="auto"/>
                <w:sz w:val="20"/>
                <w:szCs w:val="20"/>
              </w:rPr>
              <w:t>-</w:t>
            </w:r>
            <w:r w:rsidR="00DC4426" w:rsidRPr="00563D71">
              <w:rPr>
                <w:color w:val="auto"/>
                <w:sz w:val="20"/>
                <w:szCs w:val="20"/>
              </w:rPr>
              <w:t>The Yogyakarta Cluster including the Kraton, Taman Sari and Malioboro Street covering the following kecamatan: Kraton, Gedongtengen, Danurejan, Ngampilan, Kotagede</w:t>
            </w:r>
            <w:r w:rsidR="00345A79" w:rsidRPr="00563D71">
              <w:rPr>
                <w:color w:val="auto"/>
                <w:sz w:val="20"/>
                <w:szCs w:val="20"/>
              </w:rPr>
              <w:t>,</w:t>
            </w:r>
            <w:r w:rsidR="00DC4426" w:rsidRPr="00563D71">
              <w:rPr>
                <w:color w:val="auto"/>
                <w:sz w:val="20"/>
                <w:szCs w:val="20"/>
              </w:rPr>
              <w:t xml:space="preserve"> and Gondomanan. </w:t>
            </w:r>
          </w:p>
          <w:p w14:paraId="08453517" w14:textId="77777777" w:rsidR="0053708F" w:rsidRPr="00563D71" w:rsidRDefault="0053708F" w:rsidP="00F8628D">
            <w:pPr>
              <w:spacing w:before="0"/>
              <w:ind w:left="0"/>
              <w:rPr>
                <w:color w:val="auto"/>
                <w:sz w:val="20"/>
                <w:szCs w:val="20"/>
              </w:rPr>
            </w:pPr>
          </w:p>
          <w:p w14:paraId="5B81A1CD" w14:textId="209323E1" w:rsidR="00BB21FE" w:rsidRPr="00563D71" w:rsidRDefault="00BB21FE" w:rsidP="00F8628D">
            <w:pPr>
              <w:spacing w:before="0"/>
              <w:ind w:left="0"/>
              <w:rPr>
                <w:sz w:val="20"/>
                <w:szCs w:val="20"/>
              </w:rPr>
            </w:pPr>
            <w:r w:rsidRPr="00563D71">
              <w:rPr>
                <w:color w:val="auto"/>
                <w:sz w:val="20"/>
                <w:szCs w:val="20"/>
              </w:rPr>
              <w:t xml:space="preserve">The Program will focus on these areas for basic services. For transport, the focus is on key connecting roads to the key tourism areas (to the extend they are predominantly serving tourism) and the areas themselves. </w:t>
            </w:r>
            <w:r w:rsidRPr="00563D71">
              <w:rPr>
                <w:sz w:val="20"/>
                <w:szCs w:val="20"/>
              </w:rPr>
              <w:t>For the other Results Areas, the Program location is less specifically defined.</w:t>
            </w:r>
          </w:p>
          <w:p w14:paraId="23F3DB74" w14:textId="77777777" w:rsidR="001972CE" w:rsidRPr="00563D71" w:rsidRDefault="001972CE" w:rsidP="00F8628D">
            <w:pPr>
              <w:spacing w:before="0"/>
              <w:rPr>
                <w:sz w:val="20"/>
                <w:szCs w:val="20"/>
                <w:vertAlign w:val="superscript"/>
              </w:rPr>
            </w:pPr>
          </w:p>
          <w:p w14:paraId="5D36C7A5" w14:textId="77777777" w:rsidR="001972CE" w:rsidRPr="00563D71" w:rsidRDefault="001972CE" w:rsidP="00F8628D">
            <w:pPr>
              <w:spacing w:before="0"/>
              <w:rPr>
                <w:sz w:val="20"/>
                <w:szCs w:val="20"/>
              </w:rPr>
            </w:pPr>
          </w:p>
        </w:tc>
      </w:tr>
      <w:tr w:rsidR="001972CE" w:rsidRPr="00563D71" w14:paraId="4556E233" w14:textId="77777777" w:rsidTr="00F8628D">
        <w:tc>
          <w:tcPr>
            <w:tcW w:w="1125" w:type="pct"/>
          </w:tcPr>
          <w:p w14:paraId="26BCD2C7" w14:textId="0FFF03F6"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lastRenderedPageBreak/>
              <w:t>Population/</w:t>
            </w:r>
            <w:r w:rsidR="00D821F2" w:rsidRPr="00563D71">
              <w:rPr>
                <w:rFonts w:ascii="Times New Roman" w:hAnsi="Times New Roman" w:cs="Times New Roman"/>
                <w:b/>
                <w:bCs/>
                <w:sz w:val="20"/>
                <w:szCs w:val="20"/>
              </w:rPr>
              <w:t>m</w:t>
            </w:r>
            <w:r w:rsidRPr="00563D71">
              <w:rPr>
                <w:rFonts w:ascii="Times New Roman" w:hAnsi="Times New Roman" w:cs="Times New Roman"/>
                <w:b/>
                <w:bCs/>
                <w:sz w:val="20"/>
                <w:szCs w:val="20"/>
              </w:rPr>
              <w:t xml:space="preserve">ain economy activities </w:t>
            </w:r>
          </w:p>
        </w:tc>
        <w:tc>
          <w:tcPr>
            <w:tcW w:w="1314" w:type="pct"/>
          </w:tcPr>
          <w:p w14:paraId="34EEE98C" w14:textId="25DA5B19" w:rsidR="001972CE" w:rsidRPr="00563D71" w:rsidRDefault="0053708F" w:rsidP="00F8628D">
            <w:pPr>
              <w:spacing w:before="0"/>
              <w:rPr>
                <w:sz w:val="20"/>
                <w:szCs w:val="20"/>
              </w:rPr>
            </w:pPr>
            <w:r w:rsidRPr="00563D71">
              <w:rPr>
                <w:sz w:val="20"/>
                <w:szCs w:val="20"/>
              </w:rPr>
              <w:t>The total number of population living in the Lake Toba area is estimated to be around 656,872 people. Main economic activities are fisheries, agriculture (rice fields), paper pulp industries, and tourism.*</w:t>
            </w:r>
          </w:p>
        </w:tc>
        <w:tc>
          <w:tcPr>
            <w:tcW w:w="1323" w:type="pct"/>
          </w:tcPr>
          <w:p w14:paraId="405369F0" w14:textId="48E5B6C6" w:rsidR="001972CE" w:rsidRPr="00563D71" w:rsidRDefault="00631684" w:rsidP="00F8628D">
            <w:pPr>
              <w:spacing w:before="0"/>
              <w:rPr>
                <w:sz w:val="20"/>
                <w:szCs w:val="20"/>
              </w:rPr>
            </w:pPr>
            <w:r w:rsidRPr="00563D71">
              <w:rPr>
                <w:sz w:val="20"/>
                <w:szCs w:val="20"/>
              </w:rPr>
              <w:t xml:space="preserve">The total population of Lombok island is estimated to be 3.3 million people. The key tourism areas are concentrated in the southern coastal areas and in the Gili islands off the coast of North Lombok, where population density is low.  Main economic activities </w:t>
            </w:r>
            <w:r w:rsidRPr="00563D71">
              <w:rPr>
                <w:sz w:val="20"/>
                <w:szCs w:val="20"/>
              </w:rPr>
              <w:lastRenderedPageBreak/>
              <w:t xml:space="preserve">are local tourism, fishing, and agriculture.** </w:t>
            </w:r>
          </w:p>
          <w:p w14:paraId="5B13F833" w14:textId="77777777" w:rsidR="001972CE" w:rsidRPr="00563D71" w:rsidRDefault="001972CE" w:rsidP="00F8628D">
            <w:pPr>
              <w:spacing w:before="0"/>
              <w:rPr>
                <w:sz w:val="20"/>
                <w:szCs w:val="20"/>
              </w:rPr>
            </w:pPr>
          </w:p>
        </w:tc>
        <w:tc>
          <w:tcPr>
            <w:tcW w:w="1238" w:type="pct"/>
          </w:tcPr>
          <w:p w14:paraId="28259877" w14:textId="72201D3A" w:rsidR="001972CE" w:rsidRPr="00563D71" w:rsidRDefault="00631684" w:rsidP="00F8628D">
            <w:pPr>
              <w:spacing w:before="0"/>
              <w:rPr>
                <w:sz w:val="20"/>
                <w:szCs w:val="20"/>
              </w:rPr>
            </w:pPr>
            <w:r w:rsidRPr="00563D71">
              <w:rPr>
                <w:sz w:val="20"/>
                <w:szCs w:val="20"/>
              </w:rPr>
              <w:lastRenderedPageBreak/>
              <w:t xml:space="preserve">The total population of Magelang Regency (Borobudur) and the Special Region of Yogyakarta is estimated to be 4.93 million people in 2015.*** Main economic activities are agriculture, tourism and service industries. </w:t>
            </w:r>
          </w:p>
        </w:tc>
      </w:tr>
      <w:tr w:rsidR="001972CE" w:rsidRPr="00563D71" w14:paraId="1EC61BC1" w14:textId="77777777" w:rsidTr="00F8628D">
        <w:tc>
          <w:tcPr>
            <w:tcW w:w="1125" w:type="pct"/>
          </w:tcPr>
          <w:p w14:paraId="3130979E" w14:textId="449C2406"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General description of natural habitats of the</w:t>
            </w:r>
            <w:r w:rsidR="005F115B" w:rsidRPr="00563D71">
              <w:rPr>
                <w:rFonts w:ascii="Times New Roman" w:hAnsi="Times New Roman" w:cs="Times New Roman"/>
                <w:b/>
                <w:bCs/>
                <w:sz w:val="20"/>
                <w:szCs w:val="20"/>
              </w:rPr>
              <w:t xml:space="preserve"> Program</w:t>
            </w:r>
            <w:r w:rsidRPr="00563D71">
              <w:rPr>
                <w:rFonts w:ascii="Times New Roman" w:hAnsi="Times New Roman" w:cs="Times New Roman"/>
                <w:b/>
                <w:bCs/>
                <w:sz w:val="20"/>
                <w:szCs w:val="20"/>
              </w:rPr>
              <w:t xml:space="preserve"> area and boundary (within the Program) </w:t>
            </w:r>
          </w:p>
        </w:tc>
        <w:tc>
          <w:tcPr>
            <w:tcW w:w="1314" w:type="pct"/>
          </w:tcPr>
          <w:p w14:paraId="3035611D" w14:textId="78618A60" w:rsidR="001972CE" w:rsidRPr="00563D71" w:rsidRDefault="0009745C" w:rsidP="00F8628D">
            <w:pPr>
              <w:spacing w:before="0"/>
              <w:rPr>
                <w:sz w:val="20"/>
                <w:szCs w:val="20"/>
              </w:rPr>
            </w:pPr>
            <w:r w:rsidRPr="00563D71">
              <w:rPr>
                <w:sz w:val="20"/>
                <w:szCs w:val="20"/>
              </w:rPr>
              <w:t>The lake provides abundant freshwater and is surrounded by mountainous countryside. The lake basin areas are surrounded by steep cliffs.* There are two islands inside the lake—Samosir Island (647 km</w:t>
            </w:r>
            <w:r w:rsidRPr="00563D71">
              <w:rPr>
                <w:sz w:val="20"/>
                <w:szCs w:val="20"/>
                <w:vertAlign w:val="superscript"/>
              </w:rPr>
              <w:t>2</w:t>
            </w:r>
            <w:r w:rsidRPr="00563D71">
              <w:rPr>
                <w:sz w:val="20"/>
                <w:szCs w:val="20"/>
              </w:rPr>
              <w:t>) and Pardapur Island (7km</w:t>
            </w:r>
            <w:r w:rsidRPr="00563D71">
              <w:rPr>
                <w:sz w:val="20"/>
                <w:szCs w:val="20"/>
                <w:vertAlign w:val="superscript"/>
              </w:rPr>
              <w:t>2</w:t>
            </w:r>
            <w:r w:rsidRPr="00563D71">
              <w:rPr>
                <w:sz w:val="20"/>
                <w:szCs w:val="20"/>
              </w:rPr>
              <w:t xml:space="preserve">). </w:t>
            </w:r>
          </w:p>
        </w:tc>
        <w:tc>
          <w:tcPr>
            <w:tcW w:w="1323" w:type="pct"/>
          </w:tcPr>
          <w:p w14:paraId="0ADB71C7" w14:textId="5A4C10EB" w:rsidR="00EC3328" w:rsidRPr="00563D71" w:rsidRDefault="00631684" w:rsidP="00F8628D">
            <w:pPr>
              <w:spacing w:before="0"/>
              <w:rPr>
                <w:sz w:val="20"/>
                <w:szCs w:val="20"/>
              </w:rPr>
            </w:pPr>
            <w:r w:rsidRPr="00563D71">
              <w:rPr>
                <w:sz w:val="20"/>
                <w:szCs w:val="20"/>
              </w:rPr>
              <w:t xml:space="preserve">The North Lombok Regency includes the Gili Islands (Gili Trawangan, Gili Air, and Gili Meno), which support marine life and coral reefs. On the southern side of the Lombok Island, Kecamatan Pujut in Kabupaten South Lombok is known for the beautiful beaches such as Kuta Beach.**** Kecamatan Jerowaru is also located in Kabupaten South Lombok and known for its beautiful beaches and coastal fishing. Sepotong is located in Kabupaten West Lombok and is a coastal area. </w:t>
            </w:r>
          </w:p>
        </w:tc>
        <w:tc>
          <w:tcPr>
            <w:tcW w:w="1238" w:type="pct"/>
          </w:tcPr>
          <w:p w14:paraId="1FA88369" w14:textId="07572596" w:rsidR="001972CE" w:rsidRPr="00563D71" w:rsidRDefault="00241201" w:rsidP="00F8628D">
            <w:pPr>
              <w:spacing w:before="0"/>
              <w:rPr>
                <w:sz w:val="20"/>
                <w:szCs w:val="20"/>
              </w:rPr>
            </w:pPr>
            <w:r w:rsidRPr="00563D71">
              <w:rPr>
                <w:sz w:val="20"/>
                <w:szCs w:val="20"/>
              </w:rPr>
              <w:t xml:space="preserve">The </w:t>
            </w:r>
            <w:r w:rsidR="00CE7AD5" w:rsidRPr="00563D71">
              <w:rPr>
                <w:sz w:val="20"/>
                <w:szCs w:val="20"/>
              </w:rPr>
              <w:t>site</w:t>
            </w:r>
            <w:r w:rsidRPr="00563D71">
              <w:rPr>
                <w:sz w:val="20"/>
                <w:szCs w:val="20"/>
              </w:rPr>
              <w:t xml:space="preserve"> of Borobudur Temple is surrounded by mountains, lakes, fertile soils, </w:t>
            </w:r>
            <w:r w:rsidR="000126F3" w:rsidRPr="00563D71">
              <w:rPr>
                <w:sz w:val="20"/>
                <w:szCs w:val="20"/>
              </w:rPr>
              <w:t>with</w:t>
            </w:r>
            <w:r w:rsidRPr="00563D71">
              <w:rPr>
                <w:sz w:val="20"/>
                <w:szCs w:val="20"/>
              </w:rPr>
              <w:t xml:space="preserve"> abundant water resources. Agriculture is one of the main economic activities around the</w:t>
            </w:r>
            <w:r w:rsidR="000126F3" w:rsidRPr="00563D71">
              <w:rPr>
                <w:sz w:val="20"/>
                <w:szCs w:val="20"/>
              </w:rPr>
              <w:t xml:space="preserve"> temple complex</w:t>
            </w:r>
            <w:r w:rsidRPr="00563D71">
              <w:rPr>
                <w:sz w:val="20"/>
                <w:szCs w:val="20"/>
              </w:rPr>
              <w:t xml:space="preserve">. </w:t>
            </w:r>
            <w:r w:rsidR="00B27ED4" w:rsidRPr="00563D71">
              <w:rPr>
                <w:sz w:val="20"/>
                <w:szCs w:val="20"/>
              </w:rPr>
              <w:t xml:space="preserve">Borobudur temple and its surrounding </w:t>
            </w:r>
            <w:r w:rsidR="00CE7AD5" w:rsidRPr="00563D71">
              <w:rPr>
                <w:sz w:val="20"/>
                <w:szCs w:val="20"/>
              </w:rPr>
              <w:t>are</w:t>
            </w:r>
            <w:r w:rsidR="00B27ED4" w:rsidRPr="00563D71">
              <w:rPr>
                <w:sz w:val="20"/>
                <w:szCs w:val="20"/>
              </w:rPr>
              <w:t xml:space="preserve"> also situated in </w:t>
            </w:r>
            <w:r w:rsidR="00CE7AD5" w:rsidRPr="00563D71">
              <w:rPr>
                <w:sz w:val="20"/>
                <w:szCs w:val="20"/>
              </w:rPr>
              <w:t>an</w:t>
            </w:r>
            <w:r w:rsidR="00B27ED4" w:rsidRPr="00563D71">
              <w:rPr>
                <w:sz w:val="20"/>
                <w:szCs w:val="20"/>
              </w:rPr>
              <w:t xml:space="preserve"> earthquake zone due to the geological setting. </w:t>
            </w:r>
          </w:p>
        </w:tc>
      </w:tr>
      <w:tr w:rsidR="001972CE" w:rsidRPr="00563D71" w14:paraId="4C018954" w14:textId="77777777" w:rsidTr="00F8628D">
        <w:tc>
          <w:tcPr>
            <w:tcW w:w="1125" w:type="pct"/>
          </w:tcPr>
          <w:p w14:paraId="31236EF7" w14:textId="77777777"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 xml:space="preserve">Additional information on sensitive areas </w:t>
            </w:r>
          </w:p>
        </w:tc>
        <w:tc>
          <w:tcPr>
            <w:tcW w:w="1314" w:type="pct"/>
          </w:tcPr>
          <w:p w14:paraId="3054EDE3" w14:textId="02CED1DB" w:rsidR="001972CE" w:rsidRPr="00563D71" w:rsidRDefault="0009745C" w:rsidP="00F8628D">
            <w:pPr>
              <w:spacing w:before="0"/>
              <w:rPr>
                <w:sz w:val="20"/>
                <w:szCs w:val="20"/>
              </w:rPr>
            </w:pPr>
            <w:r w:rsidRPr="00563D71">
              <w:rPr>
                <w:sz w:val="20"/>
                <w:szCs w:val="20"/>
              </w:rPr>
              <w:t xml:space="preserve">Protected forest areas are not located in the </w:t>
            </w:r>
            <w:r w:rsidR="007231A7" w:rsidRPr="00563D71">
              <w:rPr>
                <w:sz w:val="20"/>
                <w:szCs w:val="20"/>
              </w:rPr>
              <w:t xml:space="preserve">key </w:t>
            </w:r>
            <w:r w:rsidRPr="00563D71">
              <w:rPr>
                <w:sz w:val="20"/>
                <w:szCs w:val="20"/>
              </w:rPr>
              <w:t xml:space="preserve">tourism </w:t>
            </w:r>
            <w:r w:rsidR="007231A7" w:rsidRPr="00563D71">
              <w:rPr>
                <w:sz w:val="20"/>
                <w:szCs w:val="20"/>
              </w:rPr>
              <w:t>areas of the Program</w:t>
            </w:r>
            <w:r w:rsidRPr="00563D71">
              <w:rPr>
                <w:sz w:val="20"/>
                <w:szCs w:val="20"/>
              </w:rPr>
              <w:t xml:space="preserve">.* The lake area surrounding the tourism destination is part of a geological formation because of mega-volcanic activity and it is the largest freshwater lake in Indonesia. </w:t>
            </w:r>
          </w:p>
        </w:tc>
        <w:tc>
          <w:tcPr>
            <w:tcW w:w="1323" w:type="pct"/>
          </w:tcPr>
          <w:p w14:paraId="4536ED90" w14:textId="2E7BC20F" w:rsidR="001972CE" w:rsidRPr="00563D71" w:rsidRDefault="001972CE" w:rsidP="00F8628D">
            <w:pPr>
              <w:spacing w:before="0"/>
              <w:rPr>
                <w:sz w:val="20"/>
                <w:szCs w:val="20"/>
              </w:rPr>
            </w:pPr>
            <w:r w:rsidRPr="00563D71">
              <w:rPr>
                <w:sz w:val="20"/>
                <w:szCs w:val="20"/>
              </w:rPr>
              <w:t xml:space="preserve"> In Gili Islands and some parts of Lombok Island, there </w:t>
            </w:r>
            <w:r w:rsidR="008804BF" w:rsidRPr="00563D71">
              <w:rPr>
                <w:sz w:val="20"/>
                <w:szCs w:val="20"/>
              </w:rPr>
              <w:t xml:space="preserve">are </w:t>
            </w:r>
            <w:r w:rsidRPr="00563D71">
              <w:rPr>
                <w:sz w:val="20"/>
                <w:szCs w:val="20"/>
              </w:rPr>
              <w:t>turtle conservation activities carried out mostly by private</w:t>
            </w:r>
            <w:r w:rsidR="000126F3" w:rsidRPr="00563D71">
              <w:rPr>
                <w:sz w:val="20"/>
                <w:szCs w:val="20"/>
              </w:rPr>
              <w:t>ly</w:t>
            </w:r>
            <w:r w:rsidRPr="00563D71">
              <w:rPr>
                <w:sz w:val="20"/>
                <w:szCs w:val="20"/>
              </w:rPr>
              <w:t xml:space="preserve"> owned turtle sanctuaries. </w:t>
            </w:r>
          </w:p>
        </w:tc>
        <w:tc>
          <w:tcPr>
            <w:tcW w:w="1238" w:type="pct"/>
          </w:tcPr>
          <w:p w14:paraId="43C115D4" w14:textId="4EABCEC4" w:rsidR="005F115B" w:rsidRPr="00563D71" w:rsidRDefault="001972CE" w:rsidP="00F8628D">
            <w:pPr>
              <w:spacing w:before="0"/>
              <w:rPr>
                <w:sz w:val="20"/>
                <w:szCs w:val="20"/>
              </w:rPr>
            </w:pPr>
            <w:r w:rsidRPr="00563D71">
              <w:rPr>
                <w:sz w:val="20"/>
                <w:szCs w:val="20"/>
              </w:rPr>
              <w:t xml:space="preserve">The Borobudur Temple compound was named as UNESCO World Heritage Site in 1991. It has significant historical, cultural and religious value. There </w:t>
            </w:r>
            <w:r w:rsidR="0009745C" w:rsidRPr="00563D71">
              <w:rPr>
                <w:sz w:val="20"/>
                <w:szCs w:val="20"/>
              </w:rPr>
              <w:t>are</w:t>
            </w:r>
            <w:r w:rsidRPr="00563D71">
              <w:rPr>
                <w:sz w:val="20"/>
                <w:szCs w:val="20"/>
              </w:rPr>
              <w:t xml:space="preserve"> no forest habitats or natural habitats that will be degraded by the Program activities.</w:t>
            </w:r>
            <w:r w:rsidR="0009745C" w:rsidRPr="00563D71">
              <w:rPr>
                <w:sz w:val="20"/>
                <w:szCs w:val="20"/>
              </w:rPr>
              <w:t>***</w:t>
            </w:r>
          </w:p>
          <w:p w14:paraId="67448DD1" w14:textId="38556837" w:rsidR="001972CE" w:rsidRPr="00563D71" w:rsidRDefault="001972CE" w:rsidP="00F8628D">
            <w:pPr>
              <w:spacing w:before="0"/>
              <w:rPr>
                <w:sz w:val="20"/>
                <w:szCs w:val="20"/>
              </w:rPr>
            </w:pPr>
          </w:p>
        </w:tc>
      </w:tr>
      <w:tr w:rsidR="001972CE" w:rsidRPr="00563D71" w14:paraId="731422B0" w14:textId="77777777" w:rsidTr="00F8628D">
        <w:tc>
          <w:tcPr>
            <w:tcW w:w="1125" w:type="pct"/>
          </w:tcPr>
          <w:p w14:paraId="71FE45C3" w14:textId="77777777"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 xml:space="preserve">Current state of environment condition </w:t>
            </w:r>
          </w:p>
        </w:tc>
        <w:tc>
          <w:tcPr>
            <w:tcW w:w="1314" w:type="pct"/>
          </w:tcPr>
          <w:p w14:paraId="42C73969" w14:textId="65EA02F9" w:rsidR="001972CE" w:rsidRPr="00563D71" w:rsidRDefault="0009745C" w:rsidP="00F8628D">
            <w:pPr>
              <w:spacing w:before="0"/>
              <w:rPr>
                <w:sz w:val="20"/>
                <w:szCs w:val="20"/>
              </w:rPr>
            </w:pPr>
            <w:r w:rsidRPr="00563D71">
              <w:rPr>
                <w:sz w:val="20"/>
                <w:szCs w:val="20"/>
              </w:rPr>
              <w:t xml:space="preserve">The lake provides abundant freshwater and is surrounded by mountainous countryside. The lake basin areas are surrounded by steep cliffs.* There are two islands inside the lake—Samosir Island (647 km2) and Pardapur Island (7km2). </w:t>
            </w:r>
            <w:r w:rsidR="000126F3" w:rsidRPr="00563D71">
              <w:rPr>
                <w:sz w:val="20"/>
                <w:szCs w:val="20"/>
              </w:rPr>
              <w:t>Water pollution is an issue. – Threats are from untreated waste water from human settlements, aquaculture farming, spilled oil from boats and vessels around the lake, and deposition of sediments due to soil erosion from surroundin</w:t>
            </w:r>
            <w:r w:rsidR="008164CF" w:rsidRPr="00563D71">
              <w:rPr>
                <w:sz w:val="20"/>
                <w:szCs w:val="20"/>
              </w:rPr>
              <w:t>g steep hills. There are also n</w:t>
            </w:r>
            <w:r w:rsidR="000126F3" w:rsidRPr="00563D71">
              <w:rPr>
                <w:sz w:val="20"/>
                <w:szCs w:val="20"/>
              </w:rPr>
              <w:t xml:space="preserve">o proper </w:t>
            </w:r>
            <w:r w:rsidR="000126F3" w:rsidRPr="00563D71">
              <w:rPr>
                <w:sz w:val="20"/>
                <w:szCs w:val="20"/>
              </w:rPr>
              <w:lastRenderedPageBreak/>
              <w:t>sanitation facilities to handle solid waste</w:t>
            </w:r>
            <w:r w:rsidR="001972CE" w:rsidRPr="00563D71">
              <w:rPr>
                <w:sz w:val="20"/>
                <w:szCs w:val="20"/>
              </w:rPr>
              <w:t xml:space="preserve">. </w:t>
            </w:r>
          </w:p>
        </w:tc>
        <w:tc>
          <w:tcPr>
            <w:tcW w:w="1323" w:type="pct"/>
          </w:tcPr>
          <w:p w14:paraId="6FF23673" w14:textId="18CB133F" w:rsidR="00446CCE" w:rsidRPr="00563D71" w:rsidRDefault="0009745C" w:rsidP="00F8628D">
            <w:pPr>
              <w:spacing w:before="0"/>
              <w:rPr>
                <w:sz w:val="20"/>
                <w:szCs w:val="20"/>
              </w:rPr>
            </w:pPr>
            <w:r w:rsidRPr="00563D71">
              <w:rPr>
                <w:sz w:val="20"/>
                <w:szCs w:val="20"/>
              </w:rPr>
              <w:lastRenderedPageBreak/>
              <w:t xml:space="preserve">Gili Trawangan’s popularity as a tourist destination means it produces 20 tons of waste per day (peak season) or 5–8 tons per day (low season). The island currently has no proper waste management. </w:t>
            </w:r>
            <w:r w:rsidR="00446CCE" w:rsidRPr="00563D71">
              <w:rPr>
                <w:sz w:val="20"/>
                <w:szCs w:val="20"/>
              </w:rPr>
              <w:t xml:space="preserve">Lack of clean water supply and water storage facilities in Gili Islands. In most attraction areas, there is lack of public toilet and sanitation facilities (especially septic tanks) to prevent untreated waste water from polluting the environment especially sensitive ecosystems such as corals and fishes. </w:t>
            </w:r>
            <w:r w:rsidR="00446CCE" w:rsidRPr="00563D71">
              <w:rPr>
                <w:sz w:val="20"/>
                <w:szCs w:val="20"/>
              </w:rPr>
              <w:lastRenderedPageBreak/>
              <w:t xml:space="preserve">Inadequate solid </w:t>
            </w:r>
            <w:r w:rsidR="00000890" w:rsidRPr="00563D71">
              <w:rPr>
                <w:sz w:val="20"/>
                <w:szCs w:val="20"/>
              </w:rPr>
              <w:t>waste</w:t>
            </w:r>
            <w:r w:rsidR="00446CCE" w:rsidRPr="00563D71">
              <w:rPr>
                <w:sz w:val="20"/>
                <w:szCs w:val="20"/>
              </w:rPr>
              <w:t xml:space="preserve"> collection disposal system at Lombok also poses long term environmental threat to the marine ecosystems such as turtle conservation efforts.</w:t>
            </w:r>
            <w:r w:rsidR="00FD6118" w:rsidRPr="00563D71">
              <w:rPr>
                <w:sz w:val="20"/>
                <w:szCs w:val="20"/>
              </w:rPr>
              <w:t xml:space="preserve"> </w:t>
            </w:r>
            <w:r w:rsidR="008164CF" w:rsidRPr="00563D71">
              <w:rPr>
                <w:sz w:val="20"/>
                <w:szCs w:val="20"/>
              </w:rPr>
              <w:t>Gili Trawangan</w:t>
            </w:r>
            <w:r w:rsidR="000126F3" w:rsidRPr="00563D71">
              <w:rPr>
                <w:sz w:val="20"/>
                <w:szCs w:val="20"/>
              </w:rPr>
              <w:t xml:space="preserve"> produces 20 tons of waste per day (peak season) or 5–-8 tons per day (low season). </w:t>
            </w:r>
          </w:p>
        </w:tc>
        <w:tc>
          <w:tcPr>
            <w:tcW w:w="1238" w:type="pct"/>
          </w:tcPr>
          <w:p w14:paraId="3A1FDAA8" w14:textId="22C871C1" w:rsidR="001972CE" w:rsidRPr="00563D71" w:rsidRDefault="0009745C" w:rsidP="00F8628D">
            <w:pPr>
              <w:spacing w:before="0"/>
              <w:rPr>
                <w:sz w:val="20"/>
                <w:szCs w:val="20"/>
              </w:rPr>
            </w:pPr>
            <w:r w:rsidRPr="00563D71">
              <w:rPr>
                <w:sz w:val="20"/>
                <w:szCs w:val="20"/>
              </w:rPr>
              <w:lastRenderedPageBreak/>
              <w:t xml:space="preserve">Traffic congestion due to limited access roads and over-crowding of tourists during peak season have been two of the concerns that have led the management of the UNESCO site to find suitable alternatives for the current tourist management plan. </w:t>
            </w:r>
          </w:p>
        </w:tc>
      </w:tr>
      <w:tr w:rsidR="001972CE" w:rsidRPr="00563D71" w14:paraId="4CB00D06" w14:textId="77777777" w:rsidTr="00F8628D">
        <w:tc>
          <w:tcPr>
            <w:tcW w:w="1125" w:type="pct"/>
          </w:tcPr>
          <w:p w14:paraId="6683BAF6" w14:textId="725ECE3F" w:rsidR="001972CE" w:rsidRPr="00563D71" w:rsidRDefault="001972CE"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 xml:space="preserve">Type and key tourism attraction areas. </w:t>
            </w:r>
          </w:p>
        </w:tc>
        <w:tc>
          <w:tcPr>
            <w:tcW w:w="1314" w:type="pct"/>
          </w:tcPr>
          <w:p w14:paraId="5C3D8BC8" w14:textId="77777777" w:rsidR="00772D69" w:rsidRPr="00563D71" w:rsidRDefault="00772D69" w:rsidP="00F8628D">
            <w:pPr>
              <w:spacing w:before="0"/>
              <w:rPr>
                <w:bCs/>
                <w:iCs/>
                <w:sz w:val="20"/>
                <w:szCs w:val="20"/>
              </w:rPr>
            </w:pPr>
            <w:r w:rsidRPr="00563D71">
              <w:rPr>
                <w:b/>
                <w:i/>
                <w:sz w:val="20"/>
                <w:szCs w:val="20"/>
              </w:rPr>
              <w:t>Nature</w:t>
            </w:r>
            <w:r w:rsidRPr="00563D71">
              <w:rPr>
                <w:bCs/>
                <w:iCs/>
                <w:sz w:val="20"/>
                <w:szCs w:val="20"/>
              </w:rPr>
              <w:t xml:space="preserve"> – Lake scenery, mountainous countryside view, hot spring, waterfalls and mountain trekking. For example: Parbaba, a beach by the fresh water lake (Lake Toba); and the hot springs at Gunung Pusuk Buhit Mountain.</w:t>
            </w:r>
          </w:p>
          <w:p w14:paraId="5CAC4450" w14:textId="6CB5F928" w:rsidR="001972CE" w:rsidRPr="00563D71" w:rsidRDefault="00772D69" w:rsidP="00F8628D">
            <w:pPr>
              <w:spacing w:before="0"/>
              <w:ind w:left="0" w:firstLine="0"/>
              <w:rPr>
                <w:sz w:val="20"/>
                <w:szCs w:val="20"/>
              </w:rPr>
            </w:pPr>
            <w:r w:rsidRPr="00563D71">
              <w:rPr>
                <w:b/>
                <w:i/>
                <w:sz w:val="20"/>
                <w:szCs w:val="20"/>
              </w:rPr>
              <w:t>Culture</w:t>
            </w:r>
            <w:r w:rsidRPr="00563D71">
              <w:rPr>
                <w:bCs/>
                <w:iCs/>
                <w:sz w:val="20"/>
                <w:szCs w:val="20"/>
              </w:rPr>
              <w:t xml:space="preserve"> – The history and the cultural heritage of the Batak ethnic community are located within the key tourism area. Other attractions such as the Stone Chair of King Siallagan and King Sidabutar’s Tomb; and Ambarita, a traditional village that provides glimpses of Batak culture.</w:t>
            </w:r>
          </w:p>
        </w:tc>
        <w:tc>
          <w:tcPr>
            <w:tcW w:w="1323" w:type="pct"/>
          </w:tcPr>
          <w:p w14:paraId="57C5A38D" w14:textId="1BDDE140" w:rsidR="001972CE" w:rsidRPr="00563D71" w:rsidRDefault="001972CE" w:rsidP="00F8628D">
            <w:pPr>
              <w:spacing w:before="0"/>
              <w:rPr>
                <w:sz w:val="20"/>
                <w:szCs w:val="20"/>
              </w:rPr>
            </w:pPr>
            <w:r w:rsidRPr="00563D71">
              <w:rPr>
                <w:b/>
                <w:i/>
                <w:sz w:val="20"/>
                <w:szCs w:val="20"/>
              </w:rPr>
              <w:t>Nature</w:t>
            </w:r>
            <w:r w:rsidRPr="00563D71">
              <w:rPr>
                <w:sz w:val="20"/>
                <w:szCs w:val="20"/>
              </w:rPr>
              <w:t xml:space="preserve"> – Long stretch of white sandy beaches and smaller nearby islands for snorkeling and dive sites. </w:t>
            </w:r>
            <w:r w:rsidR="008164CF" w:rsidRPr="00563D71">
              <w:rPr>
                <w:sz w:val="20"/>
                <w:szCs w:val="20"/>
              </w:rPr>
              <w:t>Pink Beach in Kecamatan</w:t>
            </w:r>
            <w:r w:rsidRPr="00563D71">
              <w:rPr>
                <w:sz w:val="20"/>
                <w:szCs w:val="20"/>
              </w:rPr>
              <w:t xml:space="preserve"> Jerowaru is known for its unspoiled </w:t>
            </w:r>
            <w:r w:rsidR="008164CF" w:rsidRPr="00563D71">
              <w:rPr>
                <w:sz w:val="20"/>
                <w:szCs w:val="20"/>
              </w:rPr>
              <w:t xml:space="preserve">scenery </w:t>
            </w:r>
            <w:r w:rsidRPr="00563D71">
              <w:rPr>
                <w:sz w:val="20"/>
                <w:szCs w:val="20"/>
              </w:rPr>
              <w:t xml:space="preserve">and isolated long stretch of pink sandy beach. </w:t>
            </w:r>
          </w:p>
          <w:p w14:paraId="5420470A" w14:textId="559359BB" w:rsidR="001972CE" w:rsidRPr="00563D71" w:rsidRDefault="001972CE" w:rsidP="00F8628D">
            <w:pPr>
              <w:spacing w:before="0"/>
              <w:rPr>
                <w:sz w:val="20"/>
                <w:szCs w:val="20"/>
              </w:rPr>
            </w:pPr>
            <w:r w:rsidRPr="00563D71">
              <w:rPr>
                <w:b/>
                <w:i/>
                <w:sz w:val="20"/>
                <w:szCs w:val="20"/>
              </w:rPr>
              <w:t xml:space="preserve">Culture </w:t>
            </w:r>
            <w:r w:rsidRPr="00563D71">
              <w:rPr>
                <w:sz w:val="20"/>
                <w:szCs w:val="20"/>
              </w:rPr>
              <w:t>–Sasak village</w:t>
            </w:r>
            <w:r w:rsidR="008164CF" w:rsidRPr="00563D71">
              <w:rPr>
                <w:sz w:val="20"/>
                <w:szCs w:val="20"/>
              </w:rPr>
              <w:t>s that house</w:t>
            </w:r>
            <w:r w:rsidRPr="00563D71">
              <w:rPr>
                <w:sz w:val="20"/>
                <w:szCs w:val="20"/>
              </w:rPr>
              <w:t xml:space="preserve"> traditional Sasak farmer families </w:t>
            </w:r>
            <w:r w:rsidR="008164CF" w:rsidRPr="00563D71">
              <w:rPr>
                <w:sz w:val="20"/>
                <w:szCs w:val="20"/>
              </w:rPr>
              <w:t xml:space="preserve">are </w:t>
            </w:r>
            <w:r w:rsidRPr="00563D71">
              <w:rPr>
                <w:sz w:val="20"/>
                <w:szCs w:val="20"/>
              </w:rPr>
              <w:t>also key attraction</w:t>
            </w:r>
            <w:r w:rsidR="008164CF" w:rsidRPr="00563D71">
              <w:rPr>
                <w:sz w:val="20"/>
                <w:szCs w:val="20"/>
              </w:rPr>
              <w:t>s</w:t>
            </w:r>
            <w:r w:rsidRPr="00563D71">
              <w:rPr>
                <w:sz w:val="20"/>
                <w:szCs w:val="20"/>
              </w:rPr>
              <w:t xml:space="preserve">. </w:t>
            </w:r>
            <w:r w:rsidR="008164CF" w:rsidRPr="00563D71">
              <w:rPr>
                <w:sz w:val="20"/>
                <w:szCs w:val="20"/>
              </w:rPr>
              <w:t xml:space="preserve">A </w:t>
            </w:r>
            <w:r w:rsidRPr="00563D71">
              <w:rPr>
                <w:sz w:val="20"/>
                <w:szCs w:val="20"/>
              </w:rPr>
              <w:t>Hindu temple (e.g. Pura Meru Temple) is the largest and second most important temple in Lombok.</w:t>
            </w:r>
          </w:p>
          <w:p w14:paraId="75523D45" w14:textId="77777777" w:rsidR="001972CE" w:rsidRPr="00563D71" w:rsidRDefault="001972CE" w:rsidP="00F8628D">
            <w:pPr>
              <w:spacing w:before="0"/>
              <w:rPr>
                <w:sz w:val="20"/>
                <w:szCs w:val="20"/>
              </w:rPr>
            </w:pPr>
          </w:p>
        </w:tc>
        <w:tc>
          <w:tcPr>
            <w:tcW w:w="1238" w:type="pct"/>
          </w:tcPr>
          <w:p w14:paraId="40926EC3" w14:textId="1B34BA6D" w:rsidR="001972CE" w:rsidRPr="00563D71" w:rsidRDefault="001972CE" w:rsidP="00F8628D">
            <w:pPr>
              <w:tabs>
                <w:tab w:val="left" w:pos="90"/>
              </w:tabs>
              <w:spacing w:before="0"/>
              <w:ind w:right="270"/>
              <w:rPr>
                <w:sz w:val="20"/>
                <w:szCs w:val="20"/>
              </w:rPr>
            </w:pPr>
            <w:r w:rsidRPr="00563D71">
              <w:rPr>
                <w:b/>
                <w:i/>
                <w:sz w:val="20"/>
                <w:szCs w:val="20"/>
              </w:rPr>
              <w:t>Culture/Heritage</w:t>
            </w:r>
            <w:r w:rsidRPr="00563D71">
              <w:rPr>
                <w:sz w:val="20"/>
                <w:szCs w:val="20"/>
              </w:rPr>
              <w:t xml:space="preserve"> - The Borobudur cluster includes the temples of Borobudur</w:t>
            </w:r>
            <w:r w:rsidR="008804BF" w:rsidRPr="00563D71">
              <w:rPr>
                <w:sz w:val="20"/>
                <w:szCs w:val="20"/>
              </w:rPr>
              <w:t xml:space="preserve">, </w:t>
            </w:r>
            <w:r w:rsidRPr="00563D71">
              <w:rPr>
                <w:sz w:val="20"/>
                <w:szCs w:val="20"/>
              </w:rPr>
              <w:t>Pawon and Mendut; the sunrise spot of Punthuk Setumbu; Bukit Rhema, an abandoned prayer site; and surrounding cultural villages. The Prambanan-</w:t>
            </w:r>
            <w:r w:rsidR="008164CF" w:rsidRPr="00563D71">
              <w:rPr>
                <w:sz w:val="20"/>
                <w:szCs w:val="20"/>
              </w:rPr>
              <w:t xml:space="preserve">Ratu </w:t>
            </w:r>
            <w:r w:rsidRPr="00563D71">
              <w:rPr>
                <w:sz w:val="20"/>
                <w:szCs w:val="20"/>
              </w:rPr>
              <w:t>Boko cluster’s main tourism attractions include the Pramb</w:t>
            </w:r>
            <w:r w:rsidR="008164CF" w:rsidRPr="00563D71">
              <w:rPr>
                <w:sz w:val="20"/>
                <w:szCs w:val="20"/>
              </w:rPr>
              <w:t xml:space="preserve">anan Temple and Ratu Boko, a </w:t>
            </w:r>
            <w:r w:rsidR="007A42B3" w:rsidRPr="00563D71">
              <w:rPr>
                <w:sz w:val="20"/>
                <w:szCs w:val="20"/>
              </w:rPr>
              <w:t>16-ha</w:t>
            </w:r>
            <w:r w:rsidRPr="00563D71">
              <w:rPr>
                <w:sz w:val="20"/>
                <w:szCs w:val="20"/>
              </w:rPr>
              <w:t xml:space="preserve"> site with Buddhist and Hindu structures. The Yogyakarta cluster includes the Keraton, the sultan’s residence and a living museum; the Water</w:t>
            </w:r>
            <w:r w:rsidR="008164CF" w:rsidRPr="00563D71">
              <w:rPr>
                <w:sz w:val="20"/>
                <w:szCs w:val="20"/>
              </w:rPr>
              <w:t xml:space="preserve"> Palace</w:t>
            </w:r>
            <w:r w:rsidR="00772D69" w:rsidRPr="00563D71">
              <w:rPr>
                <w:sz w:val="20"/>
                <w:szCs w:val="20"/>
              </w:rPr>
              <w:t>;</w:t>
            </w:r>
            <w:r w:rsidRPr="00563D71">
              <w:rPr>
                <w:sz w:val="20"/>
                <w:szCs w:val="20"/>
              </w:rPr>
              <w:t xml:space="preserve"> and Malioboro Shopping Street.</w:t>
            </w:r>
          </w:p>
        </w:tc>
      </w:tr>
      <w:tr w:rsidR="00D821F2" w:rsidRPr="00563D71" w14:paraId="1E22EEBE" w14:textId="77777777" w:rsidTr="00F8628D">
        <w:tc>
          <w:tcPr>
            <w:tcW w:w="1125" w:type="pct"/>
          </w:tcPr>
          <w:p w14:paraId="18F08562" w14:textId="77777777" w:rsidR="00D821F2" w:rsidRPr="00563D71" w:rsidRDefault="00D821F2" w:rsidP="00F8628D">
            <w:pPr>
              <w:pStyle w:val="ListParagraph"/>
              <w:numPr>
                <w:ilvl w:val="0"/>
                <w:numId w:val="60"/>
              </w:numPr>
              <w:spacing w:before="0" w:after="0" w:line="240" w:lineRule="auto"/>
              <w:ind w:left="360"/>
              <w:jc w:val="left"/>
              <w:rPr>
                <w:rFonts w:ascii="Times New Roman" w:hAnsi="Times New Roman" w:cs="Times New Roman"/>
                <w:b/>
                <w:bCs/>
                <w:sz w:val="20"/>
                <w:szCs w:val="20"/>
              </w:rPr>
            </w:pPr>
            <w:r w:rsidRPr="00563D71">
              <w:rPr>
                <w:rFonts w:ascii="Times New Roman" w:hAnsi="Times New Roman" w:cs="Times New Roman"/>
                <w:b/>
                <w:bCs/>
                <w:sz w:val="20"/>
                <w:szCs w:val="20"/>
              </w:rPr>
              <w:t>Indigenous people (if any)</w:t>
            </w:r>
          </w:p>
        </w:tc>
        <w:tc>
          <w:tcPr>
            <w:tcW w:w="1314" w:type="pct"/>
          </w:tcPr>
          <w:p w14:paraId="27285FDF" w14:textId="50E0AC28" w:rsidR="00772D69" w:rsidRPr="00563D71" w:rsidRDefault="00772D69" w:rsidP="00F8628D">
            <w:pPr>
              <w:spacing w:before="0"/>
              <w:ind w:left="0" w:firstLine="0"/>
              <w:rPr>
                <w:rFonts w:asciiTheme="majorBidi" w:hAnsiTheme="majorBidi" w:cstheme="majorBidi"/>
                <w:sz w:val="20"/>
                <w:szCs w:val="20"/>
              </w:rPr>
            </w:pPr>
            <w:r w:rsidRPr="00563D71">
              <w:rPr>
                <w:rFonts w:asciiTheme="majorBidi" w:hAnsiTheme="majorBidi" w:cstheme="majorBidi"/>
                <w:sz w:val="20"/>
                <w:szCs w:val="20"/>
              </w:rPr>
              <w:t>Batak people meet the definition of indigenous people and the Batak is the dominant ethnic groups in the key tourism area. They mostly lived in the highlands. However, customary hamlets (</w:t>
            </w:r>
            <w:r w:rsidRPr="00563D71">
              <w:rPr>
                <w:rFonts w:asciiTheme="majorBidi" w:hAnsiTheme="majorBidi" w:cstheme="majorBidi"/>
                <w:i/>
                <w:iCs/>
                <w:sz w:val="20"/>
                <w:szCs w:val="20"/>
              </w:rPr>
              <w:t xml:space="preserve">kampung-kampung </w:t>
            </w:r>
            <w:r w:rsidR="004A1A9F" w:rsidRPr="00563D71">
              <w:rPr>
                <w:rFonts w:asciiTheme="majorBidi" w:hAnsiTheme="majorBidi" w:cstheme="majorBidi"/>
                <w:i/>
                <w:iCs/>
                <w:sz w:val="20"/>
                <w:szCs w:val="20"/>
              </w:rPr>
              <w:t>a</w:t>
            </w:r>
            <w:r w:rsidRPr="00563D71">
              <w:rPr>
                <w:rFonts w:asciiTheme="majorBidi" w:hAnsiTheme="majorBidi" w:cstheme="majorBidi"/>
                <w:i/>
                <w:iCs/>
                <w:sz w:val="20"/>
                <w:szCs w:val="20"/>
              </w:rPr>
              <w:t>dat</w:t>
            </w:r>
            <w:r w:rsidRPr="00563D71">
              <w:rPr>
                <w:rFonts w:asciiTheme="majorBidi" w:hAnsiTheme="majorBidi" w:cstheme="majorBidi"/>
                <w:sz w:val="20"/>
                <w:szCs w:val="20"/>
              </w:rPr>
              <w:t xml:space="preserve">) can be found in the surroundings of   Lake Toba, particularly in Kecamatan Porsea (only a focus for the Program for sanitation and solid waste).  There is a Tano Batak indigenous people alliance network in the area. </w:t>
            </w:r>
            <w:r w:rsidRPr="00563D71">
              <w:rPr>
                <w:rFonts w:asciiTheme="majorBidi" w:hAnsiTheme="majorBidi" w:cstheme="majorBidi"/>
                <w:sz w:val="20"/>
                <w:szCs w:val="20"/>
              </w:rPr>
              <w:lastRenderedPageBreak/>
              <w:t>The organization is currently working towards recognition on customary land territory. </w:t>
            </w:r>
          </w:p>
          <w:p w14:paraId="5E39D126" w14:textId="1695B7D6" w:rsidR="00D821F2" w:rsidRPr="00563D71" w:rsidRDefault="00D821F2" w:rsidP="00F8628D">
            <w:pPr>
              <w:spacing w:before="0"/>
              <w:ind w:left="0" w:firstLine="0"/>
              <w:rPr>
                <w:sz w:val="20"/>
                <w:szCs w:val="20"/>
              </w:rPr>
            </w:pPr>
          </w:p>
        </w:tc>
        <w:tc>
          <w:tcPr>
            <w:tcW w:w="1323" w:type="pct"/>
          </w:tcPr>
          <w:p w14:paraId="63FCCC11" w14:textId="77777777" w:rsidR="00772D69" w:rsidRPr="00563D71" w:rsidRDefault="00772D69" w:rsidP="00F8628D">
            <w:pPr>
              <w:spacing w:before="0"/>
              <w:ind w:left="0" w:firstLine="0"/>
              <w:rPr>
                <w:sz w:val="20"/>
                <w:szCs w:val="20"/>
              </w:rPr>
            </w:pPr>
            <w:r w:rsidRPr="00563D71">
              <w:rPr>
                <w:sz w:val="20"/>
                <w:szCs w:val="20"/>
              </w:rPr>
              <w:lastRenderedPageBreak/>
              <w:t>Sasak people meet the definition of indigenous people. There are some tourism attractions found in in the Sade Customary Village (not included in detailed in development plan), Bek Customary Village, Belek Customary Village, and Bayan Customary Village. Those customary have been revived and share similar movement agenda toward customary land territory recognition.</w:t>
            </w:r>
          </w:p>
          <w:p w14:paraId="6B1982C2" w14:textId="6C0CA9AD" w:rsidR="00D821F2" w:rsidRPr="00563D71" w:rsidRDefault="00772D69" w:rsidP="00F8628D">
            <w:pPr>
              <w:spacing w:before="0"/>
              <w:rPr>
                <w:sz w:val="20"/>
                <w:szCs w:val="20"/>
              </w:rPr>
            </w:pPr>
            <w:r w:rsidRPr="00563D71">
              <w:rPr>
                <w:sz w:val="20"/>
                <w:szCs w:val="20"/>
              </w:rPr>
              <w:t xml:space="preserve">In other parts of Lombok, there are traditional </w:t>
            </w:r>
            <w:r w:rsidRPr="00563D71">
              <w:rPr>
                <w:sz w:val="20"/>
                <w:szCs w:val="20"/>
              </w:rPr>
              <w:lastRenderedPageBreak/>
              <w:t xml:space="preserve">settlements intertwine with modern settlements. This can be found in Khayangan District and Bayan District, North Lombok (not part of the detailed development plans). There is also indigenous people in Ende Village in Pujut district in middle of Lombok (also not part of the detailed development plans). </w:t>
            </w:r>
          </w:p>
        </w:tc>
        <w:tc>
          <w:tcPr>
            <w:tcW w:w="1238" w:type="pct"/>
          </w:tcPr>
          <w:p w14:paraId="4CBA3227" w14:textId="23259196" w:rsidR="00D821F2" w:rsidRPr="00563D71" w:rsidRDefault="00D821F2" w:rsidP="00F8628D">
            <w:pPr>
              <w:spacing w:before="0"/>
              <w:rPr>
                <w:sz w:val="20"/>
                <w:szCs w:val="20"/>
              </w:rPr>
            </w:pPr>
            <w:r w:rsidRPr="00563D71">
              <w:rPr>
                <w:sz w:val="20"/>
                <w:szCs w:val="20"/>
              </w:rPr>
              <w:lastRenderedPageBreak/>
              <w:t xml:space="preserve">Javanese is the dominant ethnic group in the area. There are no indigenous people being identified in surrounding Borobudur, Magelang, and Yogyakarta. </w:t>
            </w:r>
          </w:p>
        </w:tc>
      </w:tr>
    </w:tbl>
    <w:p w14:paraId="0B69D70A" w14:textId="77777777" w:rsidR="00812E56" w:rsidRPr="00563D71" w:rsidRDefault="00812E56" w:rsidP="003D2E29">
      <w:pPr>
        <w:spacing w:before="0"/>
        <w:rPr>
          <w:i/>
          <w:iCs/>
          <w:sz w:val="20"/>
          <w:szCs w:val="20"/>
        </w:rPr>
      </w:pPr>
      <w:r w:rsidRPr="00563D71">
        <w:rPr>
          <w:i/>
          <w:iCs/>
          <w:sz w:val="20"/>
          <w:szCs w:val="20"/>
        </w:rPr>
        <w:t>Table sources and notes:</w:t>
      </w:r>
    </w:p>
    <w:p w14:paraId="766B603D" w14:textId="77777777" w:rsidR="00812E56" w:rsidRPr="00563D71" w:rsidRDefault="00812E56" w:rsidP="003D2E29">
      <w:pPr>
        <w:spacing w:before="0"/>
        <w:rPr>
          <w:sz w:val="20"/>
          <w:szCs w:val="20"/>
        </w:rPr>
      </w:pPr>
      <w:bookmarkStart w:id="42" w:name="OLE_LINK19"/>
      <w:bookmarkStart w:id="43" w:name="OLE_LINK17"/>
      <w:r w:rsidRPr="00563D71">
        <w:rPr>
          <w:sz w:val="20"/>
          <w:szCs w:val="20"/>
        </w:rPr>
        <w:t xml:space="preserve">* KSPN Lake Toba Chapter 3 on the profile of the planned district. </w:t>
      </w:r>
      <w:bookmarkEnd w:id="42"/>
    </w:p>
    <w:bookmarkEnd w:id="43"/>
    <w:p w14:paraId="1057FA8D" w14:textId="77777777" w:rsidR="00812E56" w:rsidRPr="00563D71" w:rsidRDefault="00812E56" w:rsidP="003D2E29">
      <w:pPr>
        <w:spacing w:before="0"/>
        <w:rPr>
          <w:sz w:val="20"/>
          <w:szCs w:val="20"/>
        </w:rPr>
      </w:pPr>
      <w:r w:rsidRPr="00563D71">
        <w:rPr>
          <w:sz w:val="20"/>
          <w:szCs w:val="20"/>
        </w:rPr>
        <w:t>** Lombok Baseline Supply &amp; Demand Assessment – Horwath HTL and Surbana Jurong.</w:t>
      </w:r>
    </w:p>
    <w:p w14:paraId="1A33A667" w14:textId="77777777" w:rsidR="00812E56" w:rsidRPr="00563D71" w:rsidRDefault="00812E56" w:rsidP="003D2E29">
      <w:pPr>
        <w:spacing w:before="0"/>
        <w:rPr>
          <w:sz w:val="20"/>
          <w:szCs w:val="20"/>
        </w:rPr>
      </w:pPr>
      <w:r w:rsidRPr="00563D71">
        <w:rPr>
          <w:sz w:val="20"/>
          <w:szCs w:val="20"/>
        </w:rPr>
        <w:t>*** Borobudur (Joglosemar) Baseline &amp; Demand Assessment – Horwath HTL and Surbana Jurong.</w:t>
      </w:r>
    </w:p>
    <w:p w14:paraId="10CE19BF" w14:textId="10FBE0F9" w:rsidR="00812E56" w:rsidRPr="00563D71" w:rsidRDefault="00812E56" w:rsidP="003D2E29">
      <w:pPr>
        <w:spacing w:before="0"/>
        <w:rPr>
          <w:rFonts w:cstheme="minorHAnsi"/>
          <w:sz w:val="20"/>
          <w:szCs w:val="20"/>
        </w:rPr>
      </w:pPr>
      <w:r w:rsidRPr="00563D71">
        <w:rPr>
          <w:rFonts w:cstheme="minorHAnsi"/>
          <w:sz w:val="20"/>
          <w:szCs w:val="20"/>
        </w:rPr>
        <w:t>**** Every year in February, there is an annual tourist event which is known as “Bau Nyale”.</w:t>
      </w:r>
    </w:p>
    <w:p w14:paraId="4F4E4A3D" w14:textId="1AD52701" w:rsidR="00FF16D7" w:rsidRPr="00563D71" w:rsidRDefault="00FF16D7" w:rsidP="001972CE">
      <w:pPr>
        <w:ind w:left="828" w:firstLine="0"/>
        <w:rPr>
          <w:sz w:val="20"/>
          <w:szCs w:val="20"/>
        </w:rPr>
      </w:pPr>
    </w:p>
    <w:p w14:paraId="2D2F2004" w14:textId="2BA37817" w:rsidR="00245F03" w:rsidRPr="00563D71" w:rsidRDefault="00960566" w:rsidP="003D2E29">
      <w:pPr>
        <w:pStyle w:val="Heading2"/>
        <w:spacing w:after="120"/>
        <w:ind w:left="14" w:hanging="14"/>
      </w:pPr>
      <w:bookmarkStart w:id="44" w:name="_Toc485831029"/>
      <w:r w:rsidRPr="00563D71">
        <w:t>3</w:t>
      </w:r>
      <w:r w:rsidR="00D04B10" w:rsidRPr="00563D71">
        <w:t>.2</w:t>
      </w:r>
      <w:r w:rsidR="00203417" w:rsidRPr="00563D71">
        <w:rPr>
          <w:rFonts w:ascii="Arial" w:eastAsia="Arial" w:hAnsi="Arial" w:cs="Arial"/>
        </w:rPr>
        <w:t xml:space="preserve"> </w:t>
      </w:r>
      <w:r w:rsidR="00203417" w:rsidRPr="00563D71">
        <w:rPr>
          <w:rFonts w:ascii="Arial" w:eastAsia="Arial" w:hAnsi="Arial" w:cs="Arial"/>
        </w:rPr>
        <w:tab/>
      </w:r>
      <w:r w:rsidR="00D04B10" w:rsidRPr="00563D71">
        <w:t>Potential Environmental</w:t>
      </w:r>
      <w:r w:rsidR="004436D0" w:rsidRPr="00563D71">
        <w:t xml:space="preserve"> Benefits,</w:t>
      </w:r>
      <w:r w:rsidR="00D04B10" w:rsidRPr="00563D71">
        <w:t xml:space="preserve"> </w:t>
      </w:r>
      <w:r w:rsidR="004436D0" w:rsidRPr="00563D71">
        <w:t xml:space="preserve">Impacts, and </w:t>
      </w:r>
      <w:r w:rsidR="00D4579B" w:rsidRPr="00563D71">
        <w:t>Mitigation Measures</w:t>
      </w:r>
      <w:bookmarkEnd w:id="44"/>
    </w:p>
    <w:p w14:paraId="655CDECA" w14:textId="2794F68B" w:rsidR="00A84C7D" w:rsidRPr="008A45CD" w:rsidRDefault="004436D0" w:rsidP="008A45CD">
      <w:pPr>
        <w:pStyle w:val="MainParanoChapter-Ch3"/>
        <w:rPr>
          <w:bCs/>
        </w:rPr>
      </w:pPr>
      <w:bookmarkStart w:id="45" w:name="_Toc408824937"/>
      <w:bookmarkStart w:id="46" w:name="_Toc408810513"/>
      <w:r w:rsidRPr="00563D71">
        <w:rPr>
          <w:bCs/>
        </w:rPr>
        <w:t>The Program’s potential environmental benefits are substantial and long-term.  They can be summarized as follows.</w:t>
      </w:r>
    </w:p>
    <w:p w14:paraId="74ABA24E" w14:textId="30264704" w:rsidR="004436D0" w:rsidRPr="00563D71" w:rsidRDefault="004436D0" w:rsidP="003D2E29">
      <w:pPr>
        <w:numPr>
          <w:ilvl w:val="0"/>
          <w:numId w:val="8"/>
        </w:numPr>
        <w:tabs>
          <w:tab w:val="left" w:pos="90"/>
        </w:tabs>
        <w:spacing w:before="0" w:after="120"/>
      </w:pPr>
      <w:r w:rsidRPr="00563D71">
        <w:t xml:space="preserve">Benefits from integrated </w:t>
      </w:r>
      <w:r w:rsidR="00B915E0" w:rsidRPr="00563D71">
        <w:t xml:space="preserve">tourism </w:t>
      </w:r>
      <w:r w:rsidRPr="00563D71">
        <w:t>master plans</w:t>
      </w:r>
      <w:r w:rsidR="006E301F" w:rsidRPr="00563D71">
        <w:t>, downstream plann</w:t>
      </w:r>
      <w:r w:rsidR="007231A7" w:rsidRPr="00563D71">
        <w:t>ing documents and studies, and P</w:t>
      </w:r>
      <w:r w:rsidR="006E301F" w:rsidRPr="00563D71">
        <w:t xml:space="preserve">rogram management capabilities, </w:t>
      </w:r>
      <w:r w:rsidRPr="00563D71">
        <w:t xml:space="preserve">supported by the </w:t>
      </w:r>
      <w:r w:rsidR="006E301F" w:rsidRPr="00563D71">
        <w:t xml:space="preserve">IPF technical assistance component of the Operation </w:t>
      </w:r>
      <w:r w:rsidR="002E091C" w:rsidRPr="00563D71">
        <w:t>that recognize environmental and social constraints and opportunities</w:t>
      </w:r>
      <w:r w:rsidRPr="00563D71">
        <w:t>:</w:t>
      </w:r>
    </w:p>
    <w:p w14:paraId="6593A5C3" w14:textId="77777777" w:rsidR="004436D0" w:rsidRPr="00563D71" w:rsidRDefault="004436D0" w:rsidP="003D2E29">
      <w:pPr>
        <w:numPr>
          <w:ilvl w:val="1"/>
          <w:numId w:val="8"/>
        </w:numPr>
        <w:tabs>
          <w:tab w:val="left" w:pos="90"/>
        </w:tabs>
        <w:spacing w:before="240" w:after="120"/>
        <w:contextualSpacing/>
      </w:pPr>
      <w:r w:rsidRPr="00563D71">
        <w:t>Coordination of infrastructure development to keep pace with growth in tourism, thereby avoiding environmental degradation caused by volumes of solid and liquid waste and vehicle and pedestrian traffic that exceed the capacities of collection and treatment system, roads, parking lots, bus depots, and walkways</w:t>
      </w:r>
    </w:p>
    <w:p w14:paraId="28F0239B" w14:textId="77777777" w:rsidR="004436D0" w:rsidRPr="00563D71" w:rsidRDefault="004436D0" w:rsidP="00854FB5">
      <w:pPr>
        <w:numPr>
          <w:ilvl w:val="1"/>
          <w:numId w:val="8"/>
        </w:numPr>
        <w:tabs>
          <w:tab w:val="left" w:pos="90"/>
        </w:tabs>
        <w:spacing w:after="120"/>
        <w:contextualSpacing/>
      </w:pPr>
      <w:r w:rsidRPr="00563D71">
        <w:t>Environmentally-sensitive siting of tourism facilities and infrastructure</w:t>
      </w:r>
    </w:p>
    <w:p w14:paraId="5A328E36" w14:textId="77777777" w:rsidR="00ED32A5" w:rsidRPr="00563D71" w:rsidRDefault="00ED32A5" w:rsidP="00854FB5">
      <w:pPr>
        <w:numPr>
          <w:ilvl w:val="1"/>
          <w:numId w:val="8"/>
        </w:numPr>
        <w:tabs>
          <w:tab w:val="left" w:pos="90"/>
        </w:tabs>
        <w:spacing w:after="120"/>
        <w:contextualSpacing/>
      </w:pPr>
      <w:r w:rsidRPr="00563D71">
        <w:t>Visitor management plans for natural and cultural attractions sensitive to volume of tourists</w:t>
      </w:r>
    </w:p>
    <w:p w14:paraId="777E7482" w14:textId="0197AF2A" w:rsidR="004436D0" w:rsidRPr="00563D71" w:rsidRDefault="002E091C" w:rsidP="00854FB5">
      <w:pPr>
        <w:numPr>
          <w:ilvl w:val="1"/>
          <w:numId w:val="8"/>
        </w:numPr>
        <w:tabs>
          <w:tab w:val="left" w:pos="90"/>
        </w:tabs>
        <w:spacing w:after="120"/>
        <w:contextualSpacing/>
      </w:pPr>
      <w:r w:rsidRPr="00563D71">
        <w:t>Increased probability tourism experience that is mutually satisfying, for the visitors and the host communities</w:t>
      </w:r>
      <w:r w:rsidR="004436D0" w:rsidRPr="00563D71">
        <w:t xml:space="preserve"> </w:t>
      </w:r>
    </w:p>
    <w:p w14:paraId="494887E7" w14:textId="77777777" w:rsidR="004436D0" w:rsidRPr="00563D71" w:rsidRDefault="004436D0" w:rsidP="002E091C">
      <w:pPr>
        <w:tabs>
          <w:tab w:val="left" w:pos="90"/>
        </w:tabs>
        <w:spacing w:after="120"/>
        <w:ind w:left="0" w:firstLine="0"/>
      </w:pPr>
    </w:p>
    <w:p w14:paraId="7E927950" w14:textId="1FE72ABB" w:rsidR="004436D0" w:rsidRPr="00563D71" w:rsidRDefault="004436D0" w:rsidP="00854FB5">
      <w:pPr>
        <w:numPr>
          <w:ilvl w:val="0"/>
          <w:numId w:val="8"/>
        </w:numPr>
        <w:tabs>
          <w:tab w:val="left" w:pos="90"/>
        </w:tabs>
        <w:spacing w:after="120"/>
        <w:contextualSpacing/>
      </w:pPr>
      <w:r w:rsidRPr="00563D71">
        <w:t xml:space="preserve">Benefits from </w:t>
      </w:r>
      <w:r w:rsidR="00B504AF" w:rsidRPr="00563D71">
        <w:t>upgraded and expanded</w:t>
      </w:r>
      <w:r w:rsidRPr="00563D71">
        <w:t xml:space="preserve"> system</w:t>
      </w:r>
      <w:r w:rsidR="00B504AF" w:rsidRPr="00563D71">
        <w:t>s</w:t>
      </w:r>
      <w:r w:rsidRPr="00563D71">
        <w:t xml:space="preserve"> </w:t>
      </w:r>
      <w:r w:rsidR="00B504AF" w:rsidRPr="00563D71">
        <w:t xml:space="preserve">to </w:t>
      </w:r>
      <w:r w:rsidRPr="00563D71">
        <w:t>provide clean water, wastewater treatment system</w:t>
      </w:r>
      <w:r w:rsidR="00411FD2" w:rsidRPr="00563D71">
        <w:t>s,</w:t>
      </w:r>
      <w:r w:rsidRPr="00563D71">
        <w:t xml:space="preserve"> </w:t>
      </w:r>
      <w:r w:rsidR="002F400F" w:rsidRPr="00563D71">
        <w:t xml:space="preserve">greening, </w:t>
      </w:r>
      <w:r w:rsidRPr="00563D71">
        <w:t>and solid waste management:</w:t>
      </w:r>
    </w:p>
    <w:p w14:paraId="5444EE71" w14:textId="283A9BCB" w:rsidR="004436D0" w:rsidRPr="00563D71" w:rsidRDefault="00411FD2" w:rsidP="00411FD2">
      <w:pPr>
        <w:numPr>
          <w:ilvl w:val="1"/>
          <w:numId w:val="8"/>
        </w:numPr>
        <w:tabs>
          <w:tab w:val="left" w:pos="90"/>
        </w:tabs>
        <w:spacing w:after="120"/>
        <w:contextualSpacing/>
      </w:pPr>
      <w:r w:rsidRPr="00563D71">
        <w:t xml:space="preserve">Promotion of </w:t>
      </w:r>
      <w:r w:rsidR="004436D0" w:rsidRPr="00563D71">
        <w:t xml:space="preserve">good health among </w:t>
      </w:r>
      <w:r w:rsidRPr="00563D71">
        <w:t>local residents</w:t>
      </w:r>
      <w:r w:rsidR="004436D0" w:rsidRPr="00563D71">
        <w:t xml:space="preserve"> and </w:t>
      </w:r>
      <w:r w:rsidR="006E301F" w:rsidRPr="00563D71">
        <w:t>visitors</w:t>
      </w:r>
    </w:p>
    <w:p w14:paraId="529E3440" w14:textId="1CB41388" w:rsidR="0001423C" w:rsidRPr="00563D71" w:rsidRDefault="004436D0" w:rsidP="00411FD2">
      <w:pPr>
        <w:numPr>
          <w:ilvl w:val="1"/>
          <w:numId w:val="8"/>
        </w:numPr>
        <w:tabs>
          <w:tab w:val="left" w:pos="90"/>
        </w:tabs>
        <w:spacing w:after="120"/>
        <w:contextualSpacing/>
        <w:jc w:val="left"/>
      </w:pPr>
      <w:r w:rsidRPr="00563D71">
        <w:t>Prevention of pollution o</w:t>
      </w:r>
      <w:r w:rsidR="00411FD2" w:rsidRPr="00563D71">
        <w:t>f</w:t>
      </w:r>
      <w:r w:rsidRPr="00563D71">
        <w:t xml:space="preserve"> natural resources (e.g. rivers, soil, groundwater) generated from </w:t>
      </w:r>
      <w:r w:rsidR="00411FD2" w:rsidRPr="00563D71">
        <w:t xml:space="preserve">poorly managed </w:t>
      </w:r>
      <w:r w:rsidRPr="00563D71">
        <w:t>human waste and solid waste</w:t>
      </w:r>
    </w:p>
    <w:p w14:paraId="112BD76D" w14:textId="2B3842FC" w:rsidR="00B504AF" w:rsidRPr="00563D71" w:rsidRDefault="00411FD2" w:rsidP="00DE4256">
      <w:pPr>
        <w:numPr>
          <w:ilvl w:val="1"/>
          <w:numId w:val="8"/>
        </w:numPr>
        <w:tabs>
          <w:tab w:val="left" w:pos="90"/>
        </w:tabs>
        <w:spacing w:after="120"/>
        <w:contextualSpacing/>
        <w:jc w:val="left"/>
      </w:pPr>
      <w:r w:rsidRPr="00563D71">
        <w:t xml:space="preserve">Promotion of </w:t>
      </w:r>
      <w:r w:rsidR="0001423C" w:rsidRPr="00563D71">
        <w:t xml:space="preserve">clean environment that lead to an increased </w:t>
      </w:r>
      <w:r w:rsidR="006A62B5" w:rsidRPr="00563D71">
        <w:t xml:space="preserve">comfort </w:t>
      </w:r>
      <w:r w:rsidR="0001423C" w:rsidRPr="00563D71">
        <w:t xml:space="preserve">for local people and </w:t>
      </w:r>
      <w:r w:rsidR="006E301F" w:rsidRPr="00563D71">
        <w:t>visitors</w:t>
      </w:r>
    </w:p>
    <w:p w14:paraId="0A460100" w14:textId="77777777" w:rsidR="00A84C7D" w:rsidRPr="00563D71" w:rsidRDefault="00A84C7D" w:rsidP="003D2E29">
      <w:pPr>
        <w:tabs>
          <w:tab w:val="left" w:pos="90"/>
        </w:tabs>
        <w:spacing w:after="120"/>
        <w:ind w:left="1080" w:firstLine="0"/>
        <w:contextualSpacing/>
      </w:pPr>
    </w:p>
    <w:p w14:paraId="0387DFD8" w14:textId="73BD73B9" w:rsidR="004436D0" w:rsidRPr="00563D71" w:rsidRDefault="00B504AF" w:rsidP="003D2E29">
      <w:pPr>
        <w:numPr>
          <w:ilvl w:val="0"/>
          <w:numId w:val="8"/>
        </w:numPr>
        <w:tabs>
          <w:tab w:val="left" w:pos="90"/>
        </w:tabs>
        <w:contextualSpacing/>
      </w:pPr>
      <w:r w:rsidRPr="00563D71">
        <w:lastRenderedPageBreak/>
        <w:t>Benefits from improved</w:t>
      </w:r>
      <w:r w:rsidR="0001423C" w:rsidRPr="00563D71">
        <w:t xml:space="preserve"> and better-managed</w:t>
      </w:r>
      <w:r w:rsidRPr="00563D71">
        <w:t xml:space="preserve"> roads, </w:t>
      </w:r>
      <w:r w:rsidR="00976F78" w:rsidRPr="00563D71">
        <w:t>p</w:t>
      </w:r>
      <w:r w:rsidRPr="00563D71">
        <w:t>arking, walkways, signalization</w:t>
      </w:r>
      <w:r w:rsidR="002E091C" w:rsidRPr="00563D71">
        <w:t>, etc.:</w:t>
      </w:r>
    </w:p>
    <w:p w14:paraId="1F62DB89" w14:textId="5A47DC71" w:rsidR="00B504AF" w:rsidRPr="00563D71" w:rsidRDefault="00B504AF" w:rsidP="003D2E29">
      <w:pPr>
        <w:pStyle w:val="ListParagraph"/>
        <w:numPr>
          <w:ilvl w:val="0"/>
          <w:numId w:val="13"/>
        </w:numPr>
        <w:tabs>
          <w:tab w:val="left" w:pos="90"/>
        </w:tabs>
        <w:spacing w:before="0" w:after="120" w:line="240" w:lineRule="auto"/>
        <w:rPr>
          <w:rFonts w:ascii="Times New Roman" w:hAnsi="Times New Roman" w:cs="Times New Roman"/>
          <w:sz w:val="24"/>
          <w:szCs w:val="24"/>
        </w:rPr>
      </w:pPr>
      <w:r w:rsidRPr="00563D71">
        <w:rPr>
          <w:rFonts w:ascii="Times New Roman" w:hAnsi="Times New Roman" w:cs="Times New Roman"/>
          <w:sz w:val="24"/>
          <w:szCs w:val="24"/>
        </w:rPr>
        <w:t>Reduced traffic congestion</w:t>
      </w:r>
      <w:r w:rsidR="0092385C" w:rsidRPr="00563D71">
        <w:rPr>
          <w:rFonts w:ascii="Times New Roman" w:hAnsi="Times New Roman" w:cs="Times New Roman"/>
          <w:sz w:val="24"/>
          <w:szCs w:val="24"/>
        </w:rPr>
        <w:t xml:space="preserve"> with potential reduction in air emissions.</w:t>
      </w:r>
    </w:p>
    <w:p w14:paraId="6E02128B" w14:textId="713EDFDA" w:rsidR="00411FD2" w:rsidRPr="00563D71" w:rsidRDefault="00B504AF" w:rsidP="00411FD2">
      <w:pPr>
        <w:pStyle w:val="ListParagraph"/>
        <w:numPr>
          <w:ilvl w:val="0"/>
          <w:numId w:val="13"/>
        </w:numPr>
        <w:tabs>
          <w:tab w:val="left" w:pos="9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Reduced vehicle and pedestrian accident hazard</w:t>
      </w:r>
      <w:r w:rsidR="00C412CD" w:rsidRPr="00563D71">
        <w:rPr>
          <w:rFonts w:ascii="Times New Roman" w:hAnsi="Times New Roman" w:cs="Times New Roman"/>
          <w:sz w:val="24"/>
          <w:szCs w:val="24"/>
        </w:rPr>
        <w:t>s</w:t>
      </w:r>
    </w:p>
    <w:p w14:paraId="7FF2384A" w14:textId="77777777" w:rsidR="00411FD2" w:rsidRPr="00563D71" w:rsidRDefault="00411FD2" w:rsidP="003D2E29">
      <w:pPr>
        <w:pStyle w:val="ListParagraph"/>
        <w:tabs>
          <w:tab w:val="left" w:pos="90"/>
        </w:tabs>
        <w:spacing w:after="120" w:line="240" w:lineRule="auto"/>
        <w:ind w:left="1800"/>
        <w:rPr>
          <w:rFonts w:ascii="Times New Roman" w:hAnsi="Times New Roman" w:cs="Times New Roman"/>
          <w:sz w:val="24"/>
          <w:szCs w:val="24"/>
        </w:rPr>
      </w:pPr>
    </w:p>
    <w:p w14:paraId="089F817B" w14:textId="1F404E93" w:rsidR="00B504AF" w:rsidRPr="00563D71" w:rsidRDefault="002E091C" w:rsidP="00854FB5">
      <w:pPr>
        <w:numPr>
          <w:ilvl w:val="0"/>
          <w:numId w:val="8"/>
        </w:numPr>
        <w:tabs>
          <w:tab w:val="left" w:pos="90"/>
        </w:tabs>
        <w:spacing w:after="120"/>
        <w:contextualSpacing/>
        <w:rPr>
          <w:szCs w:val="24"/>
        </w:rPr>
      </w:pPr>
      <w:r w:rsidRPr="00563D71">
        <w:rPr>
          <w:szCs w:val="24"/>
        </w:rPr>
        <w:t>Benefits from arrangements for monitoring and protection of natural and cultural resources at the destinations:</w:t>
      </w:r>
    </w:p>
    <w:p w14:paraId="3ABAF3FB" w14:textId="433AFE60" w:rsidR="002E091C" w:rsidRPr="00563D71" w:rsidRDefault="002E091C" w:rsidP="00854FB5">
      <w:pPr>
        <w:pStyle w:val="ListParagraph"/>
        <w:numPr>
          <w:ilvl w:val="0"/>
          <w:numId w:val="18"/>
        </w:numPr>
        <w:tabs>
          <w:tab w:val="left" w:pos="9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Increased public awareness of the importance of preserving the resources that attract tourists</w:t>
      </w:r>
    </w:p>
    <w:p w14:paraId="0FB58EFB" w14:textId="2187ABE3" w:rsidR="002E091C" w:rsidRPr="00563D71" w:rsidRDefault="002E091C" w:rsidP="00854FB5">
      <w:pPr>
        <w:pStyle w:val="ListParagraph"/>
        <w:numPr>
          <w:ilvl w:val="0"/>
          <w:numId w:val="18"/>
        </w:numPr>
        <w:tabs>
          <w:tab w:val="left" w:pos="9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 xml:space="preserve">Early warning of deterioration </w:t>
      </w:r>
    </w:p>
    <w:p w14:paraId="6CD9E7CC" w14:textId="458D9F1C" w:rsidR="002E091C" w:rsidRPr="00563D71" w:rsidRDefault="002E091C" w:rsidP="00854FB5">
      <w:pPr>
        <w:pStyle w:val="ListParagraph"/>
        <w:numPr>
          <w:ilvl w:val="0"/>
          <w:numId w:val="18"/>
        </w:numPr>
        <w:tabs>
          <w:tab w:val="left" w:pos="9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Vehicle for coordinated response to negative trends by all relevant actors</w:t>
      </w:r>
    </w:p>
    <w:p w14:paraId="28B8687F" w14:textId="46309A04" w:rsidR="002E091C" w:rsidRDefault="002E091C" w:rsidP="00854FB5">
      <w:pPr>
        <w:pStyle w:val="ListParagraph"/>
        <w:numPr>
          <w:ilvl w:val="0"/>
          <w:numId w:val="18"/>
        </w:numPr>
        <w:tabs>
          <w:tab w:val="left" w:pos="9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Source of information (when monitoring results are positive) that can be used in advertising for the destinations</w:t>
      </w:r>
    </w:p>
    <w:p w14:paraId="76DB4D1E" w14:textId="77777777" w:rsidR="008A45CD" w:rsidRPr="00563D71" w:rsidRDefault="008A45CD" w:rsidP="008A45CD">
      <w:pPr>
        <w:pStyle w:val="ListParagraph"/>
        <w:tabs>
          <w:tab w:val="left" w:pos="90"/>
        </w:tabs>
        <w:spacing w:after="120" w:line="240" w:lineRule="auto"/>
        <w:ind w:left="1800"/>
        <w:rPr>
          <w:rFonts w:ascii="Times New Roman" w:hAnsi="Times New Roman" w:cs="Times New Roman"/>
          <w:sz w:val="24"/>
          <w:szCs w:val="24"/>
        </w:rPr>
      </w:pPr>
    </w:p>
    <w:p w14:paraId="1A89C8B8" w14:textId="0D93B6DF" w:rsidR="00A84C7D" w:rsidRPr="008A45CD" w:rsidRDefault="00FB1A84" w:rsidP="008A45CD">
      <w:pPr>
        <w:pStyle w:val="MainParanoChapter-Ch3"/>
        <w:rPr>
          <w:bCs/>
        </w:rPr>
      </w:pPr>
      <w:bookmarkStart w:id="47" w:name="_Toc408824942"/>
      <w:bookmarkStart w:id="48" w:name="_Toc408810518"/>
      <w:bookmarkEnd w:id="45"/>
      <w:bookmarkEnd w:id="46"/>
      <w:r w:rsidRPr="00563D71">
        <w:rPr>
          <w:bCs/>
        </w:rPr>
        <w:t>The</w:t>
      </w:r>
      <w:r w:rsidR="004436D0" w:rsidRPr="00563D71">
        <w:rPr>
          <w:bCs/>
        </w:rPr>
        <w:t xml:space="preserve"> environmental risks associated with </w:t>
      </w:r>
      <w:r w:rsidRPr="00563D71">
        <w:rPr>
          <w:bCs/>
        </w:rPr>
        <w:t xml:space="preserve">activities that could be supported under </w:t>
      </w:r>
      <w:r w:rsidR="004436D0" w:rsidRPr="00563D71">
        <w:rPr>
          <w:bCs/>
        </w:rPr>
        <w:t xml:space="preserve">the Program are summarized below.  </w:t>
      </w:r>
      <w:bookmarkEnd w:id="47"/>
      <w:bookmarkEnd w:id="48"/>
    </w:p>
    <w:p w14:paraId="7A304969" w14:textId="29AF540D" w:rsidR="004436D0" w:rsidRPr="00563D71" w:rsidRDefault="004436D0" w:rsidP="003D2E29">
      <w:pPr>
        <w:numPr>
          <w:ilvl w:val="1"/>
          <w:numId w:val="9"/>
        </w:numPr>
        <w:tabs>
          <w:tab w:val="left" w:pos="90"/>
        </w:tabs>
        <w:spacing w:before="0" w:after="120"/>
        <w:ind w:left="1080"/>
      </w:pPr>
      <w:r w:rsidRPr="00563D71">
        <w:t xml:space="preserve">Risks </w:t>
      </w:r>
      <w:r w:rsidR="00FB1A84" w:rsidRPr="00563D71">
        <w:t>common to</w:t>
      </w:r>
      <w:r w:rsidRPr="00563D71">
        <w:t xml:space="preserve"> </w:t>
      </w:r>
      <w:r w:rsidR="00FB1A84" w:rsidRPr="00563D71">
        <w:t xml:space="preserve">most </w:t>
      </w:r>
      <w:r w:rsidRPr="00563D71">
        <w:t xml:space="preserve">construction </w:t>
      </w:r>
      <w:r w:rsidR="00FB1A84" w:rsidRPr="00563D71">
        <w:t>activities, e.g., roads, walkways, information centers, pipelines, water and wastewater treatment works:</w:t>
      </w:r>
      <w:r w:rsidRPr="00563D71">
        <w:t xml:space="preserve"> </w:t>
      </w:r>
    </w:p>
    <w:p w14:paraId="0671D32F" w14:textId="77777777" w:rsidR="00FB1A84" w:rsidRPr="00563D71" w:rsidRDefault="00FB1A84" w:rsidP="003D2E29">
      <w:pPr>
        <w:numPr>
          <w:ilvl w:val="0"/>
          <w:numId w:val="10"/>
        </w:numPr>
        <w:tabs>
          <w:tab w:val="left" w:pos="90"/>
          <w:tab w:val="left" w:pos="1209"/>
        </w:tabs>
        <w:spacing w:before="0"/>
        <w:contextualSpacing/>
      </w:pPr>
      <w:r w:rsidRPr="00563D71">
        <w:t>Loss of vegetation and topsoil from land clearing</w:t>
      </w:r>
    </w:p>
    <w:p w14:paraId="297D44A5" w14:textId="46ECCFFE" w:rsidR="004436D0" w:rsidRPr="00563D71" w:rsidRDefault="00FB1A84" w:rsidP="003D2E29">
      <w:pPr>
        <w:numPr>
          <w:ilvl w:val="0"/>
          <w:numId w:val="10"/>
        </w:numPr>
        <w:tabs>
          <w:tab w:val="left" w:pos="90"/>
          <w:tab w:val="left" w:pos="1209"/>
        </w:tabs>
        <w:spacing w:before="0"/>
        <w:contextualSpacing/>
      </w:pPr>
      <w:r w:rsidRPr="00563D71">
        <w:t>Soil erosion and stream sedimentation</w:t>
      </w:r>
    </w:p>
    <w:p w14:paraId="458CD5A4" w14:textId="7EC34D96" w:rsidR="00FB1A84" w:rsidRPr="00563D71" w:rsidRDefault="00FB1A84" w:rsidP="003D2E29">
      <w:pPr>
        <w:numPr>
          <w:ilvl w:val="0"/>
          <w:numId w:val="10"/>
        </w:numPr>
        <w:tabs>
          <w:tab w:val="left" w:pos="90"/>
          <w:tab w:val="left" w:pos="1209"/>
        </w:tabs>
        <w:spacing w:before="0"/>
        <w:contextualSpacing/>
      </w:pPr>
      <w:r w:rsidRPr="00563D71">
        <w:t>Dust</w:t>
      </w:r>
    </w:p>
    <w:p w14:paraId="05F40DD5" w14:textId="64C78BE0" w:rsidR="00FB1A84" w:rsidRPr="00563D71" w:rsidRDefault="00FB1A84" w:rsidP="003D2E29">
      <w:pPr>
        <w:numPr>
          <w:ilvl w:val="0"/>
          <w:numId w:val="10"/>
        </w:numPr>
        <w:tabs>
          <w:tab w:val="left" w:pos="90"/>
          <w:tab w:val="left" w:pos="1209"/>
        </w:tabs>
        <w:spacing w:before="0"/>
        <w:contextualSpacing/>
      </w:pPr>
      <w:r w:rsidRPr="00563D71">
        <w:t>Noise and air emissions from heavy equipment</w:t>
      </w:r>
    </w:p>
    <w:p w14:paraId="564DFEF8" w14:textId="6552DEC1" w:rsidR="00FB1A84" w:rsidRPr="00563D71" w:rsidRDefault="00FB1A84" w:rsidP="003D2E29">
      <w:pPr>
        <w:numPr>
          <w:ilvl w:val="0"/>
          <w:numId w:val="10"/>
        </w:numPr>
        <w:tabs>
          <w:tab w:val="left" w:pos="90"/>
          <w:tab w:val="left" w:pos="1209"/>
        </w:tabs>
        <w:spacing w:before="0"/>
        <w:contextualSpacing/>
      </w:pPr>
      <w:r w:rsidRPr="00563D71">
        <w:t>Improper disposal of construction waste</w:t>
      </w:r>
    </w:p>
    <w:p w14:paraId="1C1178C5" w14:textId="1E1F6412" w:rsidR="00FB1A84" w:rsidRPr="00563D71" w:rsidRDefault="00FB1A84" w:rsidP="003D2E29">
      <w:pPr>
        <w:numPr>
          <w:ilvl w:val="0"/>
          <w:numId w:val="10"/>
        </w:numPr>
        <w:tabs>
          <w:tab w:val="left" w:pos="90"/>
          <w:tab w:val="left" w:pos="1209"/>
        </w:tabs>
        <w:spacing w:before="0"/>
        <w:contextualSpacing/>
      </w:pPr>
      <w:r w:rsidRPr="00563D71">
        <w:t>Spills of fuel and lubricants</w:t>
      </w:r>
    </w:p>
    <w:p w14:paraId="6DF2A5F2" w14:textId="5BE6C003" w:rsidR="00FB1A84" w:rsidRPr="00563D71" w:rsidRDefault="00FB1A84" w:rsidP="003D2E29">
      <w:pPr>
        <w:numPr>
          <w:ilvl w:val="0"/>
          <w:numId w:val="10"/>
        </w:numPr>
        <w:tabs>
          <w:tab w:val="left" w:pos="90"/>
          <w:tab w:val="left" w:pos="1209"/>
        </w:tabs>
        <w:spacing w:before="0"/>
        <w:contextualSpacing/>
      </w:pPr>
      <w:r w:rsidRPr="00563D71">
        <w:t xml:space="preserve">Damage to other infrastructure or physical cultural </w:t>
      </w:r>
      <w:r w:rsidR="00770602" w:rsidRPr="00563D71">
        <w:t>resources</w:t>
      </w:r>
    </w:p>
    <w:p w14:paraId="16E65A35" w14:textId="3AF1EBDF" w:rsidR="00FB1A84" w:rsidRPr="00563D71" w:rsidRDefault="00FB1A84" w:rsidP="003D2E29">
      <w:pPr>
        <w:numPr>
          <w:ilvl w:val="0"/>
          <w:numId w:val="10"/>
        </w:numPr>
        <w:tabs>
          <w:tab w:val="left" w:pos="90"/>
          <w:tab w:val="left" w:pos="1209"/>
        </w:tabs>
        <w:spacing w:before="0"/>
        <w:contextualSpacing/>
      </w:pPr>
      <w:r w:rsidRPr="00563D71">
        <w:t>Accident hazard for vehicles and pedestrians from open trenches, traffic detours</w:t>
      </w:r>
    </w:p>
    <w:p w14:paraId="17EF7135" w14:textId="2EB6A5AA" w:rsidR="005F5658" w:rsidRPr="00563D71" w:rsidRDefault="005F5658" w:rsidP="003D2E29">
      <w:pPr>
        <w:numPr>
          <w:ilvl w:val="0"/>
          <w:numId w:val="10"/>
        </w:numPr>
        <w:tabs>
          <w:tab w:val="left" w:pos="90"/>
          <w:tab w:val="left" w:pos="1209"/>
        </w:tabs>
        <w:spacing w:before="0"/>
        <w:contextualSpacing/>
      </w:pPr>
      <w:r w:rsidRPr="00563D71">
        <w:t xml:space="preserve">Visual intrusion of infrastructure into natural and cultural landscapes </w:t>
      </w:r>
    </w:p>
    <w:p w14:paraId="45BF3F63" w14:textId="77777777" w:rsidR="004436D0" w:rsidRPr="00563D71" w:rsidRDefault="004436D0" w:rsidP="003D2E29">
      <w:pPr>
        <w:tabs>
          <w:tab w:val="left" w:pos="90"/>
        </w:tabs>
        <w:spacing w:before="0"/>
        <w:ind w:left="1080"/>
      </w:pPr>
    </w:p>
    <w:p w14:paraId="54EFA3D0" w14:textId="7AD82B37" w:rsidR="004436D0" w:rsidRPr="00563D71" w:rsidRDefault="00FB1A84" w:rsidP="003D2E29">
      <w:pPr>
        <w:numPr>
          <w:ilvl w:val="0"/>
          <w:numId w:val="11"/>
        </w:numPr>
        <w:tabs>
          <w:tab w:val="left" w:pos="90"/>
        </w:tabs>
        <w:spacing w:before="0" w:after="120"/>
      </w:pPr>
      <w:r w:rsidRPr="00563D71">
        <w:t>Additional r</w:t>
      </w:r>
      <w:r w:rsidR="004436D0" w:rsidRPr="00563D71">
        <w:t>isk</w:t>
      </w:r>
      <w:r w:rsidRPr="00563D71">
        <w:t>s</w:t>
      </w:r>
      <w:r w:rsidR="004436D0" w:rsidRPr="00563D71">
        <w:t xml:space="preserve"> from construction </w:t>
      </w:r>
      <w:r w:rsidRPr="00563D71">
        <w:t xml:space="preserve">and operation </w:t>
      </w:r>
      <w:r w:rsidR="004436D0" w:rsidRPr="00563D71">
        <w:t xml:space="preserve">of </w:t>
      </w:r>
      <w:r w:rsidRPr="00563D71">
        <w:t>water supply weirs</w:t>
      </w:r>
      <w:r w:rsidR="009F31FD" w:rsidRPr="00563D71">
        <w:t xml:space="preserve"> and stream channel stabilization</w:t>
      </w:r>
    </w:p>
    <w:p w14:paraId="086C3D28" w14:textId="1DCF9D13" w:rsidR="004436D0" w:rsidRPr="00563D71" w:rsidRDefault="00FB1A84" w:rsidP="003D2E29">
      <w:pPr>
        <w:numPr>
          <w:ilvl w:val="0"/>
          <w:numId w:val="10"/>
        </w:numPr>
        <w:tabs>
          <w:tab w:val="left" w:pos="90"/>
        </w:tabs>
        <w:spacing w:before="0"/>
        <w:contextualSpacing/>
      </w:pPr>
      <w:r w:rsidRPr="00563D71">
        <w:t>Water quality and aquatic habitat degradation caused mainly by suspended solids</w:t>
      </w:r>
    </w:p>
    <w:p w14:paraId="2427F174" w14:textId="1D3F84A4" w:rsidR="00FB1A84" w:rsidRPr="00563D71" w:rsidRDefault="00FB1A84" w:rsidP="003D2E29">
      <w:pPr>
        <w:numPr>
          <w:ilvl w:val="0"/>
          <w:numId w:val="10"/>
        </w:numPr>
        <w:tabs>
          <w:tab w:val="left" w:pos="90"/>
        </w:tabs>
        <w:spacing w:before="0"/>
        <w:contextualSpacing/>
      </w:pPr>
      <w:r w:rsidRPr="00563D71">
        <w:t>Obstruction of fish movements upstream and downstream</w:t>
      </w:r>
    </w:p>
    <w:p w14:paraId="3B72CBCC" w14:textId="77FF9C9B" w:rsidR="004436D0" w:rsidRPr="00563D71" w:rsidRDefault="00FB1A84" w:rsidP="003D2E29">
      <w:pPr>
        <w:numPr>
          <w:ilvl w:val="0"/>
          <w:numId w:val="10"/>
        </w:numPr>
        <w:tabs>
          <w:tab w:val="left" w:pos="90"/>
        </w:tabs>
        <w:spacing w:before="0"/>
        <w:contextualSpacing/>
      </w:pPr>
      <w:r w:rsidRPr="00563D71">
        <w:t>Impacts on downstream water uses and users</w:t>
      </w:r>
    </w:p>
    <w:p w14:paraId="3E0127A7" w14:textId="7FD2F552" w:rsidR="004436D0" w:rsidRPr="00563D71" w:rsidRDefault="004436D0" w:rsidP="003D2E29">
      <w:pPr>
        <w:tabs>
          <w:tab w:val="left" w:pos="90"/>
        </w:tabs>
        <w:spacing w:before="0"/>
        <w:ind w:left="360"/>
      </w:pPr>
    </w:p>
    <w:p w14:paraId="4D5B03A4" w14:textId="578D58B9" w:rsidR="004436D0" w:rsidRPr="00563D71" w:rsidRDefault="004436D0" w:rsidP="003D2E29">
      <w:pPr>
        <w:numPr>
          <w:ilvl w:val="0"/>
          <w:numId w:val="11"/>
        </w:numPr>
        <w:tabs>
          <w:tab w:val="left" w:pos="90"/>
        </w:tabs>
        <w:spacing w:before="0"/>
      </w:pPr>
      <w:r w:rsidRPr="00563D71">
        <w:t xml:space="preserve">Risks from </w:t>
      </w:r>
      <w:r w:rsidR="00FB1A84" w:rsidRPr="00563D71">
        <w:t>operation</w:t>
      </w:r>
      <w:r w:rsidRPr="00563D71">
        <w:t xml:space="preserve"> of public toilets </w:t>
      </w:r>
    </w:p>
    <w:p w14:paraId="37A7797A" w14:textId="6D462D4C" w:rsidR="004436D0" w:rsidRPr="00563D71" w:rsidRDefault="00FB1A84" w:rsidP="003D2E29">
      <w:pPr>
        <w:numPr>
          <w:ilvl w:val="0"/>
          <w:numId w:val="12"/>
        </w:numPr>
        <w:tabs>
          <w:tab w:val="left" w:pos="90"/>
        </w:tabs>
        <w:spacing w:before="0"/>
      </w:pPr>
      <w:r w:rsidRPr="00563D71">
        <w:t>Groundwater pollution from septic tanks because of location on unsuitable soils, malfunction, or poor maintenance</w:t>
      </w:r>
    </w:p>
    <w:p w14:paraId="78E7BCE2" w14:textId="774E030B" w:rsidR="00FB1A84" w:rsidRPr="00563D71" w:rsidRDefault="00FB1A84" w:rsidP="003D2E29">
      <w:pPr>
        <w:numPr>
          <w:ilvl w:val="0"/>
          <w:numId w:val="12"/>
        </w:numPr>
        <w:tabs>
          <w:tab w:val="left" w:pos="90"/>
        </w:tabs>
        <w:spacing w:before="0"/>
      </w:pPr>
      <w:r w:rsidRPr="00563D71">
        <w:t>Odors and health hazards caused by inadequate housekeeping</w:t>
      </w:r>
    </w:p>
    <w:p w14:paraId="06D7AA52" w14:textId="77777777" w:rsidR="00FB1A84" w:rsidRPr="00563D71" w:rsidRDefault="00FB1A84" w:rsidP="003D2E29">
      <w:pPr>
        <w:tabs>
          <w:tab w:val="left" w:pos="90"/>
        </w:tabs>
        <w:spacing w:before="0"/>
        <w:ind w:left="1440" w:firstLine="0"/>
      </w:pPr>
    </w:p>
    <w:p w14:paraId="592BF745" w14:textId="3F958D0A" w:rsidR="00FB1A84" w:rsidRPr="00563D71" w:rsidRDefault="00FB1A84" w:rsidP="003D2E29">
      <w:pPr>
        <w:numPr>
          <w:ilvl w:val="0"/>
          <w:numId w:val="11"/>
        </w:numPr>
        <w:tabs>
          <w:tab w:val="left" w:pos="90"/>
        </w:tabs>
        <w:spacing w:before="0" w:after="120"/>
        <w:contextualSpacing/>
      </w:pPr>
      <w:r w:rsidRPr="00563D71">
        <w:lastRenderedPageBreak/>
        <w:t>Additional r</w:t>
      </w:r>
      <w:r w:rsidR="004436D0" w:rsidRPr="00563D71">
        <w:t xml:space="preserve">isks from construction </w:t>
      </w:r>
      <w:r w:rsidRPr="00563D71">
        <w:t xml:space="preserve">or expansion/upgrading and operation </w:t>
      </w:r>
      <w:r w:rsidR="004436D0" w:rsidRPr="00563D71">
        <w:t>of waste water treatment plant</w:t>
      </w:r>
      <w:r w:rsidRPr="00563D71">
        <w:t>s</w:t>
      </w:r>
    </w:p>
    <w:p w14:paraId="28C9705B" w14:textId="1AEA484B" w:rsidR="00FB1A84" w:rsidRPr="00563D71" w:rsidRDefault="00770602" w:rsidP="003D2E29">
      <w:pPr>
        <w:pStyle w:val="ListParagraph"/>
        <w:numPr>
          <w:ilvl w:val="0"/>
          <w:numId w:val="15"/>
        </w:numPr>
        <w:tabs>
          <w:tab w:val="left" w:pos="90"/>
        </w:tabs>
        <w:spacing w:before="0" w:after="0" w:line="240" w:lineRule="auto"/>
        <w:jc w:val="left"/>
        <w:rPr>
          <w:rFonts w:ascii="Times New Roman" w:hAnsi="Times New Roman" w:cs="Times New Roman"/>
          <w:sz w:val="24"/>
          <w:szCs w:val="24"/>
        </w:rPr>
      </w:pPr>
      <w:r w:rsidRPr="00563D71">
        <w:rPr>
          <w:rFonts w:ascii="Times New Roman" w:hAnsi="Times New Roman" w:cs="Times New Roman"/>
          <w:sz w:val="24"/>
          <w:szCs w:val="24"/>
        </w:rPr>
        <w:t>Eutrophication from nutrients in effluent</w:t>
      </w:r>
    </w:p>
    <w:p w14:paraId="7F1995B7" w14:textId="5319516B" w:rsidR="00770602" w:rsidRPr="00563D71" w:rsidRDefault="00770602" w:rsidP="003D2E29">
      <w:pPr>
        <w:pStyle w:val="ListParagraph"/>
        <w:numPr>
          <w:ilvl w:val="0"/>
          <w:numId w:val="15"/>
        </w:numPr>
        <w:tabs>
          <w:tab w:val="left" w:pos="90"/>
        </w:tabs>
        <w:spacing w:before="0" w:after="0" w:line="240" w:lineRule="auto"/>
        <w:jc w:val="left"/>
        <w:rPr>
          <w:rFonts w:ascii="Times New Roman" w:hAnsi="Times New Roman" w:cs="Times New Roman"/>
          <w:sz w:val="24"/>
          <w:szCs w:val="24"/>
        </w:rPr>
      </w:pPr>
      <w:r w:rsidRPr="00563D71">
        <w:rPr>
          <w:rFonts w:ascii="Times New Roman" w:hAnsi="Times New Roman" w:cs="Times New Roman"/>
          <w:sz w:val="24"/>
          <w:szCs w:val="24"/>
        </w:rPr>
        <w:t>Mortality of aquatic organisms caused by low dissolved oxygen, or toxic substances introduced into the collection system</w:t>
      </w:r>
    </w:p>
    <w:p w14:paraId="2F8B0CD4" w14:textId="1FAB8A97" w:rsidR="00FB1A84" w:rsidRPr="00563D71" w:rsidRDefault="00770602" w:rsidP="003D2E29">
      <w:pPr>
        <w:pStyle w:val="ListParagraph"/>
        <w:numPr>
          <w:ilvl w:val="0"/>
          <w:numId w:val="15"/>
        </w:numPr>
        <w:tabs>
          <w:tab w:val="left" w:pos="90"/>
        </w:tabs>
        <w:spacing w:before="0" w:after="0" w:line="240" w:lineRule="auto"/>
        <w:jc w:val="left"/>
        <w:rPr>
          <w:rFonts w:ascii="Times New Roman" w:hAnsi="Times New Roman" w:cs="Times New Roman"/>
          <w:sz w:val="24"/>
          <w:szCs w:val="24"/>
        </w:rPr>
      </w:pPr>
      <w:r w:rsidRPr="00563D71">
        <w:rPr>
          <w:rFonts w:ascii="Times New Roman" w:hAnsi="Times New Roman" w:cs="Times New Roman"/>
          <w:sz w:val="24"/>
          <w:szCs w:val="24"/>
        </w:rPr>
        <w:t>Odors caused by plant upsets</w:t>
      </w:r>
    </w:p>
    <w:p w14:paraId="23E6A7F0" w14:textId="77777777" w:rsidR="00A84C7D" w:rsidRPr="00563D71" w:rsidRDefault="00A84C7D" w:rsidP="003D2E29">
      <w:pPr>
        <w:tabs>
          <w:tab w:val="left" w:pos="90"/>
        </w:tabs>
        <w:spacing w:before="0"/>
        <w:ind w:left="1080" w:firstLine="0"/>
        <w:contextualSpacing/>
      </w:pPr>
    </w:p>
    <w:p w14:paraId="707F5DDB" w14:textId="18C1022D" w:rsidR="002E091C" w:rsidRPr="00563D71" w:rsidRDefault="002E091C" w:rsidP="003D2E29">
      <w:pPr>
        <w:numPr>
          <w:ilvl w:val="0"/>
          <w:numId w:val="11"/>
        </w:numPr>
        <w:tabs>
          <w:tab w:val="left" w:pos="90"/>
        </w:tabs>
        <w:spacing w:before="0" w:after="120"/>
        <w:contextualSpacing/>
      </w:pPr>
      <w:r w:rsidRPr="00563D71">
        <w:t>Additional risks from operation of water treatment systems</w:t>
      </w:r>
    </w:p>
    <w:p w14:paraId="3C2CABA1" w14:textId="1C991001" w:rsidR="002E091C" w:rsidRPr="00563D71" w:rsidRDefault="00976B71" w:rsidP="003D2E29">
      <w:pPr>
        <w:pStyle w:val="ListParagraph"/>
        <w:numPr>
          <w:ilvl w:val="0"/>
          <w:numId w:val="19"/>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Improper disposal of sludge</w:t>
      </w:r>
      <w:r w:rsidR="002E091C" w:rsidRPr="00563D71">
        <w:rPr>
          <w:rFonts w:ascii="Times New Roman" w:hAnsi="Times New Roman" w:cs="Times New Roman"/>
          <w:sz w:val="24"/>
          <w:szCs w:val="24"/>
        </w:rPr>
        <w:t xml:space="preserve"> and backwash water</w:t>
      </w:r>
    </w:p>
    <w:p w14:paraId="0876F96E" w14:textId="26E633EE" w:rsidR="002E091C" w:rsidRPr="00563D71" w:rsidRDefault="002E091C" w:rsidP="003D2E29">
      <w:pPr>
        <w:pStyle w:val="ListParagraph"/>
        <w:numPr>
          <w:ilvl w:val="0"/>
          <w:numId w:val="19"/>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Exposure of workers and community members to water treatment chemicals during delivery and use</w:t>
      </w:r>
    </w:p>
    <w:p w14:paraId="68D45FF3" w14:textId="77777777" w:rsidR="00A84C7D" w:rsidRPr="00563D71" w:rsidRDefault="00A84C7D" w:rsidP="003D2E29">
      <w:pPr>
        <w:tabs>
          <w:tab w:val="left" w:pos="90"/>
        </w:tabs>
        <w:spacing w:before="0"/>
        <w:ind w:left="1440" w:firstLine="0"/>
        <w:rPr>
          <w:szCs w:val="24"/>
        </w:rPr>
      </w:pPr>
    </w:p>
    <w:p w14:paraId="33CB1FDA" w14:textId="4C70556D" w:rsidR="004436D0" w:rsidRPr="00563D71" w:rsidRDefault="00770602" w:rsidP="003D2E29">
      <w:pPr>
        <w:numPr>
          <w:ilvl w:val="0"/>
          <w:numId w:val="11"/>
        </w:numPr>
        <w:tabs>
          <w:tab w:val="left" w:pos="90"/>
        </w:tabs>
        <w:spacing w:before="0" w:after="120"/>
        <w:contextualSpacing/>
      </w:pPr>
      <w:r w:rsidRPr="00563D71">
        <w:t>Additional risks from construction and operation of</w:t>
      </w:r>
      <w:r w:rsidR="004436D0" w:rsidRPr="00563D71">
        <w:t xml:space="preserve"> solid waste </w:t>
      </w:r>
      <w:r w:rsidR="005F5658" w:rsidRPr="00563D71">
        <w:t xml:space="preserve">collection and </w:t>
      </w:r>
      <w:r w:rsidRPr="00563D71">
        <w:t>disposal facilities</w:t>
      </w:r>
    </w:p>
    <w:p w14:paraId="2DEB6978" w14:textId="299980E6" w:rsidR="00770602" w:rsidRPr="00563D71" w:rsidRDefault="00770602" w:rsidP="003D2E29">
      <w:pPr>
        <w:pStyle w:val="ListParagraph"/>
        <w:numPr>
          <w:ilvl w:val="0"/>
          <w:numId w:val="16"/>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Groundwater contamination by leachate because of location on unsuitable soils or ineffective lining and leachate collection</w:t>
      </w:r>
    </w:p>
    <w:p w14:paraId="13F498E0" w14:textId="159D6BDC" w:rsidR="00770602" w:rsidRPr="00563D71" w:rsidRDefault="00770602" w:rsidP="003D2E29">
      <w:pPr>
        <w:pStyle w:val="ListParagraph"/>
        <w:numPr>
          <w:ilvl w:val="0"/>
          <w:numId w:val="16"/>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Surface water pollution from contaminated runoff or uncollected or inadequately treated leachate</w:t>
      </w:r>
    </w:p>
    <w:p w14:paraId="360C6C24" w14:textId="38DF1A26" w:rsidR="00770602" w:rsidRPr="00563D71" w:rsidRDefault="00770602" w:rsidP="003D2E29">
      <w:pPr>
        <w:pStyle w:val="ListParagraph"/>
        <w:numPr>
          <w:ilvl w:val="0"/>
          <w:numId w:val="16"/>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Smoke and fire</w:t>
      </w:r>
    </w:p>
    <w:p w14:paraId="64DACC5E" w14:textId="671EE410" w:rsidR="00770602" w:rsidRPr="00563D71" w:rsidRDefault="00770602" w:rsidP="003D2E29">
      <w:pPr>
        <w:pStyle w:val="ListParagraph"/>
        <w:numPr>
          <w:ilvl w:val="0"/>
          <w:numId w:val="16"/>
        </w:numPr>
        <w:tabs>
          <w:tab w:val="left" w:pos="90"/>
        </w:tabs>
        <w:spacing w:before="0" w:after="0" w:line="240" w:lineRule="auto"/>
        <w:rPr>
          <w:rFonts w:ascii="Times New Roman" w:hAnsi="Times New Roman" w:cs="Times New Roman"/>
          <w:sz w:val="24"/>
          <w:szCs w:val="24"/>
        </w:rPr>
      </w:pPr>
      <w:r w:rsidRPr="00563D71">
        <w:rPr>
          <w:rFonts w:ascii="Times New Roman" w:hAnsi="Times New Roman" w:cs="Times New Roman"/>
          <w:sz w:val="24"/>
          <w:szCs w:val="24"/>
        </w:rPr>
        <w:t>Vermin and disease vectors</w:t>
      </w:r>
    </w:p>
    <w:p w14:paraId="0F33EBAD" w14:textId="77777777" w:rsidR="00DA79DD" w:rsidRPr="00563D71" w:rsidRDefault="00DA79DD" w:rsidP="003D2E29">
      <w:pPr>
        <w:pStyle w:val="ListParagraph"/>
        <w:tabs>
          <w:tab w:val="left" w:pos="90"/>
        </w:tabs>
        <w:spacing w:before="0" w:after="0" w:line="240" w:lineRule="auto"/>
        <w:ind w:left="1800"/>
        <w:rPr>
          <w:rFonts w:ascii="Times New Roman" w:hAnsi="Times New Roman" w:cs="Times New Roman"/>
          <w:sz w:val="24"/>
          <w:szCs w:val="24"/>
        </w:rPr>
      </w:pPr>
    </w:p>
    <w:p w14:paraId="56977511" w14:textId="26FD4810" w:rsidR="00770602" w:rsidRPr="00563D71" w:rsidRDefault="002E091C" w:rsidP="003D2E29">
      <w:pPr>
        <w:numPr>
          <w:ilvl w:val="0"/>
          <w:numId w:val="11"/>
        </w:numPr>
        <w:tabs>
          <w:tab w:val="left" w:pos="90"/>
        </w:tabs>
        <w:spacing w:before="0"/>
        <w:contextualSpacing/>
      </w:pPr>
      <w:r w:rsidRPr="00563D71">
        <w:t>Conversion of productive agricultural land to non-agricultural use</w:t>
      </w:r>
    </w:p>
    <w:p w14:paraId="4C48D285" w14:textId="77777777" w:rsidR="002E091C" w:rsidRPr="00563D71" w:rsidRDefault="002E091C" w:rsidP="003D2E29">
      <w:pPr>
        <w:tabs>
          <w:tab w:val="left" w:pos="90"/>
        </w:tabs>
        <w:spacing w:before="0"/>
        <w:ind w:left="1440" w:firstLine="0"/>
        <w:contextualSpacing/>
      </w:pPr>
    </w:p>
    <w:p w14:paraId="14875026" w14:textId="77777777" w:rsidR="004436D0" w:rsidRPr="00563D71" w:rsidRDefault="004436D0" w:rsidP="003D2E29">
      <w:pPr>
        <w:numPr>
          <w:ilvl w:val="0"/>
          <w:numId w:val="11"/>
        </w:numPr>
        <w:tabs>
          <w:tab w:val="left" w:pos="90"/>
        </w:tabs>
        <w:spacing w:before="0" w:after="120"/>
        <w:contextualSpacing/>
      </w:pPr>
      <w:r w:rsidRPr="00563D71">
        <w:t>Workplace and health and safety risks</w:t>
      </w:r>
    </w:p>
    <w:p w14:paraId="1E49957C" w14:textId="10A3C373" w:rsidR="00D171BF" w:rsidRPr="00563D71" w:rsidRDefault="00D171BF" w:rsidP="003D2E29">
      <w:pPr>
        <w:pStyle w:val="ListParagraph"/>
        <w:numPr>
          <w:ilvl w:val="0"/>
          <w:numId w:val="37"/>
        </w:numPr>
        <w:tabs>
          <w:tab w:val="left" w:pos="90"/>
        </w:tabs>
        <w:spacing w:before="0" w:after="0" w:line="240" w:lineRule="auto"/>
        <w:ind w:left="1800"/>
        <w:rPr>
          <w:szCs w:val="24"/>
        </w:rPr>
      </w:pPr>
      <w:r w:rsidRPr="00563D71">
        <w:rPr>
          <w:rFonts w:ascii="Times New Roman" w:hAnsi="Times New Roman" w:cs="Times New Roman"/>
          <w:sz w:val="24"/>
          <w:szCs w:val="24"/>
        </w:rPr>
        <w:t xml:space="preserve">Injuries and falls from not using proper </w:t>
      </w:r>
      <w:r w:rsidR="00A4233C" w:rsidRPr="00563D71">
        <w:rPr>
          <w:rFonts w:ascii="Times New Roman" w:hAnsi="Times New Roman" w:cs="Times New Roman"/>
          <w:sz w:val="24"/>
          <w:szCs w:val="24"/>
        </w:rPr>
        <w:t>personal protective equipment (</w:t>
      </w:r>
      <w:r w:rsidRPr="00563D71">
        <w:rPr>
          <w:rFonts w:ascii="Times New Roman" w:hAnsi="Times New Roman" w:cs="Times New Roman"/>
          <w:sz w:val="24"/>
          <w:szCs w:val="24"/>
        </w:rPr>
        <w:t>PPE</w:t>
      </w:r>
      <w:r w:rsidR="00A4233C" w:rsidRPr="00563D71">
        <w:rPr>
          <w:rFonts w:ascii="Times New Roman" w:hAnsi="Times New Roman" w:cs="Times New Roman"/>
          <w:sz w:val="24"/>
          <w:szCs w:val="24"/>
        </w:rPr>
        <w:t>)</w:t>
      </w:r>
      <w:r w:rsidRPr="00563D71">
        <w:rPr>
          <w:rFonts w:ascii="Times New Roman" w:hAnsi="Times New Roman" w:cs="Times New Roman"/>
          <w:sz w:val="24"/>
          <w:szCs w:val="24"/>
        </w:rPr>
        <w:t xml:space="preserve"> protection while carrying out construction activities.</w:t>
      </w:r>
    </w:p>
    <w:p w14:paraId="03D886E7" w14:textId="5B3661FC" w:rsidR="00D171BF" w:rsidRPr="00563D71" w:rsidRDefault="00D171BF" w:rsidP="003D2E29">
      <w:pPr>
        <w:pStyle w:val="ListParagraph"/>
        <w:numPr>
          <w:ilvl w:val="0"/>
          <w:numId w:val="37"/>
        </w:numPr>
        <w:tabs>
          <w:tab w:val="left" w:pos="90"/>
        </w:tabs>
        <w:spacing w:before="0" w:after="0" w:line="240" w:lineRule="auto"/>
        <w:ind w:left="1800"/>
        <w:rPr>
          <w:szCs w:val="24"/>
        </w:rPr>
      </w:pPr>
      <w:r w:rsidRPr="00563D71">
        <w:rPr>
          <w:rFonts w:ascii="Times New Roman" w:hAnsi="Times New Roman" w:cs="Times New Roman"/>
          <w:sz w:val="24"/>
          <w:szCs w:val="24"/>
        </w:rPr>
        <w:t>Risk to surrounding communities for not providing enough barricades or hazards signage to inform the boundary project area risks during on-going construction activities</w:t>
      </w:r>
      <w:r w:rsidRPr="00563D71">
        <w:rPr>
          <w:sz w:val="24"/>
          <w:szCs w:val="24"/>
        </w:rPr>
        <w:t xml:space="preserve">. </w:t>
      </w:r>
    </w:p>
    <w:p w14:paraId="2F237E63" w14:textId="7E3D1BF9" w:rsidR="00D171BF" w:rsidRPr="00563D71" w:rsidRDefault="00DF7CBC" w:rsidP="003D2E29">
      <w:pPr>
        <w:pStyle w:val="ListParagraph"/>
        <w:numPr>
          <w:ilvl w:val="0"/>
          <w:numId w:val="37"/>
        </w:numPr>
        <w:tabs>
          <w:tab w:val="left" w:pos="90"/>
        </w:tabs>
        <w:spacing w:before="0" w:after="0" w:line="240" w:lineRule="auto"/>
        <w:ind w:left="1800"/>
        <w:rPr>
          <w:szCs w:val="24"/>
        </w:rPr>
      </w:pPr>
      <w:r w:rsidRPr="00563D71">
        <w:rPr>
          <w:rFonts w:ascii="Times New Roman" w:hAnsi="Times New Roman" w:cs="Times New Roman"/>
          <w:sz w:val="24"/>
          <w:szCs w:val="24"/>
        </w:rPr>
        <w:t xml:space="preserve">Improper disposal of construction wastes and waste from worker’s camp as </w:t>
      </w:r>
      <w:r w:rsidR="00CE2F09" w:rsidRPr="00563D71">
        <w:rPr>
          <w:rFonts w:ascii="Times New Roman" w:hAnsi="Times New Roman" w:cs="Times New Roman"/>
          <w:sz w:val="24"/>
          <w:szCs w:val="24"/>
        </w:rPr>
        <w:t xml:space="preserve">some </w:t>
      </w:r>
      <w:r w:rsidRPr="00563D71">
        <w:rPr>
          <w:rFonts w:ascii="Times New Roman" w:hAnsi="Times New Roman" w:cs="Times New Roman"/>
          <w:sz w:val="24"/>
          <w:szCs w:val="24"/>
        </w:rPr>
        <w:t>c</w:t>
      </w:r>
      <w:r w:rsidR="00D171BF" w:rsidRPr="00563D71">
        <w:rPr>
          <w:rFonts w:ascii="Times New Roman" w:hAnsi="Times New Roman" w:cs="Times New Roman"/>
          <w:sz w:val="24"/>
          <w:szCs w:val="24"/>
        </w:rPr>
        <w:t xml:space="preserve">ontractors do not provide proper </w:t>
      </w:r>
      <w:r w:rsidRPr="00563D71">
        <w:rPr>
          <w:rFonts w:ascii="Times New Roman" w:hAnsi="Times New Roman" w:cs="Times New Roman"/>
          <w:sz w:val="24"/>
          <w:szCs w:val="24"/>
        </w:rPr>
        <w:t xml:space="preserve">portable toilets and </w:t>
      </w:r>
      <w:r w:rsidR="00CE2F09" w:rsidRPr="00563D71">
        <w:rPr>
          <w:rFonts w:ascii="Times New Roman" w:hAnsi="Times New Roman" w:cs="Times New Roman"/>
          <w:sz w:val="24"/>
          <w:szCs w:val="24"/>
        </w:rPr>
        <w:t xml:space="preserve">good housekeeping practices. </w:t>
      </w:r>
    </w:p>
    <w:p w14:paraId="08F93066" w14:textId="77777777" w:rsidR="00770602" w:rsidRPr="00563D71" w:rsidRDefault="00770602" w:rsidP="00770602">
      <w:pPr>
        <w:tabs>
          <w:tab w:val="left" w:pos="90"/>
        </w:tabs>
        <w:spacing w:after="120"/>
        <w:ind w:left="1800" w:firstLine="0"/>
        <w:contextualSpacing/>
      </w:pPr>
    </w:p>
    <w:p w14:paraId="076CCB5A" w14:textId="070C8751" w:rsidR="00770602" w:rsidRPr="00563D71" w:rsidRDefault="00770602" w:rsidP="0032029F">
      <w:pPr>
        <w:pStyle w:val="MainParanoChapter-Ch3"/>
        <w:rPr>
          <w:bCs/>
        </w:rPr>
      </w:pPr>
      <w:r w:rsidRPr="00563D71">
        <w:rPr>
          <w:bCs/>
        </w:rPr>
        <w:t xml:space="preserve">Most of these risks can be mitigated by inclusion of good </w:t>
      </w:r>
      <w:r w:rsidR="002E091C" w:rsidRPr="00563D71">
        <w:rPr>
          <w:bCs/>
        </w:rPr>
        <w:t xml:space="preserve">construction </w:t>
      </w:r>
      <w:r w:rsidRPr="00563D71">
        <w:rPr>
          <w:bCs/>
        </w:rPr>
        <w:t xml:space="preserve">practices </w:t>
      </w:r>
      <w:r w:rsidR="002E091C" w:rsidRPr="00563D71">
        <w:rPr>
          <w:bCs/>
        </w:rPr>
        <w:t xml:space="preserve">and basic environmental, health and safety management measures </w:t>
      </w:r>
      <w:r w:rsidRPr="00563D71">
        <w:rPr>
          <w:bCs/>
        </w:rPr>
        <w:t xml:space="preserve">in </w:t>
      </w:r>
      <w:r w:rsidR="00976F78" w:rsidRPr="00563D71">
        <w:rPr>
          <w:bCs/>
        </w:rPr>
        <w:t>environmental management plans (RKL and UKL)</w:t>
      </w:r>
      <w:r w:rsidR="00CE2F09" w:rsidRPr="00563D71">
        <w:rPr>
          <w:bCs/>
        </w:rPr>
        <w:t>,</w:t>
      </w:r>
      <w:r w:rsidR="006E301F" w:rsidRPr="00563D71">
        <w:rPr>
          <w:bCs/>
        </w:rPr>
        <w:t xml:space="preserve"> </w:t>
      </w:r>
      <w:r w:rsidRPr="00563D71">
        <w:rPr>
          <w:bCs/>
        </w:rPr>
        <w:t>construction contracts</w:t>
      </w:r>
      <w:r w:rsidR="00D855DC" w:rsidRPr="00563D71">
        <w:rPr>
          <w:bCs/>
        </w:rPr>
        <w:t xml:space="preserve"> incorporating ESHS performance</w:t>
      </w:r>
      <w:r w:rsidR="00CE2F09" w:rsidRPr="00563D71">
        <w:rPr>
          <w:bCs/>
        </w:rPr>
        <w:t xml:space="preserve"> standards</w:t>
      </w:r>
      <w:r w:rsidR="00D855DC" w:rsidRPr="00563D71">
        <w:rPr>
          <w:bCs/>
        </w:rPr>
        <w:t xml:space="preserve"> </w:t>
      </w:r>
      <w:r w:rsidRPr="00563D71">
        <w:rPr>
          <w:bCs/>
        </w:rPr>
        <w:t>and by supervision and enforcement of their implementation</w:t>
      </w:r>
      <w:r w:rsidR="00CE2F09" w:rsidRPr="00563D71">
        <w:rPr>
          <w:bCs/>
        </w:rPr>
        <w:t xml:space="preserve"> by supervision ESHS personnel</w:t>
      </w:r>
      <w:r w:rsidRPr="00563D71">
        <w:rPr>
          <w:bCs/>
        </w:rPr>
        <w:t>, including attention to provision and use of PPE and use of signage and barricades at locations of hazards.</w:t>
      </w:r>
      <w:r w:rsidR="005F5658" w:rsidRPr="00563D71">
        <w:rPr>
          <w:bCs/>
        </w:rPr>
        <w:t xml:space="preserve"> The exception is visual intrusion; this needs to be taken into account in siting and design of infrastructure</w:t>
      </w:r>
      <w:r w:rsidR="00C75AEB" w:rsidRPr="00563D71">
        <w:rPr>
          <w:bCs/>
        </w:rPr>
        <w:t xml:space="preserve"> in the Integrated Tourism Master Plans</w:t>
      </w:r>
      <w:r w:rsidR="005F5658" w:rsidRPr="00563D71">
        <w:rPr>
          <w:bCs/>
        </w:rPr>
        <w:t>.</w:t>
      </w:r>
      <w:r w:rsidRPr="00563D71">
        <w:rPr>
          <w:bCs/>
        </w:rPr>
        <w:t xml:space="preserve"> Liaison with affected communities </w:t>
      </w:r>
      <w:r w:rsidR="005F5658" w:rsidRPr="00563D71">
        <w:rPr>
          <w:bCs/>
        </w:rPr>
        <w:t xml:space="preserve">during </w:t>
      </w:r>
      <w:r w:rsidR="005F5658" w:rsidRPr="00563D71">
        <w:rPr>
          <w:bCs/>
        </w:rPr>
        <w:lastRenderedPageBreak/>
        <w:t xml:space="preserve">construction is </w:t>
      </w:r>
      <w:r w:rsidRPr="00563D71">
        <w:rPr>
          <w:bCs/>
        </w:rPr>
        <w:t>essential. Mitigation measures for risks beyond those associated with general construction activities include the following:</w:t>
      </w:r>
    </w:p>
    <w:p w14:paraId="2385A708" w14:textId="7B0EF92A" w:rsidR="002E091C" w:rsidRPr="00563D71" w:rsidRDefault="002E091C"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For weirs and small dams</w:t>
      </w:r>
      <w:r w:rsidR="00BA5CBC" w:rsidRPr="00563D71">
        <w:rPr>
          <w:rFonts w:ascii="Times New Roman" w:hAnsi="Times New Roman" w:cs="Times New Roman"/>
          <w:sz w:val="24"/>
          <w:szCs w:val="24"/>
        </w:rPr>
        <w:t>,</w:t>
      </w:r>
      <w:r w:rsidR="009F31FD" w:rsidRPr="00563D71">
        <w:rPr>
          <w:rFonts w:ascii="Times New Roman" w:hAnsi="Times New Roman" w:cs="Times New Roman"/>
          <w:sz w:val="24"/>
          <w:szCs w:val="24"/>
        </w:rPr>
        <w:t xml:space="preserve"> and for stream channel stabilization</w:t>
      </w:r>
      <w:r w:rsidRPr="00563D71">
        <w:rPr>
          <w:rFonts w:ascii="Times New Roman" w:hAnsi="Times New Roman" w:cs="Times New Roman"/>
          <w:sz w:val="24"/>
          <w:szCs w:val="24"/>
        </w:rPr>
        <w:t>, impact assessment based on study of aquatic ecology and downstream water uses</w:t>
      </w:r>
      <w:r w:rsidR="009F31FD" w:rsidRPr="00563D71">
        <w:rPr>
          <w:rFonts w:ascii="Times New Roman" w:hAnsi="Times New Roman" w:cs="Times New Roman"/>
          <w:sz w:val="24"/>
          <w:szCs w:val="24"/>
        </w:rPr>
        <w:t>, plus study of stream flow for weirs and small dams</w:t>
      </w:r>
      <w:r w:rsidRPr="00563D71">
        <w:rPr>
          <w:rFonts w:ascii="Times New Roman" w:hAnsi="Times New Roman" w:cs="Times New Roman"/>
          <w:sz w:val="24"/>
          <w:szCs w:val="24"/>
        </w:rPr>
        <w:t>; development of mitigation and monitoring measures including environmental flow</w:t>
      </w:r>
      <w:r w:rsidR="009F31FD" w:rsidRPr="00563D71">
        <w:rPr>
          <w:rFonts w:ascii="Times New Roman" w:hAnsi="Times New Roman" w:cs="Times New Roman"/>
          <w:sz w:val="24"/>
          <w:szCs w:val="24"/>
        </w:rPr>
        <w:t xml:space="preserve"> for weirs and small dams</w:t>
      </w:r>
      <w:r w:rsidRPr="00563D71">
        <w:rPr>
          <w:rFonts w:ascii="Times New Roman" w:hAnsi="Times New Roman" w:cs="Times New Roman"/>
          <w:sz w:val="24"/>
          <w:szCs w:val="24"/>
        </w:rPr>
        <w:t>.</w:t>
      </w:r>
    </w:p>
    <w:p w14:paraId="35E118E8" w14:textId="7653BB71" w:rsidR="002E091C" w:rsidRPr="00563D71" w:rsidRDefault="002E091C"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For public toilets, soil tests to determine suitability for septic tanks; clear agreement on management responsibilit</w:t>
      </w:r>
      <w:r w:rsidR="00BA5CBC" w:rsidRPr="00563D71">
        <w:rPr>
          <w:rFonts w:ascii="Times New Roman" w:hAnsi="Times New Roman" w:cs="Times New Roman"/>
          <w:sz w:val="24"/>
          <w:szCs w:val="24"/>
        </w:rPr>
        <w:t>ies</w:t>
      </w:r>
      <w:r w:rsidRPr="00563D71">
        <w:rPr>
          <w:rFonts w:ascii="Times New Roman" w:hAnsi="Times New Roman" w:cs="Times New Roman"/>
          <w:sz w:val="24"/>
          <w:szCs w:val="24"/>
        </w:rPr>
        <w:t xml:space="preserve"> and procedure</w:t>
      </w:r>
      <w:r w:rsidR="00BA5CBC" w:rsidRPr="00563D71">
        <w:rPr>
          <w:rFonts w:ascii="Times New Roman" w:hAnsi="Times New Roman" w:cs="Times New Roman"/>
          <w:sz w:val="24"/>
          <w:szCs w:val="24"/>
        </w:rPr>
        <w:t>s</w:t>
      </w:r>
      <w:r w:rsidR="00C953D0" w:rsidRPr="00563D71">
        <w:rPr>
          <w:rFonts w:ascii="Times New Roman" w:hAnsi="Times New Roman" w:cs="Times New Roman"/>
          <w:sz w:val="24"/>
          <w:szCs w:val="24"/>
        </w:rPr>
        <w:t>.</w:t>
      </w:r>
    </w:p>
    <w:p w14:paraId="7D56260B" w14:textId="2B0B7C34" w:rsidR="00770602" w:rsidRPr="00563D71" w:rsidRDefault="002E091C"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For wastewater treatment plants, determination of receiving water’s assimilative capacity for nutrients and organic matter; consider land disposal or reuse of effluents as alternative to discharge to surface water; develop operations manual and train operators; monitor plant performance</w:t>
      </w:r>
      <w:r w:rsidR="00C953D0" w:rsidRPr="00563D71">
        <w:rPr>
          <w:rFonts w:ascii="Times New Roman" w:hAnsi="Times New Roman" w:cs="Times New Roman"/>
          <w:sz w:val="24"/>
          <w:szCs w:val="24"/>
        </w:rPr>
        <w:t>.</w:t>
      </w:r>
    </w:p>
    <w:p w14:paraId="3D3BDA77" w14:textId="1E928E10" w:rsidR="002E091C" w:rsidRPr="00563D71" w:rsidRDefault="002E091C"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For water treatment systems, provide safe chemical storage, develop safe delivery and handling procedures, require use of PPE.</w:t>
      </w:r>
    </w:p>
    <w:p w14:paraId="6AA6DDA9" w14:textId="25732E30" w:rsidR="002E091C" w:rsidRPr="00563D71" w:rsidRDefault="005F5658"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 xml:space="preserve">For solid waste management facilities, conduct siting study including analysis of alternatives, considering soil and groundwater characteristics, proximity to surface water and communities; include leachate collection and treatment, runoff management, and buffer zones in designs; develop operations manual and train operators; provide for odor and vector control; maximize 3Rs approach </w:t>
      </w:r>
      <w:r w:rsidR="00D93B6E" w:rsidRPr="00563D71">
        <w:rPr>
          <w:rFonts w:ascii="Times New Roman" w:hAnsi="Times New Roman" w:cs="Times New Roman"/>
          <w:sz w:val="24"/>
          <w:szCs w:val="24"/>
        </w:rPr>
        <w:t>(</w:t>
      </w:r>
      <w:r w:rsidRPr="00563D71">
        <w:rPr>
          <w:rFonts w:ascii="Times New Roman" w:hAnsi="Times New Roman" w:cs="Times New Roman"/>
          <w:sz w:val="24"/>
          <w:szCs w:val="24"/>
        </w:rPr>
        <w:t>i.e., reduce, reuse, recycle</w:t>
      </w:r>
      <w:r w:rsidR="00D93B6E" w:rsidRPr="00563D71">
        <w:rPr>
          <w:rFonts w:ascii="Times New Roman" w:hAnsi="Times New Roman" w:cs="Times New Roman"/>
          <w:sz w:val="24"/>
          <w:szCs w:val="24"/>
        </w:rPr>
        <w:t>)</w:t>
      </w:r>
      <w:r w:rsidR="00C953D0" w:rsidRPr="00563D71">
        <w:rPr>
          <w:rFonts w:ascii="Times New Roman" w:hAnsi="Times New Roman" w:cs="Times New Roman"/>
          <w:sz w:val="24"/>
          <w:szCs w:val="24"/>
        </w:rPr>
        <w:t>.</w:t>
      </w:r>
    </w:p>
    <w:p w14:paraId="12115C6D" w14:textId="2A493CC0" w:rsidR="005F5658" w:rsidRPr="00563D71" w:rsidRDefault="005F5658" w:rsidP="00854FB5">
      <w:pPr>
        <w:pStyle w:val="ListParagraph"/>
        <w:numPr>
          <w:ilvl w:val="0"/>
          <w:numId w:val="17"/>
        </w:numPr>
        <w:tabs>
          <w:tab w:val="left" w:pos="90"/>
          <w:tab w:val="left" w:pos="2160"/>
        </w:tabs>
        <w:spacing w:after="120" w:line="240" w:lineRule="auto"/>
        <w:rPr>
          <w:rFonts w:ascii="Times New Roman" w:hAnsi="Times New Roman" w:cs="Times New Roman"/>
          <w:sz w:val="24"/>
          <w:szCs w:val="24"/>
        </w:rPr>
      </w:pPr>
      <w:r w:rsidRPr="00563D71">
        <w:rPr>
          <w:rFonts w:ascii="Times New Roman" w:hAnsi="Times New Roman" w:cs="Times New Roman"/>
          <w:sz w:val="24"/>
          <w:szCs w:val="24"/>
        </w:rPr>
        <w:t xml:space="preserve">Consider land-use trade-offs between tourism development and loss of agricultural production as part of integrated </w:t>
      </w:r>
      <w:r w:rsidR="00C953D0" w:rsidRPr="00563D71">
        <w:rPr>
          <w:rFonts w:ascii="Times New Roman" w:hAnsi="Times New Roman" w:cs="Times New Roman"/>
          <w:sz w:val="24"/>
          <w:szCs w:val="24"/>
        </w:rPr>
        <w:t xml:space="preserve">tourism </w:t>
      </w:r>
      <w:r w:rsidRPr="00563D71">
        <w:rPr>
          <w:rFonts w:ascii="Times New Roman" w:hAnsi="Times New Roman" w:cs="Times New Roman"/>
          <w:sz w:val="24"/>
          <w:szCs w:val="24"/>
        </w:rPr>
        <w:t>master planning</w:t>
      </w:r>
      <w:r w:rsidR="00C953D0" w:rsidRPr="00563D71">
        <w:rPr>
          <w:rFonts w:ascii="Times New Roman" w:hAnsi="Times New Roman" w:cs="Times New Roman"/>
          <w:sz w:val="24"/>
          <w:szCs w:val="24"/>
        </w:rPr>
        <w:t>.</w:t>
      </w:r>
    </w:p>
    <w:p w14:paraId="5EEFC939" w14:textId="77777777" w:rsidR="004E6C45" w:rsidRPr="00563D71" w:rsidRDefault="005F5658" w:rsidP="00854FB5">
      <w:pPr>
        <w:pStyle w:val="ListParagraph"/>
        <w:numPr>
          <w:ilvl w:val="0"/>
          <w:numId w:val="17"/>
        </w:numPr>
        <w:tabs>
          <w:tab w:val="left" w:pos="90"/>
          <w:tab w:val="left" w:pos="2160"/>
        </w:tabs>
        <w:spacing w:after="120" w:line="240" w:lineRule="auto"/>
        <w:jc w:val="left"/>
        <w:rPr>
          <w:rFonts w:ascii="Times New Roman" w:hAnsi="Times New Roman" w:cs="Times New Roman"/>
          <w:sz w:val="24"/>
          <w:szCs w:val="24"/>
        </w:rPr>
      </w:pPr>
      <w:r w:rsidRPr="00563D71">
        <w:rPr>
          <w:rFonts w:ascii="Times New Roman" w:hAnsi="Times New Roman" w:cs="Times New Roman"/>
          <w:sz w:val="24"/>
          <w:szCs w:val="24"/>
        </w:rPr>
        <w:t>For workplace health and safety, enforce use of appropriate PPE in all situations; assess hazards and develop work procedures accordingly; hold regular safety training</w:t>
      </w:r>
      <w:r w:rsidR="00CE2F09" w:rsidRPr="00563D71">
        <w:rPr>
          <w:rFonts w:ascii="Times New Roman" w:hAnsi="Times New Roman" w:cs="Times New Roman"/>
          <w:sz w:val="24"/>
          <w:szCs w:val="24"/>
        </w:rPr>
        <w:t xml:space="preserve"> for PMU supervision personnel and contractor’s ESHE personnel. </w:t>
      </w:r>
    </w:p>
    <w:p w14:paraId="7B83FFED" w14:textId="77777777" w:rsidR="000F24BF" w:rsidRPr="00563D71" w:rsidRDefault="000F24BF" w:rsidP="003D2E29">
      <w:pPr>
        <w:pStyle w:val="ListParagraph"/>
        <w:tabs>
          <w:tab w:val="left" w:pos="90"/>
          <w:tab w:val="left" w:pos="2160"/>
        </w:tabs>
        <w:spacing w:after="120" w:line="240" w:lineRule="auto"/>
        <w:ind w:left="1080"/>
        <w:jc w:val="left"/>
        <w:rPr>
          <w:rFonts w:ascii="Times New Roman" w:hAnsi="Times New Roman" w:cs="Times New Roman"/>
          <w:sz w:val="24"/>
          <w:szCs w:val="24"/>
        </w:rPr>
      </w:pPr>
    </w:p>
    <w:p w14:paraId="12403564" w14:textId="3503247B" w:rsidR="00CF4422" w:rsidRPr="00563D71" w:rsidRDefault="004E6C45" w:rsidP="0032029F">
      <w:pPr>
        <w:pStyle w:val="MainParanoChapter-Ch3"/>
      </w:pPr>
      <w:r w:rsidRPr="0088331D">
        <w:rPr>
          <w:b/>
        </w:rPr>
        <w:t>P</w:t>
      </w:r>
      <w:r w:rsidRPr="00563D71">
        <w:rPr>
          <w:b/>
          <w:bCs/>
        </w:rPr>
        <w:t xml:space="preserve">otential </w:t>
      </w:r>
      <w:r w:rsidR="00BD2D5D" w:rsidRPr="00563D71">
        <w:rPr>
          <w:b/>
          <w:bCs/>
        </w:rPr>
        <w:t xml:space="preserve">induced and </w:t>
      </w:r>
      <w:r w:rsidRPr="00563D71">
        <w:rPr>
          <w:b/>
          <w:bCs/>
        </w:rPr>
        <w:t xml:space="preserve">cumulative </w:t>
      </w:r>
      <w:r w:rsidR="00BD2D5D" w:rsidRPr="00563D71">
        <w:rPr>
          <w:b/>
          <w:bCs/>
        </w:rPr>
        <w:t>impacts.</w:t>
      </w:r>
      <w:r w:rsidR="00BD2D5D" w:rsidRPr="00563D71">
        <w:t xml:space="preserve"> Overall, the </w:t>
      </w:r>
      <w:r w:rsidR="008804BF" w:rsidRPr="00563D71">
        <w:t>P</w:t>
      </w:r>
      <w:r w:rsidR="00BD2D5D" w:rsidRPr="00563D71">
        <w:t>rogram</w:t>
      </w:r>
      <w:r w:rsidR="0074561D" w:rsidRPr="00563D71">
        <w:t xml:space="preserve"> is</w:t>
      </w:r>
      <w:r w:rsidR="00BD2D5D" w:rsidRPr="00563D71">
        <w:t xml:space="preserve"> aimed towards protection of natural </w:t>
      </w:r>
      <w:r w:rsidR="0074561D" w:rsidRPr="00563D71">
        <w:t xml:space="preserve">and cultural </w:t>
      </w:r>
      <w:r w:rsidR="00BD2D5D" w:rsidRPr="00563D71">
        <w:t xml:space="preserve">resources and </w:t>
      </w:r>
      <w:r w:rsidR="0074561D" w:rsidRPr="00563D71">
        <w:t xml:space="preserve">the </w:t>
      </w:r>
      <w:r w:rsidR="00BD2D5D" w:rsidRPr="00563D71">
        <w:t>environment</w:t>
      </w:r>
      <w:r w:rsidR="0074561D" w:rsidRPr="00563D71">
        <w:t xml:space="preserve">. Cumulative impacts are possible when construction and operation of multiple types of infrastructure and facilities occur within a common area of influence. Development of hotels and restaurants to serve </w:t>
      </w:r>
      <w:r w:rsidR="008804BF" w:rsidRPr="00563D71">
        <w:t xml:space="preserve">visitors </w:t>
      </w:r>
      <w:r w:rsidR="0074561D" w:rsidRPr="00563D71">
        <w:t xml:space="preserve">can lead to cumulative increases in traffic, solid and liquid waste, and incremental obstruction of community access to beaches and other areas important for recreation and cultural practices. The integrated tourism master planning process is intended to identify the potential for such impacts and provide the means to avoid them. Of more concern are potential induced impacts, because they are more difficult to predict and manage. Examples of induced impacts include: </w:t>
      </w:r>
      <w:r w:rsidR="00BD2D5D" w:rsidRPr="00563D71">
        <w:t xml:space="preserve"> </w:t>
      </w:r>
    </w:p>
    <w:p w14:paraId="4EFA099E" w14:textId="14B2B06B" w:rsidR="00CF4422" w:rsidRPr="00563D71" w:rsidRDefault="00CF4422" w:rsidP="00DA79DD">
      <w:pPr>
        <w:pStyle w:val="ListParagraph"/>
        <w:numPr>
          <w:ilvl w:val="0"/>
          <w:numId w:val="102"/>
        </w:numPr>
        <w:ind w:left="1080" w:right="15"/>
      </w:pPr>
      <w:r w:rsidRPr="00563D71">
        <w:rPr>
          <w:rFonts w:ascii="Times New Roman" w:hAnsi="Times New Roman" w:cs="Times New Roman"/>
          <w:sz w:val="24"/>
          <w:szCs w:val="24"/>
        </w:rPr>
        <w:t>In-migration of job-seekers, leading to proliferation of unplanned, substandard housing not served by sanitation infrastructure</w:t>
      </w:r>
      <w:r w:rsidR="008804BF" w:rsidRPr="00563D71">
        <w:rPr>
          <w:rFonts w:ascii="Times New Roman" w:hAnsi="Times New Roman" w:cs="Times New Roman"/>
          <w:sz w:val="24"/>
          <w:szCs w:val="24"/>
        </w:rPr>
        <w:t xml:space="preserve">; </w:t>
      </w:r>
    </w:p>
    <w:p w14:paraId="13A6E446" w14:textId="561DB183" w:rsidR="00CF4422" w:rsidRPr="00563D71" w:rsidRDefault="00CF4422" w:rsidP="00DA79DD">
      <w:pPr>
        <w:pStyle w:val="ListParagraph"/>
        <w:numPr>
          <w:ilvl w:val="0"/>
          <w:numId w:val="102"/>
        </w:numPr>
        <w:ind w:left="1080" w:right="15"/>
      </w:pPr>
      <w:r w:rsidRPr="00563D71">
        <w:rPr>
          <w:rFonts w:ascii="Times New Roman" w:hAnsi="Times New Roman" w:cs="Times New Roman"/>
          <w:sz w:val="24"/>
          <w:szCs w:val="24"/>
        </w:rPr>
        <w:t>Disorganized development of businesses along roads, beaches, and tourist attractions</w:t>
      </w:r>
      <w:r w:rsidR="008804BF" w:rsidRPr="00563D71">
        <w:rPr>
          <w:rFonts w:ascii="Times New Roman" w:hAnsi="Times New Roman" w:cs="Times New Roman"/>
          <w:sz w:val="24"/>
          <w:szCs w:val="24"/>
        </w:rPr>
        <w:t>;</w:t>
      </w:r>
    </w:p>
    <w:p w14:paraId="32D8B2B0" w14:textId="011376F2" w:rsidR="00CF4422" w:rsidRPr="00563D71" w:rsidRDefault="00CF4422" w:rsidP="00DA79DD">
      <w:pPr>
        <w:pStyle w:val="ListParagraph"/>
        <w:numPr>
          <w:ilvl w:val="0"/>
          <w:numId w:val="102"/>
        </w:numPr>
        <w:ind w:left="1080" w:right="15"/>
      </w:pPr>
      <w:r w:rsidRPr="00563D71">
        <w:rPr>
          <w:rFonts w:ascii="Times New Roman" w:hAnsi="Times New Roman" w:cs="Times New Roman"/>
          <w:sz w:val="24"/>
          <w:szCs w:val="24"/>
        </w:rPr>
        <w:t>Petty street crime</w:t>
      </w:r>
      <w:r w:rsidR="008804BF" w:rsidRPr="00563D71">
        <w:rPr>
          <w:rFonts w:ascii="Times New Roman" w:hAnsi="Times New Roman" w:cs="Times New Roman"/>
          <w:sz w:val="24"/>
          <w:szCs w:val="24"/>
        </w:rPr>
        <w:t>;</w:t>
      </w:r>
    </w:p>
    <w:p w14:paraId="68D36568" w14:textId="00C63FB7" w:rsidR="00AB6D47" w:rsidRPr="00563D71" w:rsidRDefault="00CF4422" w:rsidP="00DA79DD">
      <w:pPr>
        <w:pStyle w:val="ListParagraph"/>
        <w:numPr>
          <w:ilvl w:val="0"/>
          <w:numId w:val="102"/>
        </w:numPr>
        <w:ind w:left="1080" w:right="15"/>
      </w:pPr>
      <w:r w:rsidRPr="00563D71">
        <w:rPr>
          <w:rFonts w:ascii="Times New Roman" w:hAnsi="Times New Roman" w:cs="Times New Roman"/>
          <w:sz w:val="24"/>
          <w:szCs w:val="24"/>
        </w:rPr>
        <w:t>Undesirable</w:t>
      </w:r>
      <w:r w:rsidRPr="00563D71">
        <w:rPr>
          <w:rFonts w:ascii="Times New Roman" w:hAnsi="Times New Roman"/>
          <w:sz w:val="24"/>
        </w:rPr>
        <w:t xml:space="preserve"> activities </w:t>
      </w:r>
      <w:r w:rsidRPr="00563D71">
        <w:rPr>
          <w:rFonts w:ascii="Times New Roman" w:hAnsi="Times New Roman" w:cs="Times New Roman"/>
          <w:sz w:val="24"/>
          <w:szCs w:val="24"/>
        </w:rPr>
        <w:t>including drug dealing, prostitution, sex</w:t>
      </w:r>
      <w:r w:rsidRPr="00563D71">
        <w:rPr>
          <w:rFonts w:ascii="Times New Roman" w:hAnsi="Times New Roman"/>
          <w:sz w:val="24"/>
        </w:rPr>
        <w:t xml:space="preserve"> tourism</w:t>
      </w:r>
      <w:r w:rsidR="008804BF" w:rsidRPr="00563D71">
        <w:rPr>
          <w:rFonts w:ascii="Times New Roman" w:hAnsi="Times New Roman"/>
          <w:sz w:val="24"/>
        </w:rPr>
        <w:t>;</w:t>
      </w:r>
    </w:p>
    <w:p w14:paraId="4E5E1995" w14:textId="16A3346D" w:rsidR="00AB6D47" w:rsidRPr="00563D71" w:rsidRDefault="00CC0A83" w:rsidP="00AB6D47">
      <w:pPr>
        <w:pStyle w:val="ListParagraph"/>
        <w:numPr>
          <w:ilvl w:val="0"/>
          <w:numId w:val="102"/>
        </w:numPr>
        <w:ind w:left="1080" w:right="15"/>
      </w:pPr>
      <w:r w:rsidRPr="00563D71">
        <w:rPr>
          <w:rFonts w:ascii="Times New Roman" w:hAnsi="Times New Roman"/>
          <w:sz w:val="24"/>
        </w:rPr>
        <w:t>Disturbance o</w:t>
      </w:r>
      <w:r w:rsidR="00AB6D47" w:rsidRPr="00563D71">
        <w:rPr>
          <w:rFonts w:ascii="Times New Roman" w:hAnsi="Times New Roman"/>
          <w:sz w:val="24"/>
        </w:rPr>
        <w:t>f</w:t>
      </w:r>
      <w:r w:rsidRPr="00563D71">
        <w:rPr>
          <w:rFonts w:ascii="Times New Roman" w:hAnsi="Times New Roman"/>
          <w:sz w:val="24"/>
        </w:rPr>
        <w:t xml:space="preserve"> natural habitat</w:t>
      </w:r>
      <w:r w:rsidR="00AB6D47" w:rsidRPr="00563D71">
        <w:rPr>
          <w:rFonts w:ascii="Times New Roman" w:hAnsi="Times New Roman"/>
          <w:sz w:val="24"/>
        </w:rPr>
        <w:t>s, such as coral and mangrove areas,</w:t>
      </w:r>
      <w:r w:rsidRPr="00563D71">
        <w:rPr>
          <w:rFonts w:ascii="Times New Roman" w:hAnsi="Times New Roman"/>
          <w:sz w:val="24"/>
        </w:rPr>
        <w:t xml:space="preserve"> from tourism activities.  </w:t>
      </w:r>
    </w:p>
    <w:p w14:paraId="008AEA0D" w14:textId="20991E5E" w:rsidR="00CB27F7" w:rsidRPr="00563D71" w:rsidRDefault="00CB27F7" w:rsidP="0032029F">
      <w:pPr>
        <w:pStyle w:val="MainParanoChapter-Ch3"/>
        <w:rPr>
          <w:bCs/>
        </w:rPr>
      </w:pPr>
      <w:r w:rsidRPr="00563D71">
        <w:rPr>
          <w:bCs/>
        </w:rPr>
        <w:lastRenderedPageBreak/>
        <w:t>In Indonesia, the legal and institutional framework for environmental impact assessment including the aspect related to management of direct, induced and cumulative impacts is well developed and comprehensive in the legislation. Nevertheless, there is gap in capacity and intensity of enforcement in different regions of the country, in functions such as administration of land development and enforcement that hinders the proper management of induced impacts.</w:t>
      </w:r>
    </w:p>
    <w:p w14:paraId="5AEB0BF4" w14:textId="77777777" w:rsidR="00CB27F7" w:rsidRPr="00563D71" w:rsidRDefault="00CB27F7" w:rsidP="003D2E29">
      <w:pPr>
        <w:pStyle w:val="NoSpacing"/>
      </w:pPr>
    </w:p>
    <w:p w14:paraId="2773F18B" w14:textId="39C8804E" w:rsidR="00CB27F7" w:rsidRPr="00563D71" w:rsidRDefault="00CB27F7" w:rsidP="0032029F">
      <w:pPr>
        <w:pStyle w:val="Heading2"/>
      </w:pPr>
      <w:bookmarkStart w:id="49" w:name="_Toc485831030"/>
      <w:r w:rsidRPr="00563D71">
        <w:t>3.3</w:t>
      </w:r>
      <w:r w:rsidRPr="00563D71">
        <w:rPr>
          <w:rFonts w:eastAsia="Arial"/>
        </w:rPr>
        <w:t xml:space="preserve"> </w:t>
      </w:r>
      <w:r w:rsidRPr="00563D71">
        <w:rPr>
          <w:rFonts w:eastAsia="Arial"/>
        </w:rPr>
        <w:tab/>
      </w:r>
      <w:r w:rsidRPr="00563D71">
        <w:t>Potential Social Benefits, Impacts, and Mitigation Measures</w:t>
      </w:r>
      <w:bookmarkEnd w:id="49"/>
    </w:p>
    <w:p w14:paraId="36F7C0FB" w14:textId="22E424A4" w:rsidR="00637CB5" w:rsidRPr="00563D71" w:rsidRDefault="00637CB5" w:rsidP="0032029F">
      <w:pPr>
        <w:pStyle w:val="MainParanoChapter-Ch3"/>
        <w:rPr>
          <w:b/>
          <w:bCs/>
        </w:rPr>
      </w:pPr>
      <w:r w:rsidRPr="00563D71">
        <w:rPr>
          <w:bCs/>
        </w:rPr>
        <w:t>Overall, activities to achieve the four result</w:t>
      </w:r>
      <w:r w:rsidR="004F5180" w:rsidRPr="00563D71">
        <w:rPr>
          <w:bCs/>
        </w:rPr>
        <w:t>s</w:t>
      </w:r>
      <w:r w:rsidRPr="00563D71">
        <w:rPr>
          <w:bCs/>
        </w:rPr>
        <w:t xml:space="preserve"> areas in the Program </w:t>
      </w:r>
      <w:r w:rsidR="0001423C" w:rsidRPr="00563D71">
        <w:rPr>
          <w:bCs/>
        </w:rPr>
        <w:t xml:space="preserve">should generate positive </w:t>
      </w:r>
      <w:r w:rsidRPr="00563D71">
        <w:rPr>
          <w:bCs/>
        </w:rPr>
        <w:t xml:space="preserve">social impacts. </w:t>
      </w:r>
      <w:r w:rsidR="00FF5BD5" w:rsidRPr="00563D71">
        <w:rPr>
          <w:bCs/>
        </w:rPr>
        <w:t xml:space="preserve">The Tourism Development Program (TDP) and the broader PPNPPI government program are expected to contribute to higher-level impacts on foreign and domestic visitors and related foreign exchange earnings, employment, </w:t>
      </w:r>
      <w:r w:rsidR="004F5180" w:rsidRPr="00563D71">
        <w:rPr>
          <w:bCs/>
        </w:rPr>
        <w:t xml:space="preserve">and </w:t>
      </w:r>
      <w:r w:rsidR="00FF5BD5" w:rsidRPr="00563D71">
        <w:rPr>
          <w:bCs/>
        </w:rPr>
        <w:t>contribution to GDP</w:t>
      </w:r>
      <w:r w:rsidR="004F5180" w:rsidRPr="00563D71">
        <w:rPr>
          <w:bCs/>
        </w:rPr>
        <w:t>,</w:t>
      </w:r>
      <w:r w:rsidR="00FF5BD5" w:rsidRPr="00563D71">
        <w:rPr>
          <w:bCs/>
        </w:rPr>
        <w:t xml:space="preserve"> as well as</w:t>
      </w:r>
      <w:r w:rsidR="004F5180" w:rsidRPr="00563D71">
        <w:rPr>
          <w:bCs/>
        </w:rPr>
        <w:t xml:space="preserve"> to</w:t>
      </w:r>
      <w:r w:rsidR="00FF5BD5" w:rsidRPr="00563D71">
        <w:rPr>
          <w:bCs/>
        </w:rPr>
        <w:t xml:space="preserve"> tourism competitiveness. </w:t>
      </w:r>
      <w:r w:rsidRPr="00563D71">
        <w:rPr>
          <w:bCs/>
        </w:rPr>
        <w:t xml:space="preserve">The Program is expected to increase jobs, promote </w:t>
      </w:r>
      <w:r w:rsidR="00FF5BD5" w:rsidRPr="00563D71">
        <w:rPr>
          <w:bCs/>
        </w:rPr>
        <w:t>local participation in the tourism economy</w:t>
      </w:r>
      <w:r w:rsidR="00D930FE" w:rsidRPr="00563D71">
        <w:rPr>
          <w:bCs/>
        </w:rPr>
        <w:t>,</w:t>
      </w:r>
      <w:r w:rsidR="00FF5BD5" w:rsidRPr="00563D71">
        <w:rPr>
          <w:bCs/>
        </w:rPr>
        <w:t xml:space="preserve"> </w:t>
      </w:r>
      <w:r w:rsidRPr="00563D71">
        <w:rPr>
          <w:bCs/>
        </w:rPr>
        <w:t>and maintain and/or improve the natural resources, local culture, traditions</w:t>
      </w:r>
      <w:r w:rsidR="00D930FE" w:rsidRPr="00563D71">
        <w:rPr>
          <w:bCs/>
        </w:rPr>
        <w:t>,</w:t>
      </w:r>
      <w:r w:rsidRPr="00563D71">
        <w:rPr>
          <w:bCs/>
        </w:rPr>
        <w:t xml:space="preserve"> and assets that constitute the attractions of the destinations. Construction activities in </w:t>
      </w:r>
      <w:r w:rsidR="002420BF" w:rsidRPr="00563D71">
        <w:rPr>
          <w:bCs/>
        </w:rPr>
        <w:t>R</w:t>
      </w:r>
      <w:r w:rsidRPr="00563D71">
        <w:rPr>
          <w:bCs/>
        </w:rPr>
        <w:t>esult</w:t>
      </w:r>
      <w:r w:rsidR="00F27A5F" w:rsidRPr="00563D71">
        <w:rPr>
          <w:bCs/>
        </w:rPr>
        <w:t>s</w:t>
      </w:r>
      <w:r w:rsidRPr="00563D71">
        <w:rPr>
          <w:bCs/>
        </w:rPr>
        <w:t xml:space="preserve"> </w:t>
      </w:r>
      <w:r w:rsidR="002420BF" w:rsidRPr="00563D71">
        <w:rPr>
          <w:bCs/>
        </w:rPr>
        <w:t>A</w:t>
      </w:r>
      <w:r w:rsidRPr="00563D71">
        <w:rPr>
          <w:bCs/>
        </w:rPr>
        <w:t xml:space="preserve">rea 1 are expected to improve and expand infrastructure and services that will ultimately improve the </w:t>
      </w:r>
      <w:r w:rsidR="00FF5BD5" w:rsidRPr="00563D71">
        <w:rPr>
          <w:bCs/>
        </w:rPr>
        <w:t xml:space="preserve">sustainability </w:t>
      </w:r>
      <w:r w:rsidRPr="00563D71">
        <w:rPr>
          <w:bCs/>
        </w:rPr>
        <w:t>and carrying capacity of tourism destinations. Local communities will benefit from the development o</w:t>
      </w:r>
      <w:r w:rsidR="00F27A5F" w:rsidRPr="00563D71">
        <w:rPr>
          <w:bCs/>
        </w:rPr>
        <w:t>f</w:t>
      </w:r>
      <w:r w:rsidRPr="00563D71">
        <w:rPr>
          <w:bCs/>
        </w:rPr>
        <w:t xml:space="preserve"> improved infrastructure and services, as they </w:t>
      </w:r>
      <w:r w:rsidR="00F27A5F" w:rsidRPr="00563D71">
        <w:rPr>
          <w:bCs/>
        </w:rPr>
        <w:t xml:space="preserve">will </w:t>
      </w:r>
      <w:r w:rsidRPr="00563D71">
        <w:rPr>
          <w:bCs/>
        </w:rPr>
        <w:t xml:space="preserve">have opportunities to establish or expand their current economic activities or tourism-related businesses, and to create new jobs. Potential adverse social impacts and risks related to construction activities (such as </w:t>
      </w:r>
      <w:r w:rsidR="00FF5BD5" w:rsidRPr="00563D71">
        <w:rPr>
          <w:bCs/>
        </w:rPr>
        <w:t>maintenance, rehabilitation or reconstruction</w:t>
      </w:r>
      <w:r w:rsidRPr="00563D71">
        <w:rPr>
          <w:bCs/>
        </w:rPr>
        <w:t xml:space="preserve"> of roads and sidewalks; water supply</w:t>
      </w:r>
      <w:r w:rsidR="00FF5BD5" w:rsidRPr="00563D71">
        <w:rPr>
          <w:bCs/>
        </w:rPr>
        <w:t>;</w:t>
      </w:r>
      <w:r w:rsidRPr="00563D71">
        <w:rPr>
          <w:bCs/>
        </w:rPr>
        <w:t xml:space="preserve"> waste management, sanitation facilities, tourist facilities and amenities) in </w:t>
      </w:r>
      <w:r w:rsidR="00F27A5F" w:rsidRPr="00563D71">
        <w:rPr>
          <w:bCs/>
        </w:rPr>
        <w:t>R</w:t>
      </w:r>
      <w:r w:rsidRPr="00563D71">
        <w:rPr>
          <w:bCs/>
        </w:rPr>
        <w:t xml:space="preserve">esults </w:t>
      </w:r>
      <w:r w:rsidR="00F27A5F" w:rsidRPr="00563D71">
        <w:rPr>
          <w:bCs/>
        </w:rPr>
        <w:t>A</w:t>
      </w:r>
      <w:r w:rsidRPr="00563D71">
        <w:rPr>
          <w:bCs/>
        </w:rPr>
        <w:t xml:space="preserve">rea 1 and construction of the downstream activities that might be generated by the other three results areas of the Program (such as new tourism-related businesses) are expected to be moderate. Potential social risks impacts would occur mainly </w:t>
      </w:r>
      <w:r w:rsidR="00FF5BD5" w:rsidRPr="00563D71">
        <w:rPr>
          <w:bCs/>
        </w:rPr>
        <w:t xml:space="preserve">due </w:t>
      </w:r>
      <w:r w:rsidRPr="00563D71">
        <w:rPr>
          <w:bCs/>
        </w:rPr>
        <w:t xml:space="preserve">to land acquisition and/or resettlement, including access restriction to public goods and natural resources, and disturbance (e.g. livelihoods, health, convenience etc.) during the construction. </w:t>
      </w:r>
      <w:r w:rsidR="00976F78" w:rsidRPr="00563D71">
        <w:rPr>
          <w:bCs/>
        </w:rPr>
        <w:t xml:space="preserve">Because of the PforR Policy </w:t>
      </w:r>
      <w:r w:rsidR="002239E2" w:rsidRPr="00563D71">
        <w:rPr>
          <w:bCs/>
        </w:rPr>
        <w:t xml:space="preserve">prohibition on “activities that are judged to be likely to have significant adverse impacts that are sensitive, diverse, or unprecedented on the environment and/or affected people,” </w:t>
      </w:r>
      <w:r w:rsidRPr="00563D71">
        <w:rPr>
          <w:bCs/>
        </w:rPr>
        <w:t xml:space="preserve">the scale of land acquisition for each activity </w:t>
      </w:r>
      <w:r w:rsidR="00976F78" w:rsidRPr="00563D71">
        <w:rPr>
          <w:bCs/>
        </w:rPr>
        <w:t xml:space="preserve">will be </w:t>
      </w:r>
      <w:r w:rsidRPr="00563D71">
        <w:rPr>
          <w:bCs/>
        </w:rPr>
        <w:t xml:space="preserve">small to medium in size, and </w:t>
      </w:r>
      <w:r w:rsidR="00976F78" w:rsidRPr="00563D71">
        <w:rPr>
          <w:bCs/>
        </w:rPr>
        <w:t xml:space="preserve">there will not be </w:t>
      </w:r>
      <w:r w:rsidRPr="00563D71">
        <w:rPr>
          <w:bCs/>
        </w:rPr>
        <w:t>large-scale relocation</w:t>
      </w:r>
      <w:r w:rsidR="002239E2" w:rsidRPr="00563D71">
        <w:rPr>
          <w:bCs/>
        </w:rPr>
        <w:t xml:space="preserve"> of households or businesses</w:t>
      </w:r>
      <w:r w:rsidRPr="00563D71">
        <w:rPr>
          <w:bCs/>
        </w:rPr>
        <w:t>. Activities involving large-scale and/or significant social impacts, including induced social impacts</w:t>
      </w:r>
      <w:r w:rsidR="00F27A5F" w:rsidRPr="00563D71">
        <w:rPr>
          <w:bCs/>
        </w:rPr>
        <w:t>,</w:t>
      </w:r>
      <w:r w:rsidRPr="00563D71">
        <w:rPr>
          <w:bCs/>
        </w:rPr>
        <w:t xml:space="preserve"> will not be financed under this Program.</w:t>
      </w:r>
    </w:p>
    <w:p w14:paraId="49E40C6F" w14:textId="77777777" w:rsidR="00AF643E" w:rsidRPr="00563D71" w:rsidRDefault="00AF643E" w:rsidP="0032029F">
      <w:pPr>
        <w:pStyle w:val="MainParanoChapter-Ch3"/>
        <w:numPr>
          <w:ilvl w:val="0"/>
          <w:numId w:val="0"/>
        </w:numPr>
        <w:rPr>
          <w:bCs/>
        </w:rPr>
      </w:pPr>
    </w:p>
    <w:p w14:paraId="4D9CCE51" w14:textId="1511A770" w:rsidR="00AF643E" w:rsidRPr="00563D71" w:rsidRDefault="00637CB5" w:rsidP="0032029F">
      <w:pPr>
        <w:pStyle w:val="MainParanoChapter-Ch3"/>
        <w:rPr>
          <w:bCs/>
        </w:rPr>
      </w:pPr>
      <w:r w:rsidRPr="00563D71">
        <w:rPr>
          <w:bCs/>
        </w:rPr>
        <w:t xml:space="preserve">Other typical potential adverse social impacts of </w:t>
      </w:r>
      <w:r w:rsidR="0001423C" w:rsidRPr="00563D71">
        <w:rPr>
          <w:bCs/>
        </w:rPr>
        <w:t xml:space="preserve">tourism development </w:t>
      </w:r>
      <w:r w:rsidRPr="00563D71">
        <w:rPr>
          <w:bCs/>
        </w:rPr>
        <w:t xml:space="preserve"> (beyond the impacts of land acquisition and/or resettlement) may include</w:t>
      </w:r>
      <w:r w:rsidR="0001423C" w:rsidRPr="00563D71">
        <w:rPr>
          <w:bCs/>
        </w:rPr>
        <w:t>:</w:t>
      </w:r>
      <w:r w:rsidRPr="00563D71">
        <w:rPr>
          <w:bCs/>
        </w:rPr>
        <w:t xml:space="preserve"> </w:t>
      </w:r>
      <w:r w:rsidR="0001423C" w:rsidRPr="00563D71">
        <w:rPr>
          <w:bCs/>
        </w:rPr>
        <w:t xml:space="preserve">greater economic and social disparity and limited access for the community to public natural resources (such as beaches) due to “enclave tourist resort” development; </w:t>
      </w:r>
      <w:r w:rsidRPr="00563D71">
        <w:rPr>
          <w:bCs/>
        </w:rPr>
        <w:t>internal conflict within communit</w:t>
      </w:r>
      <w:r w:rsidR="00780058" w:rsidRPr="00563D71">
        <w:rPr>
          <w:bCs/>
        </w:rPr>
        <w:t>ies</w:t>
      </w:r>
      <w:r w:rsidRPr="00563D71">
        <w:rPr>
          <w:bCs/>
        </w:rPr>
        <w:t xml:space="preserve"> due to inequality of capacity to harness </w:t>
      </w:r>
      <w:r w:rsidR="00780058" w:rsidRPr="00563D71">
        <w:rPr>
          <w:bCs/>
        </w:rPr>
        <w:t xml:space="preserve">new </w:t>
      </w:r>
      <w:r w:rsidRPr="00563D71">
        <w:rPr>
          <w:bCs/>
        </w:rPr>
        <w:t>opportunit</w:t>
      </w:r>
      <w:r w:rsidR="00780058" w:rsidRPr="00563D71">
        <w:rPr>
          <w:bCs/>
        </w:rPr>
        <w:t>ies</w:t>
      </w:r>
      <w:r w:rsidRPr="00563D71">
        <w:rPr>
          <w:bCs/>
        </w:rPr>
        <w:t xml:space="preserve">, especially for the less-educated, poorest, elderly, </w:t>
      </w:r>
      <w:r w:rsidR="009F31FD" w:rsidRPr="00563D71">
        <w:rPr>
          <w:bCs/>
        </w:rPr>
        <w:t xml:space="preserve">and </w:t>
      </w:r>
      <w:r w:rsidR="00581145" w:rsidRPr="00563D71">
        <w:rPr>
          <w:bCs/>
        </w:rPr>
        <w:t>disabled</w:t>
      </w:r>
      <w:r w:rsidRPr="00563D71">
        <w:rPr>
          <w:bCs/>
        </w:rPr>
        <w:t xml:space="preserve">; loss of jobs due to conversion of agricultural activities into tourism-related build-up areas; disturbance and </w:t>
      </w:r>
      <w:r w:rsidR="00C953D0" w:rsidRPr="00563D71">
        <w:rPr>
          <w:bCs/>
        </w:rPr>
        <w:t xml:space="preserve">unsustainable </w:t>
      </w:r>
      <w:r w:rsidRPr="00563D71">
        <w:rPr>
          <w:bCs/>
        </w:rPr>
        <w:t>commercialization of local cultures, practices</w:t>
      </w:r>
      <w:r w:rsidR="00780058" w:rsidRPr="00563D71">
        <w:rPr>
          <w:bCs/>
        </w:rPr>
        <w:t>,</w:t>
      </w:r>
      <w:r w:rsidRPr="00563D71">
        <w:rPr>
          <w:bCs/>
        </w:rPr>
        <w:t xml:space="preserve"> and values; loss of livelihoods and assets due to land acquisition. Community health and safety may also be issues, particularly transmitted diseases and </w:t>
      </w:r>
      <w:r w:rsidR="005B3780" w:rsidRPr="00563D71">
        <w:rPr>
          <w:bCs/>
        </w:rPr>
        <w:t>the dangers of</w:t>
      </w:r>
      <w:r w:rsidRPr="00563D71">
        <w:rPr>
          <w:bCs/>
        </w:rPr>
        <w:t xml:space="preserve"> busier traffic. </w:t>
      </w:r>
      <w:r w:rsidR="005B3780" w:rsidRPr="00563D71">
        <w:rPr>
          <w:bCs/>
        </w:rPr>
        <w:t>Also, i</w:t>
      </w:r>
      <w:r w:rsidRPr="00563D71">
        <w:rPr>
          <w:bCs/>
        </w:rPr>
        <w:t xml:space="preserve">f not managed properly, there </w:t>
      </w:r>
      <w:r w:rsidR="005B3780" w:rsidRPr="00563D71">
        <w:rPr>
          <w:bCs/>
        </w:rPr>
        <w:t xml:space="preserve">may </w:t>
      </w:r>
      <w:r w:rsidRPr="00563D71">
        <w:rPr>
          <w:bCs/>
        </w:rPr>
        <w:t>be induced uncontrolled growth of settlement</w:t>
      </w:r>
      <w:r w:rsidR="005B3780" w:rsidRPr="00563D71">
        <w:rPr>
          <w:bCs/>
        </w:rPr>
        <w:t>s</w:t>
      </w:r>
      <w:r w:rsidRPr="00563D71">
        <w:rPr>
          <w:bCs/>
        </w:rPr>
        <w:t xml:space="preserve"> and/or small businesses surrounding the tourist attractions.</w:t>
      </w:r>
    </w:p>
    <w:p w14:paraId="74A5A0AB" w14:textId="77777777" w:rsidR="000374B4" w:rsidRPr="00563D71" w:rsidRDefault="000374B4" w:rsidP="0032029F">
      <w:pPr>
        <w:pStyle w:val="MainParanoChapter-Ch3"/>
        <w:numPr>
          <w:ilvl w:val="0"/>
          <w:numId w:val="0"/>
        </w:numPr>
      </w:pPr>
    </w:p>
    <w:p w14:paraId="25F4A8D1" w14:textId="6151315A" w:rsidR="00A30FAA" w:rsidRPr="00563D71" w:rsidRDefault="00637CB5" w:rsidP="0032029F">
      <w:pPr>
        <w:pStyle w:val="MainParanoChapter-Ch3"/>
        <w:rPr>
          <w:bCs/>
        </w:rPr>
      </w:pPr>
      <w:r w:rsidRPr="00563D71">
        <w:rPr>
          <w:bCs/>
        </w:rPr>
        <w:lastRenderedPageBreak/>
        <w:t xml:space="preserve">Local governments in the tourist destinations (such as </w:t>
      </w:r>
      <w:r w:rsidRPr="00563D71">
        <w:rPr>
          <w:bCs/>
          <w:iCs/>
        </w:rPr>
        <w:t>Kabupaten</w:t>
      </w:r>
      <w:r w:rsidRPr="00563D71">
        <w:rPr>
          <w:bCs/>
        </w:rPr>
        <w:t xml:space="preserve"> Magelang and </w:t>
      </w:r>
      <w:r w:rsidRPr="00563D71">
        <w:rPr>
          <w:bCs/>
          <w:iCs/>
        </w:rPr>
        <w:t>Kabupaten</w:t>
      </w:r>
      <w:r w:rsidRPr="00563D71">
        <w:rPr>
          <w:bCs/>
        </w:rPr>
        <w:t xml:space="preserve"> Lombok Tengah) are being challenged </w:t>
      </w:r>
      <w:r w:rsidR="00120053" w:rsidRPr="00563D71">
        <w:rPr>
          <w:bCs/>
        </w:rPr>
        <w:t xml:space="preserve">to: </w:t>
      </w:r>
      <w:r w:rsidRPr="00563D71">
        <w:rPr>
          <w:bCs/>
        </w:rPr>
        <w:t xml:space="preserve">control land use and building development, </w:t>
      </w:r>
      <w:r w:rsidR="00120053" w:rsidRPr="00563D71">
        <w:rPr>
          <w:bCs/>
        </w:rPr>
        <w:t xml:space="preserve">including the </w:t>
      </w:r>
      <w:r w:rsidRPr="00563D71">
        <w:rPr>
          <w:bCs/>
        </w:rPr>
        <w:t>encroachment or conversion of irrigated rice field</w:t>
      </w:r>
      <w:r w:rsidR="00CC1655" w:rsidRPr="00563D71">
        <w:rPr>
          <w:bCs/>
        </w:rPr>
        <w:t>s</w:t>
      </w:r>
      <w:r w:rsidRPr="00563D71">
        <w:rPr>
          <w:bCs/>
        </w:rPr>
        <w:t xml:space="preserve"> </w:t>
      </w:r>
      <w:r w:rsidR="00CC1655" w:rsidRPr="00563D71">
        <w:rPr>
          <w:bCs/>
        </w:rPr>
        <w:t xml:space="preserve">to </w:t>
      </w:r>
      <w:r w:rsidRPr="00563D71">
        <w:rPr>
          <w:bCs/>
        </w:rPr>
        <w:t>tourist-related activities</w:t>
      </w:r>
      <w:r w:rsidR="00120053" w:rsidRPr="00563D71">
        <w:rPr>
          <w:bCs/>
        </w:rPr>
        <w:t>;</w:t>
      </w:r>
      <w:r w:rsidRPr="00563D71">
        <w:rPr>
          <w:bCs/>
        </w:rPr>
        <w:t xml:space="preserve"> protect traditional markets</w:t>
      </w:r>
      <w:r w:rsidR="00120053" w:rsidRPr="00563D71">
        <w:rPr>
          <w:bCs/>
        </w:rPr>
        <w:t>;</w:t>
      </w:r>
      <w:r w:rsidRPr="00563D71">
        <w:rPr>
          <w:bCs/>
        </w:rPr>
        <w:t xml:space="preserve"> and </w:t>
      </w:r>
      <w:r w:rsidR="00120053" w:rsidRPr="00563D71">
        <w:rPr>
          <w:bCs/>
        </w:rPr>
        <w:t xml:space="preserve">promote </w:t>
      </w:r>
      <w:r w:rsidRPr="00563D71">
        <w:rPr>
          <w:bCs/>
        </w:rPr>
        <w:t xml:space="preserve">the inclusion of local community to the tourism-related activities. Further, current traditional or informal tourism-related businesses that have been in operation for some time such as local boat and car renting and their operators, snorkeling and divers, local guides, etc., might also </w:t>
      </w:r>
      <w:r w:rsidR="00C953D0" w:rsidRPr="00563D71">
        <w:rPr>
          <w:bCs/>
        </w:rPr>
        <w:t xml:space="preserve">feel </w:t>
      </w:r>
      <w:r w:rsidRPr="00563D71">
        <w:rPr>
          <w:bCs/>
        </w:rPr>
        <w:t xml:space="preserve">threatened by large-scale, capital-intensive players in these activities due to limited capacity to compete. There is also a concern </w:t>
      </w:r>
      <w:r w:rsidR="009F31FD" w:rsidRPr="00563D71">
        <w:rPr>
          <w:bCs/>
        </w:rPr>
        <w:t xml:space="preserve">expressed by </w:t>
      </w:r>
      <w:r w:rsidRPr="00563D71">
        <w:rPr>
          <w:bCs/>
        </w:rPr>
        <w:t xml:space="preserve">local </w:t>
      </w:r>
      <w:r w:rsidR="009F31FD" w:rsidRPr="00563D71">
        <w:rPr>
          <w:bCs/>
        </w:rPr>
        <w:t>stakeholders</w:t>
      </w:r>
      <w:r w:rsidRPr="00563D71">
        <w:rPr>
          <w:bCs/>
        </w:rPr>
        <w:t xml:space="preserve"> </w:t>
      </w:r>
      <w:r w:rsidR="009F31FD" w:rsidRPr="00563D71">
        <w:rPr>
          <w:bCs/>
        </w:rPr>
        <w:t xml:space="preserve">at some destinations </w:t>
      </w:r>
      <w:r w:rsidRPr="00563D71">
        <w:rPr>
          <w:bCs/>
        </w:rPr>
        <w:t>that existing local culture, values</w:t>
      </w:r>
      <w:r w:rsidR="00750760" w:rsidRPr="00563D71">
        <w:rPr>
          <w:bCs/>
        </w:rPr>
        <w:t>,</w:t>
      </w:r>
      <w:r w:rsidRPr="00563D71">
        <w:rPr>
          <w:bCs/>
        </w:rPr>
        <w:t xml:space="preserve"> and practices </w:t>
      </w:r>
      <w:r w:rsidR="00750760" w:rsidRPr="00563D71">
        <w:rPr>
          <w:bCs/>
        </w:rPr>
        <w:t xml:space="preserve">which have </w:t>
      </w:r>
      <w:r w:rsidRPr="00563D71">
        <w:rPr>
          <w:bCs/>
        </w:rPr>
        <w:t>potential for tourist development will be degraded and replaced by modern and “imported” model</w:t>
      </w:r>
      <w:r w:rsidR="00750760" w:rsidRPr="00563D71">
        <w:rPr>
          <w:bCs/>
        </w:rPr>
        <w:t>s</w:t>
      </w:r>
      <w:r w:rsidRPr="00563D71">
        <w:rPr>
          <w:bCs/>
        </w:rPr>
        <w:t xml:space="preserve"> for tourism development. These </w:t>
      </w:r>
      <w:r w:rsidR="009F31FD" w:rsidRPr="00563D71">
        <w:rPr>
          <w:bCs/>
        </w:rPr>
        <w:t>stakeholders advocate</w:t>
      </w:r>
      <w:r w:rsidRPr="00563D71">
        <w:rPr>
          <w:bCs/>
        </w:rPr>
        <w:t xml:space="preserve"> tourism development </w:t>
      </w:r>
      <w:r w:rsidR="005A2401" w:rsidRPr="00563D71">
        <w:rPr>
          <w:bCs/>
        </w:rPr>
        <w:t xml:space="preserve">that is </w:t>
      </w:r>
      <w:r w:rsidRPr="00563D71">
        <w:rPr>
          <w:bCs/>
        </w:rPr>
        <w:t>sensitive to and within current social values, traditions</w:t>
      </w:r>
      <w:r w:rsidR="005A2401" w:rsidRPr="00563D71">
        <w:rPr>
          <w:bCs/>
        </w:rPr>
        <w:t>,</w:t>
      </w:r>
      <w:r w:rsidRPr="00563D71">
        <w:rPr>
          <w:bCs/>
        </w:rPr>
        <w:t xml:space="preserve"> and community practices so that the region </w:t>
      </w:r>
      <w:r w:rsidR="009F31FD" w:rsidRPr="00563D71">
        <w:rPr>
          <w:bCs/>
        </w:rPr>
        <w:t xml:space="preserve">can </w:t>
      </w:r>
      <w:r w:rsidRPr="00563D71">
        <w:rPr>
          <w:bCs/>
        </w:rPr>
        <w:t xml:space="preserve">develop </w:t>
      </w:r>
      <w:r w:rsidR="009F31FD" w:rsidRPr="00563D71">
        <w:rPr>
          <w:bCs/>
        </w:rPr>
        <w:t xml:space="preserve">as </w:t>
      </w:r>
      <w:r w:rsidRPr="00563D71">
        <w:rPr>
          <w:bCs/>
        </w:rPr>
        <w:t xml:space="preserve">a unique tourism </w:t>
      </w:r>
      <w:r w:rsidR="009F31FD" w:rsidRPr="00563D71">
        <w:rPr>
          <w:bCs/>
        </w:rPr>
        <w:t xml:space="preserve">destination </w:t>
      </w:r>
      <w:r w:rsidRPr="00563D71">
        <w:rPr>
          <w:bCs/>
        </w:rPr>
        <w:t xml:space="preserve">without extensive (adverse) social costs and large investments, </w:t>
      </w:r>
      <w:r w:rsidR="005A2401" w:rsidRPr="00563D71">
        <w:rPr>
          <w:bCs/>
        </w:rPr>
        <w:t xml:space="preserve">in a way that is </w:t>
      </w:r>
      <w:r w:rsidRPr="00563D71">
        <w:rPr>
          <w:bCs/>
        </w:rPr>
        <w:t>sustainable in the long-term</w:t>
      </w:r>
      <w:r w:rsidR="00512E23" w:rsidRPr="00563D71">
        <w:rPr>
          <w:bCs/>
        </w:rPr>
        <w:t>.</w:t>
      </w:r>
    </w:p>
    <w:p w14:paraId="0C14F7E0" w14:textId="77777777" w:rsidR="001610C8" w:rsidRPr="00563D71" w:rsidRDefault="001610C8" w:rsidP="0032029F">
      <w:pPr>
        <w:pStyle w:val="MainParanoChapter-Ch3"/>
        <w:numPr>
          <w:ilvl w:val="0"/>
          <w:numId w:val="0"/>
        </w:numPr>
      </w:pPr>
    </w:p>
    <w:p w14:paraId="36264CF5" w14:textId="02DF3658" w:rsidR="00A30FAA" w:rsidRPr="00563D71" w:rsidRDefault="000374B4" w:rsidP="0032029F">
      <w:pPr>
        <w:pStyle w:val="MainParanoChapter-Ch3"/>
        <w:rPr>
          <w:bCs/>
        </w:rPr>
      </w:pPr>
      <w:r w:rsidRPr="00563D71">
        <w:rPr>
          <w:bCs/>
        </w:rPr>
        <w:t xml:space="preserve">According to the </w:t>
      </w:r>
      <w:r w:rsidRPr="00563D71">
        <w:rPr>
          <w:bCs/>
          <w:iCs/>
        </w:rPr>
        <w:t>Kabupaten</w:t>
      </w:r>
      <w:r w:rsidRPr="00563D71">
        <w:rPr>
          <w:bCs/>
          <w:i/>
        </w:rPr>
        <w:t xml:space="preserve"> </w:t>
      </w:r>
      <w:r w:rsidRPr="00563D71">
        <w:rPr>
          <w:bCs/>
        </w:rPr>
        <w:t xml:space="preserve">Lombok Barat </w:t>
      </w:r>
      <w:r w:rsidR="005A2401" w:rsidRPr="00563D71">
        <w:rPr>
          <w:bCs/>
        </w:rPr>
        <w:t>L</w:t>
      </w:r>
      <w:r w:rsidRPr="00563D71">
        <w:rPr>
          <w:bCs/>
        </w:rPr>
        <w:t xml:space="preserve">and </w:t>
      </w:r>
      <w:r w:rsidR="005A2401" w:rsidRPr="00563D71">
        <w:rPr>
          <w:bCs/>
        </w:rPr>
        <w:t>A</w:t>
      </w:r>
      <w:r w:rsidRPr="00563D71">
        <w:rPr>
          <w:bCs/>
        </w:rPr>
        <w:t>gency (BPN), t</w:t>
      </w:r>
      <w:r w:rsidR="00512E23" w:rsidRPr="00563D71">
        <w:rPr>
          <w:bCs/>
        </w:rPr>
        <w:t xml:space="preserve">here is potential </w:t>
      </w:r>
      <w:r w:rsidR="00C953D0" w:rsidRPr="00563D71">
        <w:rPr>
          <w:bCs/>
        </w:rPr>
        <w:t xml:space="preserve">for </w:t>
      </w:r>
      <w:r w:rsidR="00512E23" w:rsidRPr="00563D71">
        <w:rPr>
          <w:bCs/>
        </w:rPr>
        <w:t xml:space="preserve">social conflict </w:t>
      </w:r>
      <w:r w:rsidRPr="00563D71">
        <w:rPr>
          <w:bCs/>
        </w:rPr>
        <w:t xml:space="preserve">related </w:t>
      </w:r>
      <w:r w:rsidR="00512E23" w:rsidRPr="00563D71">
        <w:rPr>
          <w:bCs/>
        </w:rPr>
        <w:t>to land issues</w:t>
      </w:r>
      <w:r w:rsidRPr="00563D71">
        <w:rPr>
          <w:bCs/>
        </w:rPr>
        <w:t>:</w:t>
      </w:r>
      <w:r w:rsidR="00512E23" w:rsidRPr="00563D71">
        <w:rPr>
          <w:bCs/>
        </w:rPr>
        <w:t xml:space="preserve"> </w:t>
      </w:r>
      <w:r w:rsidR="005A2401" w:rsidRPr="00563D71">
        <w:rPr>
          <w:bCs/>
        </w:rPr>
        <w:t>d</w:t>
      </w:r>
      <w:r w:rsidR="001577E0" w:rsidRPr="00563D71">
        <w:rPr>
          <w:bCs/>
        </w:rPr>
        <w:t xml:space="preserve">ecades ago, </w:t>
      </w:r>
      <w:r w:rsidRPr="00563D71">
        <w:rPr>
          <w:bCs/>
        </w:rPr>
        <w:t xml:space="preserve">several </w:t>
      </w:r>
      <w:r w:rsidR="009F31FD" w:rsidRPr="00563D71">
        <w:rPr>
          <w:bCs/>
        </w:rPr>
        <w:t xml:space="preserve">investors </w:t>
      </w:r>
      <w:r w:rsidR="00512E23" w:rsidRPr="00563D71">
        <w:rPr>
          <w:bCs/>
        </w:rPr>
        <w:t xml:space="preserve">acquired </w:t>
      </w:r>
      <w:r w:rsidR="009F31FD" w:rsidRPr="00563D71">
        <w:rPr>
          <w:bCs/>
        </w:rPr>
        <w:t>significant amounts of land</w:t>
      </w:r>
      <w:r w:rsidR="00512E23" w:rsidRPr="00563D71">
        <w:rPr>
          <w:bCs/>
        </w:rPr>
        <w:t xml:space="preserve"> for the purpose of building tourism-related investments and </w:t>
      </w:r>
      <w:r w:rsidR="009F31FD" w:rsidRPr="00563D71">
        <w:rPr>
          <w:bCs/>
        </w:rPr>
        <w:t>then left the land undeveloped for a number of years</w:t>
      </w:r>
      <w:r w:rsidRPr="00563D71">
        <w:rPr>
          <w:bCs/>
        </w:rPr>
        <w:t xml:space="preserve">. </w:t>
      </w:r>
      <w:r w:rsidR="009F31FD" w:rsidRPr="00563D71">
        <w:rPr>
          <w:bCs/>
        </w:rPr>
        <w:t xml:space="preserve">During that interval, </w:t>
      </w:r>
      <w:r w:rsidR="00512E23" w:rsidRPr="00563D71">
        <w:rPr>
          <w:bCs/>
        </w:rPr>
        <w:t xml:space="preserve">some of the land </w:t>
      </w:r>
      <w:r w:rsidR="009F31FD" w:rsidRPr="00563D71">
        <w:rPr>
          <w:bCs/>
        </w:rPr>
        <w:t>has</w:t>
      </w:r>
      <w:r w:rsidR="00512E23" w:rsidRPr="00563D71">
        <w:rPr>
          <w:bCs/>
        </w:rPr>
        <w:t xml:space="preserve"> been encroached</w:t>
      </w:r>
      <w:r w:rsidR="008E605D" w:rsidRPr="00563D71">
        <w:rPr>
          <w:bCs/>
        </w:rPr>
        <w:t xml:space="preserve"> upon</w:t>
      </w:r>
      <w:r w:rsidR="00512E23" w:rsidRPr="00563D71">
        <w:rPr>
          <w:bCs/>
        </w:rPr>
        <w:t>, occupied</w:t>
      </w:r>
      <w:r w:rsidR="008E605D" w:rsidRPr="00563D71">
        <w:rPr>
          <w:bCs/>
        </w:rPr>
        <w:t>,</w:t>
      </w:r>
      <w:r w:rsidR="00512E23" w:rsidRPr="00563D71">
        <w:rPr>
          <w:bCs/>
        </w:rPr>
        <w:t xml:space="preserve"> and utilized by local people. </w:t>
      </w:r>
      <w:r w:rsidR="009F31FD" w:rsidRPr="00563D71">
        <w:rPr>
          <w:bCs/>
        </w:rPr>
        <w:t>T</w:t>
      </w:r>
      <w:r w:rsidR="00512E23" w:rsidRPr="00563D71">
        <w:rPr>
          <w:bCs/>
        </w:rPr>
        <w:t>his situation create</w:t>
      </w:r>
      <w:r w:rsidR="007231A7" w:rsidRPr="00563D71">
        <w:rPr>
          <w:bCs/>
        </w:rPr>
        <w:t>d</w:t>
      </w:r>
      <w:r w:rsidR="00512E23" w:rsidRPr="00563D71">
        <w:rPr>
          <w:bCs/>
        </w:rPr>
        <w:t xml:space="preserve"> land conflicts at the time the owners planned to develop the land. </w:t>
      </w:r>
    </w:p>
    <w:p w14:paraId="3707C976" w14:textId="110C6BF6" w:rsidR="00976B71" w:rsidRPr="00563D71" w:rsidRDefault="00976B71" w:rsidP="0032029F">
      <w:pPr>
        <w:pStyle w:val="MainParanoChapter-Ch3"/>
        <w:numPr>
          <w:ilvl w:val="0"/>
          <w:numId w:val="0"/>
        </w:numPr>
      </w:pPr>
    </w:p>
    <w:p w14:paraId="6BA2A989" w14:textId="48348FFB" w:rsidR="00A30FAA" w:rsidRPr="00563D71" w:rsidRDefault="00512E23" w:rsidP="0032029F">
      <w:pPr>
        <w:pStyle w:val="MainParanoChapter-Ch3"/>
        <w:rPr>
          <w:bCs/>
        </w:rPr>
      </w:pPr>
      <w:r w:rsidRPr="00563D71">
        <w:rPr>
          <w:bCs/>
        </w:rPr>
        <w:t xml:space="preserve">The Program </w:t>
      </w:r>
      <w:r w:rsidR="008E605D" w:rsidRPr="00563D71">
        <w:rPr>
          <w:bCs/>
        </w:rPr>
        <w:t xml:space="preserve">may </w:t>
      </w:r>
      <w:r w:rsidRPr="00563D71">
        <w:rPr>
          <w:bCs/>
        </w:rPr>
        <w:t>benefit and/or generate adverse impacts on Indigenous Peoples (IPs). In many cases, the sites, cultural life, assets</w:t>
      </w:r>
      <w:r w:rsidR="008E605D" w:rsidRPr="00563D71">
        <w:rPr>
          <w:bCs/>
        </w:rPr>
        <w:t>,</w:t>
      </w:r>
      <w:r w:rsidRPr="00563D71">
        <w:rPr>
          <w:bCs/>
        </w:rPr>
        <w:t xml:space="preserve"> and natural resources </w:t>
      </w:r>
      <w:r w:rsidR="008E605D" w:rsidRPr="00563D71">
        <w:rPr>
          <w:bCs/>
        </w:rPr>
        <w:t xml:space="preserve">that local </w:t>
      </w:r>
      <w:r w:rsidRPr="00563D71">
        <w:rPr>
          <w:bCs/>
        </w:rPr>
        <w:t>IP communities depend on are</w:t>
      </w:r>
      <w:r w:rsidR="008E605D" w:rsidRPr="00563D71">
        <w:rPr>
          <w:bCs/>
        </w:rPr>
        <w:t xml:space="preserve"> also</w:t>
      </w:r>
      <w:r w:rsidRPr="00563D71">
        <w:rPr>
          <w:bCs/>
        </w:rPr>
        <w:t xml:space="preserve"> </w:t>
      </w:r>
      <w:r w:rsidR="009F31FD" w:rsidRPr="00563D71">
        <w:rPr>
          <w:bCs/>
        </w:rPr>
        <w:t xml:space="preserve">the </w:t>
      </w:r>
      <w:r w:rsidRPr="00563D71">
        <w:rPr>
          <w:bCs/>
        </w:rPr>
        <w:t xml:space="preserve">main tourist attractions. IP communities would benefit from tourism development through job creation and quality product expansion, getting </w:t>
      </w:r>
      <w:r w:rsidR="009F31FD" w:rsidRPr="00563D71">
        <w:rPr>
          <w:bCs/>
        </w:rPr>
        <w:t>revenue</w:t>
      </w:r>
      <w:r w:rsidRPr="00563D71">
        <w:rPr>
          <w:bCs/>
        </w:rPr>
        <w:t xml:space="preserve"> from the services provided by their assets’ uniqueness and values, </w:t>
      </w:r>
      <w:r w:rsidR="008E605D" w:rsidRPr="00563D71">
        <w:rPr>
          <w:bCs/>
        </w:rPr>
        <w:t xml:space="preserve">while also </w:t>
      </w:r>
      <w:r w:rsidR="009F31FD" w:rsidRPr="00563D71">
        <w:rPr>
          <w:bCs/>
        </w:rPr>
        <w:t xml:space="preserve">obtaining </w:t>
      </w:r>
      <w:r w:rsidRPr="00563D71">
        <w:rPr>
          <w:bCs/>
        </w:rPr>
        <w:t>support from the government to protect their physical and cultural assets. However, if</w:t>
      </w:r>
      <w:r w:rsidR="008E605D" w:rsidRPr="00563D71">
        <w:rPr>
          <w:bCs/>
        </w:rPr>
        <w:t xml:space="preserve"> the process of</w:t>
      </w:r>
      <w:r w:rsidRPr="00563D71">
        <w:rPr>
          <w:bCs/>
        </w:rPr>
        <w:t xml:space="preserve"> harnessing </w:t>
      </w:r>
      <w:r w:rsidR="008E605D" w:rsidRPr="00563D71">
        <w:rPr>
          <w:bCs/>
        </w:rPr>
        <w:t xml:space="preserve">tourism </w:t>
      </w:r>
      <w:r w:rsidRPr="00563D71">
        <w:rPr>
          <w:bCs/>
        </w:rPr>
        <w:t xml:space="preserve">services from these attractions </w:t>
      </w:r>
      <w:r w:rsidR="00C953D0" w:rsidRPr="00563D71">
        <w:rPr>
          <w:bCs/>
        </w:rPr>
        <w:t xml:space="preserve">is </w:t>
      </w:r>
      <w:r w:rsidRPr="00563D71">
        <w:rPr>
          <w:bCs/>
        </w:rPr>
        <w:t xml:space="preserve">not well-managed, the Program may lead to </w:t>
      </w:r>
      <w:r w:rsidR="00C953D0" w:rsidRPr="00563D71">
        <w:rPr>
          <w:bCs/>
        </w:rPr>
        <w:t xml:space="preserve">unsustainable </w:t>
      </w:r>
      <w:r w:rsidRPr="00563D71">
        <w:rPr>
          <w:bCs/>
        </w:rPr>
        <w:t>commercialization of the IP communities’ physical</w:t>
      </w:r>
      <w:r w:rsidR="008E605D" w:rsidRPr="00563D71">
        <w:rPr>
          <w:bCs/>
        </w:rPr>
        <w:t xml:space="preserve"> and</w:t>
      </w:r>
      <w:r w:rsidRPr="00563D71">
        <w:rPr>
          <w:bCs/>
        </w:rPr>
        <w:t xml:space="preserve"> natural resources and cultural assets</w:t>
      </w:r>
      <w:r w:rsidR="009F31FD" w:rsidRPr="00563D71">
        <w:rPr>
          <w:bCs/>
        </w:rPr>
        <w:t>, in</w:t>
      </w:r>
      <w:r w:rsidRPr="00563D71">
        <w:rPr>
          <w:bCs/>
        </w:rPr>
        <w:t xml:space="preserve"> which their quality will be degraded and no longer attractive for tourists,</w:t>
      </w:r>
      <w:r w:rsidR="008E605D" w:rsidRPr="00563D71">
        <w:rPr>
          <w:bCs/>
        </w:rPr>
        <w:t xml:space="preserve"> and in the end leaving both the IP communities</w:t>
      </w:r>
      <w:r w:rsidRPr="00563D71">
        <w:rPr>
          <w:bCs/>
        </w:rPr>
        <w:t xml:space="preserve"> </w:t>
      </w:r>
      <w:r w:rsidR="00FF67B7" w:rsidRPr="00563D71">
        <w:rPr>
          <w:bCs/>
        </w:rPr>
        <w:t xml:space="preserve">and </w:t>
      </w:r>
      <w:r w:rsidR="008E605D" w:rsidRPr="00563D71">
        <w:rPr>
          <w:bCs/>
        </w:rPr>
        <w:t>their assets negatively impacted.</w:t>
      </w:r>
    </w:p>
    <w:p w14:paraId="11C5590B" w14:textId="77777777" w:rsidR="00FF16D7" w:rsidRPr="00563D71" w:rsidRDefault="00FF16D7" w:rsidP="0032029F">
      <w:pPr>
        <w:pStyle w:val="MainParanoChapter-Ch3"/>
        <w:numPr>
          <w:ilvl w:val="0"/>
          <w:numId w:val="0"/>
        </w:numPr>
      </w:pPr>
    </w:p>
    <w:p w14:paraId="6616550F" w14:textId="6BB169B1" w:rsidR="00512E23" w:rsidRPr="00563D71" w:rsidRDefault="008E605D" w:rsidP="0032029F">
      <w:pPr>
        <w:pStyle w:val="MainParanoChapter-Ch3"/>
      </w:pPr>
      <w:r w:rsidRPr="00563D71">
        <w:t>The p</w:t>
      </w:r>
      <w:r w:rsidR="00512E23" w:rsidRPr="00563D71">
        <w:t xml:space="preserve">otential social issues and risks discussed above could be mitigated through </w:t>
      </w:r>
      <w:r w:rsidRPr="00563D71">
        <w:t xml:space="preserve">greater </w:t>
      </w:r>
      <w:r w:rsidR="00512E23" w:rsidRPr="00563D71">
        <w:t>inclusion of stakeholders</w:t>
      </w:r>
      <w:r w:rsidRPr="00563D71">
        <w:t>,</w:t>
      </w:r>
      <w:r w:rsidR="00512E23" w:rsidRPr="00563D71">
        <w:t xml:space="preserve"> including local communit</w:t>
      </w:r>
      <w:r w:rsidRPr="00563D71">
        <w:t>ies</w:t>
      </w:r>
      <w:r w:rsidR="00512E23" w:rsidRPr="00563D71">
        <w:t xml:space="preserve"> and IPs</w:t>
      </w:r>
      <w:r w:rsidRPr="00563D71">
        <w:t>;</w:t>
      </w:r>
      <w:r w:rsidR="00512E23" w:rsidRPr="00563D71">
        <w:t xml:space="preserve"> provision of information related to tourism development activities in advance to </w:t>
      </w:r>
      <w:r w:rsidR="00C953D0" w:rsidRPr="00563D71">
        <w:t xml:space="preserve">the </w:t>
      </w:r>
      <w:r w:rsidR="00512E23" w:rsidRPr="00563D71">
        <w:t>public</w:t>
      </w:r>
      <w:r w:rsidRPr="00563D71">
        <w:t>;</w:t>
      </w:r>
      <w:r w:rsidR="00512E23" w:rsidRPr="00563D71">
        <w:t xml:space="preserve"> inclusive and meaningful consultation and participation in preparation, implementation</w:t>
      </w:r>
      <w:r w:rsidRPr="00563D71">
        <w:t>,</w:t>
      </w:r>
      <w:r w:rsidR="00512E23" w:rsidRPr="00563D71">
        <w:t xml:space="preserve"> and monitoring and evaluation of the Integrated </w:t>
      </w:r>
      <w:r w:rsidR="00C953D0" w:rsidRPr="00563D71">
        <w:t xml:space="preserve">Tourism </w:t>
      </w:r>
      <w:r w:rsidR="00512E23" w:rsidRPr="00563D71">
        <w:t>Master Plan</w:t>
      </w:r>
      <w:r w:rsidRPr="00563D71">
        <w:t>s;</w:t>
      </w:r>
      <w:r w:rsidR="00512E23" w:rsidRPr="00563D71">
        <w:t xml:space="preserve"> </w:t>
      </w:r>
      <w:r w:rsidR="007E306E" w:rsidRPr="00563D71">
        <w:t>improving consistency in</w:t>
      </w:r>
      <w:r w:rsidR="00512E23" w:rsidRPr="00563D71">
        <w:t xml:space="preserve"> implementation of the current laws and regulations pertaining </w:t>
      </w:r>
      <w:r w:rsidR="007E306E" w:rsidRPr="00563D71">
        <w:t xml:space="preserve">to </w:t>
      </w:r>
      <w:r w:rsidR="00512E23" w:rsidRPr="00563D71">
        <w:t xml:space="preserve">land acquisition, IPs, </w:t>
      </w:r>
      <w:r w:rsidR="007E306E" w:rsidRPr="00563D71">
        <w:t xml:space="preserve">and </w:t>
      </w:r>
      <w:r w:rsidR="00512E23" w:rsidRPr="00563D71">
        <w:t>local government</w:t>
      </w:r>
      <w:r w:rsidR="007E306E" w:rsidRPr="00563D71">
        <w:t xml:space="preserve"> and </w:t>
      </w:r>
      <w:r w:rsidR="00512E23" w:rsidRPr="00563D71">
        <w:t>village planning process</w:t>
      </w:r>
      <w:r w:rsidR="007E306E" w:rsidRPr="00563D71">
        <w:t>es</w:t>
      </w:r>
      <w:r w:rsidR="00512E23" w:rsidRPr="00563D71">
        <w:t xml:space="preserve"> through development of practical guidelines</w:t>
      </w:r>
      <w:r w:rsidRPr="00563D71">
        <w:t>;</w:t>
      </w:r>
      <w:r w:rsidR="00512E23" w:rsidRPr="00563D71">
        <w:t xml:space="preserve"> </w:t>
      </w:r>
      <w:r w:rsidRPr="00563D71">
        <w:t xml:space="preserve">and </w:t>
      </w:r>
      <w:r w:rsidR="008804BF" w:rsidRPr="00563D71">
        <w:t xml:space="preserve">the </w:t>
      </w:r>
      <w:r w:rsidR="006111F1" w:rsidRPr="00563D71">
        <w:t xml:space="preserve">provision of </w:t>
      </w:r>
      <w:r w:rsidR="00512E23" w:rsidRPr="00563D71">
        <w:t xml:space="preserve">capacity </w:t>
      </w:r>
      <w:r w:rsidRPr="00563D71">
        <w:t>building and</w:t>
      </w:r>
      <w:r w:rsidR="008804BF" w:rsidRPr="00563D71">
        <w:t xml:space="preserve"> awareness</w:t>
      </w:r>
      <w:r w:rsidR="002D6CA1" w:rsidRPr="00563D71">
        <w:t>-</w:t>
      </w:r>
      <w:r w:rsidR="008804BF" w:rsidRPr="00563D71">
        <w:t>raising programs and community satisfaction surveys</w:t>
      </w:r>
      <w:r w:rsidR="006111F1" w:rsidRPr="00563D71">
        <w:t xml:space="preserve"> in Results Area 4</w:t>
      </w:r>
      <w:r w:rsidR="00512E23" w:rsidRPr="00563D71">
        <w:t xml:space="preserve">. More importantly, the </w:t>
      </w:r>
      <w:r w:rsidR="00C953D0" w:rsidRPr="00563D71">
        <w:t xml:space="preserve">Integrated Tourism </w:t>
      </w:r>
      <w:r w:rsidR="00512E23" w:rsidRPr="00563D71">
        <w:t>Master Plan</w:t>
      </w:r>
      <w:r w:rsidR="00234366" w:rsidRPr="00563D71">
        <w:t>s</w:t>
      </w:r>
      <w:r w:rsidR="00512E23" w:rsidRPr="00563D71">
        <w:t xml:space="preserve"> and </w:t>
      </w:r>
      <w:r w:rsidR="00234366" w:rsidRPr="00563D71">
        <w:t xml:space="preserve">their </w:t>
      </w:r>
      <w:r w:rsidR="00512E23" w:rsidRPr="00563D71">
        <w:t>implementation</w:t>
      </w:r>
      <w:r w:rsidR="0001423C" w:rsidRPr="00563D71">
        <w:t>, as well as capacity strengthening for local government and communities</w:t>
      </w:r>
      <w:r w:rsidR="00512E23" w:rsidRPr="00563D71">
        <w:t xml:space="preserve"> should be sensitive to and built upon local cultures, values</w:t>
      </w:r>
      <w:r w:rsidR="004D4395" w:rsidRPr="00563D71">
        <w:t>,</w:t>
      </w:r>
      <w:r w:rsidR="00512E23" w:rsidRPr="00563D71">
        <w:t xml:space="preserve"> and practices to ensure sustainable tourism development.</w:t>
      </w:r>
    </w:p>
    <w:p w14:paraId="4015858E" w14:textId="0EA771DB" w:rsidR="00245F03" w:rsidRPr="00563D71" w:rsidRDefault="006B44FB" w:rsidP="00544961">
      <w:pPr>
        <w:pStyle w:val="Heading1"/>
        <w:ind w:left="0" w:firstLine="0"/>
        <w:jc w:val="center"/>
      </w:pPr>
      <w:bookmarkStart w:id="50" w:name="_Toc468969237"/>
      <w:bookmarkStart w:id="51" w:name="_Toc481484051"/>
      <w:bookmarkStart w:id="52" w:name="_Toc485831031"/>
      <w:r w:rsidRPr="00563D71">
        <w:lastRenderedPageBreak/>
        <w:t>4</w:t>
      </w:r>
      <w:r w:rsidR="00960566" w:rsidRPr="00563D71">
        <w:rPr>
          <w:rFonts w:ascii="Arial" w:eastAsia="Arial" w:hAnsi="Arial" w:cs="Arial"/>
        </w:rPr>
        <w:tab/>
      </w:r>
      <w:r w:rsidR="00960566" w:rsidRPr="00563D71">
        <w:t>NATIONAL E</w:t>
      </w:r>
      <w:r w:rsidR="00D04B10" w:rsidRPr="00563D71">
        <w:t xml:space="preserve">NVIRONMENTAL </w:t>
      </w:r>
      <w:r w:rsidR="00960566" w:rsidRPr="00563D71">
        <w:t xml:space="preserve">AND SOCIAL </w:t>
      </w:r>
      <w:r w:rsidR="00D04B10" w:rsidRPr="00563D71">
        <w:t>MANAGEMENT SYSTEM</w:t>
      </w:r>
      <w:bookmarkEnd w:id="50"/>
      <w:bookmarkEnd w:id="51"/>
      <w:bookmarkEnd w:id="52"/>
    </w:p>
    <w:p w14:paraId="193B69B7" w14:textId="77777777" w:rsidR="00960566" w:rsidRPr="00563D71" w:rsidRDefault="00960566" w:rsidP="00BB0277"/>
    <w:p w14:paraId="14B17B6B" w14:textId="185C3D67" w:rsidR="00245F03" w:rsidRPr="00563D71" w:rsidRDefault="006B44FB" w:rsidP="00DA3B79">
      <w:pPr>
        <w:pStyle w:val="Heading2"/>
        <w:tabs>
          <w:tab w:val="left" w:pos="540"/>
          <w:tab w:val="center" w:pos="1993"/>
        </w:tabs>
        <w:ind w:left="-15" w:firstLine="0"/>
        <w:jc w:val="left"/>
        <w:rPr>
          <w:iCs/>
        </w:rPr>
      </w:pPr>
      <w:bookmarkStart w:id="53" w:name="_Toc468969238"/>
      <w:bookmarkStart w:id="54" w:name="_Toc481484052"/>
      <w:bookmarkStart w:id="55" w:name="_Toc485831032"/>
      <w:r w:rsidRPr="00563D71">
        <w:rPr>
          <w:iCs/>
        </w:rPr>
        <w:t>4</w:t>
      </w:r>
      <w:r w:rsidR="00D04B10" w:rsidRPr="00563D71">
        <w:rPr>
          <w:iCs/>
        </w:rPr>
        <w:t>.1</w:t>
      </w:r>
      <w:r w:rsidR="00D04B10" w:rsidRPr="00563D71">
        <w:rPr>
          <w:rFonts w:ascii="Arial" w:eastAsia="Arial" w:hAnsi="Arial" w:cs="Arial"/>
          <w:iCs/>
        </w:rPr>
        <w:t xml:space="preserve"> </w:t>
      </w:r>
      <w:r w:rsidR="00203417" w:rsidRPr="00563D71">
        <w:rPr>
          <w:iCs/>
        </w:rPr>
        <w:tab/>
      </w:r>
      <w:r w:rsidR="00960566" w:rsidRPr="00563D71">
        <w:rPr>
          <w:iCs/>
        </w:rPr>
        <w:t>Policy, Legislative</w:t>
      </w:r>
      <w:r w:rsidR="00552246" w:rsidRPr="00563D71">
        <w:rPr>
          <w:iCs/>
        </w:rPr>
        <w:t>,</w:t>
      </w:r>
      <w:r w:rsidR="00960566" w:rsidRPr="00563D71">
        <w:rPr>
          <w:iCs/>
        </w:rPr>
        <w:t xml:space="preserve"> and Regulatory Framework</w:t>
      </w:r>
      <w:bookmarkEnd w:id="53"/>
      <w:bookmarkEnd w:id="54"/>
      <w:bookmarkEnd w:id="55"/>
    </w:p>
    <w:p w14:paraId="61951A44" w14:textId="23846B00" w:rsidR="00376F9C" w:rsidRPr="00563D71" w:rsidRDefault="00D4579B" w:rsidP="0032029F">
      <w:pPr>
        <w:pStyle w:val="MainParanoChapter-Ch3"/>
        <w:rPr>
          <w:rFonts w:eastAsiaTheme="minorHAnsi"/>
          <w:i/>
        </w:rPr>
      </w:pPr>
      <w:r w:rsidRPr="00563D71">
        <w:rPr>
          <w:b/>
        </w:rPr>
        <w:t>Environmental and Social Assessment</w:t>
      </w:r>
      <w:r w:rsidR="00DA79DD" w:rsidRPr="00563D71">
        <w:t>.</w:t>
      </w:r>
      <w:r w:rsidRPr="00563D71">
        <w:t xml:space="preserve"> </w:t>
      </w:r>
      <w:r w:rsidR="00A4514D" w:rsidRPr="00563D71">
        <w:t>Environmental Impact Analysis (</w:t>
      </w:r>
      <w:r w:rsidRPr="00563D71">
        <w:t>EIA</w:t>
      </w:r>
      <w:r w:rsidR="00A4514D" w:rsidRPr="00563D71">
        <w:t>)</w:t>
      </w:r>
      <w:r w:rsidRPr="00563D71">
        <w:t xml:space="preserve"> became a legal requirement </w:t>
      </w:r>
      <w:r w:rsidR="00E57C92" w:rsidRPr="00563D71">
        <w:t xml:space="preserve">in Indonesia </w:t>
      </w:r>
      <w:r w:rsidRPr="00563D71">
        <w:t>with the passage of Law No</w:t>
      </w:r>
      <w:r w:rsidR="00E11619" w:rsidRPr="00563D71">
        <w:t>.</w:t>
      </w:r>
      <w:r w:rsidRPr="00563D71">
        <w:t xml:space="preserve"> 4</w:t>
      </w:r>
      <w:r w:rsidR="00E11619" w:rsidRPr="00563D71">
        <w:t xml:space="preserve"> Year </w:t>
      </w:r>
      <w:r w:rsidRPr="00563D71">
        <w:t>1982 Concerning the Principles on Environmental Protection. Since then environmental legislation has evolved, and nowaday</w:t>
      </w:r>
      <w:r w:rsidR="00E57C92" w:rsidRPr="00563D71">
        <w:t xml:space="preserve">s, there are more than 50 laws and </w:t>
      </w:r>
      <w:r w:rsidRPr="00563D71">
        <w:t>regulations applicable to the environmental management of the Program</w:t>
      </w:r>
      <w:r w:rsidR="00E57C92" w:rsidRPr="00563D71">
        <w:t>, and</w:t>
      </w:r>
      <w:r w:rsidRPr="00563D71">
        <w:t xml:space="preserve">, together, </w:t>
      </w:r>
      <w:r w:rsidR="00E57C92" w:rsidRPr="00563D71">
        <w:t xml:space="preserve">they </w:t>
      </w:r>
      <w:r w:rsidRPr="00563D71">
        <w:t>define an environmental management system that generally conforms to international standards</w:t>
      </w:r>
      <w:r w:rsidR="007C26A9" w:rsidRPr="00563D71">
        <w:t xml:space="preserve">. </w:t>
      </w:r>
      <w:r w:rsidRPr="00563D71">
        <w:t>For instance, the country has legislation that requires</w:t>
      </w:r>
      <w:r w:rsidR="00E57C92" w:rsidRPr="00563D71">
        <w:t>:</w:t>
      </w:r>
      <w:r w:rsidRPr="00563D71">
        <w:t xml:space="preserve"> environmental impact assessment, protect</w:t>
      </w:r>
      <w:r w:rsidR="00E57C92" w:rsidRPr="00563D71">
        <w:t xml:space="preserve">ion of </w:t>
      </w:r>
      <w:r w:rsidRPr="00563D71">
        <w:t xml:space="preserve">forest and endangered species, </w:t>
      </w:r>
      <w:r w:rsidR="00DA4750" w:rsidRPr="00563D71">
        <w:t>control</w:t>
      </w:r>
      <w:r w:rsidR="007231A7" w:rsidRPr="00563D71">
        <w:t xml:space="preserve"> </w:t>
      </w:r>
      <w:r w:rsidR="00E57C92" w:rsidRPr="00563D71">
        <w:t>of</w:t>
      </w:r>
      <w:r w:rsidRPr="00563D71">
        <w:t xml:space="preserve"> water pollution, </w:t>
      </w:r>
      <w:r w:rsidR="00E57C92" w:rsidRPr="00563D71">
        <w:t>protection of</w:t>
      </w:r>
      <w:r w:rsidRPr="00563D71">
        <w:t xml:space="preserve"> health and safety at work sites, </w:t>
      </w:r>
      <w:r w:rsidR="00E57C92" w:rsidRPr="00563D71">
        <w:t xml:space="preserve">and </w:t>
      </w:r>
      <w:r w:rsidRPr="00563D71">
        <w:t xml:space="preserve">management </w:t>
      </w:r>
      <w:r w:rsidR="00E57C92" w:rsidRPr="00563D71">
        <w:t xml:space="preserve">of hazardous wastes. </w:t>
      </w:r>
      <w:r w:rsidRPr="00563D71">
        <w:t>EIA in Indonesia is known as AMDAL (</w:t>
      </w:r>
      <w:r w:rsidRPr="00563D71">
        <w:rPr>
          <w:i/>
        </w:rPr>
        <w:t>Analisis Mengenai Dampak Lingkungan</w:t>
      </w:r>
      <w:r w:rsidRPr="00563D71">
        <w:t>)</w:t>
      </w:r>
      <w:r w:rsidR="00E57C92" w:rsidRPr="00563D71">
        <w:t xml:space="preserve">. </w:t>
      </w:r>
      <w:r w:rsidRPr="00563D71">
        <w:t>Law No. 32</w:t>
      </w:r>
      <w:r w:rsidR="00E11619" w:rsidRPr="00563D71">
        <w:t xml:space="preserve"> Year </w:t>
      </w:r>
      <w:r w:rsidRPr="00563D71">
        <w:t>2009 Regarding Environmental P</w:t>
      </w:r>
      <w:r w:rsidR="00E57C92" w:rsidRPr="00563D71">
        <w:t>rotection and Management is the current “umbrella” legislation that, among other things, ma</w:t>
      </w:r>
      <w:r w:rsidR="0084486B" w:rsidRPr="00563D71">
        <w:t>n</w:t>
      </w:r>
      <w:r w:rsidR="00E57C92" w:rsidRPr="00563D71">
        <w:t xml:space="preserve">dates EIA. </w:t>
      </w:r>
      <w:r w:rsidRPr="00563D71">
        <w:t>Government Regulation (PP) No. 27</w:t>
      </w:r>
      <w:r w:rsidR="00E11619" w:rsidRPr="00563D71">
        <w:t xml:space="preserve"> Year </w:t>
      </w:r>
      <w:r w:rsidRPr="00563D71">
        <w:t>2012</w:t>
      </w:r>
      <w:r w:rsidR="00E57C92" w:rsidRPr="00563D71">
        <w:t xml:space="preserve"> on Environmental Permit</w:t>
      </w:r>
      <w:r w:rsidR="007A4CB5" w:rsidRPr="00563D71">
        <w:t>s</w:t>
      </w:r>
      <w:r w:rsidR="00E57C92" w:rsidRPr="00563D71">
        <w:t xml:space="preserve"> </w:t>
      </w:r>
      <w:r w:rsidRPr="00563D71">
        <w:t xml:space="preserve">outlines </w:t>
      </w:r>
      <w:r w:rsidR="00E57C92" w:rsidRPr="00563D71">
        <w:t xml:space="preserve">the </w:t>
      </w:r>
      <w:r w:rsidRPr="00563D71">
        <w:t>environmental assessment process (and instruments) required f</w:t>
      </w:r>
      <w:r w:rsidR="00E57C92" w:rsidRPr="00563D71">
        <w:t xml:space="preserve">or activities having potential </w:t>
      </w:r>
      <w:r w:rsidRPr="00563D71">
        <w:t xml:space="preserve">negative environmental and social impact. Ministry of Environment (MOE) </w:t>
      </w:r>
      <w:r w:rsidR="00E57C92" w:rsidRPr="00563D71">
        <w:t>Regulations</w:t>
      </w:r>
      <w:r w:rsidRPr="00563D71">
        <w:t xml:space="preserve"> (P</w:t>
      </w:r>
      <w:r w:rsidR="0023488B" w:rsidRPr="00563D71">
        <w:t>ermen</w:t>
      </w:r>
      <w:r w:rsidR="00C87996" w:rsidRPr="00563D71">
        <w:t>LH</w:t>
      </w:r>
      <w:r w:rsidRPr="00563D71">
        <w:t>) No. 05</w:t>
      </w:r>
      <w:r w:rsidR="0031157B" w:rsidRPr="00563D71">
        <w:t xml:space="preserve"> Year </w:t>
      </w:r>
      <w:r w:rsidRPr="00563D71">
        <w:t xml:space="preserve">2012 on Type of Activities Requiring AMDAL, </w:t>
      </w:r>
      <w:r w:rsidR="0031157B" w:rsidRPr="00563D71">
        <w:t xml:space="preserve">Permen </w:t>
      </w:r>
      <w:r w:rsidRPr="00563D71">
        <w:t>No.16</w:t>
      </w:r>
      <w:r w:rsidR="00E11619" w:rsidRPr="00563D71">
        <w:t xml:space="preserve"> Year </w:t>
      </w:r>
      <w:r w:rsidRPr="00563D71">
        <w:t xml:space="preserve">2012 on Guidelines for Preparation of Environmental Documents, </w:t>
      </w:r>
      <w:r w:rsidR="00E57C92" w:rsidRPr="00563D71">
        <w:t xml:space="preserve">and </w:t>
      </w:r>
      <w:r w:rsidR="0031157B" w:rsidRPr="00563D71">
        <w:t>Permen</w:t>
      </w:r>
      <w:r w:rsidR="00C87996" w:rsidRPr="00563D71">
        <w:t>LH</w:t>
      </w:r>
      <w:r w:rsidR="0031157B" w:rsidRPr="00563D71">
        <w:t xml:space="preserve"> </w:t>
      </w:r>
      <w:r w:rsidRPr="00563D71">
        <w:t>No. 17</w:t>
      </w:r>
      <w:r w:rsidR="00E11619" w:rsidRPr="00563D71">
        <w:t xml:space="preserve"> Year </w:t>
      </w:r>
      <w:r w:rsidRPr="00563D71">
        <w:t xml:space="preserve">2012 on Guidelines for Public Participation in </w:t>
      </w:r>
      <w:r w:rsidR="00046255" w:rsidRPr="00563D71">
        <w:t xml:space="preserve">the </w:t>
      </w:r>
      <w:r w:rsidRPr="00563D71">
        <w:t>AMDAL Process and Environmental Permi</w:t>
      </w:r>
      <w:r w:rsidR="00C01871" w:rsidRPr="00563D71">
        <w:t>t</w:t>
      </w:r>
      <w:r w:rsidR="00046255" w:rsidRPr="00563D71">
        <w:t>s</w:t>
      </w:r>
      <w:r w:rsidR="00E57C92" w:rsidRPr="00563D71">
        <w:t xml:space="preserve"> are </w:t>
      </w:r>
      <w:r w:rsidR="009F66F9" w:rsidRPr="00563D71">
        <w:t>important regulations</w:t>
      </w:r>
      <w:r w:rsidR="00C01871" w:rsidRPr="00563D71">
        <w:t xml:space="preserve">. </w:t>
      </w:r>
      <w:r w:rsidR="00AA2F71" w:rsidRPr="00563D71">
        <w:t xml:space="preserve">The laws and regulations most relevant to the Program are summarized in Table </w:t>
      </w:r>
      <w:r w:rsidR="00704623" w:rsidRPr="00563D71">
        <w:t>8</w:t>
      </w:r>
      <w:r w:rsidR="00AA2F71" w:rsidRPr="00563D71">
        <w:t xml:space="preserve">. </w:t>
      </w:r>
      <w:r w:rsidR="005C6798" w:rsidRPr="00563D71">
        <w:t>The environmental impact assessment which includes social assessment is prepared by the project proponent and must obtain clearance from the office of the cognizant environmental agency (BLH/BPHD) at the district or in some cases the provincial or ministerial level.</w:t>
      </w:r>
    </w:p>
    <w:p w14:paraId="257DA3CA" w14:textId="77777777" w:rsidR="00FA5519" w:rsidRPr="00563D71" w:rsidRDefault="00FA5519" w:rsidP="0032029F">
      <w:pPr>
        <w:pStyle w:val="MainParanoChapter-Ch3"/>
        <w:numPr>
          <w:ilvl w:val="0"/>
          <w:numId w:val="0"/>
        </w:numPr>
        <w:rPr>
          <w:rFonts w:eastAsiaTheme="minorHAnsi"/>
          <w:i/>
        </w:rPr>
      </w:pPr>
    </w:p>
    <w:p w14:paraId="7E17A738" w14:textId="2A09AF2D" w:rsidR="00376F9C" w:rsidRPr="00563D71" w:rsidRDefault="00D4579B" w:rsidP="0032029F">
      <w:pPr>
        <w:pStyle w:val="MainParanoChapter-Ch3"/>
      </w:pPr>
      <w:r w:rsidRPr="00563D71">
        <w:rPr>
          <w:b/>
        </w:rPr>
        <w:t>Land Acquisition and Resettlement</w:t>
      </w:r>
      <w:r w:rsidRPr="00563D71">
        <w:t>.</w:t>
      </w:r>
      <w:r w:rsidR="007E306E" w:rsidRPr="00563D71">
        <w:t xml:space="preserve"> </w:t>
      </w:r>
      <w:r w:rsidR="0001423C" w:rsidRPr="00563D71">
        <w:t>The Government of Indonesia has Law No. 2</w:t>
      </w:r>
      <w:r w:rsidR="00E11619" w:rsidRPr="00563D71">
        <w:t xml:space="preserve"> Year </w:t>
      </w:r>
      <w:r w:rsidR="0001423C" w:rsidRPr="00563D71">
        <w:t>2012 on Land Acquisition for the Public Purpose Development. Implementing regulations for this Law include the Presidential Regulations (</w:t>
      </w:r>
      <w:r w:rsidR="0001423C" w:rsidRPr="00563D71">
        <w:rPr>
          <w:iCs/>
        </w:rPr>
        <w:t>Perpres</w:t>
      </w:r>
      <w:r w:rsidR="0001423C" w:rsidRPr="00563D71">
        <w:t>) No. 71</w:t>
      </w:r>
      <w:r w:rsidR="00E11619" w:rsidRPr="00563D71">
        <w:t xml:space="preserve"> Year </w:t>
      </w:r>
      <w:r w:rsidR="0001423C" w:rsidRPr="00563D71">
        <w:t xml:space="preserve">2012 on Implementation of Land Acquisition for the Public Purpose Development and its four amendments (Perpres </w:t>
      </w:r>
      <w:r w:rsidR="004A1A9F" w:rsidRPr="00563D71">
        <w:t xml:space="preserve">No. </w:t>
      </w:r>
      <w:r w:rsidR="0001423C" w:rsidRPr="00563D71">
        <w:t>40</w:t>
      </w:r>
      <w:r w:rsidR="00E11619" w:rsidRPr="00563D71">
        <w:t xml:space="preserve"> Year </w:t>
      </w:r>
      <w:r w:rsidR="0001423C" w:rsidRPr="00563D71">
        <w:t xml:space="preserve">2014, Perpres </w:t>
      </w:r>
      <w:r w:rsidR="004A1A9F" w:rsidRPr="00563D71">
        <w:t xml:space="preserve">No. </w:t>
      </w:r>
      <w:r w:rsidR="0001423C" w:rsidRPr="00563D71">
        <w:t>99</w:t>
      </w:r>
      <w:r w:rsidR="00E11619" w:rsidRPr="00563D71">
        <w:t xml:space="preserve"> Year </w:t>
      </w:r>
      <w:r w:rsidR="0001423C" w:rsidRPr="00563D71">
        <w:t xml:space="preserve">2014, Perpres </w:t>
      </w:r>
      <w:r w:rsidR="004A1A9F" w:rsidRPr="00563D71">
        <w:t xml:space="preserve">No. </w:t>
      </w:r>
      <w:r w:rsidR="0001423C" w:rsidRPr="00563D71">
        <w:t>30</w:t>
      </w:r>
      <w:r w:rsidR="00E11619" w:rsidRPr="00563D71">
        <w:t xml:space="preserve"> Year </w:t>
      </w:r>
      <w:r w:rsidR="0001423C" w:rsidRPr="00563D71">
        <w:t xml:space="preserve">2015, and Perpres </w:t>
      </w:r>
      <w:r w:rsidR="004A1A9F" w:rsidRPr="00563D71">
        <w:t xml:space="preserve">No. </w:t>
      </w:r>
      <w:r w:rsidR="0001423C" w:rsidRPr="00563D71">
        <w:t>148</w:t>
      </w:r>
      <w:r w:rsidR="00E11619" w:rsidRPr="00563D71">
        <w:t xml:space="preserve"> Year </w:t>
      </w:r>
      <w:r w:rsidR="0001423C" w:rsidRPr="00563D71">
        <w:t>2015) and the Regulation of the Head of Land Agency (BPN) No. 5</w:t>
      </w:r>
      <w:r w:rsidR="00E11619" w:rsidRPr="00563D71">
        <w:t xml:space="preserve"> Year </w:t>
      </w:r>
      <w:r w:rsidR="0001423C" w:rsidRPr="00563D71">
        <w:t xml:space="preserve">2012 </w:t>
      </w:r>
      <w:r w:rsidR="000D2F93" w:rsidRPr="00563D71">
        <w:t>o</w:t>
      </w:r>
      <w:r w:rsidR="0001423C" w:rsidRPr="00563D71">
        <w:t>n Technical Guidelines on the Implementation of Land Acquisition. Law</w:t>
      </w:r>
      <w:r w:rsidR="0096774D" w:rsidRPr="00563D71">
        <w:t xml:space="preserve"> No.</w:t>
      </w:r>
      <w:r w:rsidR="0001423C" w:rsidRPr="00563D71">
        <w:t xml:space="preserve"> 2</w:t>
      </w:r>
      <w:r w:rsidR="0096774D" w:rsidRPr="00563D71">
        <w:t xml:space="preserve"> Year </w:t>
      </w:r>
      <w:r w:rsidR="0001423C" w:rsidRPr="00563D71">
        <w:t>2012 specifies principles for land acquisition, types of public purpose development, implementation stages and arrangements for land acquisition, requirements, process and institutional arrangements during the planning, preparation, implementation and handover of the results of land acquisition, eligible affected persons, affected assets, land/asset valuation, compensation options, consultation, disclosure, complaints, financing, and release of the compensated land/assets. Details of the Presidential Regulation No. 71</w:t>
      </w:r>
      <w:r w:rsidR="0096774D" w:rsidRPr="00563D71">
        <w:t xml:space="preserve"> Year </w:t>
      </w:r>
      <w:r w:rsidR="0001423C" w:rsidRPr="00563D71">
        <w:t xml:space="preserve">2012 and its amendments are presented in Table </w:t>
      </w:r>
      <w:r w:rsidR="000311AE" w:rsidRPr="00563D71">
        <w:t>8</w:t>
      </w:r>
      <w:r w:rsidR="0001423C" w:rsidRPr="00563D71">
        <w:t>.</w:t>
      </w:r>
    </w:p>
    <w:p w14:paraId="14CCD420" w14:textId="77777777" w:rsidR="0001423C" w:rsidRPr="00563D71" w:rsidRDefault="0001423C" w:rsidP="0032029F">
      <w:pPr>
        <w:pStyle w:val="MainParanoChapter-Ch3"/>
        <w:numPr>
          <w:ilvl w:val="0"/>
          <w:numId w:val="0"/>
        </w:numPr>
      </w:pPr>
    </w:p>
    <w:p w14:paraId="1758BFF5" w14:textId="7F3605D6" w:rsidR="00AF2E45" w:rsidRPr="00563D71" w:rsidRDefault="00D4579B" w:rsidP="0032029F">
      <w:pPr>
        <w:pStyle w:val="MainParanoChapter-Ch3"/>
        <w:rPr>
          <w:b/>
        </w:rPr>
      </w:pPr>
      <w:r w:rsidRPr="00563D71">
        <w:rPr>
          <w:b/>
        </w:rPr>
        <w:t>Indigenous Peoples</w:t>
      </w:r>
      <w:r w:rsidR="00163CC1" w:rsidRPr="00563D71">
        <w:rPr>
          <w:b/>
        </w:rPr>
        <w:t xml:space="preserve">. </w:t>
      </w:r>
      <w:r w:rsidR="0001423C" w:rsidRPr="00563D71">
        <w:t>Provisions related to Indigenous Peoples (IPs) or “Masyarakat Hukum Adat” (MHA) are available in various G</w:t>
      </w:r>
      <w:r w:rsidR="00B8560B" w:rsidRPr="00563D71">
        <w:t>o</w:t>
      </w:r>
      <w:r w:rsidR="0001423C" w:rsidRPr="00563D71">
        <w:t xml:space="preserve">I laws and regulations, which all to some extent provide recognition </w:t>
      </w:r>
      <w:r w:rsidR="009451B1" w:rsidRPr="00563D71">
        <w:t xml:space="preserve">to </w:t>
      </w:r>
      <w:r w:rsidR="0001423C" w:rsidRPr="00563D71">
        <w:t>and respect the IPs presence</w:t>
      </w:r>
      <w:r w:rsidR="005E5033" w:rsidRPr="00563D71">
        <w:t>,</w:t>
      </w:r>
      <w:r w:rsidR="0001423C" w:rsidRPr="00563D71">
        <w:t xml:space="preserve"> </w:t>
      </w:r>
      <w:r w:rsidR="005E5033" w:rsidRPr="00563D71">
        <w:t xml:space="preserve">and delegate to them </w:t>
      </w:r>
      <w:r w:rsidR="0001423C" w:rsidRPr="00563D71">
        <w:t xml:space="preserve">rights to participate in, to be empowered </w:t>
      </w:r>
      <w:r w:rsidR="009451B1" w:rsidRPr="00563D71">
        <w:t xml:space="preserve">by, </w:t>
      </w:r>
      <w:r w:rsidR="0001423C" w:rsidRPr="00563D71">
        <w:t>and to have access to development and natural resources</w:t>
      </w:r>
      <w:r w:rsidR="009451B1" w:rsidRPr="00563D71">
        <w:t xml:space="preserve"> management</w:t>
      </w:r>
      <w:r w:rsidR="0001423C" w:rsidRPr="00563D71">
        <w:t xml:space="preserve">. However, implementation of these intentions remains to be strengthened including those of the </w:t>
      </w:r>
      <w:r w:rsidR="0001423C" w:rsidRPr="00563D71">
        <w:lastRenderedPageBreak/>
        <w:t xml:space="preserve">agencies involved (as specified in the laws and regulations) and the establishment of operational regulations and guidelines, as well as coordination between sectorial ministries and local governments where IPs are located. To name a few, the following are some important laws (further details in Table </w:t>
      </w:r>
      <w:r w:rsidR="000311AE" w:rsidRPr="00563D71">
        <w:t>8</w:t>
      </w:r>
      <w:r w:rsidR="0001423C" w:rsidRPr="00563D71">
        <w:t>) that provides provisions on IPs:</w:t>
      </w:r>
    </w:p>
    <w:p w14:paraId="2F7D9D71" w14:textId="77777777" w:rsidR="00A84C7D" w:rsidRPr="00563D71" w:rsidRDefault="00A84C7D" w:rsidP="003D2E29">
      <w:pPr>
        <w:tabs>
          <w:tab w:val="left" w:pos="90"/>
        </w:tabs>
        <w:spacing w:after="276"/>
        <w:ind w:left="0" w:right="15" w:firstLine="0"/>
        <w:contextualSpacing/>
        <w:rPr>
          <w:b/>
          <w:color w:val="auto"/>
          <w:szCs w:val="24"/>
        </w:rPr>
      </w:pPr>
    </w:p>
    <w:p w14:paraId="2AE838C4" w14:textId="6A379600" w:rsidR="0001423C" w:rsidRPr="00563D71" w:rsidRDefault="0001423C" w:rsidP="002E596E">
      <w:pPr>
        <w:numPr>
          <w:ilvl w:val="0"/>
          <w:numId w:val="38"/>
        </w:numPr>
        <w:contextualSpacing/>
        <w:rPr>
          <w:rFonts w:eastAsiaTheme="minorEastAsia"/>
          <w:color w:val="auto"/>
          <w:szCs w:val="24"/>
        </w:rPr>
      </w:pPr>
      <w:r w:rsidRPr="00563D71">
        <w:rPr>
          <w:rFonts w:eastAsiaTheme="minorEastAsia"/>
          <w:color w:val="auto"/>
          <w:szCs w:val="24"/>
        </w:rPr>
        <w:t>Law No. 41</w:t>
      </w:r>
      <w:r w:rsidR="0096774D" w:rsidRPr="00563D71">
        <w:rPr>
          <w:rFonts w:eastAsiaTheme="minorEastAsia"/>
          <w:color w:val="auto"/>
          <w:szCs w:val="24"/>
        </w:rPr>
        <w:t xml:space="preserve"> Year </w:t>
      </w:r>
      <w:r w:rsidRPr="00563D71">
        <w:rPr>
          <w:rFonts w:eastAsiaTheme="minorEastAsia"/>
          <w:color w:val="auto"/>
          <w:szCs w:val="24"/>
        </w:rPr>
        <w:t xml:space="preserve">1999 on Forestry, which has been amended </w:t>
      </w:r>
      <w:r w:rsidR="001D51A2" w:rsidRPr="00563D71">
        <w:rPr>
          <w:rFonts w:eastAsiaTheme="minorEastAsia"/>
          <w:color w:val="auto"/>
          <w:szCs w:val="24"/>
        </w:rPr>
        <w:t xml:space="preserve">by </w:t>
      </w:r>
      <w:r w:rsidRPr="00563D71">
        <w:rPr>
          <w:rFonts w:eastAsiaTheme="minorEastAsia"/>
          <w:color w:val="auto"/>
          <w:szCs w:val="24"/>
        </w:rPr>
        <w:t>Law No. 19</w:t>
      </w:r>
      <w:r w:rsidR="0096774D" w:rsidRPr="00563D71">
        <w:rPr>
          <w:rFonts w:eastAsiaTheme="minorEastAsia"/>
          <w:color w:val="auto"/>
          <w:szCs w:val="24"/>
        </w:rPr>
        <w:t xml:space="preserve"> Year </w:t>
      </w:r>
      <w:r w:rsidRPr="00563D71">
        <w:rPr>
          <w:rFonts w:eastAsiaTheme="minorEastAsia"/>
          <w:color w:val="auto"/>
          <w:szCs w:val="24"/>
        </w:rPr>
        <w:t>2004. The Constitutional Court has reviewed the Law No. 41</w:t>
      </w:r>
      <w:r w:rsidR="0096774D" w:rsidRPr="00563D71">
        <w:rPr>
          <w:rFonts w:eastAsiaTheme="minorEastAsia"/>
          <w:color w:val="auto"/>
          <w:szCs w:val="24"/>
        </w:rPr>
        <w:t xml:space="preserve"> Year </w:t>
      </w:r>
      <w:r w:rsidRPr="00563D71">
        <w:rPr>
          <w:rFonts w:eastAsiaTheme="minorEastAsia"/>
          <w:color w:val="auto"/>
          <w:szCs w:val="24"/>
        </w:rPr>
        <w:t>1999 on the forest rights of MHA through the Constitutional Court Decree No. 35</w:t>
      </w:r>
      <w:r w:rsidR="0096774D" w:rsidRPr="00563D71">
        <w:rPr>
          <w:rFonts w:eastAsiaTheme="minorEastAsia"/>
          <w:color w:val="auto"/>
          <w:szCs w:val="24"/>
        </w:rPr>
        <w:t xml:space="preserve"> Year </w:t>
      </w:r>
      <w:r w:rsidRPr="00563D71">
        <w:rPr>
          <w:rFonts w:eastAsiaTheme="minorEastAsia"/>
          <w:color w:val="auto"/>
          <w:szCs w:val="24"/>
        </w:rPr>
        <w:t xml:space="preserve">2012 which confirms that </w:t>
      </w:r>
      <w:r w:rsidRPr="00563D71">
        <w:rPr>
          <w:rFonts w:eastAsiaTheme="minorEastAsia"/>
          <w:i/>
          <w:color w:val="auto"/>
          <w:szCs w:val="24"/>
        </w:rPr>
        <w:t>adat</w:t>
      </w:r>
      <w:r w:rsidRPr="00563D71">
        <w:rPr>
          <w:rFonts w:eastAsiaTheme="minorEastAsia"/>
          <w:color w:val="auto"/>
          <w:szCs w:val="24"/>
        </w:rPr>
        <w:t xml:space="preserve"> forests are no longer state forests. </w:t>
      </w:r>
    </w:p>
    <w:p w14:paraId="29D68D5F" w14:textId="77777777" w:rsidR="0001423C" w:rsidRPr="00563D71" w:rsidRDefault="0001423C" w:rsidP="0001423C">
      <w:pPr>
        <w:ind w:firstLine="0"/>
        <w:rPr>
          <w:szCs w:val="24"/>
        </w:rPr>
      </w:pPr>
    </w:p>
    <w:p w14:paraId="26FA4B02" w14:textId="12F35B36" w:rsidR="0001423C" w:rsidRPr="00563D71" w:rsidRDefault="0001423C" w:rsidP="00854FB5">
      <w:pPr>
        <w:numPr>
          <w:ilvl w:val="0"/>
          <w:numId w:val="38"/>
        </w:numPr>
        <w:contextualSpacing/>
        <w:rPr>
          <w:rFonts w:eastAsiaTheme="minorEastAsia" w:cstheme="minorBidi"/>
          <w:color w:val="auto"/>
          <w:szCs w:val="24"/>
        </w:rPr>
      </w:pPr>
      <w:r w:rsidRPr="00563D71">
        <w:rPr>
          <w:rFonts w:eastAsiaTheme="minorEastAsia"/>
          <w:color w:val="auto"/>
          <w:szCs w:val="24"/>
        </w:rPr>
        <w:t xml:space="preserve">Basic Agrarian Law of 1960 determines the applicability of </w:t>
      </w:r>
      <w:r w:rsidRPr="00563D71">
        <w:rPr>
          <w:rFonts w:eastAsiaTheme="minorEastAsia"/>
          <w:i/>
          <w:color w:val="auto"/>
          <w:szCs w:val="24"/>
        </w:rPr>
        <w:t>adat</w:t>
      </w:r>
      <w:r w:rsidRPr="00563D71">
        <w:rPr>
          <w:rFonts w:eastAsiaTheme="minorEastAsia"/>
          <w:color w:val="auto"/>
          <w:szCs w:val="24"/>
        </w:rPr>
        <w:t xml:space="preserve"> law over land and customary rights (</w:t>
      </w:r>
      <w:r w:rsidRPr="00563D71">
        <w:rPr>
          <w:rFonts w:eastAsiaTheme="minorEastAsia"/>
          <w:i/>
          <w:color w:val="auto"/>
          <w:szCs w:val="24"/>
        </w:rPr>
        <w:t>ha</w:t>
      </w:r>
      <w:r w:rsidR="00342DFB" w:rsidRPr="00563D71">
        <w:rPr>
          <w:rFonts w:eastAsiaTheme="minorEastAsia"/>
          <w:i/>
          <w:color w:val="auto"/>
          <w:szCs w:val="24"/>
        </w:rPr>
        <w:t>k</w:t>
      </w:r>
      <w:r w:rsidRPr="00563D71">
        <w:rPr>
          <w:rFonts w:eastAsiaTheme="minorEastAsia"/>
          <w:i/>
          <w:color w:val="auto"/>
          <w:szCs w:val="24"/>
        </w:rPr>
        <w:t xml:space="preserve"> ulayat</w:t>
      </w:r>
      <w:r w:rsidRPr="00563D71">
        <w:rPr>
          <w:rFonts w:eastAsiaTheme="minorEastAsia"/>
          <w:color w:val="auto"/>
          <w:szCs w:val="24"/>
        </w:rPr>
        <w:t xml:space="preserve">). This is the first law that introduced the concept of conditionality in the recognition of Indigenous Peoples </w:t>
      </w:r>
      <w:r w:rsidRPr="00563D71">
        <w:rPr>
          <w:rFonts w:eastAsiaTheme="minorEastAsia" w:cstheme="minorBidi"/>
          <w:color w:val="auto"/>
          <w:szCs w:val="24"/>
        </w:rPr>
        <w:t>which was further adapted through various laws governing land and natural resources.</w:t>
      </w:r>
    </w:p>
    <w:p w14:paraId="6B1C48DE" w14:textId="77777777" w:rsidR="0001423C" w:rsidRPr="00563D71" w:rsidRDefault="0001423C" w:rsidP="0001423C">
      <w:pPr>
        <w:ind w:firstLine="0"/>
        <w:rPr>
          <w:color w:val="auto"/>
          <w:szCs w:val="24"/>
        </w:rPr>
      </w:pPr>
    </w:p>
    <w:p w14:paraId="37244EE1" w14:textId="6682310B" w:rsidR="0001423C" w:rsidRPr="00563D71" w:rsidRDefault="0001423C" w:rsidP="00916D83">
      <w:pPr>
        <w:numPr>
          <w:ilvl w:val="0"/>
          <w:numId w:val="38"/>
        </w:numPr>
        <w:contextualSpacing/>
        <w:rPr>
          <w:rFonts w:eastAsiaTheme="minorEastAsia"/>
          <w:color w:val="auto"/>
          <w:szCs w:val="24"/>
        </w:rPr>
      </w:pPr>
      <w:r w:rsidRPr="00563D71">
        <w:rPr>
          <w:rFonts w:eastAsiaTheme="minorEastAsia"/>
          <w:color w:val="auto"/>
          <w:szCs w:val="24"/>
        </w:rPr>
        <w:t>Village Law No. 6</w:t>
      </w:r>
      <w:r w:rsidR="0096774D" w:rsidRPr="00563D71">
        <w:rPr>
          <w:rFonts w:eastAsiaTheme="minorEastAsia"/>
          <w:color w:val="auto"/>
          <w:szCs w:val="24"/>
        </w:rPr>
        <w:t xml:space="preserve"> Year </w:t>
      </w:r>
      <w:r w:rsidRPr="00563D71">
        <w:rPr>
          <w:rFonts w:eastAsiaTheme="minorEastAsia"/>
          <w:color w:val="auto"/>
          <w:szCs w:val="24"/>
        </w:rPr>
        <w:t xml:space="preserve">2014: acknowledges the existence and rights of MHA, provided that they are recognized and MHA could opt to established </w:t>
      </w:r>
      <w:r w:rsidRPr="00563D71">
        <w:rPr>
          <w:rFonts w:eastAsiaTheme="minorEastAsia"/>
          <w:i/>
          <w:iCs/>
          <w:color w:val="auto"/>
          <w:szCs w:val="24"/>
        </w:rPr>
        <w:t>adat</w:t>
      </w:r>
      <w:r w:rsidRPr="00563D71">
        <w:rPr>
          <w:rFonts w:eastAsiaTheme="minorEastAsia"/>
          <w:color w:val="auto"/>
          <w:szCs w:val="24"/>
        </w:rPr>
        <w:t xml:space="preserve"> villages with their own institutional structures </w:t>
      </w:r>
      <w:r w:rsidRPr="00563D71">
        <w:rPr>
          <w:rFonts w:eastAsiaTheme="minorEastAsia" w:cstheme="minorBidi"/>
          <w:color w:val="auto"/>
          <w:szCs w:val="24"/>
        </w:rPr>
        <w:t>and authority</w:t>
      </w:r>
      <w:r w:rsidR="00916D83" w:rsidRPr="00563D71">
        <w:rPr>
          <w:rFonts w:eastAsiaTheme="minorEastAsia" w:cstheme="minorBidi"/>
          <w:color w:val="auto"/>
          <w:szCs w:val="24"/>
        </w:rPr>
        <w:t xml:space="preserve">. However, </w:t>
      </w:r>
      <w:r w:rsidRPr="00563D71">
        <w:rPr>
          <w:rFonts w:eastAsiaTheme="minorEastAsia" w:cstheme="minorBidi"/>
          <w:color w:val="auto"/>
          <w:szCs w:val="24"/>
        </w:rPr>
        <w:t xml:space="preserve">this law suffers from </w:t>
      </w:r>
      <w:r w:rsidR="00916D83" w:rsidRPr="00563D71">
        <w:rPr>
          <w:rFonts w:eastAsiaTheme="minorEastAsia" w:cstheme="minorBidi"/>
          <w:color w:val="auto"/>
          <w:szCs w:val="24"/>
        </w:rPr>
        <w:t xml:space="preserve">a </w:t>
      </w:r>
      <w:r w:rsidRPr="00563D71">
        <w:rPr>
          <w:rFonts w:eastAsiaTheme="minorEastAsia" w:cstheme="minorBidi"/>
          <w:color w:val="auto"/>
          <w:szCs w:val="24"/>
        </w:rPr>
        <w:t>lack of guiding regulations and institutional mandates to make such provisions operational</w:t>
      </w:r>
      <w:r w:rsidRPr="00563D71">
        <w:rPr>
          <w:rFonts w:eastAsiaTheme="minorEastAsia"/>
          <w:color w:val="auto"/>
          <w:szCs w:val="24"/>
        </w:rPr>
        <w:t xml:space="preserve">. The Law grants a </w:t>
      </w:r>
      <w:r w:rsidRPr="00563D71">
        <w:rPr>
          <w:rFonts w:eastAsiaTheme="minorEastAsia"/>
          <w:i/>
          <w:color w:val="auto"/>
          <w:szCs w:val="24"/>
        </w:rPr>
        <w:t>desa adat</w:t>
      </w:r>
      <w:r w:rsidRPr="00563D71">
        <w:rPr>
          <w:rFonts w:eastAsiaTheme="minorEastAsia"/>
          <w:color w:val="auto"/>
          <w:szCs w:val="24"/>
        </w:rPr>
        <w:t xml:space="preserve"> an authority to conduct </w:t>
      </w:r>
      <w:r w:rsidRPr="00563D71">
        <w:rPr>
          <w:rFonts w:eastAsiaTheme="minorEastAsia"/>
          <w:i/>
          <w:color w:val="auto"/>
          <w:szCs w:val="24"/>
        </w:rPr>
        <w:t>adat</w:t>
      </w:r>
      <w:r w:rsidRPr="00563D71">
        <w:rPr>
          <w:rFonts w:eastAsiaTheme="minorEastAsia"/>
          <w:color w:val="auto"/>
          <w:szCs w:val="24"/>
        </w:rPr>
        <w:t xml:space="preserve">-based public administration. Compared to other laws, the law adopts optional, non-cumulative criteria for recognition of MHAs with the existence of adat territory being mandatory. </w:t>
      </w:r>
    </w:p>
    <w:p w14:paraId="06F2ECAD" w14:textId="77777777" w:rsidR="0001423C" w:rsidRPr="00563D71" w:rsidRDefault="0001423C" w:rsidP="0001423C">
      <w:pPr>
        <w:ind w:firstLine="0"/>
        <w:rPr>
          <w:color w:val="auto"/>
          <w:szCs w:val="24"/>
        </w:rPr>
      </w:pPr>
    </w:p>
    <w:p w14:paraId="306E61A5" w14:textId="2BCDA1A2" w:rsidR="0001423C" w:rsidRPr="00563D71" w:rsidRDefault="0001423C" w:rsidP="00854FB5">
      <w:pPr>
        <w:numPr>
          <w:ilvl w:val="0"/>
          <w:numId w:val="38"/>
        </w:numPr>
        <w:contextualSpacing/>
        <w:rPr>
          <w:rFonts w:eastAsiaTheme="minorEastAsia"/>
          <w:color w:val="auto"/>
          <w:szCs w:val="24"/>
        </w:rPr>
      </w:pPr>
      <w:r w:rsidRPr="00563D71">
        <w:rPr>
          <w:rFonts w:eastAsiaTheme="minorEastAsia"/>
          <w:color w:val="auto"/>
          <w:szCs w:val="24"/>
        </w:rPr>
        <w:t>Law No. 27</w:t>
      </w:r>
      <w:r w:rsidR="0096774D" w:rsidRPr="00563D71">
        <w:rPr>
          <w:rFonts w:eastAsiaTheme="minorEastAsia"/>
          <w:color w:val="auto"/>
          <w:szCs w:val="24"/>
        </w:rPr>
        <w:t xml:space="preserve"> Year </w:t>
      </w:r>
      <w:r w:rsidRPr="00563D71">
        <w:rPr>
          <w:rFonts w:eastAsiaTheme="minorEastAsia"/>
          <w:color w:val="auto"/>
          <w:szCs w:val="24"/>
        </w:rPr>
        <w:t xml:space="preserve">2007 on Coastal Zone and Small Island Management acknowledges the existence of MHA provided they are recognized and requires consultations with MHA for any development in coastal areas. </w:t>
      </w:r>
      <w:r w:rsidRPr="00563D71">
        <w:rPr>
          <w:rFonts w:eastAsiaTheme="minorEastAsia" w:cstheme="minorBidi"/>
          <w:color w:val="auto"/>
          <w:szCs w:val="24"/>
        </w:rPr>
        <w:t>This is the only Indonesian law that explicitly requires free, prior, and informed consultations for affected MHAs</w:t>
      </w:r>
    </w:p>
    <w:p w14:paraId="15A4C4A5" w14:textId="77777777" w:rsidR="0001423C" w:rsidRPr="00563D71" w:rsidRDefault="0001423C" w:rsidP="0001423C">
      <w:pPr>
        <w:ind w:firstLine="0"/>
        <w:rPr>
          <w:szCs w:val="24"/>
        </w:rPr>
      </w:pPr>
    </w:p>
    <w:p w14:paraId="6D18AF47" w14:textId="78AC85FF" w:rsidR="0001423C" w:rsidRPr="00563D71" w:rsidRDefault="0001423C" w:rsidP="00916D83">
      <w:pPr>
        <w:numPr>
          <w:ilvl w:val="0"/>
          <w:numId w:val="38"/>
        </w:numPr>
        <w:contextualSpacing/>
        <w:rPr>
          <w:rFonts w:eastAsiaTheme="minorEastAsia"/>
          <w:color w:val="auto"/>
          <w:szCs w:val="24"/>
        </w:rPr>
      </w:pPr>
      <w:r w:rsidRPr="00563D71">
        <w:rPr>
          <w:rFonts w:eastAsiaTheme="minorEastAsia"/>
          <w:color w:val="auto"/>
          <w:szCs w:val="24"/>
        </w:rPr>
        <w:t>Law No. 23</w:t>
      </w:r>
      <w:r w:rsidR="0096774D" w:rsidRPr="00563D71">
        <w:rPr>
          <w:rFonts w:eastAsiaTheme="minorEastAsia"/>
          <w:color w:val="auto"/>
          <w:szCs w:val="24"/>
        </w:rPr>
        <w:t xml:space="preserve"> Year </w:t>
      </w:r>
      <w:r w:rsidRPr="00563D71">
        <w:rPr>
          <w:rFonts w:eastAsiaTheme="minorEastAsia"/>
          <w:color w:val="auto"/>
          <w:szCs w:val="24"/>
        </w:rPr>
        <w:t xml:space="preserve">2014 on Local Government recognizes the existence of </w:t>
      </w:r>
      <w:r w:rsidRPr="00563D71">
        <w:rPr>
          <w:rFonts w:eastAsiaTheme="minorEastAsia"/>
          <w:i/>
          <w:color w:val="auto"/>
          <w:szCs w:val="24"/>
        </w:rPr>
        <w:t>adat</w:t>
      </w:r>
      <w:r w:rsidRPr="00563D71">
        <w:rPr>
          <w:rFonts w:eastAsiaTheme="minorEastAsia"/>
          <w:color w:val="auto"/>
          <w:szCs w:val="24"/>
        </w:rPr>
        <w:t xml:space="preserve"> institution</w:t>
      </w:r>
      <w:r w:rsidR="00916D83" w:rsidRPr="00563D71">
        <w:rPr>
          <w:rFonts w:eastAsiaTheme="minorEastAsia"/>
          <w:color w:val="auto"/>
          <w:szCs w:val="24"/>
        </w:rPr>
        <w:t>s</w:t>
      </w:r>
      <w:r w:rsidRPr="00563D71">
        <w:rPr>
          <w:rFonts w:eastAsiaTheme="minorEastAsia"/>
          <w:color w:val="auto"/>
          <w:szCs w:val="24"/>
        </w:rPr>
        <w:t xml:space="preserve"> (</w:t>
      </w:r>
      <w:r w:rsidRPr="00563D71">
        <w:rPr>
          <w:rFonts w:eastAsiaTheme="minorEastAsia"/>
          <w:i/>
          <w:color w:val="auto"/>
          <w:szCs w:val="24"/>
        </w:rPr>
        <w:t>lembaga adat</w:t>
      </w:r>
      <w:r w:rsidRPr="00563D71">
        <w:rPr>
          <w:rFonts w:eastAsiaTheme="minorEastAsia"/>
          <w:color w:val="auto"/>
          <w:szCs w:val="24"/>
        </w:rPr>
        <w:t xml:space="preserve">) by giving </w:t>
      </w:r>
      <w:r w:rsidR="00916D83" w:rsidRPr="00563D71">
        <w:rPr>
          <w:rFonts w:eastAsiaTheme="minorEastAsia"/>
          <w:color w:val="auto"/>
          <w:szCs w:val="24"/>
        </w:rPr>
        <w:t xml:space="preserve">them </w:t>
      </w:r>
      <w:r w:rsidRPr="00563D71">
        <w:rPr>
          <w:rFonts w:eastAsiaTheme="minorEastAsia"/>
          <w:color w:val="auto"/>
          <w:szCs w:val="24"/>
        </w:rPr>
        <w:t xml:space="preserve">rights to “empowerment”. Secondly, the Law determines that </w:t>
      </w:r>
      <w:r w:rsidRPr="00563D71">
        <w:rPr>
          <w:rFonts w:eastAsiaTheme="minorEastAsia"/>
          <w:i/>
          <w:color w:val="auto"/>
          <w:szCs w:val="24"/>
        </w:rPr>
        <w:t>adat</w:t>
      </w:r>
      <w:r w:rsidRPr="00563D71">
        <w:rPr>
          <w:rFonts w:eastAsiaTheme="minorEastAsia"/>
          <w:color w:val="auto"/>
          <w:szCs w:val="24"/>
        </w:rPr>
        <w:t xml:space="preserve"> law is an additional rule for </w:t>
      </w:r>
      <w:r w:rsidR="00916D83" w:rsidRPr="00563D71">
        <w:rPr>
          <w:rFonts w:eastAsiaTheme="minorEastAsia"/>
          <w:color w:val="auto"/>
          <w:szCs w:val="24"/>
        </w:rPr>
        <w:t xml:space="preserve">use in </w:t>
      </w:r>
      <w:r w:rsidRPr="00563D71">
        <w:rPr>
          <w:rFonts w:eastAsiaTheme="minorEastAsia"/>
          <w:color w:val="auto"/>
          <w:szCs w:val="24"/>
        </w:rPr>
        <w:t>particular purposes</w:t>
      </w:r>
      <w:r w:rsidR="00916D83" w:rsidRPr="00563D71">
        <w:rPr>
          <w:rFonts w:eastAsiaTheme="minorEastAsia"/>
          <w:color w:val="auto"/>
          <w:szCs w:val="24"/>
        </w:rPr>
        <w:t>,</w:t>
      </w:r>
      <w:r w:rsidRPr="00563D71">
        <w:rPr>
          <w:rFonts w:eastAsiaTheme="minorEastAsia"/>
          <w:color w:val="auto"/>
          <w:szCs w:val="24"/>
        </w:rPr>
        <w:t xml:space="preserve"> such as village elections. Thirdly, the Law places </w:t>
      </w:r>
      <w:r w:rsidRPr="00563D71">
        <w:rPr>
          <w:rFonts w:eastAsiaTheme="minorEastAsia"/>
          <w:i/>
          <w:color w:val="auto"/>
          <w:szCs w:val="24"/>
        </w:rPr>
        <w:t>adat</w:t>
      </w:r>
      <w:r w:rsidRPr="00563D71">
        <w:rPr>
          <w:rFonts w:eastAsiaTheme="minorEastAsia"/>
          <w:color w:val="auto"/>
          <w:szCs w:val="24"/>
        </w:rPr>
        <w:t xml:space="preserve"> or </w:t>
      </w:r>
      <w:r w:rsidRPr="00563D71">
        <w:rPr>
          <w:rFonts w:eastAsiaTheme="minorEastAsia"/>
          <w:i/>
          <w:color w:val="auto"/>
          <w:szCs w:val="24"/>
        </w:rPr>
        <w:t>adat</w:t>
      </w:r>
      <w:r w:rsidRPr="00563D71">
        <w:rPr>
          <w:rFonts w:eastAsiaTheme="minorEastAsia"/>
          <w:color w:val="auto"/>
          <w:szCs w:val="24"/>
        </w:rPr>
        <w:t xml:space="preserve"> law as the basis upon which to conduct local development, or as a parameter to measure social cohesiveness.</w:t>
      </w:r>
    </w:p>
    <w:p w14:paraId="67091F9E" w14:textId="77777777" w:rsidR="0001423C" w:rsidRPr="00563D71" w:rsidRDefault="0001423C" w:rsidP="0001423C">
      <w:pPr>
        <w:ind w:firstLine="0"/>
        <w:rPr>
          <w:szCs w:val="24"/>
        </w:rPr>
      </w:pPr>
    </w:p>
    <w:p w14:paraId="640ECEBB" w14:textId="1C64DFD4" w:rsidR="0001423C" w:rsidRPr="00563D71" w:rsidRDefault="0001423C" w:rsidP="00854FB5">
      <w:pPr>
        <w:numPr>
          <w:ilvl w:val="0"/>
          <w:numId w:val="38"/>
        </w:numPr>
        <w:contextualSpacing/>
        <w:rPr>
          <w:rFonts w:eastAsiaTheme="minorEastAsia"/>
          <w:color w:val="auto"/>
          <w:szCs w:val="24"/>
        </w:rPr>
      </w:pPr>
      <w:r w:rsidRPr="00563D71">
        <w:rPr>
          <w:rFonts w:eastAsiaTheme="minorEastAsia"/>
          <w:color w:val="auto"/>
          <w:szCs w:val="24"/>
        </w:rPr>
        <w:t>Law No. 11</w:t>
      </w:r>
      <w:r w:rsidR="0096774D" w:rsidRPr="00563D71">
        <w:rPr>
          <w:rFonts w:eastAsiaTheme="minorEastAsia"/>
          <w:color w:val="auto"/>
          <w:szCs w:val="24"/>
        </w:rPr>
        <w:t xml:space="preserve"> Year </w:t>
      </w:r>
      <w:r w:rsidRPr="00563D71">
        <w:rPr>
          <w:rFonts w:eastAsiaTheme="minorEastAsia"/>
          <w:color w:val="auto"/>
          <w:szCs w:val="24"/>
        </w:rPr>
        <w:t>2010 on Cultural Heritage recognizes MHA as the owners of</w:t>
      </w:r>
      <w:r w:rsidR="00916D83" w:rsidRPr="00563D71">
        <w:rPr>
          <w:rFonts w:eastAsiaTheme="minorEastAsia"/>
          <w:color w:val="auto"/>
          <w:szCs w:val="24"/>
        </w:rPr>
        <w:t xml:space="preserve"> their</w:t>
      </w:r>
      <w:r w:rsidRPr="00563D71">
        <w:rPr>
          <w:rFonts w:eastAsiaTheme="minorEastAsia"/>
          <w:color w:val="auto"/>
          <w:szCs w:val="24"/>
        </w:rPr>
        <w:t xml:space="preserve"> cultural heritage and grants</w:t>
      </w:r>
      <w:r w:rsidR="00916D83" w:rsidRPr="00563D71">
        <w:rPr>
          <w:rFonts w:eastAsiaTheme="minorEastAsia"/>
          <w:color w:val="auto"/>
          <w:szCs w:val="24"/>
        </w:rPr>
        <w:t xml:space="preserve"> them</w:t>
      </w:r>
      <w:r w:rsidRPr="00563D71">
        <w:rPr>
          <w:rFonts w:eastAsiaTheme="minorEastAsia"/>
          <w:color w:val="auto"/>
          <w:szCs w:val="24"/>
        </w:rPr>
        <w:t xml:space="preserve"> authority to manage it.</w:t>
      </w:r>
    </w:p>
    <w:p w14:paraId="62EA5CB6" w14:textId="77777777" w:rsidR="0001423C" w:rsidRPr="00563D71" w:rsidRDefault="0001423C" w:rsidP="0001423C">
      <w:pPr>
        <w:ind w:left="374" w:firstLine="0"/>
        <w:contextualSpacing/>
        <w:rPr>
          <w:rFonts w:eastAsiaTheme="minorEastAsia"/>
          <w:color w:val="auto"/>
          <w:szCs w:val="24"/>
        </w:rPr>
      </w:pPr>
    </w:p>
    <w:p w14:paraId="7FA8C5B0" w14:textId="0DF26952" w:rsidR="00F3304E" w:rsidRPr="00563D71" w:rsidRDefault="0001423C" w:rsidP="0032029F">
      <w:pPr>
        <w:pStyle w:val="MainParanoChapter-Ch3"/>
        <w:rPr>
          <w:sz w:val="20"/>
          <w:szCs w:val="20"/>
        </w:rPr>
      </w:pPr>
      <w:r w:rsidRPr="00563D71">
        <w:t>Due to the sectoral nature of institutional arrangements governing recognition and development of MHA, each ministry and agency has their own agendas with regards to MHA</w:t>
      </w:r>
      <w:r w:rsidR="00916D83" w:rsidRPr="00563D71">
        <w:t>. As such,</w:t>
      </w:r>
      <w:r w:rsidRPr="00563D71">
        <w:t xml:space="preserve"> </w:t>
      </w:r>
      <w:r w:rsidR="00916D83" w:rsidRPr="00563D71">
        <w:t xml:space="preserve">historically </w:t>
      </w:r>
      <w:r w:rsidRPr="00563D71">
        <w:t xml:space="preserve">there has been lack of synchronized efforts amongst related ministries with regards to resolution of on-going conflicts which mainly arise from unclear </w:t>
      </w:r>
      <w:r w:rsidR="00DA4750" w:rsidRPr="00563D71">
        <w:t>tenure</w:t>
      </w:r>
      <w:r w:rsidRPr="00563D71">
        <w:t xml:space="preserve"> rights and lack of recognition and protection of the rights of MHA. </w:t>
      </w:r>
      <w:r w:rsidR="00F33339" w:rsidRPr="00563D71">
        <w:t xml:space="preserve">After </w:t>
      </w:r>
      <w:r w:rsidRPr="00563D71">
        <w:t>the Constitutional Court Ruling MK 35</w:t>
      </w:r>
      <w:r w:rsidR="0096774D" w:rsidRPr="00563D71">
        <w:t xml:space="preserve"> </w:t>
      </w:r>
      <w:r w:rsidR="0096774D" w:rsidRPr="00563D71">
        <w:lastRenderedPageBreak/>
        <w:t xml:space="preserve">Year </w:t>
      </w:r>
      <w:r w:rsidRPr="00563D71">
        <w:t xml:space="preserve">2012, efforts to improve inter-ministerial coordination, spearheaded by the Office of Presidential Staff and civil society groups, notably </w:t>
      </w:r>
      <w:r w:rsidR="00E74ECA" w:rsidRPr="00563D71">
        <w:t>the Indigenous Peoples Alliance of the Archipelago (</w:t>
      </w:r>
      <w:r w:rsidRPr="00563D71">
        <w:t>AMAN</w:t>
      </w:r>
      <w:r w:rsidR="00E74ECA" w:rsidRPr="00563D71">
        <w:t>)</w:t>
      </w:r>
      <w:r w:rsidRPr="00563D71">
        <w:t>, have been mobilized. This has resulted in the issuance of a joint-regulation of four ministries (Home Affairs, Environment and Forestry, Public Work</w:t>
      </w:r>
      <w:r w:rsidR="00F33339" w:rsidRPr="00563D71">
        <w:t>s,</w:t>
      </w:r>
      <w:r w:rsidRPr="00563D71">
        <w:t xml:space="preserve"> and </w:t>
      </w:r>
      <w:r w:rsidR="00F33339" w:rsidRPr="00563D71">
        <w:t xml:space="preserve">the </w:t>
      </w:r>
      <w:r w:rsidRPr="00563D71">
        <w:t xml:space="preserve">Agrarian and Land Agency) </w:t>
      </w:r>
      <w:r w:rsidR="0096774D" w:rsidRPr="00563D71">
        <w:t>N</w:t>
      </w:r>
      <w:r w:rsidRPr="00563D71">
        <w:t>o. 79</w:t>
      </w:r>
      <w:r w:rsidR="0096774D" w:rsidRPr="00563D71">
        <w:t xml:space="preserve"> Year </w:t>
      </w:r>
      <w:r w:rsidRPr="00563D71">
        <w:t>2014 on land conflict resolution in forest areas</w:t>
      </w:r>
      <w:r w:rsidR="00F33339" w:rsidRPr="00563D71">
        <w:t>.</w:t>
      </w:r>
      <w:r w:rsidRPr="00563D71">
        <w:t xml:space="preserve"> </w:t>
      </w:r>
      <w:r w:rsidR="00F33339" w:rsidRPr="00563D71">
        <w:t xml:space="preserve">It </w:t>
      </w:r>
      <w:r w:rsidRPr="00563D71">
        <w:t>propos</w:t>
      </w:r>
      <w:r w:rsidR="00F33339" w:rsidRPr="00563D71">
        <w:t>es</w:t>
      </w:r>
      <w:r w:rsidRPr="00563D71">
        <w:t xml:space="preserve"> to establish a dedicated working group (</w:t>
      </w:r>
      <w:r w:rsidRPr="00563D71">
        <w:rPr>
          <w:i/>
        </w:rPr>
        <w:t>Satgas</w:t>
      </w:r>
      <w:r w:rsidR="009B51E8" w:rsidRPr="00563D71">
        <w:rPr>
          <w:i/>
        </w:rPr>
        <w:t xml:space="preserve"> or satuan tugas or task force</w:t>
      </w:r>
      <w:r w:rsidRPr="00563D71">
        <w:t>) on MHA under the President</w:t>
      </w:r>
      <w:r w:rsidR="00F33339" w:rsidRPr="00563D71">
        <w:t>,</w:t>
      </w:r>
      <w:r w:rsidRPr="00563D71">
        <w:t xml:space="preserve"> based on </w:t>
      </w:r>
      <w:r w:rsidR="00F33339" w:rsidRPr="00563D71">
        <w:t xml:space="preserve">a </w:t>
      </w:r>
      <w:r w:rsidRPr="00563D71">
        <w:t xml:space="preserve">national inquiry led by National Human Rights Commission (KOMNAS HAM) </w:t>
      </w:r>
      <w:r w:rsidR="00F33339" w:rsidRPr="00563D71">
        <w:t xml:space="preserve">concerning </w:t>
      </w:r>
      <w:r w:rsidRPr="00563D71">
        <w:t>violation</w:t>
      </w:r>
      <w:r w:rsidR="00F33339" w:rsidRPr="00563D71">
        <w:t>s</w:t>
      </w:r>
      <w:r w:rsidRPr="00563D71">
        <w:t xml:space="preserve"> of </w:t>
      </w:r>
      <w:r w:rsidR="00F33339" w:rsidRPr="00563D71">
        <w:t xml:space="preserve">the </w:t>
      </w:r>
      <w:r w:rsidRPr="00563D71">
        <w:t xml:space="preserve">human rights against MHA. However, enforcement remains an issue due to </w:t>
      </w:r>
      <w:r w:rsidR="00F33339" w:rsidRPr="00563D71">
        <w:t xml:space="preserve">the </w:t>
      </w:r>
      <w:r w:rsidRPr="00563D71">
        <w:t>bureaucratic and political nature of MHA recognition</w:t>
      </w:r>
      <w:r w:rsidR="00F33339" w:rsidRPr="00563D71">
        <w:t>; thus,</w:t>
      </w:r>
      <w:r w:rsidRPr="00563D71">
        <w:t xml:space="preserve"> there has been a delay in the establishment of the MHA working group. Consequently, conflicts involving MHAs are still handled</w:t>
      </w:r>
      <w:r w:rsidR="00F33339" w:rsidRPr="00563D71">
        <w:t xml:space="preserve"> i</w:t>
      </w:r>
      <w:r w:rsidRPr="00563D71">
        <w:t>n an ad-hoc manner and recognition of MHA’s existence and land rights is contingent upon</w:t>
      </w:r>
      <w:r w:rsidR="00F33339" w:rsidRPr="00563D71">
        <w:t xml:space="preserve"> the</w:t>
      </w:r>
      <w:r w:rsidRPr="00563D71">
        <w:t xml:space="preserve"> political will of each district/province </w:t>
      </w:r>
      <w:r w:rsidR="00F33339" w:rsidRPr="00563D71">
        <w:t xml:space="preserve">in which </w:t>
      </w:r>
      <w:r w:rsidRPr="00563D71">
        <w:t>MHA reside.</w:t>
      </w:r>
    </w:p>
    <w:p w14:paraId="2D510A90" w14:textId="77777777" w:rsidR="0001423C" w:rsidRPr="00563D71" w:rsidRDefault="0001423C" w:rsidP="0001423C">
      <w:pPr>
        <w:tabs>
          <w:tab w:val="left" w:pos="90"/>
        </w:tabs>
        <w:ind w:left="22" w:right="15" w:firstLine="0"/>
        <w:contextualSpacing/>
        <w:jc w:val="left"/>
        <w:rPr>
          <w:sz w:val="20"/>
          <w:szCs w:val="20"/>
        </w:rPr>
      </w:pPr>
    </w:p>
    <w:p w14:paraId="2A12CA73" w14:textId="5B1443E2" w:rsidR="0001423C" w:rsidRPr="00563D71" w:rsidRDefault="0001423C" w:rsidP="0032029F">
      <w:pPr>
        <w:pStyle w:val="MainParanoChapter-Ch3"/>
      </w:pPr>
      <w:r w:rsidRPr="00563D71">
        <w:rPr>
          <w:b/>
        </w:rPr>
        <w:t>Grievance Mechanisms.</w:t>
      </w:r>
      <w:r w:rsidRPr="00563D71">
        <w:rPr>
          <w:b/>
        </w:rPr>
        <w:tab/>
      </w:r>
      <w:r w:rsidRPr="00563D71">
        <w:t>Provisions on G</w:t>
      </w:r>
      <w:r w:rsidR="00F06297" w:rsidRPr="00563D71">
        <w:t>o</w:t>
      </w:r>
      <w:r w:rsidRPr="00563D71">
        <w:t>I’s complaints handling system are specified in:</w:t>
      </w:r>
    </w:p>
    <w:p w14:paraId="2DED748C" w14:textId="59A4786C" w:rsidR="0001423C" w:rsidRPr="00563D71" w:rsidRDefault="0001423C" w:rsidP="003D2E29">
      <w:pPr>
        <w:pStyle w:val="ListParagraph"/>
        <w:numPr>
          <w:ilvl w:val="0"/>
          <w:numId w:val="39"/>
        </w:numPr>
        <w:spacing w:after="120" w:line="240" w:lineRule="auto"/>
        <w:ind w:left="1109" w:right="14"/>
        <w:contextualSpacing w:val="0"/>
        <w:rPr>
          <w:rFonts w:ascii="Times New Roman" w:hAnsi="Times New Roman" w:cs="Times New Roman"/>
          <w:sz w:val="24"/>
          <w:szCs w:val="24"/>
        </w:rPr>
      </w:pPr>
      <w:r w:rsidRPr="00563D71">
        <w:rPr>
          <w:rFonts w:ascii="Times New Roman" w:hAnsi="Times New Roman" w:cs="Times New Roman"/>
          <w:sz w:val="24"/>
          <w:szCs w:val="24"/>
        </w:rPr>
        <w:t>Presidential Regulation No. 76</w:t>
      </w:r>
      <w:r w:rsidR="0096774D" w:rsidRPr="00563D71">
        <w:rPr>
          <w:rFonts w:ascii="Times New Roman" w:hAnsi="Times New Roman" w:cs="Times New Roman"/>
          <w:sz w:val="24"/>
          <w:szCs w:val="24"/>
        </w:rPr>
        <w:t xml:space="preserve"> Year </w:t>
      </w:r>
      <w:r w:rsidRPr="00563D71">
        <w:rPr>
          <w:rFonts w:ascii="Times New Roman" w:hAnsi="Times New Roman" w:cs="Times New Roman"/>
          <w:sz w:val="24"/>
          <w:szCs w:val="24"/>
        </w:rPr>
        <w:t>2013 on the Complaint Handling Management for Public Services</w:t>
      </w:r>
      <w:r w:rsidR="005E3AC4" w:rsidRPr="00563D71">
        <w:rPr>
          <w:rFonts w:ascii="Times New Roman" w:hAnsi="Times New Roman" w:cs="Times New Roman"/>
          <w:sz w:val="24"/>
          <w:szCs w:val="24"/>
        </w:rPr>
        <w:t>,</w:t>
      </w:r>
      <w:r w:rsidRPr="00563D71">
        <w:rPr>
          <w:rFonts w:ascii="Times New Roman" w:hAnsi="Times New Roman" w:cs="Times New Roman"/>
          <w:sz w:val="24"/>
          <w:szCs w:val="24"/>
        </w:rPr>
        <w:t xml:space="preserve"> </w:t>
      </w:r>
      <w:r w:rsidR="005E3AC4" w:rsidRPr="00563D71">
        <w:rPr>
          <w:rFonts w:ascii="Times New Roman" w:hAnsi="Times New Roman" w:cs="Times New Roman"/>
          <w:sz w:val="24"/>
          <w:szCs w:val="24"/>
        </w:rPr>
        <w:t xml:space="preserve">which </w:t>
      </w:r>
      <w:r w:rsidRPr="00563D71">
        <w:rPr>
          <w:rFonts w:ascii="Times New Roman" w:hAnsi="Times New Roman" w:cs="Times New Roman"/>
          <w:sz w:val="24"/>
          <w:szCs w:val="24"/>
        </w:rPr>
        <w:t>specifies the complaint handling management for public services including</w:t>
      </w:r>
      <w:r w:rsidR="005E3AC4" w:rsidRPr="00563D71">
        <w:rPr>
          <w:rFonts w:ascii="Times New Roman" w:hAnsi="Times New Roman" w:cs="Times New Roman"/>
          <w:sz w:val="24"/>
          <w:szCs w:val="24"/>
        </w:rPr>
        <w:t>:</w:t>
      </w:r>
      <w:r w:rsidRPr="00563D71">
        <w:rPr>
          <w:rFonts w:ascii="Times New Roman" w:hAnsi="Times New Roman" w:cs="Times New Roman"/>
          <w:sz w:val="24"/>
          <w:szCs w:val="24"/>
        </w:rPr>
        <w:t xml:space="preserve"> the rights of the complainants and responsibility of the complaint handling unit/agency; methods/venues for filing complaints; status and responsibility of the complaint handling unit/agency; mechanisms for complaint handling management; monitoring</w:t>
      </w:r>
      <w:r w:rsidR="005E3AC4" w:rsidRPr="00563D71">
        <w:rPr>
          <w:rFonts w:ascii="Times New Roman" w:hAnsi="Times New Roman" w:cs="Times New Roman"/>
          <w:sz w:val="24"/>
          <w:szCs w:val="24"/>
        </w:rPr>
        <w:t>,</w:t>
      </w:r>
      <w:r w:rsidRPr="00563D71">
        <w:rPr>
          <w:rFonts w:ascii="Times New Roman" w:hAnsi="Times New Roman" w:cs="Times New Roman"/>
          <w:sz w:val="24"/>
          <w:szCs w:val="24"/>
        </w:rPr>
        <w:t xml:space="preserve"> evaluation</w:t>
      </w:r>
      <w:r w:rsidR="005E3AC4" w:rsidRPr="00563D71">
        <w:rPr>
          <w:rFonts w:ascii="Times New Roman" w:hAnsi="Times New Roman" w:cs="Times New Roman"/>
          <w:sz w:val="24"/>
          <w:szCs w:val="24"/>
        </w:rPr>
        <w:t>,</w:t>
      </w:r>
      <w:r w:rsidRPr="00563D71">
        <w:rPr>
          <w:rFonts w:ascii="Times New Roman" w:hAnsi="Times New Roman" w:cs="Times New Roman"/>
          <w:sz w:val="24"/>
          <w:szCs w:val="24"/>
        </w:rPr>
        <w:t xml:space="preserve"> and reporting of complaints; complaint resolution; protection for complainants; performance assessment for complaint handling; national complaint handling system; and supervision and controlling of the implementation of</w:t>
      </w:r>
      <w:r w:rsidR="005E3AC4" w:rsidRPr="00563D71">
        <w:rPr>
          <w:rFonts w:ascii="Times New Roman" w:hAnsi="Times New Roman" w:cs="Times New Roman"/>
          <w:sz w:val="24"/>
          <w:szCs w:val="24"/>
        </w:rPr>
        <w:t xml:space="preserve"> the</w:t>
      </w:r>
      <w:r w:rsidRPr="00563D71">
        <w:rPr>
          <w:rFonts w:ascii="Times New Roman" w:hAnsi="Times New Roman" w:cs="Times New Roman"/>
          <w:sz w:val="24"/>
          <w:szCs w:val="24"/>
        </w:rPr>
        <w:t xml:space="preserve"> complaint handling system. Implementation o</w:t>
      </w:r>
      <w:r w:rsidR="005E3AC4" w:rsidRPr="00563D71">
        <w:rPr>
          <w:rFonts w:ascii="Times New Roman" w:hAnsi="Times New Roman" w:cs="Times New Roman"/>
          <w:sz w:val="24"/>
          <w:szCs w:val="24"/>
        </w:rPr>
        <w:t>f</w:t>
      </w:r>
      <w:r w:rsidRPr="00563D71">
        <w:rPr>
          <w:rFonts w:ascii="Times New Roman" w:hAnsi="Times New Roman" w:cs="Times New Roman"/>
          <w:sz w:val="24"/>
          <w:szCs w:val="24"/>
        </w:rPr>
        <w:t xml:space="preserve"> this Presidential Regulation is specified in the following two regulations:</w:t>
      </w:r>
    </w:p>
    <w:p w14:paraId="099CDF60" w14:textId="10D923F3" w:rsidR="0001423C" w:rsidRPr="00563D71" w:rsidRDefault="0001423C" w:rsidP="003D2E29">
      <w:pPr>
        <w:pStyle w:val="ListParagraph"/>
        <w:numPr>
          <w:ilvl w:val="1"/>
          <w:numId w:val="39"/>
        </w:numPr>
        <w:spacing w:after="120" w:line="240" w:lineRule="auto"/>
        <w:ind w:right="14"/>
        <w:contextualSpacing w:val="0"/>
        <w:rPr>
          <w:rFonts w:ascii="Times New Roman" w:hAnsi="Times New Roman" w:cs="Times New Roman"/>
          <w:sz w:val="24"/>
          <w:szCs w:val="24"/>
        </w:rPr>
      </w:pPr>
      <w:r w:rsidRPr="00563D71">
        <w:rPr>
          <w:rFonts w:ascii="Times New Roman" w:hAnsi="Times New Roman" w:cs="Times New Roman"/>
          <w:sz w:val="24"/>
          <w:szCs w:val="24"/>
        </w:rPr>
        <w:t>Regulation of the Ministry of Empowerment of State Apparatus and Bureaucracy Reform No. 24</w:t>
      </w:r>
      <w:r w:rsidR="0023488B" w:rsidRPr="00563D71">
        <w:rPr>
          <w:rFonts w:ascii="Times New Roman" w:hAnsi="Times New Roman" w:cs="Times New Roman"/>
          <w:sz w:val="24"/>
          <w:szCs w:val="24"/>
        </w:rPr>
        <w:t xml:space="preserve"> Year </w:t>
      </w:r>
      <w:r w:rsidRPr="00563D71">
        <w:rPr>
          <w:rFonts w:ascii="Times New Roman" w:hAnsi="Times New Roman" w:cs="Times New Roman"/>
          <w:sz w:val="24"/>
          <w:szCs w:val="24"/>
        </w:rPr>
        <w:t xml:space="preserve">2014 on the Guideline for the Implementation of the National Complaint Handling System for Public Services, which outlines the requirements of all agencies providing public services to establish and implement complaint handling system including institutional arrangement; infrastructure, methods/venues for filing complaints; complaint handling mechanisms and procedures; complaint handling monitoring, evaluation and reporting; accountability, transparency, and participation in complaint handling management; supervision and control on the implementation of complaint handling; and integrate the complaint handling system into the national complaint handling system. In addition, this regulation also requires the unit/agency responsible for complaint handling assign competent staff to implement the complaint handling system and technical guidelines for implementing the national complaint handling system should be developed by the supervisor of each responsible unit/agency in accordance with the needs. </w:t>
      </w:r>
    </w:p>
    <w:p w14:paraId="62322869" w14:textId="4A66C13B" w:rsidR="0001423C" w:rsidRPr="00563D71" w:rsidRDefault="0001423C" w:rsidP="003D2E29">
      <w:pPr>
        <w:pStyle w:val="ListParagraph"/>
        <w:numPr>
          <w:ilvl w:val="1"/>
          <w:numId w:val="39"/>
        </w:numPr>
        <w:spacing w:line="240" w:lineRule="auto"/>
        <w:ind w:right="15"/>
        <w:rPr>
          <w:rFonts w:ascii="Times New Roman" w:hAnsi="Times New Roman" w:cs="Times New Roman"/>
          <w:sz w:val="24"/>
          <w:szCs w:val="24"/>
        </w:rPr>
      </w:pPr>
      <w:r w:rsidRPr="00563D71">
        <w:rPr>
          <w:rFonts w:ascii="Times New Roman" w:hAnsi="Times New Roman" w:cs="Times New Roman"/>
          <w:sz w:val="24"/>
          <w:szCs w:val="24"/>
        </w:rPr>
        <w:t>Regulation of the Ministry of Empowerment of State Apparatus and Bureaucracy Reform No. 3</w:t>
      </w:r>
      <w:r w:rsidR="0023488B" w:rsidRPr="00563D71">
        <w:rPr>
          <w:rFonts w:ascii="Times New Roman" w:hAnsi="Times New Roman" w:cs="Times New Roman"/>
          <w:sz w:val="24"/>
          <w:szCs w:val="24"/>
        </w:rPr>
        <w:t xml:space="preserve"> Year </w:t>
      </w:r>
      <w:r w:rsidRPr="00563D71">
        <w:rPr>
          <w:rFonts w:ascii="Times New Roman" w:hAnsi="Times New Roman" w:cs="Times New Roman"/>
          <w:sz w:val="24"/>
          <w:szCs w:val="24"/>
        </w:rPr>
        <w:t xml:space="preserve">2015 on the Road Map for the National </w:t>
      </w:r>
      <w:r w:rsidRPr="00563D71">
        <w:rPr>
          <w:rFonts w:ascii="Times New Roman" w:hAnsi="Times New Roman" w:cs="Times New Roman"/>
          <w:sz w:val="24"/>
          <w:szCs w:val="24"/>
        </w:rPr>
        <w:lastRenderedPageBreak/>
        <w:t>Complaint Handling System for Public Services (SP4N</w:t>
      </w:r>
      <w:r w:rsidR="00F11996" w:rsidRPr="00563D71">
        <w:rPr>
          <w:rFonts w:ascii="Times New Roman" w:hAnsi="Times New Roman" w:cs="Times New Roman"/>
          <w:sz w:val="24"/>
          <w:szCs w:val="24"/>
        </w:rPr>
        <w:t xml:space="preserve"> – </w:t>
      </w:r>
      <w:r w:rsidRPr="00563D71">
        <w:rPr>
          <w:rFonts w:ascii="Times New Roman" w:hAnsi="Times New Roman" w:cs="Times New Roman"/>
          <w:i/>
          <w:sz w:val="24"/>
          <w:szCs w:val="24"/>
        </w:rPr>
        <w:t>Sistem Pengelolaan Pengaduan Pelayanan Publik Nasional</w:t>
      </w:r>
      <w:r w:rsidRPr="00563D71">
        <w:rPr>
          <w:rFonts w:ascii="Times New Roman" w:hAnsi="Times New Roman" w:cs="Times New Roman"/>
          <w:sz w:val="24"/>
          <w:szCs w:val="24"/>
        </w:rPr>
        <w:t xml:space="preserve">), specifies the road map for the establishment of the national complaint handling system at all government levels and requires that each ministry and local government should develop an action plan for complaint handling system that </w:t>
      </w:r>
      <w:r w:rsidR="006F32D3" w:rsidRPr="00563D71">
        <w:rPr>
          <w:rFonts w:ascii="Times New Roman" w:hAnsi="Times New Roman" w:cs="Times New Roman"/>
          <w:sz w:val="24"/>
          <w:szCs w:val="24"/>
        </w:rPr>
        <w:t xml:space="preserve">is </w:t>
      </w:r>
      <w:r w:rsidRPr="00563D71">
        <w:rPr>
          <w:rFonts w:ascii="Times New Roman" w:hAnsi="Times New Roman" w:cs="Times New Roman"/>
          <w:sz w:val="24"/>
          <w:szCs w:val="24"/>
        </w:rPr>
        <w:t>integrated to the SP4N in 2017.</w:t>
      </w:r>
    </w:p>
    <w:p w14:paraId="7761E098" w14:textId="03E3A6CE" w:rsidR="0001423C" w:rsidRPr="00563D71" w:rsidRDefault="0001423C" w:rsidP="0032029F">
      <w:pPr>
        <w:pStyle w:val="MainParanoChapter-Ch3"/>
        <w:rPr>
          <w:sz w:val="20"/>
          <w:szCs w:val="20"/>
        </w:rPr>
      </w:pPr>
      <w:r w:rsidRPr="00563D71">
        <w:rPr>
          <w:b/>
        </w:rPr>
        <w:t>Disclosures</w:t>
      </w:r>
      <w:r w:rsidRPr="00563D71">
        <w:t xml:space="preserve">. Provisions on the disclosures of information are covered in the said laws and regulations pertaining environmental management and (refer to Table </w:t>
      </w:r>
      <w:r w:rsidR="000311AE" w:rsidRPr="00563D71">
        <w:t>8</w:t>
      </w:r>
      <w:r w:rsidRPr="00563D71">
        <w:t>), in addition, specific regulations governing transparency and information disclosure are Law No. 14</w:t>
      </w:r>
      <w:r w:rsidR="0096774D" w:rsidRPr="00563D71">
        <w:t xml:space="preserve"> Year </w:t>
      </w:r>
      <w:r w:rsidRPr="00563D71">
        <w:t>2008 on Public Information Disclosure and Government Regulation No. 61</w:t>
      </w:r>
      <w:r w:rsidR="0096774D" w:rsidRPr="00563D71">
        <w:t xml:space="preserve"> Year </w:t>
      </w:r>
      <w:r w:rsidRPr="00563D71">
        <w:t>2010 on implementation of Law No. 14</w:t>
      </w:r>
      <w:r w:rsidR="0096774D" w:rsidRPr="00563D71">
        <w:t xml:space="preserve"> Year </w:t>
      </w:r>
      <w:r w:rsidRPr="00563D71">
        <w:t>2008. Law No. 14</w:t>
      </w:r>
      <w:r w:rsidR="0096774D" w:rsidRPr="00563D71">
        <w:t xml:space="preserve"> Year </w:t>
      </w:r>
      <w:r w:rsidRPr="00563D71">
        <w:t xml:space="preserve">2008 </w:t>
      </w:r>
      <w:r w:rsidR="00926925" w:rsidRPr="00563D71">
        <w:t xml:space="preserve">articulates the stipulations </w:t>
      </w:r>
      <w:r w:rsidRPr="00563D71">
        <w:t>that citizens have the right to access public information</w:t>
      </w:r>
      <w:r w:rsidR="00926925" w:rsidRPr="00563D71">
        <w:t>; the</w:t>
      </w:r>
      <w:r w:rsidRPr="00563D71">
        <w:t xml:space="preserve"> principles of public information disclosures</w:t>
      </w:r>
      <w:r w:rsidR="00926925" w:rsidRPr="00563D71">
        <w:t>;</w:t>
      </w:r>
      <w:r w:rsidRPr="00563D71">
        <w:t xml:space="preserve"> management of public information and disclosures</w:t>
      </w:r>
      <w:r w:rsidR="00926925" w:rsidRPr="00563D71">
        <w:t>;</w:t>
      </w:r>
      <w:r w:rsidRPr="00563D71">
        <w:t xml:space="preserve"> procedures and mechanisms to access public information</w:t>
      </w:r>
      <w:r w:rsidR="00926925" w:rsidRPr="00563D71">
        <w:t>;</w:t>
      </w:r>
      <w:r w:rsidRPr="00563D71">
        <w:t xml:space="preserve"> institutional arrangements of public information management</w:t>
      </w:r>
      <w:r w:rsidR="00926925" w:rsidRPr="00563D71">
        <w:t>;</w:t>
      </w:r>
      <w:r w:rsidRPr="00563D71">
        <w:t xml:space="preserve"> accountability for public information disclosure</w:t>
      </w:r>
      <w:r w:rsidR="00926925" w:rsidRPr="00563D71">
        <w:t>;</w:t>
      </w:r>
      <w:r w:rsidRPr="00563D71">
        <w:t xml:space="preserve"> and objection and disputes management. Government Regulation No. 61</w:t>
      </w:r>
      <w:r w:rsidR="0096774D" w:rsidRPr="00563D71">
        <w:t xml:space="preserve"> Year </w:t>
      </w:r>
      <w:r w:rsidRPr="00563D71">
        <w:t>2010 details the implementation arrangements of the Law No. 14</w:t>
      </w:r>
      <w:r w:rsidR="0096774D" w:rsidRPr="00563D71">
        <w:t xml:space="preserve"> Year </w:t>
      </w:r>
      <w:r w:rsidRPr="00563D71">
        <w:t xml:space="preserve">2008, among others: categorization of information, tasks and responsibility of person in charge for managing information and documentation (PPID), process and procedures of defining compensation and legal consequences due to material loss as </w:t>
      </w:r>
      <w:r w:rsidR="00B7555A" w:rsidRPr="00563D71">
        <w:t xml:space="preserve">a </w:t>
      </w:r>
      <w:r w:rsidRPr="00563D71">
        <w:t>result of improper public disclosure</w:t>
      </w:r>
      <w:r w:rsidR="005175CC" w:rsidRPr="00563D71">
        <w:t>.</w:t>
      </w:r>
    </w:p>
    <w:p w14:paraId="0957FB09" w14:textId="77777777" w:rsidR="0001423C" w:rsidRPr="00563D71" w:rsidRDefault="0001423C" w:rsidP="0001423C">
      <w:pPr>
        <w:tabs>
          <w:tab w:val="left" w:pos="90"/>
        </w:tabs>
        <w:ind w:left="22" w:right="15" w:firstLine="0"/>
        <w:contextualSpacing/>
        <w:jc w:val="left"/>
        <w:rPr>
          <w:sz w:val="20"/>
          <w:szCs w:val="20"/>
        </w:rPr>
      </w:pPr>
    </w:p>
    <w:p w14:paraId="57AD6AEB" w14:textId="3DFC5900" w:rsidR="00D4579B" w:rsidRPr="00563D71" w:rsidRDefault="00D4579B" w:rsidP="003D2E29">
      <w:pPr>
        <w:pStyle w:val="NoSpacing"/>
        <w:jc w:val="center"/>
      </w:pPr>
      <w:bookmarkStart w:id="56" w:name="_Toc485824769"/>
      <w:r w:rsidRPr="00563D71">
        <w:t xml:space="preserve">Table </w:t>
      </w:r>
      <w:r w:rsidR="00704623" w:rsidRPr="00563D71">
        <w:t>8</w:t>
      </w:r>
      <w:r w:rsidRPr="00563D71">
        <w:t>. Main laws and regulations applicable to the operation of the Program</w:t>
      </w:r>
      <w:bookmarkEnd w:id="56"/>
    </w:p>
    <w:p w14:paraId="130C9EFB" w14:textId="77777777" w:rsidR="00204801" w:rsidRPr="00563D71" w:rsidRDefault="00204801" w:rsidP="003D2E29">
      <w:pPr>
        <w:pStyle w:val="NoSpacing"/>
        <w:jc w:val="center"/>
      </w:pPr>
    </w:p>
    <w:tbl>
      <w:tblPr>
        <w:tblStyle w:val="TableGrid"/>
        <w:tblW w:w="9369" w:type="dxa"/>
        <w:tblInd w:w="-6" w:type="dxa"/>
        <w:tblCellMar>
          <w:top w:w="33" w:type="dxa"/>
          <w:left w:w="109" w:type="dxa"/>
          <w:right w:w="115" w:type="dxa"/>
        </w:tblCellMar>
        <w:tblLook w:val="04A0" w:firstRow="1" w:lastRow="0" w:firstColumn="1" w:lastColumn="0" w:noHBand="0" w:noVBand="1"/>
      </w:tblPr>
      <w:tblGrid>
        <w:gridCol w:w="3429"/>
        <w:gridCol w:w="5940"/>
      </w:tblGrid>
      <w:tr w:rsidR="00D4579B" w:rsidRPr="00563D71" w14:paraId="003DB94B" w14:textId="77777777" w:rsidTr="00092116">
        <w:trPr>
          <w:trHeight w:val="265"/>
        </w:trPr>
        <w:tc>
          <w:tcPr>
            <w:tcW w:w="3429"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2EB93E3" w14:textId="6B64D719" w:rsidR="00D4579B" w:rsidRPr="00563D71" w:rsidRDefault="00092116" w:rsidP="00973176">
            <w:pPr>
              <w:spacing w:before="0" w:after="60"/>
              <w:ind w:left="0" w:firstLine="0"/>
              <w:contextualSpacing/>
              <w:jc w:val="center"/>
            </w:pPr>
            <w:r w:rsidRPr="00563D71">
              <w:rPr>
                <w:b/>
                <w:sz w:val="20"/>
              </w:rPr>
              <w:t>Law/</w:t>
            </w:r>
            <w:r w:rsidR="00D4579B" w:rsidRPr="00563D71">
              <w:rPr>
                <w:b/>
                <w:sz w:val="20"/>
              </w:rPr>
              <w:t>Regulation</w:t>
            </w:r>
          </w:p>
        </w:tc>
        <w:tc>
          <w:tcPr>
            <w:tcW w:w="594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12952F21" w14:textId="0EE4678A" w:rsidR="00D4579B" w:rsidRPr="00563D71" w:rsidRDefault="00D4579B" w:rsidP="00973176">
            <w:pPr>
              <w:spacing w:before="0" w:after="60"/>
              <w:ind w:left="4" w:firstLine="0"/>
              <w:contextualSpacing/>
              <w:jc w:val="center"/>
            </w:pPr>
            <w:r w:rsidRPr="00563D71">
              <w:rPr>
                <w:b/>
                <w:sz w:val="20"/>
              </w:rPr>
              <w:t>Description</w:t>
            </w:r>
          </w:p>
        </w:tc>
      </w:tr>
      <w:tr w:rsidR="00092116" w:rsidRPr="00563D71" w14:paraId="6560F114" w14:textId="77777777" w:rsidTr="00092116">
        <w:trPr>
          <w:trHeight w:val="344"/>
        </w:trPr>
        <w:tc>
          <w:tcPr>
            <w:tcW w:w="9369" w:type="dxa"/>
            <w:gridSpan w:val="2"/>
            <w:tcBorders>
              <w:top w:val="single" w:sz="4" w:space="0" w:color="000000"/>
              <w:left w:val="single" w:sz="4" w:space="0" w:color="000000"/>
              <w:bottom w:val="single" w:sz="4" w:space="0" w:color="000000"/>
              <w:right w:val="single" w:sz="4" w:space="0" w:color="000000"/>
            </w:tcBorders>
            <w:vAlign w:val="center"/>
          </w:tcPr>
          <w:p w14:paraId="51DB4E8A" w14:textId="5784132F" w:rsidR="00092116" w:rsidRPr="00563D71" w:rsidRDefault="00092116" w:rsidP="00973176">
            <w:pPr>
              <w:spacing w:before="0" w:after="60"/>
              <w:ind w:left="0" w:firstLine="0"/>
              <w:contextualSpacing/>
              <w:jc w:val="center"/>
            </w:pPr>
            <w:r w:rsidRPr="00563D71">
              <w:rPr>
                <w:b/>
                <w:sz w:val="22"/>
              </w:rPr>
              <w:t>Environmental</w:t>
            </w:r>
          </w:p>
        </w:tc>
      </w:tr>
      <w:tr w:rsidR="00D4579B" w:rsidRPr="00563D71" w14:paraId="0B8F3D15" w14:textId="77777777" w:rsidTr="003D2E29">
        <w:trPr>
          <w:trHeight w:val="713"/>
        </w:trPr>
        <w:tc>
          <w:tcPr>
            <w:tcW w:w="3429" w:type="dxa"/>
            <w:tcBorders>
              <w:top w:val="single" w:sz="4" w:space="0" w:color="000000"/>
              <w:left w:val="single" w:sz="4" w:space="0" w:color="000000"/>
              <w:bottom w:val="single" w:sz="4" w:space="0" w:color="000000"/>
              <w:right w:val="single" w:sz="4" w:space="0" w:color="000000"/>
            </w:tcBorders>
          </w:tcPr>
          <w:p w14:paraId="530D6A26" w14:textId="067F25D5" w:rsidR="00D4579B" w:rsidRPr="00563D71" w:rsidRDefault="00D4579B" w:rsidP="00B92DB5">
            <w:pPr>
              <w:spacing w:before="0" w:after="120"/>
              <w:ind w:left="0" w:firstLine="0"/>
              <w:contextualSpacing/>
              <w:jc w:val="left"/>
            </w:pPr>
            <w:r w:rsidRPr="00563D71">
              <w:rPr>
                <w:sz w:val="20"/>
              </w:rPr>
              <w:t>Law No. 32</w:t>
            </w:r>
            <w:r w:rsidR="0096774D" w:rsidRPr="00563D71">
              <w:rPr>
                <w:sz w:val="20"/>
              </w:rPr>
              <w:t xml:space="preserve"> Year </w:t>
            </w:r>
            <w:r w:rsidRPr="00563D71">
              <w:rPr>
                <w:sz w:val="20"/>
              </w:rPr>
              <w:t xml:space="preserve">2009 on Environmental Protection and Management </w:t>
            </w:r>
          </w:p>
        </w:tc>
        <w:tc>
          <w:tcPr>
            <w:tcW w:w="5940" w:type="dxa"/>
            <w:tcBorders>
              <w:top w:val="single" w:sz="4" w:space="0" w:color="000000"/>
              <w:left w:val="single" w:sz="4" w:space="0" w:color="000000"/>
              <w:bottom w:val="single" w:sz="4" w:space="0" w:color="000000"/>
              <w:right w:val="single" w:sz="4" w:space="0" w:color="000000"/>
            </w:tcBorders>
          </w:tcPr>
          <w:p w14:paraId="67BAFD2B" w14:textId="0B14985F" w:rsidR="00D4579B" w:rsidRPr="00563D71" w:rsidRDefault="00D4579B" w:rsidP="00B92DB5">
            <w:pPr>
              <w:spacing w:before="0" w:after="120"/>
              <w:ind w:left="4" w:firstLine="0"/>
              <w:contextualSpacing/>
              <w:jc w:val="left"/>
            </w:pPr>
            <w:r w:rsidRPr="00563D71">
              <w:rPr>
                <w:sz w:val="20"/>
              </w:rPr>
              <w:t>Main Indonesia legislation aim</w:t>
            </w:r>
            <w:r w:rsidR="00296663" w:rsidRPr="00563D71">
              <w:rPr>
                <w:sz w:val="20"/>
              </w:rPr>
              <w:t>ing</w:t>
            </w:r>
            <w:r w:rsidRPr="00563D71">
              <w:rPr>
                <w:sz w:val="20"/>
              </w:rPr>
              <w:t xml:space="preserve"> to protect the environment from de</w:t>
            </w:r>
            <w:r w:rsidR="007E306E" w:rsidRPr="00563D71">
              <w:rPr>
                <w:sz w:val="20"/>
              </w:rPr>
              <w:t>v</w:t>
            </w:r>
            <w:r w:rsidRPr="00563D71">
              <w:rPr>
                <w:sz w:val="20"/>
              </w:rPr>
              <w:t xml:space="preserve">elopment activities. </w:t>
            </w:r>
          </w:p>
        </w:tc>
      </w:tr>
      <w:tr w:rsidR="00D4579B" w:rsidRPr="00563D71" w14:paraId="56EAAA3F" w14:textId="77777777" w:rsidTr="00973176">
        <w:tblPrEx>
          <w:tblCellMar>
            <w:top w:w="46" w:type="dxa"/>
            <w:left w:w="110" w:type="dxa"/>
            <w:right w:w="71" w:type="dxa"/>
          </w:tblCellMar>
        </w:tblPrEx>
        <w:trPr>
          <w:trHeight w:val="691"/>
        </w:trPr>
        <w:tc>
          <w:tcPr>
            <w:tcW w:w="3429" w:type="dxa"/>
            <w:tcBorders>
              <w:top w:val="single" w:sz="4" w:space="0" w:color="000000"/>
              <w:left w:val="single" w:sz="4" w:space="0" w:color="000000"/>
              <w:bottom w:val="single" w:sz="4" w:space="0" w:color="000000"/>
              <w:right w:val="single" w:sz="4" w:space="0" w:color="000000"/>
            </w:tcBorders>
          </w:tcPr>
          <w:p w14:paraId="5F9A3C7C" w14:textId="5D5D113A" w:rsidR="00D4579B" w:rsidRPr="00563D71" w:rsidRDefault="00D4579B" w:rsidP="00B92DB5">
            <w:pPr>
              <w:spacing w:before="0" w:after="120"/>
              <w:ind w:left="0" w:right="10" w:firstLine="0"/>
              <w:contextualSpacing/>
            </w:pPr>
            <w:r w:rsidRPr="00563D71">
              <w:rPr>
                <w:sz w:val="20"/>
              </w:rPr>
              <w:t>Government Regulation No. 27</w:t>
            </w:r>
            <w:r w:rsidR="0096774D" w:rsidRPr="00563D71">
              <w:rPr>
                <w:sz w:val="20"/>
              </w:rPr>
              <w:t xml:space="preserve"> Year </w:t>
            </w:r>
            <w:r w:rsidRPr="00563D71">
              <w:rPr>
                <w:sz w:val="20"/>
              </w:rPr>
              <w:t xml:space="preserve">2012 on Environmental Permit </w:t>
            </w:r>
            <w:r w:rsidRPr="00563D71">
              <w:rPr>
                <w:b/>
                <w:sz w:val="20"/>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3B0F5989" w14:textId="6097DF7B" w:rsidR="00D4579B" w:rsidRPr="00563D71" w:rsidRDefault="00D4579B" w:rsidP="00B92DB5">
            <w:pPr>
              <w:spacing w:before="0" w:after="120"/>
              <w:ind w:left="0" w:firstLine="0"/>
              <w:contextualSpacing/>
              <w:jc w:val="left"/>
            </w:pPr>
            <w:r w:rsidRPr="00563D71">
              <w:rPr>
                <w:sz w:val="20"/>
              </w:rPr>
              <w:t>Th</w:t>
            </w:r>
            <w:r w:rsidR="00296663" w:rsidRPr="00563D71">
              <w:rPr>
                <w:sz w:val="20"/>
              </w:rPr>
              <w:t>is</w:t>
            </w:r>
            <w:r w:rsidRPr="00563D71">
              <w:rPr>
                <w:sz w:val="20"/>
              </w:rPr>
              <w:t xml:space="preserve"> regulation requires any activity/business potentially generating negative environmental and social impact</w:t>
            </w:r>
            <w:r w:rsidR="0009435E" w:rsidRPr="00563D71">
              <w:rPr>
                <w:sz w:val="20"/>
              </w:rPr>
              <w:t>s</w:t>
            </w:r>
            <w:r w:rsidRPr="00563D71">
              <w:rPr>
                <w:sz w:val="20"/>
              </w:rPr>
              <w:t xml:space="preserve"> to obtain an environmental permit. The regulation also outlines</w:t>
            </w:r>
            <w:r w:rsidR="0009435E" w:rsidRPr="00563D71">
              <w:rPr>
                <w:sz w:val="20"/>
              </w:rPr>
              <w:t xml:space="preserve"> the</w:t>
            </w:r>
            <w:r w:rsidRPr="00563D71">
              <w:rPr>
                <w:sz w:val="20"/>
              </w:rPr>
              <w:t xml:space="preserve"> environmental assessment process and instruments</w:t>
            </w:r>
            <w:r w:rsidR="00C01871" w:rsidRPr="00563D71">
              <w:rPr>
                <w:sz w:val="20"/>
              </w:rPr>
              <w:t xml:space="preserve"> (</w:t>
            </w:r>
            <w:r w:rsidRPr="00563D71">
              <w:rPr>
                <w:sz w:val="20"/>
              </w:rPr>
              <w:t xml:space="preserve">i.e. AMDAL or </w:t>
            </w:r>
            <w:r w:rsidR="00B92DB5">
              <w:rPr>
                <w:sz w:val="20"/>
              </w:rPr>
              <w:t>UKL-UPL</w:t>
            </w:r>
            <w:r w:rsidRPr="00563D71">
              <w:rPr>
                <w:sz w:val="20"/>
              </w:rPr>
              <w:t xml:space="preserve">) required for proposed activity/business. </w:t>
            </w:r>
          </w:p>
        </w:tc>
      </w:tr>
      <w:tr w:rsidR="00D4579B" w:rsidRPr="00563D71" w14:paraId="0141582D" w14:textId="77777777" w:rsidTr="00973176">
        <w:tblPrEx>
          <w:tblCellMar>
            <w:top w:w="46" w:type="dxa"/>
            <w:left w:w="110" w:type="dxa"/>
            <w:right w:w="71" w:type="dxa"/>
          </w:tblCellMar>
        </w:tblPrEx>
        <w:trPr>
          <w:trHeight w:val="1510"/>
        </w:trPr>
        <w:tc>
          <w:tcPr>
            <w:tcW w:w="3429" w:type="dxa"/>
            <w:tcBorders>
              <w:top w:val="single" w:sz="4" w:space="0" w:color="000000"/>
              <w:left w:val="single" w:sz="4" w:space="0" w:color="000000"/>
              <w:bottom w:val="single" w:sz="4" w:space="0" w:color="000000"/>
              <w:right w:val="single" w:sz="4" w:space="0" w:color="000000"/>
            </w:tcBorders>
          </w:tcPr>
          <w:p w14:paraId="039205B0" w14:textId="09D3704D" w:rsidR="00D4579B" w:rsidRPr="00563D71" w:rsidRDefault="00D4579B" w:rsidP="00B92DB5">
            <w:pPr>
              <w:spacing w:before="0" w:after="120"/>
              <w:ind w:left="0" w:firstLine="0"/>
              <w:contextualSpacing/>
            </w:pPr>
            <w:r w:rsidRPr="00563D71">
              <w:rPr>
                <w:sz w:val="20"/>
              </w:rPr>
              <w:t>Government Regulation No. 101</w:t>
            </w:r>
            <w:r w:rsidR="0096774D" w:rsidRPr="00563D71">
              <w:rPr>
                <w:sz w:val="20"/>
              </w:rPr>
              <w:t xml:space="preserve"> Year </w:t>
            </w:r>
            <w:r w:rsidRPr="00563D71">
              <w:rPr>
                <w:sz w:val="20"/>
              </w:rPr>
              <w:t xml:space="preserve">2014 on Management of Toxic and </w:t>
            </w:r>
          </w:p>
          <w:p w14:paraId="13F0D967" w14:textId="77777777" w:rsidR="00D4579B" w:rsidRPr="00563D71" w:rsidRDefault="00D4579B" w:rsidP="00B92DB5">
            <w:pPr>
              <w:spacing w:before="0" w:after="120"/>
              <w:ind w:left="0" w:firstLine="0"/>
              <w:contextualSpacing/>
              <w:jc w:val="left"/>
            </w:pPr>
            <w:r w:rsidRPr="00563D71">
              <w:rPr>
                <w:sz w:val="20"/>
              </w:rPr>
              <w:t xml:space="preserve">Hazardous Waste </w:t>
            </w:r>
            <w:r w:rsidRPr="00563D71">
              <w:rPr>
                <w:b/>
                <w:sz w:val="20"/>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19D0FB31" w14:textId="2131B1C7" w:rsidR="00D4579B" w:rsidRPr="00563D71" w:rsidRDefault="00D4579B" w:rsidP="00B92DB5">
            <w:pPr>
              <w:spacing w:before="0" w:after="120"/>
              <w:ind w:left="0" w:firstLine="0"/>
              <w:contextualSpacing/>
              <w:jc w:val="left"/>
            </w:pPr>
            <w:r w:rsidRPr="00563D71">
              <w:rPr>
                <w:sz w:val="20"/>
              </w:rPr>
              <w:t>Government Regulation No. 101</w:t>
            </w:r>
            <w:r w:rsidR="0096774D" w:rsidRPr="00563D71">
              <w:rPr>
                <w:sz w:val="20"/>
              </w:rPr>
              <w:t xml:space="preserve"> Year </w:t>
            </w:r>
            <w:r w:rsidRPr="00563D71">
              <w:rPr>
                <w:sz w:val="20"/>
              </w:rPr>
              <w:t>2014 on Management of Toxic and Hazardous Waste regulates the proper management of hazardous waste covering</w:t>
            </w:r>
            <w:r w:rsidR="0009435E" w:rsidRPr="00563D71">
              <w:rPr>
                <w:sz w:val="20"/>
              </w:rPr>
              <w:t>:</w:t>
            </w:r>
            <w:r w:rsidRPr="00563D71">
              <w:rPr>
                <w:sz w:val="20"/>
              </w:rPr>
              <w:t xml:space="preserve"> (i) method</w:t>
            </w:r>
            <w:r w:rsidR="0009435E" w:rsidRPr="00563D71">
              <w:rPr>
                <w:sz w:val="20"/>
              </w:rPr>
              <w:t>s</w:t>
            </w:r>
            <w:r w:rsidRPr="00563D71">
              <w:rPr>
                <w:sz w:val="20"/>
              </w:rPr>
              <w:t xml:space="preserve"> of identifying, reducing, storing, collecting, transporting, utilizing, processing, and disposing of hazardous wastes;</w:t>
            </w:r>
            <w:r w:rsidR="0009435E" w:rsidRPr="00563D71">
              <w:rPr>
                <w:sz w:val="20"/>
              </w:rPr>
              <w:t xml:space="preserve"> and</w:t>
            </w:r>
            <w:r w:rsidRPr="00563D71">
              <w:rPr>
                <w:sz w:val="20"/>
              </w:rPr>
              <w:t xml:space="preserve"> (ii) risk mitigation and emergency responses to address environmental pollution caused by hazardous waste. The country management of hazardous waste is based on the principle </w:t>
            </w:r>
            <w:r w:rsidR="0009435E" w:rsidRPr="00563D71">
              <w:rPr>
                <w:sz w:val="20"/>
              </w:rPr>
              <w:t xml:space="preserve">of </w:t>
            </w:r>
            <w:r w:rsidRPr="00563D71">
              <w:rPr>
                <w:sz w:val="20"/>
              </w:rPr>
              <w:t xml:space="preserve">“cradle to grave”. </w:t>
            </w:r>
          </w:p>
        </w:tc>
      </w:tr>
      <w:tr w:rsidR="00D4579B" w:rsidRPr="00563D71" w14:paraId="4FCEEC1B" w14:textId="77777777" w:rsidTr="00973176">
        <w:tblPrEx>
          <w:tblCellMar>
            <w:top w:w="46" w:type="dxa"/>
            <w:left w:w="110" w:type="dxa"/>
            <w:right w:w="71" w:type="dxa"/>
          </w:tblCellMar>
        </w:tblPrEx>
        <w:trPr>
          <w:trHeight w:val="28"/>
        </w:trPr>
        <w:tc>
          <w:tcPr>
            <w:tcW w:w="3429" w:type="dxa"/>
            <w:tcBorders>
              <w:top w:val="single" w:sz="4" w:space="0" w:color="000000"/>
              <w:left w:val="single" w:sz="4" w:space="0" w:color="000000"/>
              <w:bottom w:val="single" w:sz="4" w:space="0" w:color="000000"/>
              <w:right w:val="single" w:sz="4" w:space="0" w:color="000000"/>
            </w:tcBorders>
          </w:tcPr>
          <w:p w14:paraId="37C9C3FF" w14:textId="5213B050" w:rsidR="00D4579B" w:rsidRPr="00563D71" w:rsidRDefault="00D4579B" w:rsidP="00B92DB5">
            <w:pPr>
              <w:spacing w:before="0" w:after="120"/>
              <w:ind w:left="0" w:firstLine="0"/>
              <w:contextualSpacing/>
              <w:jc w:val="left"/>
            </w:pPr>
            <w:r w:rsidRPr="00563D71">
              <w:rPr>
                <w:sz w:val="20"/>
              </w:rPr>
              <w:t>Government Regulation No. 50</w:t>
            </w:r>
            <w:r w:rsidR="0096774D" w:rsidRPr="00563D71">
              <w:rPr>
                <w:sz w:val="20"/>
              </w:rPr>
              <w:t xml:space="preserve"> Year </w:t>
            </w:r>
            <w:r w:rsidRPr="00563D71">
              <w:rPr>
                <w:sz w:val="20"/>
              </w:rPr>
              <w:t xml:space="preserve">2012 on Practice of Health and Safety Management  </w:t>
            </w:r>
          </w:p>
        </w:tc>
        <w:tc>
          <w:tcPr>
            <w:tcW w:w="5940" w:type="dxa"/>
            <w:tcBorders>
              <w:top w:val="single" w:sz="4" w:space="0" w:color="000000"/>
              <w:left w:val="single" w:sz="4" w:space="0" w:color="000000"/>
              <w:bottom w:val="single" w:sz="4" w:space="0" w:color="000000"/>
              <w:right w:val="single" w:sz="4" w:space="0" w:color="000000"/>
            </w:tcBorders>
          </w:tcPr>
          <w:p w14:paraId="5270E35B" w14:textId="13C5F465" w:rsidR="00D4579B" w:rsidRPr="00563D71" w:rsidRDefault="00D4579B" w:rsidP="00B92DB5">
            <w:pPr>
              <w:spacing w:before="0" w:after="120"/>
              <w:ind w:left="0" w:right="224" w:firstLine="0"/>
              <w:contextualSpacing/>
            </w:pPr>
            <w:r w:rsidRPr="00563D71">
              <w:rPr>
                <w:sz w:val="20"/>
              </w:rPr>
              <w:t>Th</w:t>
            </w:r>
            <w:r w:rsidR="0009435E" w:rsidRPr="00563D71">
              <w:rPr>
                <w:sz w:val="20"/>
              </w:rPr>
              <w:t>is</w:t>
            </w:r>
            <w:r w:rsidRPr="00563D71">
              <w:rPr>
                <w:sz w:val="20"/>
              </w:rPr>
              <w:t xml:space="preserve"> regulation ensures the right of every worker to health and safety </w:t>
            </w:r>
            <w:r w:rsidR="0009435E" w:rsidRPr="00563D71">
              <w:rPr>
                <w:sz w:val="20"/>
              </w:rPr>
              <w:t xml:space="preserve">protection </w:t>
            </w:r>
            <w:r w:rsidRPr="00563D71">
              <w:rPr>
                <w:sz w:val="20"/>
              </w:rPr>
              <w:t xml:space="preserve">to achieve optimal work productivity, and requires implementation of a health and safety system. </w:t>
            </w:r>
          </w:p>
        </w:tc>
      </w:tr>
      <w:tr w:rsidR="00D4579B" w:rsidRPr="00563D71" w14:paraId="7DD97AA9" w14:textId="77777777" w:rsidTr="00D340AC">
        <w:tblPrEx>
          <w:tblCellMar>
            <w:top w:w="46" w:type="dxa"/>
            <w:left w:w="110" w:type="dxa"/>
            <w:right w:w="71" w:type="dxa"/>
          </w:tblCellMar>
        </w:tblPrEx>
        <w:trPr>
          <w:trHeight w:val="943"/>
        </w:trPr>
        <w:tc>
          <w:tcPr>
            <w:tcW w:w="3429" w:type="dxa"/>
            <w:tcBorders>
              <w:top w:val="single" w:sz="4" w:space="0" w:color="000000"/>
              <w:left w:val="single" w:sz="4" w:space="0" w:color="000000"/>
              <w:bottom w:val="single" w:sz="4" w:space="0" w:color="000000"/>
              <w:right w:val="single" w:sz="4" w:space="0" w:color="000000"/>
            </w:tcBorders>
          </w:tcPr>
          <w:p w14:paraId="50449DAD" w14:textId="29EE7B5F" w:rsidR="00D4579B" w:rsidRPr="00563D71" w:rsidRDefault="00D4579B" w:rsidP="00B92DB5">
            <w:pPr>
              <w:spacing w:before="0" w:after="120"/>
              <w:ind w:left="0" w:firstLine="0"/>
              <w:contextualSpacing/>
            </w:pPr>
            <w:r w:rsidRPr="00563D71">
              <w:rPr>
                <w:sz w:val="20"/>
              </w:rPr>
              <w:lastRenderedPageBreak/>
              <w:t>Presidential Decree No. 32</w:t>
            </w:r>
            <w:r w:rsidR="0096774D" w:rsidRPr="00563D71">
              <w:rPr>
                <w:sz w:val="20"/>
              </w:rPr>
              <w:t xml:space="preserve"> Year </w:t>
            </w:r>
            <w:r w:rsidRPr="00563D71">
              <w:rPr>
                <w:sz w:val="20"/>
              </w:rPr>
              <w:t xml:space="preserve">1990 on Management of Protected Area  </w:t>
            </w:r>
          </w:p>
        </w:tc>
        <w:tc>
          <w:tcPr>
            <w:tcW w:w="5940" w:type="dxa"/>
            <w:tcBorders>
              <w:top w:val="single" w:sz="4" w:space="0" w:color="000000"/>
              <w:left w:val="single" w:sz="4" w:space="0" w:color="000000"/>
              <w:bottom w:val="single" w:sz="4" w:space="0" w:color="000000"/>
              <w:right w:val="single" w:sz="4" w:space="0" w:color="000000"/>
            </w:tcBorders>
          </w:tcPr>
          <w:p w14:paraId="5AD37918" w14:textId="3619FDFB" w:rsidR="00D4579B" w:rsidRPr="00563D71" w:rsidRDefault="00D4579B" w:rsidP="00B92DB5">
            <w:pPr>
              <w:spacing w:before="0" w:after="120"/>
              <w:ind w:left="0" w:firstLine="0"/>
              <w:contextualSpacing/>
              <w:jc w:val="left"/>
            </w:pPr>
            <w:r w:rsidRPr="00563D71">
              <w:rPr>
                <w:sz w:val="20"/>
              </w:rPr>
              <w:t>Th</w:t>
            </w:r>
            <w:r w:rsidR="0009435E" w:rsidRPr="00563D71">
              <w:rPr>
                <w:sz w:val="20"/>
              </w:rPr>
              <w:t>is</w:t>
            </w:r>
            <w:r w:rsidRPr="00563D71">
              <w:rPr>
                <w:sz w:val="20"/>
              </w:rPr>
              <w:t xml:space="preserve"> decree declares the need to establish protected areas in order to </w:t>
            </w:r>
            <w:r w:rsidR="00E2014B" w:rsidRPr="00563D71">
              <w:rPr>
                <w:sz w:val="20"/>
              </w:rPr>
              <w:t xml:space="preserve">ensure </w:t>
            </w:r>
            <w:r w:rsidRPr="00563D71">
              <w:rPr>
                <w:sz w:val="20"/>
              </w:rPr>
              <w:t>sustainable development and protect bio-diversity. It provides basic definition</w:t>
            </w:r>
            <w:r w:rsidR="0009435E" w:rsidRPr="00563D71">
              <w:rPr>
                <w:sz w:val="20"/>
              </w:rPr>
              <w:t>s</w:t>
            </w:r>
            <w:r w:rsidRPr="00563D71">
              <w:rPr>
                <w:sz w:val="20"/>
              </w:rPr>
              <w:t xml:space="preserve"> of protected areas,</w:t>
            </w:r>
            <w:r w:rsidR="0009435E" w:rsidRPr="00563D71">
              <w:rPr>
                <w:sz w:val="20"/>
              </w:rPr>
              <w:t xml:space="preserve"> and a</w:t>
            </w:r>
            <w:r w:rsidRPr="00563D71">
              <w:rPr>
                <w:sz w:val="20"/>
              </w:rPr>
              <w:t xml:space="preserve"> process to establish and to manage protected areas. Under this Program, any activity within or adjacent to the protected areas will be excluded. </w:t>
            </w:r>
          </w:p>
        </w:tc>
      </w:tr>
      <w:tr w:rsidR="00D4579B" w:rsidRPr="00563D71" w14:paraId="0159546F" w14:textId="77777777" w:rsidTr="001D45B2">
        <w:tblPrEx>
          <w:tblCellMar>
            <w:top w:w="46" w:type="dxa"/>
            <w:left w:w="110" w:type="dxa"/>
            <w:right w:w="71" w:type="dxa"/>
          </w:tblCellMar>
        </w:tblPrEx>
        <w:trPr>
          <w:trHeight w:val="1205"/>
        </w:trPr>
        <w:tc>
          <w:tcPr>
            <w:tcW w:w="3429" w:type="dxa"/>
            <w:tcBorders>
              <w:top w:val="single" w:sz="4" w:space="0" w:color="000000"/>
              <w:left w:val="single" w:sz="4" w:space="0" w:color="000000"/>
              <w:bottom w:val="single" w:sz="4" w:space="0" w:color="000000"/>
              <w:right w:val="single" w:sz="4" w:space="0" w:color="000000"/>
            </w:tcBorders>
          </w:tcPr>
          <w:p w14:paraId="0DCFE959" w14:textId="6F5BB324" w:rsidR="00D4579B" w:rsidRPr="00563D71" w:rsidRDefault="00D4579B" w:rsidP="00B92DB5">
            <w:pPr>
              <w:spacing w:before="0" w:after="120"/>
              <w:ind w:left="0" w:firstLine="0"/>
              <w:contextualSpacing/>
            </w:pPr>
            <w:r w:rsidRPr="00563D71">
              <w:rPr>
                <w:sz w:val="20"/>
              </w:rPr>
              <w:t>Ministry of Environment (MOE) regulation (</w:t>
            </w:r>
            <w:r w:rsidR="0031157B" w:rsidRPr="00563D71">
              <w:rPr>
                <w:iCs/>
                <w:sz w:val="20"/>
              </w:rPr>
              <w:t>Permen</w:t>
            </w:r>
            <w:r w:rsidR="009B51E8" w:rsidRPr="00563D71">
              <w:rPr>
                <w:iCs/>
                <w:sz w:val="20"/>
              </w:rPr>
              <w:t>LH</w:t>
            </w:r>
            <w:r w:rsidRPr="00563D71">
              <w:rPr>
                <w:sz w:val="20"/>
              </w:rPr>
              <w:t>) No. 05</w:t>
            </w:r>
            <w:r w:rsidR="0096774D" w:rsidRPr="00563D71">
              <w:rPr>
                <w:sz w:val="20"/>
              </w:rPr>
              <w:t xml:space="preserve"> Year </w:t>
            </w:r>
            <w:r w:rsidRPr="00563D71">
              <w:rPr>
                <w:sz w:val="20"/>
              </w:rPr>
              <w:t>2012 on</w:t>
            </w:r>
            <w:r w:rsidR="0009435E" w:rsidRPr="00563D71">
              <w:rPr>
                <w:sz w:val="20"/>
              </w:rPr>
              <w:t xml:space="preserve"> </w:t>
            </w:r>
            <w:r w:rsidRPr="00563D71">
              <w:rPr>
                <w:sz w:val="20"/>
              </w:rPr>
              <w:t>Type</w:t>
            </w:r>
            <w:r w:rsidR="0009435E" w:rsidRPr="00563D71">
              <w:rPr>
                <w:sz w:val="20"/>
              </w:rPr>
              <w:t>s</w:t>
            </w:r>
            <w:r w:rsidRPr="00563D71">
              <w:rPr>
                <w:sz w:val="20"/>
              </w:rPr>
              <w:t xml:space="preserve"> of Activities Requiring AMDAL </w:t>
            </w:r>
          </w:p>
        </w:tc>
        <w:tc>
          <w:tcPr>
            <w:tcW w:w="5940" w:type="dxa"/>
            <w:tcBorders>
              <w:top w:val="single" w:sz="4" w:space="0" w:color="000000"/>
              <w:left w:val="single" w:sz="4" w:space="0" w:color="000000"/>
              <w:bottom w:val="single" w:sz="4" w:space="0" w:color="000000"/>
              <w:right w:val="single" w:sz="4" w:space="0" w:color="000000"/>
            </w:tcBorders>
          </w:tcPr>
          <w:p w14:paraId="7C37BCF7" w14:textId="09FC5C38" w:rsidR="00D4579B" w:rsidRPr="00563D71" w:rsidRDefault="00D4579B" w:rsidP="00B92DB5">
            <w:pPr>
              <w:spacing w:before="0" w:after="120"/>
              <w:ind w:left="0" w:right="388" w:firstLine="0"/>
              <w:contextualSpacing/>
            </w:pPr>
            <w:r w:rsidRPr="00563D71">
              <w:rPr>
                <w:sz w:val="20"/>
              </w:rPr>
              <w:t>Th</w:t>
            </w:r>
            <w:r w:rsidR="0009435E" w:rsidRPr="00563D71">
              <w:rPr>
                <w:sz w:val="20"/>
              </w:rPr>
              <w:t>is</w:t>
            </w:r>
            <w:r w:rsidRPr="00563D71">
              <w:rPr>
                <w:sz w:val="20"/>
              </w:rPr>
              <w:t xml:space="preserve"> regulation prescribes </w:t>
            </w:r>
            <w:r w:rsidR="0009435E" w:rsidRPr="00563D71">
              <w:rPr>
                <w:sz w:val="20"/>
              </w:rPr>
              <w:t xml:space="preserve">a </w:t>
            </w:r>
            <w:r w:rsidRPr="00563D71">
              <w:rPr>
                <w:sz w:val="20"/>
              </w:rPr>
              <w:t xml:space="preserve">list of activities that </w:t>
            </w:r>
            <w:r w:rsidR="0009435E" w:rsidRPr="00563D71">
              <w:rPr>
                <w:sz w:val="20"/>
              </w:rPr>
              <w:t xml:space="preserve">may </w:t>
            </w:r>
            <w:r w:rsidRPr="00563D71">
              <w:rPr>
                <w:sz w:val="20"/>
              </w:rPr>
              <w:t>potentially generat</w:t>
            </w:r>
            <w:r w:rsidR="0009435E" w:rsidRPr="00563D71">
              <w:rPr>
                <w:sz w:val="20"/>
              </w:rPr>
              <w:t>e</w:t>
            </w:r>
            <w:r w:rsidRPr="00563D71">
              <w:rPr>
                <w:sz w:val="20"/>
              </w:rPr>
              <w:t xml:space="preserve"> adverse impact</w:t>
            </w:r>
            <w:r w:rsidR="0009435E" w:rsidRPr="00563D71">
              <w:rPr>
                <w:sz w:val="20"/>
              </w:rPr>
              <w:t>s,</w:t>
            </w:r>
            <w:r w:rsidRPr="00563D71">
              <w:rPr>
                <w:sz w:val="20"/>
              </w:rPr>
              <w:t xml:space="preserve"> and </w:t>
            </w:r>
            <w:r w:rsidR="0009435E" w:rsidRPr="00563D71">
              <w:rPr>
                <w:sz w:val="20"/>
              </w:rPr>
              <w:t xml:space="preserve">which </w:t>
            </w:r>
            <w:r w:rsidRPr="00563D71">
              <w:rPr>
                <w:sz w:val="20"/>
              </w:rPr>
              <w:t>therefore require full environmental assessment</w:t>
            </w:r>
            <w:r w:rsidR="0009435E" w:rsidRPr="00563D71">
              <w:rPr>
                <w:sz w:val="20"/>
              </w:rPr>
              <w:t>s prior to implementation</w:t>
            </w:r>
            <w:r w:rsidR="00044840" w:rsidRPr="00563D71">
              <w:rPr>
                <w:sz w:val="20"/>
              </w:rPr>
              <w:t>.</w:t>
            </w:r>
            <w:r w:rsidRPr="00563D71">
              <w:rPr>
                <w:sz w:val="20"/>
              </w:rPr>
              <w:t xml:space="preserve"> The distribution line extension is not covered as the activities are considered to have low </w:t>
            </w:r>
            <w:r w:rsidR="007231A7" w:rsidRPr="00563D71">
              <w:rPr>
                <w:sz w:val="20"/>
              </w:rPr>
              <w:t xml:space="preserve">environmental and social </w:t>
            </w:r>
            <w:r w:rsidR="0009435E" w:rsidRPr="00563D71">
              <w:rPr>
                <w:sz w:val="20"/>
              </w:rPr>
              <w:t>impacts.</w:t>
            </w:r>
          </w:p>
        </w:tc>
      </w:tr>
      <w:tr w:rsidR="00D4579B" w:rsidRPr="00563D71" w14:paraId="1DE4081D" w14:textId="77777777" w:rsidTr="001D45B2">
        <w:tblPrEx>
          <w:tblCellMar>
            <w:top w:w="46" w:type="dxa"/>
            <w:left w:w="110" w:type="dxa"/>
            <w:right w:w="71" w:type="dxa"/>
          </w:tblCellMar>
        </w:tblPrEx>
        <w:trPr>
          <w:trHeight w:val="1200"/>
        </w:trPr>
        <w:tc>
          <w:tcPr>
            <w:tcW w:w="3429" w:type="dxa"/>
            <w:tcBorders>
              <w:top w:val="single" w:sz="4" w:space="0" w:color="000000"/>
              <w:left w:val="single" w:sz="4" w:space="0" w:color="000000"/>
              <w:bottom w:val="single" w:sz="4" w:space="0" w:color="000000"/>
              <w:right w:val="single" w:sz="4" w:space="0" w:color="000000"/>
            </w:tcBorders>
          </w:tcPr>
          <w:p w14:paraId="5B08CDCF" w14:textId="3AB4D409" w:rsidR="00D4579B" w:rsidRPr="00563D71" w:rsidRDefault="00875FD4" w:rsidP="00B92DB5">
            <w:pPr>
              <w:spacing w:before="0" w:after="120"/>
              <w:ind w:left="0" w:firstLine="0"/>
              <w:contextualSpacing/>
              <w:jc w:val="left"/>
            </w:pPr>
            <w:r w:rsidRPr="00563D71">
              <w:rPr>
                <w:iCs/>
                <w:sz w:val="20"/>
              </w:rPr>
              <w:t>Ministry of Environment (MOE) regulation (</w:t>
            </w:r>
            <w:r w:rsidR="0031157B" w:rsidRPr="00563D71">
              <w:rPr>
                <w:iCs/>
                <w:sz w:val="20"/>
              </w:rPr>
              <w:t>Permen</w:t>
            </w:r>
            <w:r w:rsidR="00E2014B" w:rsidRPr="00563D71">
              <w:rPr>
                <w:iCs/>
                <w:sz w:val="20"/>
              </w:rPr>
              <w:t>LH</w:t>
            </w:r>
            <w:r w:rsidRPr="00563D71">
              <w:rPr>
                <w:iCs/>
                <w:sz w:val="20"/>
              </w:rPr>
              <w:t>)</w:t>
            </w:r>
            <w:r w:rsidR="0031157B" w:rsidRPr="00563D71">
              <w:rPr>
                <w:sz w:val="20"/>
              </w:rPr>
              <w:t xml:space="preserve"> </w:t>
            </w:r>
            <w:r w:rsidR="00D4579B" w:rsidRPr="00563D71">
              <w:rPr>
                <w:sz w:val="20"/>
              </w:rPr>
              <w:t>No.16</w:t>
            </w:r>
            <w:r w:rsidR="0096774D" w:rsidRPr="00563D71">
              <w:rPr>
                <w:sz w:val="20"/>
              </w:rPr>
              <w:t xml:space="preserve"> Year </w:t>
            </w:r>
            <w:r w:rsidR="00D4579B" w:rsidRPr="00563D71">
              <w:rPr>
                <w:sz w:val="20"/>
              </w:rPr>
              <w:t xml:space="preserve">2012 on Guidelines </w:t>
            </w:r>
          </w:p>
          <w:p w14:paraId="7BCC73D6" w14:textId="77777777" w:rsidR="00D4579B" w:rsidRPr="00563D71" w:rsidRDefault="00D4579B" w:rsidP="00B92DB5">
            <w:pPr>
              <w:spacing w:before="0" w:after="120"/>
              <w:ind w:left="0" w:firstLine="0"/>
              <w:contextualSpacing/>
              <w:jc w:val="left"/>
            </w:pPr>
            <w:r w:rsidRPr="00563D71">
              <w:rPr>
                <w:sz w:val="20"/>
              </w:rPr>
              <w:t xml:space="preserve">for Preparation of Environmental </w:t>
            </w:r>
          </w:p>
          <w:p w14:paraId="6D84C4C9" w14:textId="77777777" w:rsidR="00D4579B" w:rsidRPr="00563D71" w:rsidRDefault="00D4579B" w:rsidP="00B92DB5">
            <w:pPr>
              <w:spacing w:before="0" w:after="120"/>
              <w:ind w:left="0" w:firstLine="0"/>
              <w:contextualSpacing/>
              <w:jc w:val="left"/>
            </w:pPr>
            <w:r w:rsidRPr="00563D71">
              <w:rPr>
                <w:sz w:val="20"/>
              </w:rPr>
              <w:t xml:space="preserve">Documents </w:t>
            </w:r>
          </w:p>
        </w:tc>
        <w:tc>
          <w:tcPr>
            <w:tcW w:w="5940" w:type="dxa"/>
            <w:tcBorders>
              <w:top w:val="single" w:sz="4" w:space="0" w:color="000000"/>
              <w:left w:val="single" w:sz="4" w:space="0" w:color="000000"/>
              <w:bottom w:val="single" w:sz="4" w:space="0" w:color="000000"/>
              <w:right w:val="single" w:sz="4" w:space="0" w:color="000000"/>
            </w:tcBorders>
          </w:tcPr>
          <w:p w14:paraId="197E5087" w14:textId="157E04D0" w:rsidR="00D4579B" w:rsidRPr="00563D71" w:rsidRDefault="00D4579B" w:rsidP="00B92DB5">
            <w:pPr>
              <w:spacing w:before="0" w:after="120"/>
              <w:ind w:left="0" w:firstLine="0"/>
              <w:contextualSpacing/>
              <w:jc w:val="left"/>
            </w:pPr>
            <w:r w:rsidRPr="00563D71">
              <w:rPr>
                <w:sz w:val="20"/>
              </w:rPr>
              <w:t>Th</w:t>
            </w:r>
            <w:r w:rsidR="0009435E" w:rsidRPr="00563D71">
              <w:rPr>
                <w:sz w:val="20"/>
              </w:rPr>
              <w:t>is</w:t>
            </w:r>
            <w:r w:rsidRPr="00563D71">
              <w:rPr>
                <w:sz w:val="20"/>
              </w:rPr>
              <w:t xml:space="preserve"> guideline provides </w:t>
            </w:r>
            <w:r w:rsidR="00E2014B" w:rsidRPr="00563D71">
              <w:rPr>
                <w:sz w:val="20"/>
              </w:rPr>
              <w:t xml:space="preserve">the scope and </w:t>
            </w:r>
            <w:r w:rsidRPr="00563D71">
              <w:rPr>
                <w:sz w:val="20"/>
              </w:rPr>
              <w:t>level of detail of environmental assessment</w:t>
            </w:r>
            <w:r w:rsidR="0009435E" w:rsidRPr="00563D71">
              <w:rPr>
                <w:sz w:val="20"/>
              </w:rPr>
              <w:t>.</w:t>
            </w:r>
            <w:r w:rsidRPr="00563D71">
              <w:rPr>
                <w:sz w:val="20"/>
              </w:rPr>
              <w:t xml:space="preserve"> </w:t>
            </w:r>
            <w:r w:rsidR="0009435E" w:rsidRPr="00563D71">
              <w:rPr>
                <w:sz w:val="20"/>
              </w:rPr>
              <w:t>It</w:t>
            </w:r>
            <w:r w:rsidRPr="00563D71">
              <w:rPr>
                <w:sz w:val="20"/>
              </w:rPr>
              <w:t xml:space="preserve"> also requires community involvement, public consultations (socialization)</w:t>
            </w:r>
            <w:r w:rsidR="0009435E" w:rsidRPr="00563D71">
              <w:rPr>
                <w:sz w:val="20"/>
              </w:rPr>
              <w:t>,</w:t>
            </w:r>
            <w:r w:rsidRPr="00563D71">
              <w:rPr>
                <w:sz w:val="20"/>
              </w:rPr>
              <w:t xml:space="preserve"> and </w:t>
            </w:r>
            <w:r w:rsidR="0009435E" w:rsidRPr="00563D71">
              <w:rPr>
                <w:sz w:val="20"/>
              </w:rPr>
              <w:t xml:space="preserve">a </w:t>
            </w:r>
            <w:r w:rsidRPr="00563D71">
              <w:rPr>
                <w:sz w:val="20"/>
              </w:rPr>
              <w:t xml:space="preserve">grievance redress mechanism, </w:t>
            </w:r>
            <w:r w:rsidR="0009435E" w:rsidRPr="00563D71">
              <w:rPr>
                <w:sz w:val="20"/>
              </w:rPr>
              <w:t xml:space="preserve">as well as the </w:t>
            </w:r>
            <w:r w:rsidRPr="00563D71">
              <w:rPr>
                <w:sz w:val="20"/>
              </w:rPr>
              <w:t xml:space="preserve">implementation and monitoring of appropriate mitigation measures to address </w:t>
            </w:r>
            <w:r w:rsidR="0009435E" w:rsidRPr="00563D71">
              <w:rPr>
                <w:sz w:val="20"/>
              </w:rPr>
              <w:t xml:space="preserve">potential </w:t>
            </w:r>
            <w:r w:rsidRPr="00563D71">
              <w:rPr>
                <w:sz w:val="20"/>
              </w:rPr>
              <w:t>adverse environmental and social impacts</w:t>
            </w:r>
            <w:r w:rsidR="0009435E" w:rsidRPr="00563D71">
              <w:rPr>
                <w:sz w:val="20"/>
              </w:rPr>
              <w:t>.</w:t>
            </w:r>
            <w:r w:rsidRPr="00563D71">
              <w:rPr>
                <w:sz w:val="20"/>
              </w:rPr>
              <w:t xml:space="preserve"> </w:t>
            </w:r>
          </w:p>
        </w:tc>
      </w:tr>
      <w:tr w:rsidR="00D4579B" w:rsidRPr="00563D71" w14:paraId="1E6A4B83" w14:textId="77777777" w:rsidTr="001D45B2">
        <w:tblPrEx>
          <w:tblCellMar>
            <w:top w:w="46" w:type="dxa"/>
            <w:left w:w="110" w:type="dxa"/>
            <w:right w:w="71" w:type="dxa"/>
          </w:tblCellMar>
        </w:tblPrEx>
        <w:trPr>
          <w:trHeight w:val="744"/>
        </w:trPr>
        <w:tc>
          <w:tcPr>
            <w:tcW w:w="3429" w:type="dxa"/>
            <w:tcBorders>
              <w:top w:val="single" w:sz="4" w:space="0" w:color="000000"/>
              <w:left w:val="single" w:sz="4" w:space="0" w:color="000000"/>
              <w:bottom w:val="single" w:sz="4" w:space="0" w:color="000000"/>
              <w:right w:val="single" w:sz="4" w:space="0" w:color="000000"/>
            </w:tcBorders>
          </w:tcPr>
          <w:p w14:paraId="5017F56F" w14:textId="50921276" w:rsidR="00D4579B" w:rsidRPr="00563D71" w:rsidRDefault="00875FD4" w:rsidP="00B92DB5">
            <w:pPr>
              <w:spacing w:before="0" w:after="120"/>
              <w:ind w:left="0" w:right="208" w:firstLine="0"/>
              <w:contextualSpacing/>
            </w:pPr>
            <w:r w:rsidRPr="00563D71">
              <w:rPr>
                <w:sz w:val="20"/>
              </w:rPr>
              <w:t>Ministry of Environment (MOE) regulation (</w:t>
            </w:r>
            <w:r w:rsidR="0031157B" w:rsidRPr="00563D71">
              <w:rPr>
                <w:sz w:val="20"/>
              </w:rPr>
              <w:t>Permen</w:t>
            </w:r>
            <w:r w:rsidR="00E2014B" w:rsidRPr="00563D71">
              <w:rPr>
                <w:sz w:val="20"/>
              </w:rPr>
              <w:t>LH</w:t>
            </w:r>
            <w:r w:rsidRPr="00563D71">
              <w:rPr>
                <w:sz w:val="20"/>
              </w:rPr>
              <w:t xml:space="preserve">) </w:t>
            </w:r>
            <w:r w:rsidR="00D4579B" w:rsidRPr="00563D71">
              <w:rPr>
                <w:sz w:val="20"/>
              </w:rPr>
              <w:t>No. 17</w:t>
            </w:r>
            <w:r w:rsidR="00572343" w:rsidRPr="00563D71">
              <w:rPr>
                <w:sz w:val="20"/>
              </w:rPr>
              <w:t xml:space="preserve"> Year </w:t>
            </w:r>
            <w:r w:rsidR="00D4579B" w:rsidRPr="00563D71">
              <w:rPr>
                <w:sz w:val="20"/>
              </w:rPr>
              <w:t xml:space="preserve">2012 on Guidelines for Public Participation in AMDAL Process and Environmental Permit </w:t>
            </w:r>
          </w:p>
        </w:tc>
        <w:tc>
          <w:tcPr>
            <w:tcW w:w="5940" w:type="dxa"/>
            <w:tcBorders>
              <w:top w:val="single" w:sz="4" w:space="0" w:color="000000"/>
              <w:left w:val="single" w:sz="4" w:space="0" w:color="000000"/>
              <w:bottom w:val="single" w:sz="4" w:space="0" w:color="000000"/>
              <w:right w:val="single" w:sz="4" w:space="0" w:color="000000"/>
            </w:tcBorders>
          </w:tcPr>
          <w:p w14:paraId="422F864E" w14:textId="77777777" w:rsidR="00D4579B" w:rsidRPr="00563D71" w:rsidRDefault="00D4579B" w:rsidP="00B92DB5">
            <w:pPr>
              <w:spacing w:before="0" w:after="120"/>
              <w:ind w:left="0" w:firstLine="0"/>
              <w:contextualSpacing/>
              <w:jc w:val="left"/>
            </w:pPr>
            <w:r w:rsidRPr="00563D71">
              <w:rPr>
                <w:sz w:val="20"/>
              </w:rPr>
              <w:t xml:space="preserve">The regulation stipulates the requirement to carry out public </w:t>
            </w:r>
          </w:p>
          <w:p w14:paraId="34403627" w14:textId="730C19F8" w:rsidR="00D4579B" w:rsidRPr="00563D71" w:rsidRDefault="00D4579B" w:rsidP="00B92DB5">
            <w:pPr>
              <w:spacing w:before="0" w:after="120"/>
              <w:ind w:left="0" w:firstLine="0"/>
              <w:contextualSpacing/>
              <w:jc w:val="left"/>
            </w:pPr>
            <w:r w:rsidRPr="00563D71">
              <w:rPr>
                <w:sz w:val="20"/>
              </w:rPr>
              <w:t>consultation</w:t>
            </w:r>
            <w:r w:rsidR="0009435E" w:rsidRPr="00563D71">
              <w:rPr>
                <w:sz w:val="20"/>
              </w:rPr>
              <w:t>s</w:t>
            </w:r>
            <w:r w:rsidRPr="00563D71">
              <w:rPr>
                <w:sz w:val="20"/>
              </w:rPr>
              <w:t xml:space="preserve"> as part of the process for preparation of AMDAL (full EA </w:t>
            </w:r>
            <w:r w:rsidR="00044840" w:rsidRPr="00563D71">
              <w:rPr>
                <w:sz w:val="20"/>
              </w:rPr>
              <w:t>–</w:t>
            </w:r>
            <w:r w:rsidRPr="00563D71">
              <w:rPr>
                <w:sz w:val="20"/>
              </w:rPr>
              <w:t xml:space="preserve"> twice) and </w:t>
            </w:r>
            <w:r w:rsidR="00B92DB5">
              <w:rPr>
                <w:sz w:val="20"/>
              </w:rPr>
              <w:t>UKL-UPL</w:t>
            </w:r>
            <w:r w:rsidRPr="00563D71">
              <w:rPr>
                <w:sz w:val="20"/>
              </w:rPr>
              <w:t xml:space="preserve"> (Partial EA </w:t>
            </w:r>
            <w:r w:rsidR="00044840" w:rsidRPr="00563D71">
              <w:rPr>
                <w:sz w:val="20"/>
              </w:rPr>
              <w:t>–</w:t>
            </w:r>
            <w:r w:rsidRPr="00563D71">
              <w:rPr>
                <w:sz w:val="20"/>
              </w:rPr>
              <w:t xml:space="preserve"> once) </w:t>
            </w:r>
          </w:p>
        </w:tc>
      </w:tr>
      <w:tr w:rsidR="004E0C0A" w:rsidRPr="00563D71" w14:paraId="6A1E9A8B" w14:textId="77777777" w:rsidTr="00595800">
        <w:tblPrEx>
          <w:tblCellMar>
            <w:top w:w="46" w:type="dxa"/>
            <w:left w:w="110" w:type="dxa"/>
            <w:right w:w="71" w:type="dxa"/>
          </w:tblCellMar>
        </w:tblPrEx>
        <w:trPr>
          <w:trHeight w:val="744"/>
        </w:trPr>
        <w:tc>
          <w:tcPr>
            <w:tcW w:w="3429" w:type="dxa"/>
            <w:tcBorders>
              <w:top w:val="single" w:sz="4" w:space="0" w:color="000000"/>
              <w:left w:val="single" w:sz="4" w:space="0" w:color="000000"/>
              <w:bottom w:val="single" w:sz="4" w:space="0" w:color="000000"/>
              <w:right w:val="single" w:sz="4" w:space="0" w:color="000000"/>
            </w:tcBorders>
          </w:tcPr>
          <w:p w14:paraId="534C668D" w14:textId="47DA7138" w:rsidR="004E0C0A" w:rsidRPr="00563D71" w:rsidRDefault="004E0C0A" w:rsidP="00B92DB5">
            <w:pPr>
              <w:spacing w:before="0" w:after="120"/>
              <w:ind w:left="0" w:right="208" w:firstLine="0"/>
              <w:contextualSpacing/>
              <w:rPr>
                <w:color w:val="auto"/>
                <w:sz w:val="20"/>
                <w:szCs w:val="20"/>
              </w:rPr>
            </w:pPr>
            <w:r w:rsidRPr="00563D71">
              <w:rPr>
                <w:rFonts w:eastAsiaTheme="minorHAnsi"/>
                <w:color w:val="auto"/>
                <w:sz w:val="20"/>
                <w:szCs w:val="20"/>
              </w:rPr>
              <w:t xml:space="preserve">Law No. 5 </w:t>
            </w:r>
            <w:r w:rsidR="00572343" w:rsidRPr="00563D71">
              <w:rPr>
                <w:rFonts w:eastAsiaTheme="minorHAnsi"/>
                <w:color w:val="auto"/>
                <w:sz w:val="20"/>
                <w:szCs w:val="20"/>
              </w:rPr>
              <w:t>Year</w:t>
            </w:r>
            <w:r w:rsidRPr="00563D71">
              <w:rPr>
                <w:rFonts w:eastAsiaTheme="minorHAnsi"/>
                <w:color w:val="auto"/>
                <w:sz w:val="20"/>
                <w:szCs w:val="20"/>
              </w:rPr>
              <w:t xml:space="preserve"> 1992 on Cultural Property (</w:t>
            </w:r>
            <w:r w:rsidRPr="00563D71">
              <w:rPr>
                <w:rFonts w:eastAsiaTheme="minorHAnsi"/>
                <w:i/>
                <w:color w:val="auto"/>
                <w:sz w:val="20"/>
                <w:szCs w:val="20"/>
              </w:rPr>
              <w:t>Benda Cagar Budaya</w:t>
            </w:r>
            <w:r w:rsidRPr="00563D71">
              <w:rPr>
                <w:rFonts w:eastAsiaTheme="minorHAnsi"/>
                <w:color w:val="auto"/>
                <w:sz w:val="20"/>
                <w:szCs w:val="20"/>
              </w:rPr>
              <w:t>)</w:t>
            </w:r>
          </w:p>
        </w:tc>
        <w:tc>
          <w:tcPr>
            <w:tcW w:w="5940" w:type="dxa"/>
            <w:tcBorders>
              <w:top w:val="single" w:sz="4" w:space="0" w:color="000000"/>
              <w:left w:val="single" w:sz="4" w:space="0" w:color="000000"/>
              <w:bottom w:val="single" w:sz="4" w:space="0" w:color="000000"/>
              <w:right w:val="single" w:sz="4" w:space="0" w:color="000000"/>
            </w:tcBorders>
          </w:tcPr>
          <w:p w14:paraId="35070A30" w14:textId="15BE94F8" w:rsidR="004E0C0A" w:rsidRPr="00563D71" w:rsidRDefault="004E0C0A" w:rsidP="00B92DB5">
            <w:pPr>
              <w:autoSpaceDE w:val="0"/>
              <w:autoSpaceDN w:val="0"/>
              <w:adjustRightInd w:val="0"/>
              <w:spacing w:before="0" w:after="120"/>
              <w:ind w:left="0" w:firstLine="0"/>
              <w:contextualSpacing/>
              <w:rPr>
                <w:color w:val="auto"/>
                <w:sz w:val="20"/>
              </w:rPr>
            </w:pPr>
            <w:r w:rsidRPr="00563D71">
              <w:rPr>
                <w:rFonts w:eastAsiaTheme="minorHAnsi"/>
                <w:color w:val="auto"/>
                <w:sz w:val="20"/>
                <w:szCs w:val="20"/>
              </w:rPr>
              <w:t xml:space="preserve">The law defines a cultural property as </w:t>
            </w:r>
            <w:r w:rsidR="00044840" w:rsidRPr="00563D71">
              <w:rPr>
                <w:rFonts w:eastAsiaTheme="minorHAnsi"/>
                <w:color w:val="auto"/>
                <w:sz w:val="20"/>
                <w:szCs w:val="20"/>
              </w:rPr>
              <w:t xml:space="preserve">being </w:t>
            </w:r>
            <w:r w:rsidRPr="00563D71">
              <w:rPr>
                <w:rFonts w:eastAsiaTheme="minorHAnsi"/>
                <w:color w:val="auto"/>
                <w:sz w:val="20"/>
                <w:szCs w:val="20"/>
              </w:rPr>
              <w:t>of "important value for history, science, and culture</w:t>
            </w:r>
            <w:r w:rsidR="00044840" w:rsidRPr="00563D71">
              <w:rPr>
                <w:rFonts w:eastAsiaTheme="minorHAnsi"/>
                <w:color w:val="auto"/>
                <w:sz w:val="20"/>
                <w:szCs w:val="20"/>
              </w:rPr>
              <w:t>,” including</w:t>
            </w:r>
            <w:r w:rsidRPr="00563D71">
              <w:rPr>
                <w:rFonts w:eastAsiaTheme="minorHAnsi"/>
                <w:color w:val="auto"/>
                <w:sz w:val="20"/>
                <w:szCs w:val="20"/>
              </w:rPr>
              <w:t>: a man-made object or group of objects; movable (</w:t>
            </w:r>
            <w:r w:rsidRPr="00563D71">
              <w:rPr>
                <w:rFonts w:eastAsiaTheme="minorHAnsi"/>
                <w:i/>
                <w:color w:val="auto"/>
                <w:sz w:val="20"/>
                <w:szCs w:val="20"/>
              </w:rPr>
              <w:t>bergerak</w:t>
            </w:r>
            <w:r w:rsidRPr="00563D71">
              <w:rPr>
                <w:rFonts w:eastAsiaTheme="minorHAnsi"/>
                <w:color w:val="auto"/>
                <w:sz w:val="20"/>
                <w:szCs w:val="20"/>
              </w:rPr>
              <w:t>) or immovable (</w:t>
            </w:r>
            <w:r w:rsidRPr="00563D71">
              <w:rPr>
                <w:rFonts w:eastAsiaTheme="minorHAnsi"/>
                <w:i/>
                <w:color w:val="auto"/>
                <w:sz w:val="20"/>
                <w:szCs w:val="20"/>
              </w:rPr>
              <w:t>tidak bergerak</w:t>
            </w:r>
            <w:r w:rsidRPr="00563D71">
              <w:rPr>
                <w:rFonts w:eastAsiaTheme="minorHAnsi"/>
                <w:color w:val="auto"/>
                <w:sz w:val="20"/>
                <w:szCs w:val="20"/>
              </w:rPr>
              <w:t xml:space="preserve">); aged at least fifty years which have high historical value; or natural objects with high historical value. </w:t>
            </w:r>
          </w:p>
        </w:tc>
      </w:tr>
      <w:tr w:rsidR="004E0C0A" w:rsidRPr="00563D71" w14:paraId="3C672D20" w14:textId="77777777" w:rsidTr="007E306E">
        <w:tblPrEx>
          <w:tblCellMar>
            <w:top w:w="46" w:type="dxa"/>
            <w:left w:w="110" w:type="dxa"/>
            <w:right w:w="71" w:type="dxa"/>
          </w:tblCellMar>
        </w:tblPrEx>
        <w:trPr>
          <w:trHeight w:val="799"/>
        </w:trPr>
        <w:tc>
          <w:tcPr>
            <w:tcW w:w="3429" w:type="dxa"/>
            <w:tcBorders>
              <w:top w:val="single" w:sz="4" w:space="0" w:color="000000"/>
              <w:left w:val="single" w:sz="4" w:space="0" w:color="000000"/>
              <w:right w:val="single" w:sz="4" w:space="0" w:color="000000"/>
            </w:tcBorders>
          </w:tcPr>
          <w:p w14:paraId="4D24C34B" w14:textId="4B659F19" w:rsidR="004E0C0A" w:rsidRPr="00563D71" w:rsidRDefault="004E0C0A" w:rsidP="00B92DB5">
            <w:pPr>
              <w:spacing w:before="0" w:after="120"/>
              <w:ind w:left="0" w:right="208" w:firstLine="0"/>
              <w:contextualSpacing/>
              <w:rPr>
                <w:color w:val="auto"/>
                <w:sz w:val="20"/>
                <w:szCs w:val="20"/>
              </w:rPr>
            </w:pPr>
            <w:r w:rsidRPr="00563D71">
              <w:rPr>
                <w:rFonts w:eastAsiaTheme="minorHAnsi"/>
                <w:color w:val="auto"/>
                <w:sz w:val="20"/>
                <w:szCs w:val="20"/>
              </w:rPr>
              <w:t xml:space="preserve">Law No. 11 </w:t>
            </w:r>
            <w:r w:rsidR="00572343" w:rsidRPr="00563D71">
              <w:rPr>
                <w:rFonts w:eastAsiaTheme="minorHAnsi"/>
                <w:color w:val="auto"/>
                <w:sz w:val="20"/>
                <w:szCs w:val="20"/>
              </w:rPr>
              <w:t>Year</w:t>
            </w:r>
            <w:r w:rsidRPr="00563D71">
              <w:rPr>
                <w:rFonts w:eastAsiaTheme="minorHAnsi"/>
                <w:color w:val="auto"/>
                <w:sz w:val="20"/>
                <w:szCs w:val="20"/>
              </w:rPr>
              <w:t xml:space="preserve"> 2010 on National Heritage (</w:t>
            </w:r>
            <w:r w:rsidRPr="00563D71">
              <w:rPr>
                <w:rFonts w:eastAsiaTheme="minorHAnsi"/>
                <w:i/>
                <w:color w:val="auto"/>
                <w:sz w:val="20"/>
                <w:szCs w:val="20"/>
              </w:rPr>
              <w:t>Undang-undang Cagar Budaya</w:t>
            </w:r>
            <w:r w:rsidRPr="00563D71">
              <w:rPr>
                <w:rFonts w:eastAsiaTheme="minorHAnsi"/>
                <w:color w:val="auto"/>
                <w:sz w:val="20"/>
                <w:szCs w:val="20"/>
              </w:rPr>
              <w:t>)</w:t>
            </w:r>
          </w:p>
        </w:tc>
        <w:tc>
          <w:tcPr>
            <w:tcW w:w="5940" w:type="dxa"/>
            <w:tcBorders>
              <w:top w:val="single" w:sz="4" w:space="0" w:color="000000"/>
              <w:left w:val="single" w:sz="4" w:space="0" w:color="000000"/>
              <w:right w:val="single" w:sz="4" w:space="0" w:color="000000"/>
            </w:tcBorders>
          </w:tcPr>
          <w:p w14:paraId="5011D760" w14:textId="5991FFCC" w:rsidR="004E0C0A" w:rsidRPr="00563D71" w:rsidRDefault="004E0C0A" w:rsidP="00B92DB5">
            <w:pPr>
              <w:spacing w:before="0" w:after="120"/>
              <w:ind w:left="0" w:firstLine="0"/>
              <w:contextualSpacing/>
              <w:rPr>
                <w:color w:val="auto"/>
                <w:sz w:val="20"/>
              </w:rPr>
            </w:pPr>
            <w:r w:rsidRPr="00563D71">
              <w:rPr>
                <w:rFonts w:eastAsiaTheme="minorHAnsi"/>
                <w:color w:val="auto"/>
                <w:sz w:val="20"/>
                <w:szCs w:val="20"/>
              </w:rPr>
              <w:t>The focus of the law is especially on the provision for observation and data collection on cultural heritage that may be affected by project activities.</w:t>
            </w:r>
          </w:p>
        </w:tc>
      </w:tr>
    </w:tbl>
    <w:tbl>
      <w:tblPr>
        <w:tblStyle w:val="TableGrid10"/>
        <w:tblW w:w="9343" w:type="dxa"/>
        <w:tblInd w:w="20" w:type="dxa"/>
        <w:tblCellMar>
          <w:top w:w="46" w:type="dxa"/>
          <w:left w:w="110" w:type="dxa"/>
          <w:right w:w="71" w:type="dxa"/>
        </w:tblCellMar>
        <w:tblLook w:val="04A0" w:firstRow="1" w:lastRow="0" w:firstColumn="1" w:lastColumn="0" w:noHBand="0" w:noVBand="1"/>
      </w:tblPr>
      <w:tblGrid>
        <w:gridCol w:w="3403"/>
        <w:gridCol w:w="5940"/>
      </w:tblGrid>
      <w:tr w:rsidR="00255A52" w:rsidRPr="00563D71" w14:paraId="114C90FC" w14:textId="77777777" w:rsidTr="00595800">
        <w:trPr>
          <w:trHeight w:val="744"/>
        </w:trPr>
        <w:tc>
          <w:tcPr>
            <w:tcW w:w="3403" w:type="dxa"/>
            <w:tcBorders>
              <w:top w:val="single" w:sz="4" w:space="0" w:color="000000"/>
              <w:left w:val="single" w:sz="4" w:space="0" w:color="000000"/>
              <w:bottom w:val="single" w:sz="4" w:space="0" w:color="000000"/>
              <w:right w:val="single" w:sz="4" w:space="0" w:color="000000"/>
            </w:tcBorders>
          </w:tcPr>
          <w:p w14:paraId="741608D7" w14:textId="3FC38C1D"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t xml:space="preserve">Regulation of the Ministry of Public Work No. 10/PRT/M/2008 concerning the Type of Business and/or Project Activity under Public Works which </w:t>
            </w:r>
            <w:r w:rsidR="00ED17E0" w:rsidRPr="00563D71">
              <w:rPr>
                <w:rFonts w:eastAsiaTheme="minorHAnsi"/>
                <w:color w:val="auto"/>
                <w:sz w:val="20"/>
                <w:szCs w:val="20"/>
              </w:rPr>
              <w:t>R</w:t>
            </w:r>
            <w:r w:rsidRPr="00563D71">
              <w:rPr>
                <w:rFonts w:eastAsiaTheme="minorHAnsi"/>
                <w:color w:val="auto"/>
                <w:sz w:val="20"/>
                <w:szCs w:val="20"/>
              </w:rPr>
              <w:t>equire</w:t>
            </w:r>
            <w:r w:rsidR="00ED17E0" w:rsidRPr="00563D71">
              <w:rPr>
                <w:rFonts w:eastAsiaTheme="minorHAnsi"/>
                <w:color w:val="auto"/>
                <w:sz w:val="20"/>
                <w:szCs w:val="20"/>
              </w:rPr>
              <w:t xml:space="preserve"> </w:t>
            </w:r>
            <w:r w:rsidRPr="00563D71">
              <w:rPr>
                <w:rFonts w:eastAsiaTheme="minorHAnsi"/>
                <w:color w:val="auto"/>
                <w:sz w:val="20"/>
                <w:szCs w:val="20"/>
              </w:rPr>
              <w:t>Environmental Management Plan (UKL) and Environmental Monitoring Plan (UPL) Documents</w:t>
            </w:r>
          </w:p>
        </w:tc>
        <w:tc>
          <w:tcPr>
            <w:tcW w:w="5940" w:type="dxa"/>
            <w:tcBorders>
              <w:top w:val="single" w:sz="4" w:space="0" w:color="000000"/>
              <w:left w:val="single" w:sz="4" w:space="0" w:color="000000"/>
              <w:bottom w:val="single" w:sz="4" w:space="0" w:color="000000"/>
              <w:right w:val="single" w:sz="4" w:space="0" w:color="000000"/>
            </w:tcBorders>
          </w:tcPr>
          <w:p w14:paraId="0C5E1B5E" w14:textId="4BE31CC3" w:rsidR="00595800" w:rsidRPr="00563D71" w:rsidRDefault="00595800" w:rsidP="00B92DB5">
            <w:pPr>
              <w:spacing w:after="120"/>
              <w:ind w:left="0" w:firstLine="0"/>
              <w:contextualSpacing/>
              <w:rPr>
                <w:rFonts w:eastAsiaTheme="minorHAnsi"/>
                <w:color w:val="auto"/>
                <w:sz w:val="20"/>
                <w:szCs w:val="20"/>
              </w:rPr>
            </w:pPr>
            <w:r w:rsidRPr="00563D71">
              <w:rPr>
                <w:rFonts w:eastAsiaTheme="minorHAnsi"/>
                <w:color w:val="auto"/>
                <w:sz w:val="20"/>
                <w:szCs w:val="20"/>
              </w:rPr>
              <w:t xml:space="preserve">The regulation defines the types and thresholds of the projects </w:t>
            </w:r>
            <w:r w:rsidR="00ED17E0" w:rsidRPr="00563D71">
              <w:rPr>
                <w:rFonts w:eastAsiaTheme="minorHAnsi"/>
                <w:color w:val="auto"/>
                <w:sz w:val="20"/>
                <w:szCs w:val="20"/>
              </w:rPr>
              <w:t>for which it is</w:t>
            </w:r>
            <w:r w:rsidRPr="00563D71">
              <w:rPr>
                <w:rFonts w:eastAsiaTheme="minorHAnsi"/>
                <w:color w:val="auto"/>
                <w:sz w:val="20"/>
                <w:szCs w:val="20"/>
              </w:rPr>
              <w:t xml:space="preserve"> mandatory to prepare the UKL-UPL documents.</w:t>
            </w:r>
          </w:p>
        </w:tc>
      </w:tr>
      <w:tr w:rsidR="00255A52" w:rsidRPr="00563D71" w14:paraId="7F61420A" w14:textId="77777777" w:rsidTr="0042323F">
        <w:trPr>
          <w:trHeight w:val="744"/>
        </w:trPr>
        <w:tc>
          <w:tcPr>
            <w:tcW w:w="3403" w:type="dxa"/>
            <w:tcBorders>
              <w:top w:val="single" w:sz="4" w:space="0" w:color="000000"/>
              <w:left w:val="single" w:sz="4" w:space="0" w:color="000000"/>
              <w:bottom w:val="single" w:sz="4" w:space="0" w:color="000000"/>
              <w:right w:val="single" w:sz="4" w:space="0" w:color="000000"/>
            </w:tcBorders>
          </w:tcPr>
          <w:p w14:paraId="4162D0FD" w14:textId="62D331B7"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t>Guidelines for Environmental Management No.</w:t>
            </w:r>
            <w:r w:rsidR="00044840" w:rsidRPr="00563D71">
              <w:rPr>
                <w:rFonts w:eastAsiaTheme="minorHAnsi"/>
                <w:color w:val="auto"/>
                <w:sz w:val="20"/>
                <w:szCs w:val="20"/>
              </w:rPr>
              <w:t xml:space="preserve"> </w:t>
            </w:r>
            <w:r w:rsidRPr="00563D71">
              <w:rPr>
                <w:rFonts w:eastAsiaTheme="minorHAnsi"/>
                <w:color w:val="auto"/>
                <w:sz w:val="20"/>
                <w:szCs w:val="20"/>
              </w:rPr>
              <w:t xml:space="preserve">08, 09, 10 and 11 of </w:t>
            </w:r>
            <w:r w:rsidR="00572343" w:rsidRPr="00563D71">
              <w:rPr>
                <w:rFonts w:eastAsiaTheme="minorHAnsi"/>
                <w:color w:val="auto"/>
                <w:sz w:val="20"/>
                <w:szCs w:val="20"/>
              </w:rPr>
              <w:t xml:space="preserve">Year </w:t>
            </w:r>
            <w:r w:rsidRPr="00563D71">
              <w:rPr>
                <w:rFonts w:eastAsiaTheme="minorHAnsi"/>
                <w:color w:val="auto"/>
                <w:sz w:val="20"/>
                <w:szCs w:val="20"/>
              </w:rPr>
              <w:t xml:space="preserve">2009 issued by DG of </w:t>
            </w:r>
            <w:r w:rsidR="0001423C" w:rsidRPr="00563D71">
              <w:rPr>
                <w:rFonts w:eastAsiaTheme="minorHAnsi"/>
                <w:color w:val="auto"/>
                <w:sz w:val="20"/>
                <w:szCs w:val="20"/>
              </w:rPr>
              <w:t xml:space="preserve">Highways, </w:t>
            </w:r>
            <w:r w:rsidRPr="00563D71">
              <w:rPr>
                <w:rFonts w:eastAsiaTheme="minorHAnsi"/>
                <w:color w:val="auto"/>
                <w:sz w:val="20"/>
                <w:szCs w:val="20"/>
              </w:rPr>
              <w:t>Ministry of Public Works</w:t>
            </w:r>
          </w:p>
        </w:tc>
        <w:tc>
          <w:tcPr>
            <w:tcW w:w="5940" w:type="dxa"/>
            <w:tcBorders>
              <w:top w:val="single" w:sz="4" w:space="0" w:color="000000"/>
              <w:left w:val="single" w:sz="4" w:space="0" w:color="000000"/>
              <w:bottom w:val="single" w:sz="4" w:space="0" w:color="000000"/>
              <w:right w:val="single" w:sz="4" w:space="0" w:color="000000"/>
            </w:tcBorders>
          </w:tcPr>
          <w:p w14:paraId="06F851A8" w14:textId="0733AA69" w:rsidR="00595800" w:rsidRPr="00563D71" w:rsidRDefault="00595800" w:rsidP="00B92DB5">
            <w:pPr>
              <w:spacing w:after="120"/>
              <w:ind w:left="0" w:firstLine="0"/>
              <w:contextualSpacing/>
              <w:rPr>
                <w:rFonts w:eastAsiaTheme="minorHAnsi"/>
                <w:color w:val="auto"/>
                <w:sz w:val="20"/>
                <w:szCs w:val="20"/>
              </w:rPr>
            </w:pPr>
            <w:r w:rsidRPr="00563D71">
              <w:rPr>
                <w:rFonts w:eastAsiaTheme="minorHAnsi"/>
                <w:color w:val="auto"/>
                <w:sz w:val="20"/>
                <w:szCs w:val="20"/>
              </w:rPr>
              <w:t>Ministry of Public Works provides guidance for project proponents to prepare the</w:t>
            </w:r>
            <w:r w:rsidR="00ED17E0" w:rsidRPr="00563D71">
              <w:rPr>
                <w:rFonts w:eastAsiaTheme="minorHAnsi"/>
                <w:color w:val="auto"/>
                <w:sz w:val="20"/>
                <w:szCs w:val="20"/>
              </w:rPr>
              <w:t xml:space="preserve"> necessary</w:t>
            </w:r>
            <w:r w:rsidRPr="00563D71">
              <w:rPr>
                <w:rFonts w:eastAsiaTheme="minorHAnsi"/>
                <w:color w:val="auto"/>
                <w:sz w:val="20"/>
                <w:szCs w:val="20"/>
              </w:rPr>
              <w:t xml:space="preserve"> environmental management plans and related documents.</w:t>
            </w:r>
          </w:p>
        </w:tc>
      </w:tr>
      <w:tr w:rsidR="00255A52" w:rsidRPr="00563D71" w14:paraId="592E3FFC" w14:textId="77777777" w:rsidTr="00595800">
        <w:trPr>
          <w:trHeight w:val="744"/>
        </w:trPr>
        <w:tc>
          <w:tcPr>
            <w:tcW w:w="3403" w:type="dxa"/>
            <w:tcBorders>
              <w:top w:val="single" w:sz="4" w:space="0" w:color="000000"/>
              <w:left w:val="single" w:sz="4" w:space="0" w:color="000000"/>
              <w:bottom w:val="single" w:sz="4" w:space="0" w:color="000000"/>
              <w:right w:val="single" w:sz="4" w:space="0" w:color="000000"/>
            </w:tcBorders>
          </w:tcPr>
          <w:p w14:paraId="512F79AF" w14:textId="641D31EB"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t>Law No. 41</w:t>
            </w:r>
            <w:r w:rsidR="00572343" w:rsidRPr="00563D71">
              <w:rPr>
                <w:rFonts w:eastAsiaTheme="minorHAnsi"/>
                <w:color w:val="auto"/>
                <w:sz w:val="20"/>
                <w:szCs w:val="20"/>
              </w:rPr>
              <w:t xml:space="preserve"> Year</w:t>
            </w:r>
            <w:r w:rsidRPr="00563D71">
              <w:rPr>
                <w:rFonts w:eastAsiaTheme="minorHAnsi"/>
                <w:color w:val="auto"/>
                <w:sz w:val="20"/>
                <w:szCs w:val="20"/>
              </w:rPr>
              <w:t xml:space="preserve"> 1999 on Forestry</w:t>
            </w:r>
          </w:p>
        </w:tc>
        <w:tc>
          <w:tcPr>
            <w:tcW w:w="5940" w:type="dxa"/>
            <w:tcBorders>
              <w:top w:val="single" w:sz="4" w:space="0" w:color="000000"/>
              <w:left w:val="single" w:sz="4" w:space="0" w:color="000000"/>
              <w:bottom w:val="single" w:sz="4" w:space="0" w:color="000000"/>
              <w:right w:val="single" w:sz="4" w:space="0" w:color="000000"/>
            </w:tcBorders>
          </w:tcPr>
          <w:p w14:paraId="255C18C0" w14:textId="09A3CD65" w:rsidR="00595800" w:rsidRPr="00563D71" w:rsidRDefault="00BE5409" w:rsidP="00B92DB5">
            <w:pPr>
              <w:spacing w:after="120"/>
              <w:ind w:left="61" w:firstLine="0"/>
              <w:contextualSpacing/>
              <w:rPr>
                <w:sz w:val="20"/>
                <w:szCs w:val="20"/>
              </w:rPr>
            </w:pPr>
            <w:r w:rsidRPr="00563D71">
              <w:rPr>
                <w:sz w:val="20"/>
                <w:szCs w:val="20"/>
              </w:rPr>
              <w:t>Forest areas by law should be maintained as such and the uses it is put to should reflect that. However, there are certain development activities allowed with these areas so long as the forest is protected and restored upon completion.</w:t>
            </w:r>
          </w:p>
        </w:tc>
      </w:tr>
      <w:tr w:rsidR="00255A52" w:rsidRPr="00563D71" w14:paraId="7F1139AD" w14:textId="77777777" w:rsidTr="00595800">
        <w:trPr>
          <w:trHeight w:val="744"/>
        </w:trPr>
        <w:tc>
          <w:tcPr>
            <w:tcW w:w="3403" w:type="dxa"/>
            <w:tcBorders>
              <w:top w:val="single" w:sz="4" w:space="0" w:color="000000"/>
              <w:left w:val="single" w:sz="4" w:space="0" w:color="000000"/>
              <w:bottom w:val="single" w:sz="4" w:space="0" w:color="000000"/>
              <w:right w:val="single" w:sz="4" w:space="0" w:color="000000"/>
            </w:tcBorders>
          </w:tcPr>
          <w:p w14:paraId="5E599643" w14:textId="00C1AC85"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t xml:space="preserve">Law No. 5 </w:t>
            </w:r>
            <w:r w:rsidR="00572343" w:rsidRPr="00563D71">
              <w:rPr>
                <w:rFonts w:eastAsiaTheme="minorHAnsi"/>
                <w:color w:val="auto"/>
                <w:sz w:val="20"/>
                <w:szCs w:val="20"/>
              </w:rPr>
              <w:t>Year</w:t>
            </w:r>
            <w:r w:rsidRPr="00563D71">
              <w:rPr>
                <w:rFonts w:eastAsiaTheme="minorHAnsi"/>
                <w:color w:val="auto"/>
                <w:sz w:val="20"/>
                <w:szCs w:val="20"/>
              </w:rPr>
              <w:t xml:space="preserve"> 1990 on Conservation of Natural Resources and Ecosystems</w:t>
            </w:r>
          </w:p>
        </w:tc>
        <w:tc>
          <w:tcPr>
            <w:tcW w:w="5940" w:type="dxa"/>
            <w:tcBorders>
              <w:top w:val="single" w:sz="4" w:space="0" w:color="000000"/>
              <w:left w:val="single" w:sz="4" w:space="0" w:color="000000"/>
              <w:bottom w:val="single" w:sz="4" w:space="0" w:color="000000"/>
              <w:right w:val="single" w:sz="4" w:space="0" w:color="000000"/>
            </w:tcBorders>
          </w:tcPr>
          <w:p w14:paraId="2DE681E0" w14:textId="4791954A" w:rsidR="00595800" w:rsidRPr="00563D71" w:rsidRDefault="001A6A05" w:rsidP="00B92DB5">
            <w:pPr>
              <w:spacing w:after="120"/>
              <w:ind w:left="61" w:firstLine="0"/>
              <w:contextualSpacing/>
              <w:rPr>
                <w:rFonts w:eastAsiaTheme="minorHAnsi"/>
                <w:color w:val="auto"/>
                <w:sz w:val="20"/>
                <w:szCs w:val="20"/>
              </w:rPr>
            </w:pPr>
            <w:r w:rsidRPr="00563D71">
              <w:rPr>
                <w:rFonts w:eastAsiaTheme="minorHAnsi"/>
                <w:color w:val="auto"/>
                <w:sz w:val="20"/>
                <w:szCs w:val="20"/>
              </w:rPr>
              <w:t>D</w:t>
            </w:r>
            <w:r w:rsidR="00595800" w:rsidRPr="00563D71">
              <w:rPr>
                <w:rFonts w:eastAsiaTheme="minorHAnsi"/>
                <w:color w:val="auto"/>
                <w:sz w:val="20"/>
                <w:szCs w:val="20"/>
              </w:rPr>
              <w:t xml:space="preserve">evelopment activities </w:t>
            </w:r>
            <w:r w:rsidRPr="00563D71">
              <w:rPr>
                <w:rFonts w:eastAsiaTheme="minorHAnsi"/>
                <w:color w:val="auto"/>
                <w:sz w:val="20"/>
                <w:szCs w:val="20"/>
              </w:rPr>
              <w:t xml:space="preserve">that are related to the designated conservation areas </w:t>
            </w:r>
            <w:r w:rsidR="00595800" w:rsidRPr="00563D71">
              <w:rPr>
                <w:rFonts w:eastAsiaTheme="minorHAnsi"/>
                <w:color w:val="auto"/>
                <w:sz w:val="20"/>
                <w:szCs w:val="20"/>
              </w:rPr>
              <w:t xml:space="preserve">will have to implement this regulation, in particular where the locations are within </w:t>
            </w:r>
            <w:r w:rsidR="00DE4256" w:rsidRPr="00563D71">
              <w:rPr>
                <w:rFonts w:eastAsiaTheme="minorHAnsi"/>
                <w:color w:val="auto"/>
                <w:sz w:val="20"/>
                <w:szCs w:val="20"/>
              </w:rPr>
              <w:t xml:space="preserve">or </w:t>
            </w:r>
            <w:r w:rsidR="00595800" w:rsidRPr="00563D71">
              <w:rPr>
                <w:rFonts w:eastAsiaTheme="minorHAnsi"/>
                <w:color w:val="auto"/>
                <w:sz w:val="20"/>
                <w:szCs w:val="20"/>
              </w:rPr>
              <w:t>in the proximity of protected and</w:t>
            </w:r>
            <w:r w:rsidR="00DE4256" w:rsidRPr="00563D71">
              <w:rPr>
                <w:rFonts w:eastAsiaTheme="minorHAnsi"/>
                <w:color w:val="auto"/>
                <w:sz w:val="20"/>
                <w:szCs w:val="20"/>
              </w:rPr>
              <w:t>/or</w:t>
            </w:r>
            <w:r w:rsidR="00595800" w:rsidRPr="00563D71">
              <w:rPr>
                <w:rFonts w:eastAsiaTheme="minorHAnsi"/>
                <w:color w:val="auto"/>
                <w:sz w:val="20"/>
                <w:szCs w:val="20"/>
              </w:rPr>
              <w:t xml:space="preserve"> conservation areas.</w:t>
            </w:r>
          </w:p>
        </w:tc>
      </w:tr>
      <w:tr w:rsidR="00255A52" w:rsidRPr="00563D71" w14:paraId="6B6ED556" w14:textId="77777777" w:rsidTr="00595800">
        <w:trPr>
          <w:trHeight w:val="744"/>
        </w:trPr>
        <w:tc>
          <w:tcPr>
            <w:tcW w:w="3403" w:type="dxa"/>
            <w:tcBorders>
              <w:top w:val="single" w:sz="4" w:space="0" w:color="000000"/>
              <w:left w:val="single" w:sz="4" w:space="0" w:color="000000"/>
              <w:bottom w:val="single" w:sz="4" w:space="0" w:color="000000"/>
              <w:right w:val="single" w:sz="4" w:space="0" w:color="000000"/>
            </w:tcBorders>
          </w:tcPr>
          <w:p w14:paraId="52DE90BE" w14:textId="12EC1CE5"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lastRenderedPageBreak/>
              <w:t xml:space="preserve">Law No. 18 </w:t>
            </w:r>
            <w:r w:rsidR="00572343" w:rsidRPr="00563D71">
              <w:rPr>
                <w:rFonts w:eastAsiaTheme="minorHAnsi"/>
                <w:color w:val="auto"/>
                <w:sz w:val="20"/>
                <w:szCs w:val="20"/>
              </w:rPr>
              <w:t>Year</w:t>
            </w:r>
            <w:r w:rsidRPr="00563D71">
              <w:rPr>
                <w:rFonts w:eastAsiaTheme="minorHAnsi"/>
                <w:color w:val="auto"/>
                <w:sz w:val="20"/>
                <w:szCs w:val="20"/>
              </w:rPr>
              <w:t xml:space="preserve"> 2008 on Solid Waste Management</w:t>
            </w:r>
          </w:p>
        </w:tc>
        <w:tc>
          <w:tcPr>
            <w:tcW w:w="5940" w:type="dxa"/>
            <w:tcBorders>
              <w:top w:val="single" w:sz="4" w:space="0" w:color="000000"/>
              <w:left w:val="single" w:sz="4" w:space="0" w:color="000000"/>
              <w:bottom w:val="single" w:sz="4" w:space="0" w:color="000000"/>
              <w:right w:val="single" w:sz="4" w:space="0" w:color="000000"/>
            </w:tcBorders>
          </w:tcPr>
          <w:p w14:paraId="3F639C45" w14:textId="071D4055" w:rsidR="00595800" w:rsidRPr="00563D71" w:rsidRDefault="00ED17E0" w:rsidP="00B92DB5">
            <w:pPr>
              <w:spacing w:after="120"/>
              <w:ind w:left="61" w:firstLine="0"/>
              <w:contextualSpacing/>
              <w:rPr>
                <w:rFonts w:eastAsiaTheme="minorHAnsi"/>
                <w:color w:val="auto"/>
                <w:sz w:val="20"/>
                <w:szCs w:val="20"/>
              </w:rPr>
            </w:pPr>
            <w:r w:rsidRPr="00563D71">
              <w:rPr>
                <w:rFonts w:eastAsiaTheme="minorHAnsi"/>
                <w:color w:val="auto"/>
                <w:sz w:val="20"/>
                <w:szCs w:val="20"/>
              </w:rPr>
              <w:t xml:space="preserve">This law </w:t>
            </w:r>
            <w:r w:rsidR="00595800" w:rsidRPr="00563D71">
              <w:rPr>
                <w:rFonts w:eastAsiaTheme="minorHAnsi"/>
                <w:color w:val="auto"/>
                <w:sz w:val="20"/>
                <w:szCs w:val="20"/>
              </w:rPr>
              <w:t>regulates the management of domestic solid waste and alike, and specific solid waste (hazardous, created from disaster, building debris, technological related, and aperiodic).</w:t>
            </w:r>
          </w:p>
        </w:tc>
      </w:tr>
      <w:tr w:rsidR="00255A52" w:rsidRPr="00563D71" w14:paraId="320C0786" w14:textId="77777777" w:rsidTr="00B92DB5">
        <w:trPr>
          <w:trHeight w:val="2014"/>
        </w:trPr>
        <w:tc>
          <w:tcPr>
            <w:tcW w:w="3403" w:type="dxa"/>
            <w:tcBorders>
              <w:top w:val="single" w:sz="4" w:space="0" w:color="000000"/>
              <w:left w:val="single" w:sz="4" w:space="0" w:color="000000"/>
              <w:bottom w:val="single" w:sz="4" w:space="0" w:color="000000"/>
              <w:right w:val="single" w:sz="4" w:space="0" w:color="000000"/>
            </w:tcBorders>
          </w:tcPr>
          <w:p w14:paraId="15FB2F05" w14:textId="0839A6C4" w:rsidR="00595800" w:rsidRPr="00563D71" w:rsidRDefault="00595800" w:rsidP="00B92DB5">
            <w:pPr>
              <w:spacing w:before="0" w:after="120"/>
              <w:ind w:left="0" w:right="202" w:firstLine="0"/>
              <w:jc w:val="left"/>
              <w:rPr>
                <w:rFonts w:eastAsiaTheme="minorHAnsi"/>
                <w:color w:val="auto"/>
                <w:sz w:val="20"/>
                <w:szCs w:val="20"/>
              </w:rPr>
            </w:pPr>
            <w:r w:rsidRPr="00563D71">
              <w:rPr>
                <w:rFonts w:eastAsiaTheme="minorHAnsi"/>
                <w:color w:val="auto"/>
                <w:sz w:val="20"/>
                <w:szCs w:val="20"/>
              </w:rPr>
              <w:t>Government Regulation No. 101</w:t>
            </w:r>
            <w:r w:rsidR="00572343" w:rsidRPr="00563D71">
              <w:rPr>
                <w:rFonts w:eastAsiaTheme="minorHAnsi"/>
                <w:color w:val="auto"/>
                <w:sz w:val="20"/>
                <w:szCs w:val="20"/>
              </w:rPr>
              <w:t xml:space="preserve"> Year </w:t>
            </w:r>
            <w:r w:rsidRPr="00563D71">
              <w:rPr>
                <w:rFonts w:eastAsiaTheme="minorHAnsi"/>
                <w:color w:val="auto"/>
                <w:sz w:val="20"/>
                <w:szCs w:val="20"/>
              </w:rPr>
              <w:t xml:space="preserve">2014 on Management of Toxic and Hazardous Waste </w:t>
            </w:r>
          </w:p>
        </w:tc>
        <w:tc>
          <w:tcPr>
            <w:tcW w:w="5940" w:type="dxa"/>
            <w:tcBorders>
              <w:top w:val="single" w:sz="4" w:space="0" w:color="000000"/>
              <w:left w:val="single" w:sz="4" w:space="0" w:color="000000"/>
              <w:bottom w:val="single" w:sz="4" w:space="0" w:color="000000"/>
              <w:right w:val="single" w:sz="4" w:space="0" w:color="000000"/>
            </w:tcBorders>
          </w:tcPr>
          <w:p w14:paraId="60478025" w14:textId="09EDAB6D" w:rsidR="00595800" w:rsidRPr="00563D71" w:rsidRDefault="002005BC" w:rsidP="00B92DB5">
            <w:pPr>
              <w:spacing w:after="120"/>
              <w:ind w:left="61" w:firstLine="0"/>
              <w:contextualSpacing/>
              <w:rPr>
                <w:rFonts w:eastAsiaTheme="minorHAnsi"/>
                <w:color w:val="auto"/>
                <w:sz w:val="20"/>
                <w:szCs w:val="20"/>
              </w:rPr>
            </w:pPr>
            <w:r w:rsidRPr="00563D71">
              <w:rPr>
                <w:rFonts w:eastAsiaTheme="minorHAnsi"/>
                <w:color w:val="auto"/>
                <w:sz w:val="20"/>
                <w:szCs w:val="20"/>
              </w:rPr>
              <w:t>This regulation stipulates</w:t>
            </w:r>
            <w:r w:rsidR="00595800" w:rsidRPr="00563D71">
              <w:rPr>
                <w:rFonts w:eastAsiaTheme="minorHAnsi"/>
                <w:color w:val="auto"/>
                <w:sz w:val="20"/>
                <w:szCs w:val="20"/>
              </w:rPr>
              <w:t xml:space="preserve"> the proper management and disposal procedures for toxic and hazardous waste substances covering; (i) method of identifying, reducing, storing, collecting, transporting, utilizing, processing, and disposing of hazardous wastes; (ii) risk mitigation and emergency responses to address environmental pollution caused by hazardous waste.</w:t>
            </w:r>
          </w:p>
        </w:tc>
      </w:tr>
    </w:tbl>
    <w:tbl>
      <w:tblPr>
        <w:tblStyle w:val="TableGrid"/>
        <w:tblW w:w="9368" w:type="dxa"/>
        <w:tblInd w:w="-5" w:type="dxa"/>
        <w:tblCellMar>
          <w:top w:w="46" w:type="dxa"/>
          <w:left w:w="110" w:type="dxa"/>
          <w:right w:w="71" w:type="dxa"/>
        </w:tblCellMar>
        <w:tblLook w:val="04A0" w:firstRow="1" w:lastRow="0" w:firstColumn="1" w:lastColumn="0" w:noHBand="0" w:noVBand="1"/>
      </w:tblPr>
      <w:tblGrid>
        <w:gridCol w:w="3428"/>
        <w:gridCol w:w="5940"/>
      </w:tblGrid>
      <w:tr w:rsidR="00D4579B" w:rsidRPr="00563D71" w14:paraId="40858F8C" w14:textId="77777777" w:rsidTr="00B92DB5">
        <w:trPr>
          <w:trHeight w:val="367"/>
        </w:trPr>
        <w:tc>
          <w:tcPr>
            <w:tcW w:w="9368" w:type="dxa"/>
            <w:gridSpan w:val="2"/>
            <w:tcBorders>
              <w:top w:val="single" w:sz="4" w:space="0" w:color="000000"/>
              <w:left w:val="single" w:sz="4" w:space="0" w:color="000000"/>
              <w:bottom w:val="single" w:sz="4" w:space="0" w:color="000000"/>
              <w:right w:val="single" w:sz="4" w:space="0" w:color="000000"/>
            </w:tcBorders>
            <w:vAlign w:val="center"/>
          </w:tcPr>
          <w:p w14:paraId="175C0702" w14:textId="74CCBBB6" w:rsidR="00D4579B" w:rsidRPr="00563D71" w:rsidRDefault="00D4579B" w:rsidP="00092116">
            <w:pPr>
              <w:spacing w:line="259" w:lineRule="auto"/>
              <w:ind w:left="0" w:firstLine="0"/>
              <w:jc w:val="center"/>
            </w:pPr>
            <w:r w:rsidRPr="00563D71">
              <w:rPr>
                <w:b/>
                <w:sz w:val="22"/>
              </w:rPr>
              <w:t>Social</w:t>
            </w:r>
          </w:p>
        </w:tc>
      </w:tr>
      <w:tr w:rsidR="00D4579B" w:rsidRPr="00563D71" w14:paraId="58AFBF60" w14:textId="77777777" w:rsidTr="00B92DB5">
        <w:trPr>
          <w:trHeight w:val="970"/>
        </w:trPr>
        <w:tc>
          <w:tcPr>
            <w:tcW w:w="3428" w:type="dxa"/>
            <w:tcBorders>
              <w:top w:val="single" w:sz="4" w:space="0" w:color="000000"/>
              <w:left w:val="single" w:sz="4" w:space="0" w:color="000000"/>
              <w:bottom w:val="single" w:sz="4" w:space="0" w:color="000000"/>
              <w:right w:val="single" w:sz="4" w:space="0" w:color="000000"/>
            </w:tcBorders>
          </w:tcPr>
          <w:p w14:paraId="5EE0D40F" w14:textId="11DD02E6" w:rsidR="00D4579B" w:rsidRPr="00563D71" w:rsidRDefault="0001423C" w:rsidP="0032029F">
            <w:pPr>
              <w:ind w:left="0" w:firstLine="0"/>
              <w:rPr>
                <w:sz w:val="20"/>
                <w:szCs w:val="20"/>
              </w:rPr>
            </w:pPr>
            <w:r w:rsidRPr="00563D71">
              <w:rPr>
                <w:sz w:val="20"/>
                <w:szCs w:val="20"/>
              </w:rPr>
              <w:t>Law No. 02</w:t>
            </w:r>
            <w:r w:rsidR="00572343" w:rsidRPr="00563D71">
              <w:rPr>
                <w:sz w:val="20"/>
                <w:szCs w:val="20"/>
              </w:rPr>
              <w:t xml:space="preserve"> Year</w:t>
            </w:r>
            <w:r w:rsidRPr="00563D71">
              <w:rPr>
                <w:sz w:val="20"/>
                <w:szCs w:val="20"/>
              </w:rPr>
              <w:t xml:space="preserve"> 2012 on </w:t>
            </w:r>
            <w:r w:rsidR="000B64CB" w:rsidRPr="00563D71">
              <w:rPr>
                <w:sz w:val="20"/>
                <w:szCs w:val="20"/>
              </w:rPr>
              <w:t>L</w:t>
            </w:r>
            <w:r w:rsidRPr="00563D71">
              <w:rPr>
                <w:sz w:val="20"/>
                <w:szCs w:val="20"/>
              </w:rPr>
              <w:t xml:space="preserve">and </w:t>
            </w:r>
            <w:r w:rsidR="000B64CB" w:rsidRPr="00563D71">
              <w:rPr>
                <w:sz w:val="20"/>
                <w:szCs w:val="20"/>
              </w:rPr>
              <w:t>A</w:t>
            </w:r>
            <w:r w:rsidRPr="00563D71">
              <w:rPr>
                <w:sz w:val="20"/>
                <w:szCs w:val="20"/>
              </w:rPr>
              <w:t xml:space="preserve">cquisition for </w:t>
            </w:r>
            <w:r w:rsidR="000B64CB" w:rsidRPr="00563D71">
              <w:rPr>
                <w:sz w:val="20"/>
                <w:szCs w:val="20"/>
              </w:rPr>
              <w:t>P</w:t>
            </w:r>
            <w:r w:rsidR="00D4579B" w:rsidRPr="00563D71">
              <w:rPr>
                <w:sz w:val="20"/>
                <w:szCs w:val="20"/>
              </w:rPr>
              <w:t xml:space="preserve">ublic </w:t>
            </w:r>
            <w:r w:rsidR="000B64CB" w:rsidRPr="00563D71">
              <w:rPr>
                <w:sz w:val="20"/>
                <w:szCs w:val="20"/>
              </w:rPr>
              <w:t>P</w:t>
            </w:r>
            <w:r w:rsidRPr="00563D71">
              <w:rPr>
                <w:sz w:val="20"/>
                <w:szCs w:val="20"/>
              </w:rPr>
              <w:t xml:space="preserve">urpose </w:t>
            </w:r>
            <w:r w:rsidR="000B64CB" w:rsidRPr="00563D71">
              <w:rPr>
                <w:sz w:val="20"/>
                <w:szCs w:val="20"/>
              </w:rPr>
              <w:t>D</w:t>
            </w:r>
            <w:r w:rsidRPr="00563D71">
              <w:rPr>
                <w:sz w:val="20"/>
                <w:szCs w:val="20"/>
              </w:rPr>
              <w:t>evelopment</w:t>
            </w:r>
            <w:r w:rsidR="00D4579B" w:rsidRPr="00563D71">
              <w:rPr>
                <w:sz w:val="20"/>
                <w:szCs w:val="20"/>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2FE73243" w14:textId="10E499D4" w:rsidR="00B60BBB" w:rsidRPr="00563D71" w:rsidRDefault="00A36C44" w:rsidP="003D2E29">
            <w:pPr>
              <w:ind w:left="0" w:right="51" w:firstLine="0"/>
              <w:rPr>
                <w:iCs/>
                <w:sz w:val="20"/>
                <w:szCs w:val="20"/>
              </w:rPr>
            </w:pPr>
            <w:r w:rsidRPr="00563D71">
              <w:rPr>
                <w:sz w:val="20"/>
                <w:szCs w:val="20"/>
              </w:rPr>
              <w:t xml:space="preserve">This law applies to </w:t>
            </w:r>
            <w:r w:rsidRPr="00563D71">
              <w:rPr>
                <w:iCs/>
                <w:sz w:val="20"/>
                <w:szCs w:val="20"/>
              </w:rPr>
              <w:t>development initiatives in the cont</w:t>
            </w:r>
            <w:r w:rsidR="00D614C1" w:rsidRPr="00563D71">
              <w:rPr>
                <w:iCs/>
                <w:sz w:val="20"/>
                <w:szCs w:val="20"/>
              </w:rPr>
              <w:t xml:space="preserve">ext of national development </w:t>
            </w:r>
            <w:r w:rsidRPr="00563D71">
              <w:rPr>
                <w:iCs/>
                <w:sz w:val="20"/>
                <w:szCs w:val="20"/>
              </w:rPr>
              <w:t xml:space="preserve">or </w:t>
            </w:r>
            <w:r w:rsidR="00AB0B8E" w:rsidRPr="00563D71">
              <w:rPr>
                <w:iCs/>
                <w:sz w:val="20"/>
                <w:szCs w:val="20"/>
              </w:rPr>
              <w:t xml:space="preserve">the </w:t>
            </w:r>
            <w:r w:rsidRPr="00563D71">
              <w:rPr>
                <w:iCs/>
                <w:sz w:val="20"/>
                <w:szCs w:val="20"/>
              </w:rPr>
              <w:t>development of public facilities.</w:t>
            </w:r>
            <w:r w:rsidR="00D614C1" w:rsidRPr="00563D71">
              <w:rPr>
                <w:iCs/>
                <w:sz w:val="20"/>
                <w:szCs w:val="20"/>
              </w:rPr>
              <w:t xml:space="preserve"> </w:t>
            </w:r>
            <w:r w:rsidR="00B60BBB" w:rsidRPr="00563D71">
              <w:rPr>
                <w:sz w:val="20"/>
                <w:szCs w:val="20"/>
              </w:rPr>
              <w:t xml:space="preserve">The agencies or institutions that are eligible to acquire land through </w:t>
            </w:r>
            <w:r w:rsidR="00572343" w:rsidRPr="00563D71">
              <w:rPr>
                <w:sz w:val="20"/>
                <w:szCs w:val="20"/>
              </w:rPr>
              <w:t>this law</w:t>
            </w:r>
            <w:r w:rsidR="00B60BBB" w:rsidRPr="00563D71">
              <w:rPr>
                <w:sz w:val="20"/>
                <w:szCs w:val="20"/>
              </w:rPr>
              <w:t xml:space="preserve"> </w:t>
            </w:r>
            <w:r w:rsidR="001D45B2" w:rsidRPr="00563D71">
              <w:rPr>
                <w:sz w:val="20"/>
                <w:szCs w:val="20"/>
              </w:rPr>
              <w:t>are</w:t>
            </w:r>
            <w:r w:rsidR="00B60BBB" w:rsidRPr="00563D71">
              <w:rPr>
                <w:sz w:val="20"/>
                <w:szCs w:val="20"/>
              </w:rPr>
              <w:t xml:space="preserve"> any state institution, </w:t>
            </w:r>
            <w:r w:rsidR="00AB0B8E" w:rsidRPr="00563D71">
              <w:rPr>
                <w:sz w:val="20"/>
                <w:szCs w:val="20"/>
              </w:rPr>
              <w:t xml:space="preserve">ministerial </w:t>
            </w:r>
            <w:r w:rsidR="00B60BBB" w:rsidRPr="00563D71">
              <w:rPr>
                <w:sz w:val="20"/>
                <w:szCs w:val="20"/>
              </w:rPr>
              <w:t>and non-</w:t>
            </w:r>
            <w:r w:rsidR="00DA4750" w:rsidRPr="00563D71">
              <w:rPr>
                <w:sz w:val="20"/>
                <w:szCs w:val="20"/>
              </w:rPr>
              <w:t>ministerial</w:t>
            </w:r>
            <w:r w:rsidR="00B60BBB" w:rsidRPr="00563D71">
              <w:rPr>
                <w:sz w:val="20"/>
                <w:szCs w:val="20"/>
              </w:rPr>
              <w:t xml:space="preserve"> government institution, provincial government, district/city government, and State-Owned Legal Entity/State-Owned Entity which is specially assigned by the Government. The government can also acquire land through establishing cooperation with state</w:t>
            </w:r>
            <w:r w:rsidR="000B64CB" w:rsidRPr="00563D71">
              <w:rPr>
                <w:sz w:val="20"/>
                <w:szCs w:val="20"/>
              </w:rPr>
              <w:t>-</w:t>
            </w:r>
            <w:r w:rsidR="00B60BBB" w:rsidRPr="00563D71">
              <w:rPr>
                <w:sz w:val="20"/>
                <w:szCs w:val="20"/>
              </w:rPr>
              <w:t>owned enterprises, regional government</w:t>
            </w:r>
            <w:r w:rsidR="000B64CB" w:rsidRPr="00563D71">
              <w:rPr>
                <w:sz w:val="20"/>
                <w:szCs w:val="20"/>
              </w:rPr>
              <w:t>-</w:t>
            </w:r>
            <w:r w:rsidR="00B60BBB" w:rsidRPr="00563D71">
              <w:rPr>
                <w:sz w:val="20"/>
                <w:szCs w:val="20"/>
              </w:rPr>
              <w:t xml:space="preserve">owned enterprises, and private enterprises (public private partnership). </w:t>
            </w:r>
          </w:p>
          <w:p w14:paraId="1084C889" w14:textId="2CEE124A" w:rsidR="00B60BBB" w:rsidRPr="00563D71" w:rsidRDefault="00B60BBB" w:rsidP="003D2E29">
            <w:pPr>
              <w:ind w:left="0" w:right="51" w:firstLine="0"/>
              <w:rPr>
                <w:sz w:val="20"/>
                <w:szCs w:val="20"/>
              </w:rPr>
            </w:pPr>
            <w:r w:rsidRPr="00563D71">
              <w:rPr>
                <w:sz w:val="20"/>
                <w:szCs w:val="20"/>
              </w:rPr>
              <w:t>Land acquisition must be carried out through planning that involves all stakeholders and must be implemented by providing feasible and just compensation or indemnification</w:t>
            </w:r>
            <w:r w:rsidR="00D24702" w:rsidRPr="00563D71">
              <w:rPr>
                <w:sz w:val="20"/>
                <w:szCs w:val="20"/>
              </w:rPr>
              <w:t>.</w:t>
            </w:r>
            <w:r w:rsidRPr="00563D71">
              <w:rPr>
                <w:sz w:val="20"/>
                <w:szCs w:val="20"/>
              </w:rPr>
              <w:t xml:space="preserve"> </w:t>
            </w:r>
            <w:r w:rsidRPr="00563D71">
              <w:rPr>
                <w:iCs/>
                <w:sz w:val="20"/>
                <w:szCs w:val="20"/>
              </w:rPr>
              <w:t>The acquisition of land in the public interest shall be performed in accordance with:</w:t>
            </w:r>
          </w:p>
          <w:p w14:paraId="510DE0D9" w14:textId="77777777" w:rsidR="00B60BBB" w:rsidRPr="00563D71" w:rsidRDefault="00B60BBB" w:rsidP="003D2E29">
            <w:pPr>
              <w:ind w:left="417" w:right="51" w:firstLine="0"/>
              <w:rPr>
                <w:iCs/>
                <w:sz w:val="20"/>
                <w:szCs w:val="20"/>
              </w:rPr>
            </w:pPr>
            <w:r w:rsidRPr="00563D71">
              <w:rPr>
                <w:iCs/>
                <w:sz w:val="20"/>
                <w:szCs w:val="20"/>
              </w:rPr>
              <w:t>a. the Regional Spatial Planning;</w:t>
            </w:r>
          </w:p>
          <w:p w14:paraId="1C77BDB3" w14:textId="77777777" w:rsidR="00B60BBB" w:rsidRPr="00563D71" w:rsidRDefault="00B60BBB" w:rsidP="003D2E29">
            <w:pPr>
              <w:ind w:left="417" w:right="51" w:firstLine="0"/>
              <w:rPr>
                <w:iCs/>
                <w:sz w:val="20"/>
                <w:szCs w:val="20"/>
              </w:rPr>
            </w:pPr>
            <w:r w:rsidRPr="00563D71">
              <w:rPr>
                <w:iCs/>
                <w:sz w:val="20"/>
                <w:szCs w:val="20"/>
              </w:rPr>
              <w:t>b. the National/Regional Development Plan;</w:t>
            </w:r>
          </w:p>
          <w:p w14:paraId="38B53FD7" w14:textId="77777777" w:rsidR="00B60BBB" w:rsidRPr="00563D71" w:rsidRDefault="00B60BBB" w:rsidP="003D2E29">
            <w:pPr>
              <w:ind w:left="417" w:right="51" w:firstLine="0"/>
              <w:rPr>
                <w:iCs/>
                <w:sz w:val="20"/>
                <w:szCs w:val="20"/>
              </w:rPr>
            </w:pPr>
            <w:r w:rsidRPr="00563D71">
              <w:rPr>
                <w:iCs/>
                <w:sz w:val="20"/>
                <w:szCs w:val="20"/>
              </w:rPr>
              <w:t>c. the Strategic Plan; and</w:t>
            </w:r>
          </w:p>
          <w:p w14:paraId="72343A5C" w14:textId="2ED649B1" w:rsidR="00D4579B" w:rsidRPr="00563D71" w:rsidRDefault="00B60BBB" w:rsidP="003C7167">
            <w:pPr>
              <w:spacing w:after="60"/>
              <w:ind w:left="418" w:right="58" w:firstLine="0"/>
              <w:rPr>
                <w:iCs/>
                <w:sz w:val="20"/>
                <w:szCs w:val="20"/>
              </w:rPr>
            </w:pPr>
            <w:r w:rsidRPr="00563D71">
              <w:rPr>
                <w:iCs/>
                <w:sz w:val="20"/>
                <w:szCs w:val="20"/>
              </w:rPr>
              <w:t>d. the Working Plan of each Agency needing land</w:t>
            </w:r>
            <w:r w:rsidR="00A36C44" w:rsidRPr="00563D71">
              <w:rPr>
                <w:sz w:val="20"/>
                <w:szCs w:val="20"/>
              </w:rPr>
              <w:t xml:space="preserve"> </w:t>
            </w:r>
          </w:p>
        </w:tc>
      </w:tr>
      <w:tr w:rsidR="00CC0A83" w:rsidRPr="00563D71" w14:paraId="6F164BBD" w14:textId="77777777" w:rsidTr="00B92DB5">
        <w:trPr>
          <w:trHeight w:val="970"/>
        </w:trPr>
        <w:tc>
          <w:tcPr>
            <w:tcW w:w="3428" w:type="dxa"/>
            <w:tcBorders>
              <w:top w:val="single" w:sz="4" w:space="0" w:color="000000"/>
              <w:left w:val="single" w:sz="4" w:space="0" w:color="000000"/>
              <w:bottom w:val="single" w:sz="4" w:space="0" w:color="000000"/>
              <w:right w:val="single" w:sz="4" w:space="0" w:color="000000"/>
            </w:tcBorders>
          </w:tcPr>
          <w:p w14:paraId="241FF2CD" w14:textId="4440642B" w:rsidR="00CC0A83" w:rsidRPr="00563D71" w:rsidRDefault="00CC0A83" w:rsidP="003D2E29">
            <w:pPr>
              <w:spacing w:before="0"/>
              <w:ind w:left="0" w:firstLine="0"/>
              <w:rPr>
                <w:sz w:val="20"/>
                <w:szCs w:val="20"/>
              </w:rPr>
            </w:pPr>
            <w:r w:rsidRPr="00563D71">
              <w:rPr>
                <w:sz w:val="20"/>
                <w:szCs w:val="20"/>
              </w:rPr>
              <w:t xml:space="preserve">Law No. 13 Year 2003 </w:t>
            </w:r>
            <w:r w:rsidR="00D24702" w:rsidRPr="00563D71">
              <w:rPr>
                <w:sz w:val="20"/>
                <w:szCs w:val="20"/>
              </w:rPr>
              <w:t>on</w:t>
            </w:r>
            <w:r w:rsidRPr="00563D71">
              <w:rPr>
                <w:sz w:val="20"/>
                <w:szCs w:val="20"/>
              </w:rPr>
              <w:t xml:space="preserve"> Manpower </w:t>
            </w:r>
          </w:p>
        </w:tc>
        <w:tc>
          <w:tcPr>
            <w:tcW w:w="5940" w:type="dxa"/>
            <w:tcBorders>
              <w:top w:val="single" w:sz="4" w:space="0" w:color="000000"/>
              <w:left w:val="single" w:sz="4" w:space="0" w:color="000000"/>
              <w:bottom w:val="single" w:sz="4" w:space="0" w:color="000000"/>
              <w:right w:val="single" w:sz="4" w:space="0" w:color="000000"/>
            </w:tcBorders>
          </w:tcPr>
          <w:p w14:paraId="78B26695" w14:textId="30922590" w:rsidR="00CC0A83" w:rsidRPr="00563D71" w:rsidRDefault="00CC0A83" w:rsidP="00B92DB5">
            <w:pPr>
              <w:spacing w:before="0" w:after="120"/>
              <w:ind w:left="0" w:right="58" w:firstLine="0"/>
              <w:rPr>
                <w:sz w:val="20"/>
                <w:szCs w:val="20"/>
              </w:rPr>
            </w:pPr>
            <w:r w:rsidRPr="00563D71">
              <w:rPr>
                <w:sz w:val="20"/>
                <w:szCs w:val="20"/>
              </w:rPr>
              <w:t>Th</w:t>
            </w:r>
            <w:r w:rsidR="00A44D71" w:rsidRPr="00563D71">
              <w:rPr>
                <w:sz w:val="20"/>
                <w:szCs w:val="20"/>
              </w:rPr>
              <w:t>is</w:t>
            </w:r>
            <w:r w:rsidRPr="00563D71">
              <w:rPr>
                <w:sz w:val="20"/>
                <w:szCs w:val="20"/>
              </w:rPr>
              <w:t xml:space="preserve"> law discusse</w:t>
            </w:r>
            <w:r w:rsidR="00A44D71" w:rsidRPr="00563D71">
              <w:rPr>
                <w:sz w:val="20"/>
                <w:szCs w:val="20"/>
              </w:rPr>
              <w:t>s</w:t>
            </w:r>
            <w:r w:rsidRPr="00563D71">
              <w:rPr>
                <w:sz w:val="20"/>
                <w:szCs w:val="20"/>
              </w:rPr>
              <w:t xml:space="preserve"> the protection of workers</w:t>
            </w:r>
            <w:r w:rsidR="00A44D71" w:rsidRPr="00563D71">
              <w:rPr>
                <w:sz w:val="20"/>
                <w:szCs w:val="20"/>
              </w:rPr>
              <w:t>,</w:t>
            </w:r>
            <w:r w:rsidRPr="00563D71">
              <w:rPr>
                <w:sz w:val="20"/>
                <w:szCs w:val="20"/>
              </w:rPr>
              <w:t xml:space="preserve"> safeguarding the fundamental rights of workers to secure the implementation of equal opportunity and equal treatment without discrimination </w:t>
            </w:r>
            <w:r w:rsidR="00A44D71" w:rsidRPr="00563D71">
              <w:rPr>
                <w:sz w:val="20"/>
                <w:szCs w:val="20"/>
              </w:rPr>
              <w:t xml:space="preserve">for </w:t>
            </w:r>
            <w:r w:rsidRPr="00563D71">
              <w:rPr>
                <w:sz w:val="20"/>
                <w:szCs w:val="20"/>
              </w:rPr>
              <w:t xml:space="preserve">workers/laborers. </w:t>
            </w:r>
          </w:p>
        </w:tc>
      </w:tr>
      <w:tr w:rsidR="00D4579B" w:rsidRPr="00563D71" w14:paraId="7B3C3D0F" w14:textId="77777777" w:rsidTr="00B92DB5">
        <w:trPr>
          <w:trHeight w:val="653"/>
        </w:trPr>
        <w:tc>
          <w:tcPr>
            <w:tcW w:w="3428" w:type="dxa"/>
            <w:tcBorders>
              <w:top w:val="single" w:sz="4" w:space="0" w:color="000000"/>
              <w:left w:val="single" w:sz="4" w:space="0" w:color="000000"/>
              <w:bottom w:val="single" w:sz="4" w:space="0" w:color="000000"/>
              <w:right w:val="single" w:sz="4" w:space="0" w:color="000000"/>
            </w:tcBorders>
          </w:tcPr>
          <w:p w14:paraId="694DABB3" w14:textId="72BD4FEE" w:rsidR="00D4579B" w:rsidRPr="00563D71" w:rsidRDefault="00AB620D" w:rsidP="004B01C1">
            <w:pPr>
              <w:spacing w:before="0"/>
              <w:ind w:left="0" w:right="53" w:firstLine="0"/>
              <w:rPr>
                <w:sz w:val="20"/>
                <w:szCs w:val="20"/>
              </w:rPr>
            </w:pPr>
            <w:r w:rsidRPr="00563D71">
              <w:rPr>
                <w:sz w:val="20"/>
                <w:szCs w:val="20"/>
              </w:rPr>
              <w:t>Presidential Regulation No. 71</w:t>
            </w:r>
            <w:r w:rsidR="00572343" w:rsidRPr="00563D71">
              <w:rPr>
                <w:sz w:val="20"/>
                <w:szCs w:val="20"/>
              </w:rPr>
              <w:t xml:space="preserve"> Year </w:t>
            </w:r>
            <w:r w:rsidRPr="00563D71">
              <w:rPr>
                <w:sz w:val="20"/>
                <w:szCs w:val="20"/>
              </w:rPr>
              <w:t xml:space="preserve">2012 </w:t>
            </w:r>
            <w:r w:rsidR="00D24702" w:rsidRPr="00563D71">
              <w:rPr>
                <w:sz w:val="20"/>
                <w:szCs w:val="20"/>
              </w:rPr>
              <w:t>on</w:t>
            </w:r>
            <w:r w:rsidR="007C2FA3" w:rsidRPr="00563D71">
              <w:rPr>
                <w:sz w:val="20"/>
                <w:szCs w:val="20"/>
              </w:rPr>
              <w:t xml:space="preserve"> the</w:t>
            </w:r>
            <w:r w:rsidR="00D24702" w:rsidRPr="00563D71">
              <w:rPr>
                <w:sz w:val="20"/>
                <w:szCs w:val="20"/>
              </w:rPr>
              <w:t xml:space="preserve"> </w:t>
            </w:r>
            <w:r w:rsidRPr="00563D71">
              <w:rPr>
                <w:sz w:val="20"/>
                <w:szCs w:val="20"/>
              </w:rPr>
              <w:t>Implement</w:t>
            </w:r>
            <w:r w:rsidR="004B01C1" w:rsidRPr="00563D71">
              <w:rPr>
                <w:sz w:val="20"/>
                <w:szCs w:val="20"/>
              </w:rPr>
              <w:t xml:space="preserve">ation </w:t>
            </w:r>
            <w:r w:rsidRPr="00563D71">
              <w:rPr>
                <w:sz w:val="20"/>
                <w:szCs w:val="20"/>
              </w:rPr>
              <w:t>o</w:t>
            </w:r>
            <w:r w:rsidR="004B01C1" w:rsidRPr="00563D71">
              <w:rPr>
                <w:sz w:val="20"/>
                <w:szCs w:val="20"/>
              </w:rPr>
              <w:t>f</w:t>
            </w:r>
            <w:r w:rsidRPr="00563D71">
              <w:rPr>
                <w:sz w:val="20"/>
                <w:szCs w:val="20"/>
              </w:rPr>
              <w:t xml:space="preserve"> Land Acquisition for Development of Public Use</w:t>
            </w:r>
          </w:p>
        </w:tc>
        <w:tc>
          <w:tcPr>
            <w:tcW w:w="5940" w:type="dxa"/>
            <w:tcBorders>
              <w:top w:val="single" w:sz="4" w:space="0" w:color="000000"/>
              <w:left w:val="single" w:sz="4" w:space="0" w:color="000000"/>
              <w:bottom w:val="single" w:sz="4" w:space="0" w:color="000000"/>
              <w:right w:val="single" w:sz="4" w:space="0" w:color="000000"/>
            </w:tcBorders>
          </w:tcPr>
          <w:p w14:paraId="63C0EC75" w14:textId="4D0EF7D0" w:rsidR="00D4579B" w:rsidRPr="00563D71" w:rsidRDefault="007F1ADE" w:rsidP="003D2E29">
            <w:pPr>
              <w:spacing w:before="0"/>
              <w:ind w:left="0" w:firstLine="0"/>
              <w:jc w:val="left"/>
              <w:rPr>
                <w:sz w:val="20"/>
                <w:szCs w:val="20"/>
              </w:rPr>
            </w:pPr>
            <w:r w:rsidRPr="00563D71">
              <w:rPr>
                <w:sz w:val="20"/>
                <w:szCs w:val="20"/>
              </w:rPr>
              <w:t>Presidential Decree No. 71 Year 2012 has been amended four-times. The key changes are highlighted: No. 40 Year 2014 “…Land acquisition up to 5 hectare can be directly conducted by agency needing land with land right holders through a business transaction or other way agreed by both parties… ” ; No. 99 Year 2014 “…Head of Land Acquisition Implementation issues compensation value resulting from appraiser or public appraiser…” ; No. 30 Year 2015  “…Finance for land acquisition can be sourced from a company (</w:t>
            </w:r>
            <w:r w:rsidRPr="00563D71">
              <w:rPr>
                <w:i/>
                <w:sz w:val="20"/>
                <w:szCs w:val="20"/>
              </w:rPr>
              <w:t>Badan Usaha</w:t>
            </w:r>
            <w:r w:rsidRPr="00563D71">
              <w:rPr>
                <w:sz w:val="20"/>
                <w:szCs w:val="20"/>
              </w:rPr>
              <w:t xml:space="preserve">) as Agency needing land which has been given the right to act on behalf of state agency, ministerial, non-ministerial government agency, provincial government, and / or district government / city…” ; and the most updated one No. 148 Year 2015 “…Land acquisition for public interest development purpose up to 5 hectares does not need location </w:t>
            </w:r>
            <w:r w:rsidRPr="00563D71">
              <w:rPr>
                <w:sz w:val="20"/>
                <w:szCs w:val="20"/>
              </w:rPr>
              <w:lastRenderedPageBreak/>
              <w:t>determination letter. Agency needing land to use appraiser for land valuation….”</w:t>
            </w:r>
          </w:p>
        </w:tc>
      </w:tr>
      <w:tr w:rsidR="00D4579B" w:rsidRPr="00563D71" w14:paraId="20CF0675" w14:textId="77777777" w:rsidTr="00B92DB5">
        <w:trPr>
          <w:trHeight w:val="50"/>
        </w:trPr>
        <w:tc>
          <w:tcPr>
            <w:tcW w:w="3428" w:type="dxa"/>
            <w:tcBorders>
              <w:top w:val="single" w:sz="4" w:space="0" w:color="000000"/>
              <w:left w:val="single" w:sz="4" w:space="0" w:color="000000"/>
              <w:bottom w:val="single" w:sz="4" w:space="0" w:color="000000"/>
              <w:right w:val="single" w:sz="4" w:space="0" w:color="000000"/>
            </w:tcBorders>
          </w:tcPr>
          <w:p w14:paraId="50FF729E" w14:textId="71A0FF66" w:rsidR="00D4579B" w:rsidRPr="00563D71" w:rsidRDefault="00AB620D" w:rsidP="00940221">
            <w:pPr>
              <w:spacing w:before="0"/>
              <w:ind w:left="0" w:firstLine="0"/>
              <w:rPr>
                <w:sz w:val="20"/>
                <w:szCs w:val="20"/>
              </w:rPr>
            </w:pPr>
            <w:r w:rsidRPr="00563D71">
              <w:rPr>
                <w:sz w:val="20"/>
                <w:szCs w:val="20"/>
              </w:rPr>
              <w:lastRenderedPageBreak/>
              <w:t>Head of National La</w:t>
            </w:r>
            <w:r w:rsidR="005D1C33" w:rsidRPr="00563D71">
              <w:rPr>
                <w:sz w:val="20"/>
                <w:szCs w:val="20"/>
              </w:rPr>
              <w:t xml:space="preserve">nd Agency Regulation </w:t>
            </w:r>
            <w:r w:rsidRPr="00563D71">
              <w:rPr>
                <w:sz w:val="20"/>
                <w:szCs w:val="20"/>
              </w:rPr>
              <w:t>No. 5</w:t>
            </w:r>
            <w:r w:rsidR="00572343" w:rsidRPr="00563D71">
              <w:rPr>
                <w:sz w:val="20"/>
                <w:szCs w:val="20"/>
              </w:rPr>
              <w:t xml:space="preserve"> Year </w:t>
            </w:r>
            <w:r w:rsidRPr="00563D71">
              <w:rPr>
                <w:sz w:val="20"/>
                <w:szCs w:val="20"/>
              </w:rPr>
              <w:t xml:space="preserve">2012 </w:t>
            </w:r>
            <w:r w:rsidR="00D24702" w:rsidRPr="00563D71">
              <w:rPr>
                <w:sz w:val="20"/>
                <w:szCs w:val="20"/>
              </w:rPr>
              <w:t>on</w:t>
            </w:r>
            <w:r w:rsidR="00940221" w:rsidRPr="00563D71">
              <w:rPr>
                <w:sz w:val="20"/>
                <w:szCs w:val="20"/>
              </w:rPr>
              <w:t xml:space="preserve"> Tech</w:t>
            </w:r>
            <w:r w:rsidRPr="00563D71">
              <w:rPr>
                <w:sz w:val="20"/>
                <w:szCs w:val="20"/>
              </w:rPr>
              <w:t>n</w:t>
            </w:r>
            <w:r w:rsidR="00940221" w:rsidRPr="00563D71">
              <w:rPr>
                <w:sz w:val="20"/>
                <w:szCs w:val="20"/>
              </w:rPr>
              <w:t>ical Guidelines of</w:t>
            </w:r>
            <w:r w:rsidRPr="00563D71">
              <w:rPr>
                <w:sz w:val="20"/>
                <w:szCs w:val="20"/>
              </w:rPr>
              <w:t xml:space="preserve"> Land Acquisition for Development of Public Use</w:t>
            </w:r>
          </w:p>
        </w:tc>
        <w:tc>
          <w:tcPr>
            <w:tcW w:w="5940" w:type="dxa"/>
            <w:tcBorders>
              <w:top w:val="single" w:sz="4" w:space="0" w:color="000000"/>
              <w:left w:val="single" w:sz="4" w:space="0" w:color="000000"/>
              <w:bottom w:val="single" w:sz="4" w:space="0" w:color="000000"/>
              <w:right w:val="single" w:sz="4" w:space="0" w:color="000000"/>
            </w:tcBorders>
          </w:tcPr>
          <w:p w14:paraId="4DB40D81" w14:textId="4378EC28" w:rsidR="00562C16" w:rsidRPr="00563D71" w:rsidRDefault="0001423C" w:rsidP="003D2E29">
            <w:pPr>
              <w:spacing w:before="0" w:after="120"/>
              <w:ind w:left="0" w:firstLine="0"/>
              <w:rPr>
                <w:sz w:val="20"/>
                <w:szCs w:val="20"/>
              </w:rPr>
            </w:pPr>
            <w:r w:rsidRPr="00563D71">
              <w:rPr>
                <w:sz w:val="20"/>
                <w:szCs w:val="20"/>
              </w:rPr>
              <w:t xml:space="preserve"> </w:t>
            </w:r>
            <w:r w:rsidR="005D1C33" w:rsidRPr="00563D71">
              <w:rPr>
                <w:i/>
                <w:sz w:val="20"/>
                <w:szCs w:val="20"/>
              </w:rPr>
              <w:t>Per</w:t>
            </w:r>
            <w:r w:rsidRPr="00563D71">
              <w:rPr>
                <w:i/>
                <w:sz w:val="20"/>
                <w:szCs w:val="20"/>
              </w:rPr>
              <w:t>aturan Kepala BPN</w:t>
            </w:r>
            <w:r w:rsidR="005D1C33" w:rsidRPr="00563D71">
              <w:rPr>
                <w:sz w:val="20"/>
                <w:szCs w:val="20"/>
              </w:rPr>
              <w:t xml:space="preserve"> 5</w:t>
            </w:r>
            <w:r w:rsidR="00572343" w:rsidRPr="00563D71">
              <w:rPr>
                <w:sz w:val="20"/>
                <w:szCs w:val="20"/>
              </w:rPr>
              <w:t xml:space="preserve"> Year </w:t>
            </w:r>
            <w:r w:rsidR="005D1C33" w:rsidRPr="00563D71">
              <w:rPr>
                <w:sz w:val="20"/>
                <w:szCs w:val="20"/>
              </w:rPr>
              <w:t>2012 is intended to provide</w:t>
            </w:r>
            <w:r w:rsidR="006D7785" w:rsidRPr="00563D71">
              <w:rPr>
                <w:sz w:val="20"/>
                <w:szCs w:val="20"/>
              </w:rPr>
              <w:t xml:space="preserve"> a</w:t>
            </w:r>
            <w:r w:rsidR="005D1C33" w:rsidRPr="00563D71">
              <w:rPr>
                <w:sz w:val="20"/>
                <w:szCs w:val="20"/>
              </w:rPr>
              <w:t xml:space="preserve"> legal framework </w:t>
            </w:r>
            <w:r w:rsidR="006D7785" w:rsidRPr="00563D71">
              <w:rPr>
                <w:sz w:val="20"/>
                <w:szCs w:val="20"/>
              </w:rPr>
              <w:t>for</w:t>
            </w:r>
            <w:r w:rsidR="005D1C33" w:rsidRPr="00563D71">
              <w:rPr>
                <w:sz w:val="20"/>
                <w:szCs w:val="20"/>
              </w:rPr>
              <w:t xml:space="preserve"> land acquisition for public use with </w:t>
            </w:r>
            <w:r w:rsidR="006D7785" w:rsidRPr="00563D71">
              <w:rPr>
                <w:sz w:val="20"/>
                <w:szCs w:val="20"/>
              </w:rPr>
              <w:t xml:space="preserve">the </w:t>
            </w:r>
            <w:r w:rsidR="005D1C33" w:rsidRPr="00563D71">
              <w:rPr>
                <w:sz w:val="20"/>
                <w:szCs w:val="20"/>
              </w:rPr>
              <w:t xml:space="preserve">National Land Agency. The first part of the regulation </w:t>
            </w:r>
            <w:r w:rsidR="006D7785" w:rsidRPr="00563D71">
              <w:rPr>
                <w:sz w:val="20"/>
                <w:szCs w:val="20"/>
              </w:rPr>
              <w:t xml:space="preserve">outlines the </w:t>
            </w:r>
            <w:r w:rsidR="005D1C33" w:rsidRPr="00563D71">
              <w:rPr>
                <w:sz w:val="20"/>
                <w:szCs w:val="20"/>
              </w:rPr>
              <w:t>arrangement of</w:t>
            </w:r>
            <w:r w:rsidR="006D7785" w:rsidRPr="00563D71">
              <w:rPr>
                <w:sz w:val="20"/>
                <w:szCs w:val="20"/>
              </w:rPr>
              <w:t xml:space="preserve"> a</w:t>
            </w:r>
            <w:r w:rsidR="005D1C33" w:rsidRPr="00563D71">
              <w:rPr>
                <w:sz w:val="20"/>
                <w:szCs w:val="20"/>
              </w:rPr>
              <w:t xml:space="preserve"> land acquisition committee that can be delegated from head of Provincial land office to regency/city land office.</w:t>
            </w:r>
          </w:p>
          <w:p w14:paraId="72DCEF23" w14:textId="4872DF4B" w:rsidR="00D4579B" w:rsidRPr="00563D71" w:rsidRDefault="00562C16" w:rsidP="003D2E29">
            <w:pPr>
              <w:spacing w:before="0"/>
              <w:ind w:left="0" w:firstLine="0"/>
              <w:rPr>
                <w:sz w:val="20"/>
                <w:szCs w:val="20"/>
              </w:rPr>
            </w:pPr>
            <w:r w:rsidRPr="00563D71">
              <w:rPr>
                <w:sz w:val="20"/>
                <w:szCs w:val="20"/>
              </w:rPr>
              <w:t>This regulation</w:t>
            </w:r>
            <w:r w:rsidR="00342DFB" w:rsidRPr="00563D71">
              <w:rPr>
                <w:sz w:val="20"/>
                <w:szCs w:val="20"/>
              </w:rPr>
              <w:t xml:space="preserve"> </w:t>
            </w:r>
            <w:r w:rsidR="00573D9E" w:rsidRPr="00563D71">
              <w:rPr>
                <w:sz w:val="20"/>
                <w:szCs w:val="20"/>
              </w:rPr>
              <w:t xml:space="preserve">has been amended by No. 6 </w:t>
            </w:r>
            <w:r w:rsidR="00572343" w:rsidRPr="00563D71">
              <w:rPr>
                <w:sz w:val="20"/>
                <w:szCs w:val="20"/>
              </w:rPr>
              <w:t>Year</w:t>
            </w:r>
            <w:r w:rsidR="00573D9E" w:rsidRPr="00563D71">
              <w:rPr>
                <w:sz w:val="20"/>
                <w:szCs w:val="20"/>
              </w:rPr>
              <w:t xml:space="preserve"> 2015, which highlighted a bailout scheme to accelerate infrastructure development.  The government revised the Regulation of the Ministerial of Agrarian and Spatial Planning (ATR) No. 6 </w:t>
            </w:r>
            <w:r w:rsidR="00572343" w:rsidRPr="00563D71">
              <w:rPr>
                <w:sz w:val="20"/>
                <w:szCs w:val="20"/>
              </w:rPr>
              <w:t>Year</w:t>
            </w:r>
            <w:r w:rsidR="00342DFB" w:rsidRPr="00563D71">
              <w:rPr>
                <w:sz w:val="20"/>
                <w:szCs w:val="20"/>
              </w:rPr>
              <w:t xml:space="preserve"> </w:t>
            </w:r>
            <w:r w:rsidR="00573D9E" w:rsidRPr="00563D71">
              <w:rPr>
                <w:sz w:val="20"/>
                <w:szCs w:val="20"/>
              </w:rPr>
              <w:t xml:space="preserve">2015 for the Amendment Regulation of the National Land Agency (BPN) </w:t>
            </w:r>
            <w:r w:rsidR="00BB6A54" w:rsidRPr="00563D71">
              <w:rPr>
                <w:sz w:val="20"/>
                <w:szCs w:val="20"/>
              </w:rPr>
              <w:t xml:space="preserve">No. </w:t>
            </w:r>
            <w:r w:rsidR="00573D9E" w:rsidRPr="00563D71">
              <w:rPr>
                <w:sz w:val="20"/>
                <w:szCs w:val="20"/>
              </w:rPr>
              <w:t xml:space="preserve">5 Year 2012 on Technical Guidelines for the Implementation of Land Acquisition. </w:t>
            </w:r>
            <w:r w:rsidR="001D45B2" w:rsidRPr="00563D71">
              <w:rPr>
                <w:sz w:val="20"/>
                <w:szCs w:val="20"/>
              </w:rPr>
              <w:t>T</w:t>
            </w:r>
            <w:r w:rsidR="00573D9E" w:rsidRPr="00563D71">
              <w:rPr>
                <w:sz w:val="20"/>
                <w:szCs w:val="20"/>
              </w:rPr>
              <w:t>his revision open</w:t>
            </w:r>
            <w:r w:rsidR="001D45B2" w:rsidRPr="00563D71">
              <w:rPr>
                <w:sz w:val="20"/>
                <w:szCs w:val="20"/>
              </w:rPr>
              <w:t>s</w:t>
            </w:r>
            <w:r w:rsidR="00573D9E" w:rsidRPr="00563D71">
              <w:rPr>
                <w:sz w:val="20"/>
                <w:szCs w:val="20"/>
              </w:rPr>
              <w:t xml:space="preserve"> up an opportunity for private entrepreneurs to bailout land acquisition fund</w:t>
            </w:r>
            <w:r w:rsidR="00BB6A54" w:rsidRPr="00563D71">
              <w:rPr>
                <w:sz w:val="20"/>
                <w:szCs w:val="20"/>
              </w:rPr>
              <w:t>s</w:t>
            </w:r>
            <w:r w:rsidR="00573D9E" w:rsidRPr="00563D71">
              <w:rPr>
                <w:sz w:val="20"/>
                <w:szCs w:val="20"/>
              </w:rPr>
              <w:t xml:space="preserve"> for public intere</w:t>
            </w:r>
            <w:r w:rsidR="001D45B2" w:rsidRPr="00563D71">
              <w:rPr>
                <w:sz w:val="20"/>
                <w:szCs w:val="20"/>
              </w:rPr>
              <w:t>st infrastructure projects. The</w:t>
            </w:r>
            <w:r w:rsidR="00573D9E" w:rsidRPr="00563D71">
              <w:rPr>
                <w:sz w:val="20"/>
                <w:szCs w:val="20"/>
              </w:rPr>
              <w:t xml:space="preserve"> bailout is replaced using state budget funds through the relevant ministries/agencies.</w:t>
            </w:r>
          </w:p>
        </w:tc>
      </w:tr>
      <w:tr w:rsidR="00D4579B" w:rsidRPr="00563D71" w14:paraId="33176660" w14:textId="77777777" w:rsidTr="00B92DB5">
        <w:trPr>
          <w:trHeight w:val="754"/>
        </w:trPr>
        <w:tc>
          <w:tcPr>
            <w:tcW w:w="3428" w:type="dxa"/>
            <w:tcBorders>
              <w:top w:val="single" w:sz="4" w:space="0" w:color="000000"/>
              <w:left w:val="single" w:sz="4" w:space="0" w:color="000000"/>
              <w:bottom w:val="single" w:sz="4" w:space="0" w:color="000000"/>
              <w:right w:val="single" w:sz="4" w:space="0" w:color="000000"/>
            </w:tcBorders>
          </w:tcPr>
          <w:p w14:paraId="04EF6582" w14:textId="4308CA2B" w:rsidR="00D4579B" w:rsidRPr="00563D71" w:rsidRDefault="002C06A1" w:rsidP="003D2E29">
            <w:pPr>
              <w:spacing w:before="0"/>
              <w:ind w:left="0" w:firstLine="0"/>
              <w:rPr>
                <w:sz w:val="20"/>
                <w:szCs w:val="20"/>
              </w:rPr>
            </w:pPr>
            <w:r w:rsidRPr="00563D71">
              <w:rPr>
                <w:sz w:val="20"/>
                <w:szCs w:val="20"/>
              </w:rPr>
              <w:t xml:space="preserve">Ministry of Finance Regulation No. 13/PMK.02/2013 </w:t>
            </w:r>
            <w:r w:rsidR="00D24702" w:rsidRPr="00563D71">
              <w:rPr>
                <w:sz w:val="20"/>
                <w:szCs w:val="20"/>
              </w:rPr>
              <w:t xml:space="preserve">on </w:t>
            </w:r>
            <w:r w:rsidRPr="00563D71">
              <w:rPr>
                <w:sz w:val="20"/>
                <w:szCs w:val="20"/>
              </w:rPr>
              <w:t xml:space="preserve">Operational and Supporting Cost of Land Acquisition for Development of Public Use </w:t>
            </w:r>
            <w:r w:rsidR="007B1F32" w:rsidRPr="00563D71">
              <w:rPr>
                <w:sz w:val="20"/>
                <w:szCs w:val="20"/>
              </w:rPr>
              <w:t>P</w:t>
            </w:r>
            <w:r w:rsidRPr="00563D71">
              <w:rPr>
                <w:sz w:val="20"/>
                <w:szCs w:val="20"/>
              </w:rPr>
              <w:t>rovided by National Budget (APBN).</w:t>
            </w:r>
          </w:p>
        </w:tc>
        <w:tc>
          <w:tcPr>
            <w:tcW w:w="5940" w:type="dxa"/>
            <w:tcBorders>
              <w:top w:val="single" w:sz="4" w:space="0" w:color="000000"/>
              <w:left w:val="single" w:sz="4" w:space="0" w:color="000000"/>
              <w:bottom w:val="single" w:sz="4" w:space="0" w:color="000000"/>
              <w:right w:val="single" w:sz="4" w:space="0" w:color="000000"/>
            </w:tcBorders>
          </w:tcPr>
          <w:p w14:paraId="1E465DE9" w14:textId="4226B26E" w:rsidR="00D4579B" w:rsidRPr="00563D71" w:rsidRDefault="000E723E" w:rsidP="003D2E29">
            <w:pPr>
              <w:spacing w:before="0" w:after="120"/>
              <w:ind w:left="0" w:firstLine="0"/>
              <w:rPr>
                <w:sz w:val="20"/>
                <w:szCs w:val="20"/>
              </w:rPr>
            </w:pPr>
            <w:r w:rsidRPr="00563D71">
              <w:rPr>
                <w:sz w:val="20"/>
                <w:szCs w:val="20"/>
              </w:rPr>
              <w:t>Th</w:t>
            </w:r>
            <w:r w:rsidR="00BB6A54" w:rsidRPr="00563D71">
              <w:rPr>
                <w:sz w:val="20"/>
                <w:szCs w:val="20"/>
              </w:rPr>
              <w:t>is</w:t>
            </w:r>
            <w:r w:rsidRPr="00563D71">
              <w:rPr>
                <w:sz w:val="20"/>
                <w:szCs w:val="20"/>
              </w:rPr>
              <w:t xml:space="preserve"> </w:t>
            </w:r>
            <w:r w:rsidR="00BB6A54" w:rsidRPr="00563D71">
              <w:rPr>
                <w:sz w:val="20"/>
                <w:szCs w:val="20"/>
              </w:rPr>
              <w:t>r</w:t>
            </w:r>
            <w:r w:rsidRPr="00563D71">
              <w:rPr>
                <w:sz w:val="20"/>
                <w:szCs w:val="20"/>
              </w:rPr>
              <w:t>egulation is about the financial arrangement of land acquisition for public use project</w:t>
            </w:r>
            <w:r w:rsidR="00BB6A54" w:rsidRPr="00563D71">
              <w:rPr>
                <w:sz w:val="20"/>
                <w:szCs w:val="20"/>
              </w:rPr>
              <w:t>s</w:t>
            </w:r>
            <w:r w:rsidRPr="00563D71">
              <w:rPr>
                <w:sz w:val="20"/>
                <w:szCs w:val="20"/>
              </w:rPr>
              <w:t xml:space="preserve"> funded by </w:t>
            </w:r>
            <w:r w:rsidR="00BB6A54" w:rsidRPr="00563D71">
              <w:rPr>
                <w:sz w:val="20"/>
                <w:szCs w:val="20"/>
              </w:rPr>
              <w:t xml:space="preserve">the </w:t>
            </w:r>
            <w:r w:rsidRPr="00563D71">
              <w:rPr>
                <w:sz w:val="20"/>
                <w:szCs w:val="20"/>
              </w:rPr>
              <w:t>National Government Budget</w:t>
            </w:r>
            <w:r w:rsidR="00BB6A54" w:rsidRPr="00563D71">
              <w:rPr>
                <w:sz w:val="20"/>
                <w:szCs w:val="20"/>
              </w:rPr>
              <w:t xml:space="preserve"> (APBN)</w:t>
            </w:r>
            <w:r w:rsidRPr="00563D71">
              <w:rPr>
                <w:sz w:val="20"/>
                <w:szCs w:val="20"/>
              </w:rPr>
              <w:t xml:space="preserve">. The regulation covers important provisions regarding land acquisition cost, salary of </w:t>
            </w:r>
            <w:r w:rsidR="00BB6A54" w:rsidRPr="00563D71">
              <w:rPr>
                <w:sz w:val="20"/>
                <w:szCs w:val="20"/>
              </w:rPr>
              <w:t xml:space="preserve">the </w:t>
            </w:r>
            <w:r w:rsidRPr="00563D71">
              <w:rPr>
                <w:sz w:val="20"/>
                <w:szCs w:val="20"/>
              </w:rPr>
              <w:t>land acquisition committee</w:t>
            </w:r>
            <w:r w:rsidR="00BB6A54" w:rsidRPr="00563D71">
              <w:rPr>
                <w:sz w:val="20"/>
                <w:szCs w:val="20"/>
              </w:rPr>
              <w:t xml:space="preserve"> members</w:t>
            </w:r>
            <w:r w:rsidRPr="00563D71">
              <w:rPr>
                <w:sz w:val="20"/>
                <w:szCs w:val="20"/>
              </w:rPr>
              <w:t xml:space="preserve">, and other expenses that must be arranged and disbursed </w:t>
            </w:r>
            <w:r w:rsidR="00BB6A54" w:rsidRPr="00563D71">
              <w:rPr>
                <w:sz w:val="20"/>
                <w:szCs w:val="20"/>
              </w:rPr>
              <w:t xml:space="preserve">through </w:t>
            </w:r>
            <w:r w:rsidRPr="00563D71">
              <w:rPr>
                <w:sz w:val="20"/>
                <w:szCs w:val="20"/>
              </w:rPr>
              <w:t>the Central Government budget.</w:t>
            </w:r>
          </w:p>
          <w:p w14:paraId="6F15D19D" w14:textId="2175938C" w:rsidR="00076AA2" w:rsidRPr="00563D71" w:rsidRDefault="00BB6A54" w:rsidP="003D2E29">
            <w:pPr>
              <w:spacing w:before="0"/>
              <w:ind w:left="0" w:firstLine="0"/>
              <w:rPr>
                <w:sz w:val="20"/>
                <w:szCs w:val="20"/>
              </w:rPr>
            </w:pPr>
            <w:r w:rsidRPr="00563D71">
              <w:rPr>
                <w:sz w:val="20"/>
                <w:szCs w:val="20"/>
              </w:rPr>
              <w:t>This regulation</w:t>
            </w:r>
            <w:r w:rsidR="00076AA2" w:rsidRPr="00563D71">
              <w:rPr>
                <w:sz w:val="20"/>
                <w:szCs w:val="20"/>
              </w:rPr>
              <w:t xml:space="preserve"> has been also amended by No. 10/PMK.02 </w:t>
            </w:r>
            <w:r w:rsidR="00572343" w:rsidRPr="00563D71">
              <w:rPr>
                <w:sz w:val="20"/>
                <w:szCs w:val="20"/>
              </w:rPr>
              <w:t>Year</w:t>
            </w:r>
            <w:r w:rsidR="00076AA2" w:rsidRPr="00563D71">
              <w:rPr>
                <w:sz w:val="20"/>
                <w:szCs w:val="20"/>
              </w:rPr>
              <w:t xml:space="preserve"> 2016, which indicate</w:t>
            </w:r>
            <w:r w:rsidR="001D45B2" w:rsidRPr="00563D71">
              <w:rPr>
                <w:sz w:val="20"/>
                <w:szCs w:val="20"/>
              </w:rPr>
              <w:t>s</w:t>
            </w:r>
            <w:r w:rsidR="00076AA2" w:rsidRPr="00563D71">
              <w:rPr>
                <w:sz w:val="20"/>
                <w:szCs w:val="20"/>
              </w:rPr>
              <w:t xml:space="preserve"> a threshold budget allocation for operational and supporting land acquisition implementation for public interest development source</w:t>
            </w:r>
            <w:r w:rsidRPr="00563D71">
              <w:rPr>
                <w:sz w:val="20"/>
                <w:szCs w:val="20"/>
              </w:rPr>
              <w:t>d</w:t>
            </w:r>
            <w:r w:rsidR="00076AA2" w:rsidRPr="00563D71">
              <w:rPr>
                <w:sz w:val="20"/>
                <w:szCs w:val="20"/>
              </w:rPr>
              <w:t xml:space="preserve"> from </w:t>
            </w:r>
            <w:r w:rsidRPr="00563D71">
              <w:rPr>
                <w:sz w:val="20"/>
                <w:szCs w:val="20"/>
              </w:rPr>
              <w:t>the</w:t>
            </w:r>
            <w:r w:rsidR="00076AA2" w:rsidRPr="00563D71">
              <w:rPr>
                <w:sz w:val="20"/>
                <w:szCs w:val="20"/>
              </w:rPr>
              <w:t xml:space="preserve"> state budget.  Minister of Home Affairs Regulation No. 72 </w:t>
            </w:r>
            <w:r w:rsidR="00572343" w:rsidRPr="00563D71">
              <w:rPr>
                <w:sz w:val="20"/>
                <w:szCs w:val="20"/>
              </w:rPr>
              <w:t>Year</w:t>
            </w:r>
            <w:r w:rsidR="00076AA2" w:rsidRPr="00563D71">
              <w:rPr>
                <w:sz w:val="20"/>
                <w:szCs w:val="20"/>
              </w:rPr>
              <w:t xml:space="preserve"> 2012 indicate</w:t>
            </w:r>
            <w:r w:rsidRPr="00563D71">
              <w:rPr>
                <w:sz w:val="20"/>
                <w:szCs w:val="20"/>
              </w:rPr>
              <w:t>s</w:t>
            </w:r>
            <w:r w:rsidR="00076AA2" w:rsidRPr="00563D71">
              <w:rPr>
                <w:sz w:val="20"/>
                <w:szCs w:val="20"/>
              </w:rPr>
              <w:t xml:space="preserve"> operational and supporting land acquisition implementation for public interest development</w:t>
            </w:r>
            <w:r w:rsidR="00973176" w:rsidRPr="00563D71">
              <w:rPr>
                <w:sz w:val="20"/>
                <w:szCs w:val="20"/>
              </w:rPr>
              <w:t xml:space="preserve"> source from a regional budget.</w:t>
            </w:r>
          </w:p>
        </w:tc>
      </w:tr>
      <w:tr w:rsidR="00E53E8D" w:rsidRPr="00563D71" w14:paraId="5502D9FD"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5312DE35" w14:textId="4E4F9A17" w:rsidR="00E53E8D" w:rsidRPr="00563D71" w:rsidRDefault="00E53E8D" w:rsidP="003D2E29">
            <w:pPr>
              <w:spacing w:before="0"/>
              <w:ind w:left="0" w:firstLine="0"/>
              <w:rPr>
                <w:sz w:val="20"/>
                <w:szCs w:val="20"/>
              </w:rPr>
            </w:pPr>
            <w:r w:rsidRPr="00563D71">
              <w:rPr>
                <w:sz w:val="20"/>
                <w:szCs w:val="20"/>
              </w:rPr>
              <w:t>Ministry of Home Affairs Regulation (Permendagri) No. 72</w:t>
            </w:r>
            <w:r w:rsidR="00572343" w:rsidRPr="00563D71">
              <w:rPr>
                <w:sz w:val="20"/>
                <w:szCs w:val="20"/>
              </w:rPr>
              <w:t xml:space="preserve"> Year </w:t>
            </w:r>
            <w:r w:rsidRPr="00563D71">
              <w:rPr>
                <w:sz w:val="20"/>
                <w:szCs w:val="20"/>
              </w:rPr>
              <w:t xml:space="preserve">2012 </w:t>
            </w:r>
            <w:r w:rsidR="00D24702" w:rsidRPr="00563D71">
              <w:rPr>
                <w:sz w:val="20"/>
                <w:szCs w:val="20"/>
              </w:rPr>
              <w:t xml:space="preserve">on </w:t>
            </w:r>
            <w:r w:rsidRPr="00563D71">
              <w:rPr>
                <w:sz w:val="20"/>
                <w:szCs w:val="20"/>
              </w:rPr>
              <w:t xml:space="preserve">Operational and Supporting Cost in Implementation of Land Acquisition for Development of Public Use </w:t>
            </w:r>
            <w:r w:rsidR="00BB6A54" w:rsidRPr="00563D71">
              <w:rPr>
                <w:sz w:val="20"/>
                <w:szCs w:val="20"/>
              </w:rPr>
              <w:t>P</w:t>
            </w:r>
            <w:r w:rsidRPr="00563D71">
              <w:rPr>
                <w:sz w:val="20"/>
                <w:szCs w:val="20"/>
              </w:rPr>
              <w:t>rovided by Regional Budget (APBD</w:t>
            </w:r>
            <w:r w:rsidR="00572343" w:rsidRPr="00563D71">
              <w:rPr>
                <w:sz w:val="20"/>
                <w:szCs w:val="20"/>
              </w:rPr>
              <w:t>)</w:t>
            </w:r>
          </w:p>
        </w:tc>
        <w:tc>
          <w:tcPr>
            <w:tcW w:w="5940" w:type="dxa"/>
            <w:tcBorders>
              <w:top w:val="single" w:sz="4" w:space="0" w:color="000000"/>
              <w:left w:val="single" w:sz="4" w:space="0" w:color="000000"/>
              <w:bottom w:val="single" w:sz="4" w:space="0" w:color="000000"/>
              <w:right w:val="single" w:sz="4" w:space="0" w:color="000000"/>
            </w:tcBorders>
          </w:tcPr>
          <w:p w14:paraId="15E388C6" w14:textId="54C84745" w:rsidR="00E53E8D" w:rsidRPr="00563D71" w:rsidRDefault="00E53E8D" w:rsidP="00AA56E0">
            <w:pPr>
              <w:spacing w:before="0"/>
              <w:ind w:left="0" w:firstLine="0"/>
              <w:rPr>
                <w:sz w:val="20"/>
                <w:szCs w:val="20"/>
              </w:rPr>
            </w:pPr>
            <w:r w:rsidRPr="00563D71">
              <w:rPr>
                <w:sz w:val="20"/>
                <w:szCs w:val="20"/>
              </w:rPr>
              <w:t xml:space="preserve">This regulation is another important rule </w:t>
            </w:r>
            <w:r w:rsidR="00BB6A54" w:rsidRPr="00563D71">
              <w:rPr>
                <w:sz w:val="20"/>
                <w:szCs w:val="20"/>
              </w:rPr>
              <w:t xml:space="preserve">governing the </w:t>
            </w:r>
            <w:r w:rsidRPr="00563D71">
              <w:rPr>
                <w:sz w:val="20"/>
                <w:szCs w:val="20"/>
              </w:rPr>
              <w:t>implement</w:t>
            </w:r>
            <w:r w:rsidR="00BB6A54" w:rsidRPr="00563D71">
              <w:rPr>
                <w:sz w:val="20"/>
                <w:szCs w:val="20"/>
              </w:rPr>
              <w:t>ation</w:t>
            </w:r>
            <w:r w:rsidR="00AA367B" w:rsidRPr="00563D71">
              <w:rPr>
                <w:sz w:val="20"/>
                <w:szCs w:val="20"/>
              </w:rPr>
              <w:t xml:space="preserve"> of</w:t>
            </w:r>
            <w:r w:rsidRPr="00563D71">
              <w:rPr>
                <w:sz w:val="20"/>
                <w:szCs w:val="20"/>
              </w:rPr>
              <w:t xml:space="preserve"> land acquisition for public use </w:t>
            </w:r>
            <w:r w:rsidR="00AA367B" w:rsidRPr="00563D71">
              <w:rPr>
                <w:sz w:val="20"/>
                <w:szCs w:val="20"/>
              </w:rPr>
              <w:t>at the</w:t>
            </w:r>
            <w:r w:rsidRPr="00563D71">
              <w:rPr>
                <w:sz w:val="20"/>
                <w:szCs w:val="20"/>
              </w:rPr>
              <w:t xml:space="preserve"> regional level (province/regency/city). Because of decentralization policy, regional governments have to provide their own budget to build public use project</w:t>
            </w:r>
            <w:r w:rsidR="001D45B2" w:rsidRPr="00563D71">
              <w:rPr>
                <w:sz w:val="20"/>
                <w:szCs w:val="20"/>
              </w:rPr>
              <w:t>s</w:t>
            </w:r>
            <w:r w:rsidRPr="00563D71">
              <w:rPr>
                <w:sz w:val="20"/>
                <w:szCs w:val="20"/>
              </w:rPr>
              <w:t xml:space="preserve"> in</w:t>
            </w:r>
            <w:r w:rsidR="00AA367B" w:rsidRPr="00563D71">
              <w:rPr>
                <w:sz w:val="20"/>
                <w:szCs w:val="20"/>
              </w:rPr>
              <w:t xml:space="preserve"> their</w:t>
            </w:r>
            <w:r w:rsidRPr="00563D71">
              <w:rPr>
                <w:sz w:val="20"/>
                <w:szCs w:val="20"/>
              </w:rPr>
              <w:t xml:space="preserve"> regions. The regulation is designed to provide financial arrangement</w:t>
            </w:r>
            <w:r w:rsidR="00AA367B" w:rsidRPr="00563D71">
              <w:rPr>
                <w:sz w:val="20"/>
                <w:szCs w:val="20"/>
              </w:rPr>
              <w:t>s</w:t>
            </w:r>
            <w:r w:rsidRPr="00563D71">
              <w:rPr>
                <w:sz w:val="20"/>
                <w:szCs w:val="20"/>
              </w:rPr>
              <w:t xml:space="preserve"> </w:t>
            </w:r>
            <w:r w:rsidR="00AA367B" w:rsidRPr="00563D71">
              <w:rPr>
                <w:sz w:val="20"/>
                <w:szCs w:val="20"/>
              </w:rPr>
              <w:t xml:space="preserve">for </w:t>
            </w:r>
            <w:r w:rsidRPr="00563D71">
              <w:rPr>
                <w:sz w:val="20"/>
                <w:szCs w:val="20"/>
              </w:rPr>
              <w:t xml:space="preserve">any land acquisition for public use project. It consists of provisions pertaining to </w:t>
            </w:r>
            <w:bookmarkStart w:id="57" w:name="OLE_LINK6"/>
            <w:bookmarkStart w:id="58" w:name="OLE_LINK10"/>
            <w:r w:rsidR="00AA56E0" w:rsidRPr="00563D71">
              <w:rPr>
                <w:sz w:val="20"/>
                <w:szCs w:val="20"/>
              </w:rPr>
              <w:t xml:space="preserve">financing the operational expenses and </w:t>
            </w:r>
            <w:r w:rsidR="00231AC6" w:rsidRPr="00563D71">
              <w:rPr>
                <w:sz w:val="20"/>
                <w:szCs w:val="20"/>
              </w:rPr>
              <w:t>other</w:t>
            </w:r>
            <w:r w:rsidR="00AA56E0" w:rsidRPr="00563D71">
              <w:rPr>
                <w:sz w:val="20"/>
                <w:szCs w:val="20"/>
              </w:rPr>
              <w:t xml:space="preserve"> costs needed by the land acquisition committee when they are organizing the land acquisition process.</w:t>
            </w:r>
            <w:bookmarkEnd w:id="57"/>
            <w:bookmarkEnd w:id="58"/>
          </w:p>
        </w:tc>
      </w:tr>
      <w:tr w:rsidR="00E53E8D" w:rsidRPr="00563D71" w14:paraId="2F1FC116"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17AA12EC" w14:textId="1FDFCA76" w:rsidR="00E53E8D" w:rsidRPr="00563D71" w:rsidRDefault="00B22538" w:rsidP="003D2E29">
            <w:pPr>
              <w:spacing w:before="0"/>
              <w:ind w:left="0" w:firstLine="0"/>
              <w:rPr>
                <w:sz w:val="20"/>
                <w:szCs w:val="20"/>
              </w:rPr>
            </w:pPr>
            <w:r w:rsidRPr="00563D71">
              <w:rPr>
                <w:sz w:val="20"/>
                <w:szCs w:val="20"/>
              </w:rPr>
              <w:t xml:space="preserve">State Minister of National Development Planning/Head of National Development and Planning Agency Regulation No. 005/M.PPN/06/2006 </w:t>
            </w:r>
            <w:r w:rsidR="00D24702" w:rsidRPr="00563D71">
              <w:rPr>
                <w:sz w:val="20"/>
                <w:szCs w:val="20"/>
              </w:rPr>
              <w:t xml:space="preserve">on </w:t>
            </w:r>
            <w:r w:rsidRPr="00563D71">
              <w:rPr>
                <w:sz w:val="20"/>
                <w:szCs w:val="20"/>
              </w:rPr>
              <w:t>Planning Mechanism and Proposal Submission and Project Appraisal Financed by Foreign Loan and/or Grant.</w:t>
            </w:r>
          </w:p>
        </w:tc>
        <w:tc>
          <w:tcPr>
            <w:tcW w:w="5940" w:type="dxa"/>
            <w:tcBorders>
              <w:top w:val="single" w:sz="4" w:space="0" w:color="000000"/>
              <w:left w:val="single" w:sz="4" w:space="0" w:color="000000"/>
              <w:bottom w:val="single" w:sz="4" w:space="0" w:color="000000"/>
              <w:right w:val="single" w:sz="4" w:space="0" w:color="000000"/>
            </w:tcBorders>
          </w:tcPr>
          <w:p w14:paraId="72A4961D" w14:textId="04A8CF8D" w:rsidR="003711C7" w:rsidRPr="00563D71" w:rsidRDefault="00B22538" w:rsidP="003D2E29">
            <w:pPr>
              <w:spacing w:before="0"/>
              <w:ind w:left="0" w:firstLine="0"/>
              <w:rPr>
                <w:sz w:val="20"/>
                <w:szCs w:val="20"/>
              </w:rPr>
            </w:pPr>
            <w:r w:rsidRPr="00563D71">
              <w:rPr>
                <w:sz w:val="20"/>
                <w:szCs w:val="20"/>
              </w:rPr>
              <w:t>Th</w:t>
            </w:r>
            <w:r w:rsidR="00AA367B" w:rsidRPr="00563D71">
              <w:rPr>
                <w:sz w:val="20"/>
                <w:szCs w:val="20"/>
              </w:rPr>
              <w:t>is</w:t>
            </w:r>
            <w:r w:rsidRPr="00563D71">
              <w:rPr>
                <w:sz w:val="20"/>
                <w:szCs w:val="20"/>
              </w:rPr>
              <w:t xml:space="preserve"> regulation stipulates the criteria </w:t>
            </w:r>
            <w:r w:rsidR="00D044A2" w:rsidRPr="00563D71">
              <w:rPr>
                <w:sz w:val="20"/>
                <w:szCs w:val="20"/>
              </w:rPr>
              <w:t xml:space="preserve">for </w:t>
            </w:r>
            <w:r w:rsidRPr="00563D71">
              <w:rPr>
                <w:sz w:val="20"/>
                <w:szCs w:val="20"/>
              </w:rPr>
              <w:t xml:space="preserve">development activities or projects that </w:t>
            </w:r>
            <w:r w:rsidR="00D044A2" w:rsidRPr="00563D71">
              <w:rPr>
                <w:sz w:val="20"/>
                <w:szCs w:val="20"/>
              </w:rPr>
              <w:t xml:space="preserve">can </w:t>
            </w:r>
            <w:r w:rsidRPr="00563D71">
              <w:rPr>
                <w:sz w:val="20"/>
                <w:szCs w:val="20"/>
              </w:rPr>
              <w:t xml:space="preserve">be financed by foreign loan or grant. Article 29 says that </w:t>
            </w:r>
            <w:r w:rsidR="00D044A2" w:rsidRPr="00563D71">
              <w:rPr>
                <w:sz w:val="20"/>
                <w:szCs w:val="20"/>
              </w:rPr>
              <w:t xml:space="preserve">the </w:t>
            </w:r>
            <w:r w:rsidRPr="00563D71">
              <w:rPr>
                <w:sz w:val="20"/>
                <w:szCs w:val="20"/>
              </w:rPr>
              <w:t>State Minister of National Development Planning evaluates whether proposed projects are ready to be implemented. There are seven criteria of readiness that must be fulfilled by a project</w:t>
            </w:r>
            <w:r w:rsidR="00D044A2" w:rsidRPr="00563D71">
              <w:rPr>
                <w:sz w:val="20"/>
                <w:szCs w:val="20"/>
              </w:rPr>
              <w:t>,</w:t>
            </w:r>
            <w:r w:rsidRPr="00563D71">
              <w:rPr>
                <w:sz w:val="20"/>
                <w:szCs w:val="20"/>
              </w:rPr>
              <w:t xml:space="preserve"> </w:t>
            </w:r>
            <w:r w:rsidR="00D044A2" w:rsidRPr="00563D71">
              <w:rPr>
                <w:sz w:val="20"/>
                <w:szCs w:val="20"/>
              </w:rPr>
              <w:t>o</w:t>
            </w:r>
            <w:r w:rsidRPr="00563D71">
              <w:rPr>
                <w:sz w:val="20"/>
                <w:szCs w:val="20"/>
              </w:rPr>
              <w:t xml:space="preserve">ne of </w:t>
            </w:r>
            <w:r w:rsidR="00D044A2" w:rsidRPr="00563D71">
              <w:rPr>
                <w:sz w:val="20"/>
                <w:szCs w:val="20"/>
              </w:rPr>
              <w:t xml:space="preserve">which </w:t>
            </w:r>
            <w:r w:rsidRPr="00563D71">
              <w:rPr>
                <w:sz w:val="20"/>
                <w:szCs w:val="20"/>
              </w:rPr>
              <w:t>is the requirement to prepare a resettlement plan (RP) if a project requires land acquisition.</w:t>
            </w:r>
          </w:p>
        </w:tc>
      </w:tr>
      <w:tr w:rsidR="00E53E8D" w:rsidRPr="00563D71" w14:paraId="4BF0291E"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3BC47D09" w14:textId="7C17B2E4" w:rsidR="00E53E8D" w:rsidRPr="00563D71" w:rsidRDefault="00B22538" w:rsidP="003D2E29">
            <w:pPr>
              <w:spacing w:before="0"/>
              <w:ind w:left="0" w:firstLine="0"/>
              <w:rPr>
                <w:sz w:val="20"/>
                <w:szCs w:val="20"/>
              </w:rPr>
            </w:pPr>
            <w:r w:rsidRPr="00563D71">
              <w:rPr>
                <w:sz w:val="20"/>
                <w:szCs w:val="20"/>
              </w:rPr>
              <w:lastRenderedPageBreak/>
              <w:t>Government Regulation No</w:t>
            </w:r>
            <w:r w:rsidR="00572343" w:rsidRPr="00563D71">
              <w:rPr>
                <w:sz w:val="20"/>
                <w:szCs w:val="20"/>
              </w:rPr>
              <w:t>.</w:t>
            </w:r>
            <w:r w:rsidRPr="00563D71">
              <w:rPr>
                <w:sz w:val="20"/>
                <w:szCs w:val="20"/>
              </w:rPr>
              <w:t xml:space="preserve"> 42</w:t>
            </w:r>
            <w:r w:rsidR="00572343" w:rsidRPr="00563D71">
              <w:rPr>
                <w:sz w:val="20"/>
                <w:szCs w:val="20"/>
              </w:rPr>
              <w:t xml:space="preserve"> Year </w:t>
            </w:r>
            <w:r w:rsidRPr="00563D71">
              <w:rPr>
                <w:sz w:val="20"/>
                <w:szCs w:val="20"/>
              </w:rPr>
              <w:t xml:space="preserve">2008 </w:t>
            </w:r>
            <w:r w:rsidR="00D24702" w:rsidRPr="00563D71">
              <w:rPr>
                <w:sz w:val="20"/>
                <w:szCs w:val="20"/>
              </w:rPr>
              <w:t xml:space="preserve">on </w:t>
            </w:r>
            <w:r w:rsidRPr="00563D71">
              <w:rPr>
                <w:sz w:val="20"/>
                <w:szCs w:val="20"/>
              </w:rPr>
              <w:t>Management of Water Resources</w:t>
            </w:r>
          </w:p>
        </w:tc>
        <w:tc>
          <w:tcPr>
            <w:tcW w:w="5940" w:type="dxa"/>
            <w:tcBorders>
              <w:top w:val="single" w:sz="4" w:space="0" w:color="000000"/>
              <w:left w:val="single" w:sz="4" w:space="0" w:color="000000"/>
              <w:bottom w:val="single" w:sz="4" w:space="0" w:color="000000"/>
              <w:right w:val="single" w:sz="4" w:space="0" w:color="000000"/>
            </w:tcBorders>
          </w:tcPr>
          <w:p w14:paraId="7BCCDE18" w14:textId="77777777" w:rsidR="00B22538" w:rsidRPr="00563D71" w:rsidRDefault="00B22538" w:rsidP="003D2E29">
            <w:pPr>
              <w:spacing w:before="0" w:after="120"/>
              <w:ind w:left="0" w:firstLine="0"/>
              <w:rPr>
                <w:sz w:val="20"/>
                <w:szCs w:val="20"/>
              </w:rPr>
            </w:pPr>
            <w:r w:rsidRPr="00563D71">
              <w:rPr>
                <w:sz w:val="20"/>
                <w:szCs w:val="20"/>
              </w:rPr>
              <w:t>Article 15 paragraph 2 (c) of the Government Regulation regulates that any plan on water resources management must refer to data and/or information regarding many aspects of plan including existence of customary law community. More than that, Article 21 requires the Government to hold public consultation with technical offices and affected communities.</w:t>
            </w:r>
          </w:p>
          <w:p w14:paraId="7BFDA000" w14:textId="7917F354" w:rsidR="00221F7F" w:rsidRPr="00563D71" w:rsidRDefault="00B22538" w:rsidP="003D2E29">
            <w:pPr>
              <w:spacing w:before="0"/>
              <w:ind w:left="0" w:firstLine="0"/>
              <w:rPr>
                <w:sz w:val="20"/>
                <w:szCs w:val="20"/>
              </w:rPr>
            </w:pPr>
            <w:r w:rsidRPr="00563D71">
              <w:rPr>
                <w:sz w:val="20"/>
                <w:szCs w:val="20"/>
              </w:rPr>
              <w:t>In the context of building construction facilities of water resources and operating and maintaining of those facilities that may harm or disadvantage people, the initiator of the project is responsible to provide compensation.</w:t>
            </w:r>
            <w:r w:rsidR="001D45B2" w:rsidRPr="00563D71">
              <w:rPr>
                <w:sz w:val="20"/>
                <w:szCs w:val="20"/>
              </w:rPr>
              <w:t xml:space="preserve">  </w:t>
            </w:r>
            <w:r w:rsidRPr="00563D71">
              <w:rPr>
                <w:sz w:val="20"/>
                <w:szCs w:val="20"/>
              </w:rPr>
              <w:t>Another approach is stated in Article 66 that says that usage of water source is conducted by considering socio cultural background and customary right that is related with water resources.</w:t>
            </w:r>
          </w:p>
        </w:tc>
      </w:tr>
      <w:tr w:rsidR="009D72BB" w:rsidRPr="00563D71" w14:paraId="5715AE58"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40A7FC09" w14:textId="3116595E" w:rsidR="009D72BB" w:rsidRPr="00563D71" w:rsidRDefault="009D72BB" w:rsidP="003D2E29">
            <w:pPr>
              <w:spacing w:before="0"/>
              <w:ind w:left="0" w:firstLine="0"/>
              <w:rPr>
                <w:sz w:val="20"/>
                <w:szCs w:val="20"/>
              </w:rPr>
            </w:pPr>
            <w:r w:rsidRPr="00563D71">
              <w:rPr>
                <w:sz w:val="20"/>
                <w:szCs w:val="20"/>
              </w:rPr>
              <w:t xml:space="preserve">Minister of Forestry Regulation (Permenhut) No. P.18/Menhut-II/2011 </w:t>
            </w:r>
            <w:r w:rsidR="00D24702" w:rsidRPr="00563D71">
              <w:rPr>
                <w:sz w:val="20"/>
                <w:szCs w:val="20"/>
              </w:rPr>
              <w:t xml:space="preserve">on </w:t>
            </w:r>
            <w:r w:rsidRPr="00563D71">
              <w:rPr>
                <w:sz w:val="20"/>
                <w:szCs w:val="20"/>
              </w:rPr>
              <w:t>Guideline for Lend and Use of Forest Area (replace</w:t>
            </w:r>
            <w:r w:rsidR="00024217" w:rsidRPr="00563D71">
              <w:rPr>
                <w:sz w:val="20"/>
                <w:szCs w:val="20"/>
              </w:rPr>
              <w:t>s</w:t>
            </w:r>
            <w:r w:rsidRPr="00563D71">
              <w:rPr>
                <w:sz w:val="20"/>
                <w:szCs w:val="20"/>
              </w:rPr>
              <w:t xml:space="preserve"> Permenhut No</w:t>
            </w:r>
            <w:r w:rsidR="00024217" w:rsidRPr="00563D71">
              <w:rPr>
                <w:sz w:val="20"/>
                <w:szCs w:val="20"/>
              </w:rPr>
              <w:t>.</w:t>
            </w:r>
            <w:r w:rsidRPr="00563D71">
              <w:rPr>
                <w:sz w:val="20"/>
                <w:szCs w:val="20"/>
              </w:rPr>
              <w:t xml:space="preserve"> P.43/Menhut-II/2008 on the same issues)</w:t>
            </w:r>
          </w:p>
        </w:tc>
        <w:tc>
          <w:tcPr>
            <w:tcW w:w="5940" w:type="dxa"/>
            <w:tcBorders>
              <w:top w:val="single" w:sz="4" w:space="0" w:color="000000"/>
              <w:left w:val="single" w:sz="4" w:space="0" w:color="000000"/>
              <w:bottom w:val="single" w:sz="4" w:space="0" w:color="000000"/>
              <w:right w:val="single" w:sz="4" w:space="0" w:color="000000"/>
            </w:tcBorders>
          </w:tcPr>
          <w:p w14:paraId="077CBAC4" w14:textId="6463CEB8" w:rsidR="009D72BB" w:rsidRPr="00563D71" w:rsidRDefault="009D72BB" w:rsidP="003D2E29">
            <w:pPr>
              <w:spacing w:before="0"/>
              <w:ind w:left="0" w:firstLine="0"/>
              <w:rPr>
                <w:sz w:val="20"/>
                <w:szCs w:val="20"/>
              </w:rPr>
            </w:pPr>
            <w:r w:rsidRPr="00563D71">
              <w:rPr>
                <w:sz w:val="20"/>
                <w:szCs w:val="20"/>
              </w:rPr>
              <w:t>This regulation sets forth the guideline of lending and using forest area to Ministry of Forestry (</w:t>
            </w:r>
            <w:r w:rsidRPr="00563D71">
              <w:rPr>
                <w:i/>
                <w:sz w:val="20"/>
                <w:szCs w:val="20"/>
              </w:rPr>
              <w:t>Permohonan Izin Pinjam Pakai Kawasan Hutan</w:t>
            </w:r>
            <w:r w:rsidRPr="00563D71">
              <w:rPr>
                <w:sz w:val="20"/>
                <w:szCs w:val="20"/>
              </w:rPr>
              <w:t xml:space="preserve">). </w:t>
            </w:r>
            <w:r w:rsidR="001D45B2" w:rsidRPr="00563D71">
              <w:rPr>
                <w:sz w:val="20"/>
                <w:szCs w:val="20"/>
              </w:rPr>
              <w:t>It</w:t>
            </w:r>
            <w:r w:rsidRPr="00563D71">
              <w:rPr>
                <w:sz w:val="20"/>
                <w:szCs w:val="20"/>
              </w:rPr>
              <w:t xml:space="preserve"> regulates non-forest use of forest area by parties</w:t>
            </w:r>
            <w:r w:rsidR="001D45B2" w:rsidRPr="00563D71">
              <w:rPr>
                <w:sz w:val="20"/>
                <w:szCs w:val="20"/>
              </w:rPr>
              <w:t xml:space="preserve">. Only two types of forest </w:t>
            </w:r>
            <w:r w:rsidRPr="00563D71">
              <w:rPr>
                <w:sz w:val="20"/>
                <w:szCs w:val="20"/>
              </w:rPr>
              <w:t>can be used for non-forest activities namely production forest (</w:t>
            </w:r>
            <w:r w:rsidRPr="00563D71">
              <w:rPr>
                <w:i/>
                <w:sz w:val="20"/>
                <w:szCs w:val="20"/>
              </w:rPr>
              <w:t>hutan produksi</w:t>
            </w:r>
            <w:r w:rsidRPr="00563D71">
              <w:rPr>
                <w:sz w:val="20"/>
                <w:szCs w:val="20"/>
              </w:rPr>
              <w:t>) and protection forest (</w:t>
            </w:r>
            <w:r w:rsidRPr="00563D71">
              <w:rPr>
                <w:i/>
                <w:sz w:val="20"/>
                <w:szCs w:val="20"/>
              </w:rPr>
              <w:t>hutan lindung</w:t>
            </w:r>
            <w:r w:rsidRPr="00563D71">
              <w:rPr>
                <w:sz w:val="20"/>
                <w:szCs w:val="20"/>
              </w:rPr>
              <w:t>).</w:t>
            </w:r>
          </w:p>
        </w:tc>
      </w:tr>
      <w:tr w:rsidR="00B22538" w:rsidRPr="00563D71" w14:paraId="658190E8"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56921173" w14:textId="3B6E6643" w:rsidR="00B22538" w:rsidRPr="00563D71" w:rsidRDefault="00B22538" w:rsidP="003D2E29">
            <w:pPr>
              <w:spacing w:before="0"/>
              <w:ind w:left="0" w:firstLine="0"/>
              <w:rPr>
                <w:sz w:val="20"/>
                <w:szCs w:val="20"/>
              </w:rPr>
            </w:pPr>
            <w:r w:rsidRPr="00563D71">
              <w:rPr>
                <w:sz w:val="20"/>
                <w:szCs w:val="20"/>
              </w:rPr>
              <w:t>Law No</w:t>
            </w:r>
            <w:r w:rsidR="00572343" w:rsidRPr="00563D71">
              <w:rPr>
                <w:sz w:val="20"/>
                <w:szCs w:val="20"/>
              </w:rPr>
              <w:t>.</w:t>
            </w:r>
            <w:r w:rsidRPr="00563D71">
              <w:rPr>
                <w:sz w:val="20"/>
                <w:szCs w:val="20"/>
              </w:rPr>
              <w:t xml:space="preserve"> 14</w:t>
            </w:r>
            <w:r w:rsidR="00572343" w:rsidRPr="00563D71">
              <w:rPr>
                <w:sz w:val="20"/>
                <w:szCs w:val="20"/>
              </w:rPr>
              <w:t xml:space="preserve"> Year </w:t>
            </w:r>
            <w:r w:rsidRPr="00563D71">
              <w:rPr>
                <w:sz w:val="20"/>
                <w:szCs w:val="20"/>
              </w:rPr>
              <w:t>2008 Concerning Disclosure of Public Information</w:t>
            </w:r>
            <w:r w:rsidR="0001423C" w:rsidRPr="00563D71">
              <w:rPr>
                <w:sz w:val="20"/>
                <w:szCs w:val="20"/>
              </w:rPr>
              <w:t>, and Government Regulation No</w:t>
            </w:r>
            <w:r w:rsidR="00572343" w:rsidRPr="00563D71">
              <w:rPr>
                <w:sz w:val="20"/>
                <w:szCs w:val="20"/>
              </w:rPr>
              <w:t>.</w:t>
            </w:r>
            <w:r w:rsidR="0001423C" w:rsidRPr="00563D71">
              <w:rPr>
                <w:sz w:val="20"/>
                <w:szCs w:val="20"/>
              </w:rPr>
              <w:t xml:space="preserve"> 61</w:t>
            </w:r>
            <w:r w:rsidR="00572343" w:rsidRPr="00563D71">
              <w:rPr>
                <w:sz w:val="20"/>
                <w:szCs w:val="20"/>
              </w:rPr>
              <w:t xml:space="preserve"> Year </w:t>
            </w:r>
            <w:r w:rsidR="0001423C" w:rsidRPr="00563D71">
              <w:rPr>
                <w:sz w:val="20"/>
                <w:szCs w:val="20"/>
              </w:rPr>
              <w:t xml:space="preserve">2010 on </w:t>
            </w:r>
            <w:r w:rsidR="00D24702" w:rsidRPr="00563D71">
              <w:rPr>
                <w:sz w:val="20"/>
                <w:szCs w:val="20"/>
              </w:rPr>
              <w:t xml:space="preserve">the </w:t>
            </w:r>
            <w:r w:rsidR="0001423C" w:rsidRPr="00563D71">
              <w:rPr>
                <w:sz w:val="20"/>
                <w:szCs w:val="20"/>
              </w:rPr>
              <w:t>Implementation of Law No. 14</w:t>
            </w:r>
            <w:r w:rsidR="00572343" w:rsidRPr="00563D71">
              <w:rPr>
                <w:sz w:val="20"/>
                <w:szCs w:val="20"/>
              </w:rPr>
              <w:t xml:space="preserve"> Year </w:t>
            </w:r>
            <w:r w:rsidR="0001423C" w:rsidRPr="00563D71">
              <w:rPr>
                <w:sz w:val="20"/>
                <w:szCs w:val="20"/>
              </w:rPr>
              <w:t>2008</w:t>
            </w:r>
          </w:p>
          <w:p w14:paraId="3CB445EA" w14:textId="77777777" w:rsidR="00B22538" w:rsidRPr="00563D71" w:rsidRDefault="00B22538" w:rsidP="003D2E29">
            <w:pPr>
              <w:spacing w:before="0"/>
              <w:ind w:left="0" w:firstLine="0"/>
              <w:rPr>
                <w:sz w:val="20"/>
                <w:szCs w:val="20"/>
              </w:rPr>
            </w:pPr>
          </w:p>
          <w:p w14:paraId="6AEAF361" w14:textId="77777777" w:rsidR="00B22538" w:rsidRPr="00563D71" w:rsidRDefault="00B22538" w:rsidP="003D2E29">
            <w:pPr>
              <w:spacing w:before="0"/>
              <w:ind w:left="0" w:firstLine="0"/>
              <w:rPr>
                <w:sz w:val="20"/>
                <w:szCs w:val="20"/>
              </w:rPr>
            </w:pPr>
          </w:p>
          <w:p w14:paraId="5287B41E" w14:textId="77777777" w:rsidR="00B22538" w:rsidRPr="00563D71" w:rsidRDefault="00B22538" w:rsidP="003D2E29">
            <w:pPr>
              <w:spacing w:before="0"/>
              <w:ind w:left="0" w:firstLine="0"/>
              <w:rPr>
                <w:sz w:val="20"/>
                <w:szCs w:val="20"/>
              </w:rPr>
            </w:pPr>
          </w:p>
        </w:tc>
        <w:tc>
          <w:tcPr>
            <w:tcW w:w="5940" w:type="dxa"/>
            <w:tcBorders>
              <w:top w:val="single" w:sz="4" w:space="0" w:color="000000"/>
              <w:left w:val="single" w:sz="4" w:space="0" w:color="000000"/>
              <w:bottom w:val="single" w:sz="4" w:space="0" w:color="000000"/>
              <w:right w:val="single" w:sz="4" w:space="0" w:color="000000"/>
            </w:tcBorders>
          </w:tcPr>
          <w:p w14:paraId="7FD690E5" w14:textId="41F0214F" w:rsidR="00B22538" w:rsidRPr="00563D71" w:rsidRDefault="00B22538" w:rsidP="005F1626">
            <w:pPr>
              <w:spacing w:before="0" w:after="100" w:afterAutospacing="1"/>
              <w:ind w:left="0" w:firstLine="0"/>
              <w:rPr>
                <w:sz w:val="20"/>
                <w:szCs w:val="20"/>
              </w:rPr>
            </w:pPr>
            <w:r w:rsidRPr="00563D71">
              <w:rPr>
                <w:sz w:val="20"/>
                <w:szCs w:val="20"/>
              </w:rPr>
              <w:t xml:space="preserve">Article 2 and 3 of Law </w:t>
            </w:r>
            <w:r w:rsidR="00572343" w:rsidRPr="00563D71">
              <w:rPr>
                <w:sz w:val="20"/>
                <w:szCs w:val="20"/>
              </w:rPr>
              <w:t xml:space="preserve">No. </w:t>
            </w:r>
            <w:r w:rsidRPr="00563D71">
              <w:rPr>
                <w:sz w:val="20"/>
                <w:szCs w:val="20"/>
              </w:rPr>
              <w:t>14</w:t>
            </w:r>
            <w:r w:rsidR="00572343" w:rsidRPr="00563D71">
              <w:rPr>
                <w:sz w:val="20"/>
                <w:szCs w:val="20"/>
              </w:rPr>
              <w:t xml:space="preserve"> Year </w:t>
            </w:r>
            <w:r w:rsidRPr="00563D71">
              <w:rPr>
                <w:sz w:val="20"/>
                <w:szCs w:val="20"/>
              </w:rPr>
              <w:t>2008 is intended to guarantee citizen</w:t>
            </w:r>
            <w:r w:rsidR="00024217" w:rsidRPr="00563D71">
              <w:rPr>
                <w:sz w:val="20"/>
                <w:szCs w:val="20"/>
              </w:rPr>
              <w:t>s</w:t>
            </w:r>
            <w:r w:rsidRPr="00563D71">
              <w:rPr>
                <w:sz w:val="20"/>
                <w:szCs w:val="20"/>
              </w:rPr>
              <w:t xml:space="preserve"> </w:t>
            </w:r>
            <w:r w:rsidR="00024217" w:rsidRPr="00563D71">
              <w:rPr>
                <w:sz w:val="20"/>
                <w:szCs w:val="20"/>
              </w:rPr>
              <w:t xml:space="preserve">the right </w:t>
            </w:r>
            <w:r w:rsidRPr="00563D71">
              <w:rPr>
                <w:sz w:val="20"/>
                <w:szCs w:val="20"/>
              </w:rPr>
              <w:t xml:space="preserve">to </w:t>
            </w:r>
            <w:r w:rsidR="00024217" w:rsidRPr="00563D71">
              <w:rPr>
                <w:sz w:val="20"/>
                <w:szCs w:val="20"/>
              </w:rPr>
              <w:t xml:space="preserve">access </w:t>
            </w:r>
            <w:r w:rsidRPr="00563D71">
              <w:rPr>
                <w:sz w:val="20"/>
                <w:szCs w:val="20"/>
              </w:rPr>
              <w:t>public decision</w:t>
            </w:r>
            <w:r w:rsidR="00024217" w:rsidRPr="00563D71">
              <w:rPr>
                <w:sz w:val="20"/>
                <w:szCs w:val="20"/>
              </w:rPr>
              <w:t>-</w:t>
            </w:r>
            <w:r w:rsidRPr="00563D71">
              <w:rPr>
                <w:sz w:val="20"/>
                <w:szCs w:val="20"/>
              </w:rPr>
              <w:t>making plan</w:t>
            </w:r>
            <w:r w:rsidR="00024217" w:rsidRPr="00563D71">
              <w:rPr>
                <w:sz w:val="20"/>
                <w:szCs w:val="20"/>
              </w:rPr>
              <w:t>s</w:t>
            </w:r>
            <w:r w:rsidRPr="00563D71">
              <w:rPr>
                <w:sz w:val="20"/>
                <w:szCs w:val="20"/>
              </w:rPr>
              <w:t xml:space="preserve">, </w:t>
            </w:r>
            <w:r w:rsidR="00024217" w:rsidRPr="00563D71">
              <w:rPr>
                <w:sz w:val="20"/>
                <w:szCs w:val="20"/>
              </w:rPr>
              <w:t xml:space="preserve">the </w:t>
            </w:r>
            <w:r w:rsidRPr="00563D71">
              <w:rPr>
                <w:sz w:val="20"/>
                <w:szCs w:val="20"/>
              </w:rPr>
              <w:t>process</w:t>
            </w:r>
            <w:r w:rsidR="00024217" w:rsidRPr="00563D71">
              <w:rPr>
                <w:sz w:val="20"/>
                <w:szCs w:val="20"/>
              </w:rPr>
              <w:t>es</w:t>
            </w:r>
            <w:r w:rsidRPr="00563D71">
              <w:rPr>
                <w:sz w:val="20"/>
                <w:szCs w:val="20"/>
              </w:rPr>
              <w:t xml:space="preserve"> of public decision making, and </w:t>
            </w:r>
            <w:r w:rsidR="00024217" w:rsidRPr="00563D71">
              <w:rPr>
                <w:sz w:val="20"/>
                <w:szCs w:val="20"/>
              </w:rPr>
              <w:t xml:space="preserve">the </w:t>
            </w:r>
            <w:r w:rsidRPr="00563D71">
              <w:rPr>
                <w:sz w:val="20"/>
                <w:szCs w:val="20"/>
              </w:rPr>
              <w:t>reason</w:t>
            </w:r>
            <w:r w:rsidR="00024217" w:rsidRPr="00563D71">
              <w:rPr>
                <w:sz w:val="20"/>
                <w:szCs w:val="20"/>
              </w:rPr>
              <w:t>s</w:t>
            </w:r>
            <w:r w:rsidRPr="00563D71">
              <w:rPr>
                <w:sz w:val="20"/>
                <w:szCs w:val="20"/>
              </w:rPr>
              <w:t xml:space="preserve"> why a public decision is made. Consequently, the process supports participatory action from civil society in public decision</w:t>
            </w:r>
            <w:r w:rsidR="004B4A40" w:rsidRPr="00563D71">
              <w:rPr>
                <w:sz w:val="20"/>
                <w:szCs w:val="20"/>
              </w:rPr>
              <w:t>-</w:t>
            </w:r>
            <w:r w:rsidRPr="00563D71">
              <w:rPr>
                <w:sz w:val="20"/>
                <w:szCs w:val="20"/>
              </w:rPr>
              <w:t xml:space="preserve">making. </w:t>
            </w:r>
            <w:r w:rsidR="002860C3" w:rsidRPr="00563D71">
              <w:rPr>
                <w:sz w:val="20"/>
                <w:szCs w:val="20"/>
              </w:rPr>
              <w:t>P</w:t>
            </w:r>
            <w:r w:rsidRPr="00563D71">
              <w:rPr>
                <w:sz w:val="20"/>
                <w:szCs w:val="20"/>
              </w:rPr>
              <w:t xml:space="preserve">ublic information is </w:t>
            </w:r>
            <w:r w:rsidR="002860C3" w:rsidRPr="00563D71">
              <w:rPr>
                <w:sz w:val="20"/>
                <w:szCs w:val="20"/>
              </w:rPr>
              <w:t xml:space="preserve">to be </w:t>
            </w:r>
            <w:r w:rsidRPr="00563D71">
              <w:rPr>
                <w:sz w:val="20"/>
                <w:szCs w:val="20"/>
              </w:rPr>
              <w:t xml:space="preserve">open for public and </w:t>
            </w:r>
            <w:r w:rsidR="002860C3" w:rsidRPr="00563D71">
              <w:rPr>
                <w:sz w:val="20"/>
                <w:szCs w:val="20"/>
              </w:rPr>
              <w:t>to</w:t>
            </w:r>
            <w:r w:rsidRPr="00563D71">
              <w:rPr>
                <w:sz w:val="20"/>
                <w:szCs w:val="20"/>
              </w:rPr>
              <w:t xml:space="preserve"> be access</w:t>
            </w:r>
            <w:r w:rsidR="004B4A40" w:rsidRPr="00563D71">
              <w:rPr>
                <w:sz w:val="20"/>
                <w:szCs w:val="20"/>
              </w:rPr>
              <w:t>ible</w:t>
            </w:r>
            <w:r w:rsidRPr="00563D71">
              <w:rPr>
                <w:sz w:val="20"/>
                <w:szCs w:val="20"/>
              </w:rPr>
              <w:t xml:space="preserve"> by any user in the right time, </w:t>
            </w:r>
            <w:r w:rsidR="002860C3" w:rsidRPr="00563D71">
              <w:rPr>
                <w:sz w:val="20"/>
                <w:szCs w:val="20"/>
              </w:rPr>
              <w:t xml:space="preserve">at </w:t>
            </w:r>
            <w:r w:rsidRPr="00563D71">
              <w:rPr>
                <w:sz w:val="20"/>
                <w:szCs w:val="20"/>
              </w:rPr>
              <w:t>low cost and</w:t>
            </w:r>
            <w:r w:rsidR="002860C3" w:rsidRPr="00563D71">
              <w:rPr>
                <w:sz w:val="20"/>
                <w:szCs w:val="20"/>
              </w:rPr>
              <w:t xml:space="preserve"> in a</w:t>
            </w:r>
            <w:r w:rsidRPr="00563D71">
              <w:rPr>
                <w:sz w:val="20"/>
                <w:szCs w:val="20"/>
              </w:rPr>
              <w:t xml:space="preserve"> simple manner.</w:t>
            </w:r>
            <w:r w:rsidR="005F1626" w:rsidRPr="00563D71">
              <w:rPr>
                <w:sz w:val="20"/>
                <w:szCs w:val="20"/>
              </w:rPr>
              <w:t xml:space="preserve"> </w:t>
            </w:r>
            <w:r w:rsidRPr="00563D71">
              <w:rPr>
                <w:sz w:val="20"/>
                <w:szCs w:val="20"/>
              </w:rPr>
              <w:t xml:space="preserve">The </w:t>
            </w:r>
            <w:r w:rsidR="00625BDE" w:rsidRPr="00563D71">
              <w:rPr>
                <w:sz w:val="20"/>
                <w:szCs w:val="20"/>
              </w:rPr>
              <w:t>law</w:t>
            </w:r>
            <w:r w:rsidRPr="00563D71">
              <w:rPr>
                <w:sz w:val="20"/>
                <w:szCs w:val="20"/>
              </w:rPr>
              <w:t xml:space="preserve"> </w:t>
            </w:r>
            <w:r w:rsidR="00A36995" w:rsidRPr="00563D71">
              <w:rPr>
                <w:sz w:val="20"/>
                <w:szCs w:val="20"/>
              </w:rPr>
              <w:t xml:space="preserve">provides a basis for government to disclose any public information including environmental </w:t>
            </w:r>
            <w:r w:rsidR="005F1626" w:rsidRPr="00563D71">
              <w:rPr>
                <w:sz w:val="20"/>
                <w:szCs w:val="20"/>
              </w:rPr>
              <w:t>and social safeguards documents</w:t>
            </w:r>
            <w:r w:rsidRPr="00563D71">
              <w:rPr>
                <w:sz w:val="20"/>
                <w:szCs w:val="20"/>
              </w:rPr>
              <w:t>.</w:t>
            </w:r>
          </w:p>
        </w:tc>
      </w:tr>
      <w:tr w:rsidR="0001423C" w:rsidRPr="00563D71" w14:paraId="2FD91407" w14:textId="77777777" w:rsidTr="00B92DB5">
        <w:trPr>
          <w:trHeight w:val="295"/>
        </w:trPr>
        <w:tc>
          <w:tcPr>
            <w:tcW w:w="3428" w:type="dxa"/>
            <w:tcBorders>
              <w:top w:val="single" w:sz="4" w:space="0" w:color="000000"/>
              <w:left w:val="single" w:sz="4" w:space="0" w:color="000000"/>
              <w:bottom w:val="single" w:sz="4" w:space="0" w:color="000000"/>
              <w:right w:val="single" w:sz="4" w:space="0" w:color="000000"/>
            </w:tcBorders>
          </w:tcPr>
          <w:p w14:paraId="5A95F29A" w14:textId="0C9ECDE0" w:rsidR="0001423C" w:rsidRPr="00563D71" w:rsidRDefault="0001423C" w:rsidP="003D2E29">
            <w:pPr>
              <w:spacing w:before="0"/>
              <w:ind w:left="0" w:firstLine="0"/>
              <w:rPr>
                <w:sz w:val="20"/>
                <w:szCs w:val="20"/>
              </w:rPr>
            </w:pPr>
            <w:r w:rsidRPr="00563D71">
              <w:rPr>
                <w:sz w:val="20"/>
                <w:szCs w:val="20"/>
              </w:rPr>
              <w:t>Law No. 41</w:t>
            </w:r>
            <w:r w:rsidR="00572343" w:rsidRPr="00563D71">
              <w:rPr>
                <w:sz w:val="20"/>
                <w:szCs w:val="20"/>
              </w:rPr>
              <w:t xml:space="preserve"> Year </w:t>
            </w:r>
            <w:r w:rsidRPr="00563D71">
              <w:rPr>
                <w:sz w:val="20"/>
                <w:szCs w:val="20"/>
              </w:rPr>
              <w:t xml:space="preserve">1999 on Forestry, which </w:t>
            </w:r>
            <w:r w:rsidRPr="00563D71">
              <w:rPr>
                <w:color w:val="auto"/>
                <w:sz w:val="20"/>
                <w:szCs w:val="20"/>
              </w:rPr>
              <w:t>has been amended through Law No. 19</w:t>
            </w:r>
            <w:r w:rsidR="00572343" w:rsidRPr="00563D71">
              <w:rPr>
                <w:color w:val="auto"/>
                <w:sz w:val="20"/>
                <w:szCs w:val="20"/>
              </w:rPr>
              <w:t xml:space="preserve"> Year </w:t>
            </w:r>
            <w:r w:rsidRPr="00563D71">
              <w:rPr>
                <w:color w:val="auto"/>
                <w:sz w:val="20"/>
                <w:szCs w:val="20"/>
              </w:rPr>
              <w:t>2004</w:t>
            </w:r>
            <w:r w:rsidRPr="00563D71">
              <w:rPr>
                <w:sz w:val="20"/>
                <w:szCs w:val="20"/>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4588E57F" w14:textId="527FEA03" w:rsidR="0001423C" w:rsidRPr="00563D71" w:rsidRDefault="003C6589" w:rsidP="007978EF">
            <w:pPr>
              <w:spacing w:before="0"/>
              <w:ind w:left="0" w:firstLine="0"/>
              <w:rPr>
                <w:sz w:val="20"/>
                <w:szCs w:val="20"/>
              </w:rPr>
            </w:pPr>
            <w:r w:rsidRPr="00563D71">
              <w:rPr>
                <w:sz w:val="20"/>
                <w:szCs w:val="20"/>
              </w:rPr>
              <w:t>Article 1 point 6 of Law No. 41</w:t>
            </w:r>
            <w:r w:rsidR="007978EF" w:rsidRPr="00563D71">
              <w:rPr>
                <w:sz w:val="20"/>
                <w:szCs w:val="20"/>
              </w:rPr>
              <w:t xml:space="preserve"> Year </w:t>
            </w:r>
            <w:r w:rsidRPr="00563D71">
              <w:rPr>
                <w:sz w:val="20"/>
                <w:szCs w:val="20"/>
              </w:rPr>
              <w:t>1999 on Forestry has been changed by the Constitutional Court Decision No. 35/PUU-X/2012 and has now become “customary forest is a forest located within the area of an indigenous community</w:t>
            </w:r>
            <w:r w:rsidR="007978EF" w:rsidRPr="00563D71">
              <w:rPr>
                <w:sz w:val="20"/>
                <w:szCs w:val="20"/>
              </w:rPr>
              <w:t>.”</w:t>
            </w:r>
            <w:r w:rsidRPr="00563D71">
              <w:rPr>
                <w:sz w:val="20"/>
                <w:szCs w:val="20"/>
              </w:rPr>
              <w:t xml:space="preserve"> Before, </w:t>
            </w:r>
            <w:r w:rsidR="007978EF" w:rsidRPr="00563D71">
              <w:rPr>
                <w:sz w:val="20"/>
                <w:szCs w:val="20"/>
              </w:rPr>
              <w:t>the</w:t>
            </w:r>
            <w:r w:rsidRPr="00563D71">
              <w:rPr>
                <w:sz w:val="20"/>
                <w:szCs w:val="20"/>
              </w:rPr>
              <w:t xml:space="preserve"> word “state” </w:t>
            </w:r>
            <w:r w:rsidR="007978EF" w:rsidRPr="00563D71">
              <w:rPr>
                <w:sz w:val="20"/>
                <w:szCs w:val="20"/>
              </w:rPr>
              <w:t xml:space="preserve">was </w:t>
            </w:r>
            <w:r w:rsidRPr="00563D71">
              <w:rPr>
                <w:sz w:val="20"/>
                <w:szCs w:val="20"/>
              </w:rPr>
              <w:t xml:space="preserve">in the article. With the elimination of the word “state” from the definition, now it is understood that customary or </w:t>
            </w:r>
            <w:r w:rsidRPr="00563D71">
              <w:rPr>
                <w:i/>
                <w:sz w:val="20"/>
                <w:szCs w:val="20"/>
              </w:rPr>
              <w:t>adat</w:t>
            </w:r>
            <w:r w:rsidRPr="00563D71">
              <w:rPr>
                <w:sz w:val="20"/>
                <w:szCs w:val="20"/>
              </w:rPr>
              <w:t xml:space="preserve"> forests are now no longer a state forest.</w:t>
            </w:r>
          </w:p>
        </w:tc>
      </w:tr>
      <w:tr w:rsidR="0001423C" w:rsidRPr="00563D71" w14:paraId="3481A2A6"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696FC5CC" w14:textId="0F771D9F" w:rsidR="0001423C" w:rsidRPr="00563D71" w:rsidRDefault="0001423C" w:rsidP="003D2E29">
            <w:pPr>
              <w:spacing w:before="0"/>
              <w:ind w:left="0" w:firstLine="0"/>
              <w:rPr>
                <w:sz w:val="20"/>
                <w:szCs w:val="20"/>
              </w:rPr>
            </w:pPr>
            <w:r w:rsidRPr="00563D71">
              <w:rPr>
                <w:rFonts w:eastAsiaTheme="minorEastAsia"/>
                <w:color w:val="auto"/>
                <w:sz w:val="20"/>
                <w:szCs w:val="20"/>
              </w:rPr>
              <w:t>Village Law No. 6</w:t>
            </w:r>
            <w:r w:rsidR="00572343" w:rsidRPr="00563D71">
              <w:rPr>
                <w:rFonts w:eastAsiaTheme="minorEastAsia"/>
                <w:color w:val="auto"/>
                <w:sz w:val="20"/>
                <w:szCs w:val="20"/>
              </w:rPr>
              <w:t xml:space="preserve"> Year </w:t>
            </w:r>
            <w:r w:rsidRPr="00563D71">
              <w:rPr>
                <w:rFonts w:eastAsiaTheme="minorEastAsia"/>
                <w:color w:val="auto"/>
                <w:sz w:val="20"/>
                <w:szCs w:val="20"/>
              </w:rPr>
              <w:t>2014</w:t>
            </w:r>
          </w:p>
        </w:tc>
        <w:tc>
          <w:tcPr>
            <w:tcW w:w="5940" w:type="dxa"/>
            <w:tcBorders>
              <w:top w:val="single" w:sz="4" w:space="0" w:color="000000"/>
              <w:left w:val="single" w:sz="4" w:space="0" w:color="000000"/>
              <w:bottom w:val="single" w:sz="4" w:space="0" w:color="000000"/>
              <w:right w:val="single" w:sz="4" w:space="0" w:color="000000"/>
            </w:tcBorders>
          </w:tcPr>
          <w:p w14:paraId="00040006" w14:textId="048665A5" w:rsidR="0001423C" w:rsidRPr="00563D71" w:rsidRDefault="0001423C" w:rsidP="005E4E13">
            <w:pPr>
              <w:spacing w:before="0"/>
              <w:ind w:left="0" w:firstLine="0"/>
              <w:rPr>
                <w:sz w:val="20"/>
                <w:szCs w:val="20"/>
              </w:rPr>
            </w:pPr>
            <w:r w:rsidRPr="00563D71">
              <w:rPr>
                <w:sz w:val="20"/>
                <w:szCs w:val="20"/>
              </w:rPr>
              <w:t xml:space="preserve">This Law acknowledges the existence and rights of </w:t>
            </w:r>
            <w:r w:rsidRPr="00563D71">
              <w:rPr>
                <w:i/>
                <w:sz w:val="20"/>
                <w:szCs w:val="20"/>
              </w:rPr>
              <w:t>Masyarakat Hukum Adat</w:t>
            </w:r>
            <w:r w:rsidRPr="00563D71">
              <w:rPr>
                <w:sz w:val="20"/>
                <w:szCs w:val="20"/>
              </w:rPr>
              <w:t xml:space="preserve"> (MHA), provided that they are recognized and MHA could opt to established </w:t>
            </w:r>
            <w:r w:rsidRPr="00563D71">
              <w:rPr>
                <w:i/>
                <w:sz w:val="20"/>
                <w:szCs w:val="20"/>
              </w:rPr>
              <w:t>adat</w:t>
            </w:r>
            <w:r w:rsidRPr="00563D71">
              <w:rPr>
                <w:sz w:val="20"/>
                <w:szCs w:val="20"/>
              </w:rPr>
              <w:t xml:space="preserve"> villages with their own institutional structures and authority although this law suffers from the lack of guiding regulations and institutional mandates to make such provisions operational. The Law grants a </w:t>
            </w:r>
            <w:r w:rsidRPr="00563D71">
              <w:rPr>
                <w:i/>
                <w:sz w:val="20"/>
                <w:szCs w:val="20"/>
              </w:rPr>
              <w:t>desa adat</w:t>
            </w:r>
            <w:r w:rsidRPr="00563D71">
              <w:rPr>
                <w:sz w:val="20"/>
                <w:szCs w:val="20"/>
              </w:rPr>
              <w:t xml:space="preserve"> </w:t>
            </w:r>
            <w:r w:rsidR="00F357B8" w:rsidRPr="00563D71">
              <w:rPr>
                <w:sz w:val="20"/>
                <w:szCs w:val="20"/>
              </w:rPr>
              <w:t xml:space="preserve">the </w:t>
            </w:r>
            <w:r w:rsidRPr="00563D71">
              <w:rPr>
                <w:sz w:val="20"/>
                <w:szCs w:val="20"/>
              </w:rPr>
              <w:t xml:space="preserve">authority to conduct </w:t>
            </w:r>
            <w:r w:rsidRPr="00563D71">
              <w:rPr>
                <w:i/>
                <w:sz w:val="20"/>
                <w:szCs w:val="20"/>
              </w:rPr>
              <w:t>adat</w:t>
            </w:r>
            <w:r w:rsidRPr="00563D71">
              <w:rPr>
                <w:sz w:val="20"/>
                <w:szCs w:val="20"/>
              </w:rPr>
              <w:t xml:space="preserve">-based public administration. Compared to other laws, the law adopts optional, non-cumulative criteria for recognition of MHAs with the existence of </w:t>
            </w:r>
            <w:r w:rsidR="005E4E13" w:rsidRPr="00563D71">
              <w:rPr>
                <w:sz w:val="20"/>
                <w:szCs w:val="20"/>
              </w:rPr>
              <w:t xml:space="preserve"> </w:t>
            </w:r>
            <w:r w:rsidRPr="00563D71">
              <w:rPr>
                <w:sz w:val="20"/>
                <w:szCs w:val="20"/>
              </w:rPr>
              <w:t xml:space="preserve">territory being mandatory. </w:t>
            </w:r>
          </w:p>
        </w:tc>
      </w:tr>
      <w:tr w:rsidR="0001423C" w:rsidRPr="00563D71" w14:paraId="1041D788" w14:textId="77777777" w:rsidTr="00B92DB5">
        <w:trPr>
          <w:trHeight w:val="295"/>
        </w:trPr>
        <w:tc>
          <w:tcPr>
            <w:tcW w:w="3428" w:type="dxa"/>
            <w:tcBorders>
              <w:top w:val="single" w:sz="4" w:space="0" w:color="000000"/>
              <w:left w:val="single" w:sz="4" w:space="0" w:color="000000"/>
              <w:bottom w:val="single" w:sz="4" w:space="0" w:color="000000"/>
              <w:right w:val="single" w:sz="4" w:space="0" w:color="000000"/>
            </w:tcBorders>
          </w:tcPr>
          <w:p w14:paraId="48F62DC9" w14:textId="2450544E" w:rsidR="0001423C" w:rsidRPr="00563D71" w:rsidRDefault="0001423C" w:rsidP="003D2E29">
            <w:pPr>
              <w:pStyle w:val="ListParagraph"/>
              <w:spacing w:before="0" w:after="0" w:line="240" w:lineRule="auto"/>
              <w:ind w:left="6"/>
              <w:rPr>
                <w:rFonts w:ascii="Times New Roman" w:hAnsi="Times New Roman" w:cs="Times New Roman"/>
                <w:sz w:val="20"/>
                <w:szCs w:val="20"/>
              </w:rPr>
            </w:pPr>
            <w:r w:rsidRPr="00563D71">
              <w:rPr>
                <w:rFonts w:ascii="Times New Roman" w:hAnsi="Times New Roman" w:cs="Times New Roman"/>
                <w:sz w:val="20"/>
                <w:szCs w:val="20"/>
              </w:rPr>
              <w:t>Law No. 27</w:t>
            </w:r>
            <w:r w:rsidR="00572343"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2007 on Coastal Zone and Small Island Management </w:t>
            </w:r>
          </w:p>
          <w:p w14:paraId="27474665" w14:textId="77777777" w:rsidR="0001423C" w:rsidRPr="00563D71" w:rsidRDefault="0001423C" w:rsidP="003D2E29">
            <w:pPr>
              <w:spacing w:before="0"/>
              <w:ind w:left="6" w:firstLine="0"/>
              <w:rPr>
                <w:sz w:val="20"/>
                <w:szCs w:val="20"/>
              </w:rPr>
            </w:pPr>
          </w:p>
          <w:p w14:paraId="5DD36A96" w14:textId="77777777" w:rsidR="0001423C" w:rsidRPr="00563D71" w:rsidRDefault="0001423C" w:rsidP="003D2E29">
            <w:pPr>
              <w:spacing w:before="0"/>
              <w:ind w:left="0" w:firstLine="0"/>
              <w:rPr>
                <w:rFonts w:eastAsiaTheme="minorEastAsia"/>
                <w:color w:val="auto"/>
                <w:sz w:val="20"/>
                <w:szCs w:val="20"/>
              </w:rPr>
            </w:pPr>
          </w:p>
        </w:tc>
        <w:tc>
          <w:tcPr>
            <w:tcW w:w="5940" w:type="dxa"/>
            <w:tcBorders>
              <w:top w:val="single" w:sz="4" w:space="0" w:color="000000"/>
              <w:left w:val="single" w:sz="4" w:space="0" w:color="000000"/>
              <w:bottom w:val="single" w:sz="4" w:space="0" w:color="000000"/>
              <w:right w:val="single" w:sz="4" w:space="0" w:color="000000"/>
            </w:tcBorders>
          </w:tcPr>
          <w:p w14:paraId="12ACF50E" w14:textId="74646A61" w:rsidR="0001423C" w:rsidRPr="00563D71" w:rsidRDefault="0001423C" w:rsidP="003D2E29">
            <w:pPr>
              <w:spacing w:before="0"/>
              <w:ind w:left="0" w:firstLine="0"/>
              <w:rPr>
                <w:sz w:val="20"/>
                <w:szCs w:val="20"/>
              </w:rPr>
            </w:pPr>
            <w:r w:rsidRPr="00563D71">
              <w:rPr>
                <w:color w:val="auto"/>
                <w:sz w:val="20"/>
                <w:szCs w:val="20"/>
              </w:rPr>
              <w:t>This Law acknowledges the existence of MHA provided they are recognized and requires consultations with MHA for any development in coastal areas. This is the only Indonesian law that explicitly requires free, prior, and informed consultations for affected MHAs</w:t>
            </w:r>
          </w:p>
        </w:tc>
      </w:tr>
      <w:tr w:rsidR="0001423C" w:rsidRPr="00563D71" w14:paraId="3C31EF19"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62AE6F37" w14:textId="2950F28B" w:rsidR="0001423C" w:rsidRPr="00563D71" w:rsidRDefault="0001423C" w:rsidP="003D2E29">
            <w:pPr>
              <w:pStyle w:val="ListParagraph"/>
              <w:spacing w:before="0" w:after="0" w:line="240" w:lineRule="auto"/>
              <w:ind w:left="6"/>
              <w:rPr>
                <w:rFonts w:ascii="Times New Roman" w:hAnsi="Times New Roman" w:cs="Times New Roman"/>
                <w:sz w:val="20"/>
                <w:szCs w:val="20"/>
              </w:rPr>
            </w:pPr>
            <w:r w:rsidRPr="00563D71">
              <w:rPr>
                <w:rFonts w:ascii="Times New Roman" w:hAnsi="Times New Roman" w:cs="Times New Roman"/>
                <w:sz w:val="20"/>
                <w:szCs w:val="20"/>
              </w:rPr>
              <w:lastRenderedPageBreak/>
              <w:t>Law No. 23</w:t>
            </w:r>
            <w:r w:rsidR="00572343"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2014 on Local Government </w:t>
            </w:r>
          </w:p>
          <w:p w14:paraId="58ED88B7" w14:textId="77777777" w:rsidR="0001423C" w:rsidRPr="00563D71" w:rsidRDefault="0001423C" w:rsidP="003D2E29">
            <w:pPr>
              <w:spacing w:before="0"/>
              <w:ind w:left="6" w:firstLine="0"/>
              <w:rPr>
                <w:sz w:val="20"/>
                <w:szCs w:val="20"/>
              </w:rPr>
            </w:pPr>
          </w:p>
          <w:p w14:paraId="36DCEFDA" w14:textId="77777777" w:rsidR="0001423C" w:rsidRPr="00563D71" w:rsidRDefault="0001423C" w:rsidP="003D2E29">
            <w:pPr>
              <w:pStyle w:val="ListParagraph"/>
              <w:spacing w:before="0" w:after="0" w:line="240" w:lineRule="auto"/>
              <w:ind w:left="6"/>
              <w:rPr>
                <w:rFonts w:ascii="Times New Roman" w:hAnsi="Times New Roman" w:cs="Times New Roman"/>
                <w:sz w:val="20"/>
                <w:szCs w:val="20"/>
              </w:rPr>
            </w:pPr>
          </w:p>
        </w:tc>
        <w:tc>
          <w:tcPr>
            <w:tcW w:w="5940" w:type="dxa"/>
            <w:tcBorders>
              <w:top w:val="single" w:sz="4" w:space="0" w:color="000000"/>
              <w:left w:val="single" w:sz="4" w:space="0" w:color="000000"/>
              <w:bottom w:val="single" w:sz="4" w:space="0" w:color="000000"/>
              <w:right w:val="single" w:sz="4" w:space="0" w:color="000000"/>
            </w:tcBorders>
          </w:tcPr>
          <w:p w14:paraId="54EA50FD" w14:textId="7AAB6C2B" w:rsidR="0001423C" w:rsidRPr="00563D71" w:rsidRDefault="0001423C" w:rsidP="003D2E29">
            <w:pPr>
              <w:spacing w:before="0"/>
              <w:ind w:left="0" w:firstLine="0"/>
              <w:rPr>
                <w:color w:val="auto"/>
                <w:sz w:val="20"/>
                <w:szCs w:val="20"/>
              </w:rPr>
            </w:pPr>
            <w:r w:rsidRPr="00563D71">
              <w:rPr>
                <w:color w:val="auto"/>
                <w:sz w:val="20"/>
                <w:szCs w:val="20"/>
              </w:rPr>
              <w:t xml:space="preserve">This Law recognizes the existence of </w:t>
            </w:r>
            <w:r w:rsidRPr="00563D71">
              <w:rPr>
                <w:i/>
                <w:color w:val="auto"/>
                <w:sz w:val="20"/>
                <w:szCs w:val="20"/>
              </w:rPr>
              <w:t>adat</w:t>
            </w:r>
            <w:r w:rsidRPr="00563D71">
              <w:rPr>
                <w:color w:val="auto"/>
                <w:sz w:val="20"/>
                <w:szCs w:val="20"/>
              </w:rPr>
              <w:t xml:space="preserve"> institution (</w:t>
            </w:r>
            <w:r w:rsidRPr="00563D71">
              <w:rPr>
                <w:i/>
                <w:color w:val="auto"/>
                <w:sz w:val="20"/>
                <w:szCs w:val="20"/>
              </w:rPr>
              <w:t>lembaga adat</w:t>
            </w:r>
            <w:r w:rsidRPr="00563D71">
              <w:rPr>
                <w:sz w:val="20"/>
                <w:szCs w:val="20"/>
              </w:rPr>
              <w:t>) by giving it rights to </w:t>
            </w:r>
            <w:r w:rsidRPr="00563D71">
              <w:rPr>
                <w:color w:val="auto"/>
                <w:sz w:val="20"/>
                <w:szCs w:val="20"/>
              </w:rPr>
              <w:t xml:space="preserve">“empowerment”. Second, the Law determines that </w:t>
            </w:r>
            <w:r w:rsidRPr="00563D71">
              <w:rPr>
                <w:i/>
                <w:color w:val="auto"/>
                <w:sz w:val="20"/>
                <w:szCs w:val="20"/>
              </w:rPr>
              <w:t>adat</w:t>
            </w:r>
            <w:r w:rsidRPr="00563D71">
              <w:rPr>
                <w:color w:val="auto"/>
                <w:sz w:val="20"/>
                <w:szCs w:val="20"/>
              </w:rPr>
              <w:t xml:space="preserve"> law is an additional rule for particular purposes such as</w:t>
            </w:r>
            <w:r w:rsidRPr="00563D71">
              <w:rPr>
                <w:sz w:val="20"/>
                <w:szCs w:val="20"/>
              </w:rPr>
              <w:t xml:space="preserve"> village elections</w:t>
            </w:r>
            <w:r w:rsidRPr="00563D71">
              <w:rPr>
                <w:color w:val="auto"/>
                <w:sz w:val="20"/>
                <w:szCs w:val="20"/>
              </w:rPr>
              <w:t xml:space="preserve">. Third, the Law </w:t>
            </w:r>
            <w:r w:rsidR="00F357B8" w:rsidRPr="00563D71">
              <w:rPr>
                <w:color w:val="auto"/>
                <w:sz w:val="20"/>
                <w:szCs w:val="20"/>
              </w:rPr>
              <w:t xml:space="preserve">makes </w:t>
            </w:r>
            <w:r w:rsidRPr="00563D71">
              <w:rPr>
                <w:i/>
                <w:color w:val="auto"/>
                <w:sz w:val="20"/>
                <w:szCs w:val="20"/>
              </w:rPr>
              <w:t>adat</w:t>
            </w:r>
            <w:r w:rsidRPr="00563D71">
              <w:rPr>
                <w:color w:val="auto"/>
                <w:sz w:val="20"/>
                <w:szCs w:val="20"/>
              </w:rPr>
              <w:t xml:space="preserve"> or </w:t>
            </w:r>
            <w:r w:rsidRPr="00563D71">
              <w:rPr>
                <w:i/>
                <w:color w:val="auto"/>
                <w:sz w:val="20"/>
                <w:szCs w:val="20"/>
              </w:rPr>
              <w:t>adat</w:t>
            </w:r>
            <w:r w:rsidRPr="00563D71">
              <w:rPr>
                <w:color w:val="auto"/>
                <w:sz w:val="20"/>
                <w:szCs w:val="20"/>
              </w:rPr>
              <w:t xml:space="preserve"> law the basis upon which to conduct local development, or as a parameter to measure social cohesiveness.</w:t>
            </w:r>
          </w:p>
        </w:tc>
      </w:tr>
      <w:tr w:rsidR="0001423C" w:rsidRPr="00563D71" w14:paraId="6E3E9461" w14:textId="77777777" w:rsidTr="00B92DB5">
        <w:trPr>
          <w:trHeight w:val="835"/>
        </w:trPr>
        <w:tc>
          <w:tcPr>
            <w:tcW w:w="3428" w:type="dxa"/>
            <w:tcBorders>
              <w:top w:val="single" w:sz="4" w:space="0" w:color="000000"/>
              <w:left w:val="single" w:sz="4" w:space="0" w:color="000000"/>
              <w:bottom w:val="single" w:sz="4" w:space="0" w:color="000000"/>
              <w:right w:val="single" w:sz="4" w:space="0" w:color="000000"/>
            </w:tcBorders>
          </w:tcPr>
          <w:p w14:paraId="71CF42F3" w14:textId="2B5843F0" w:rsidR="0001423C" w:rsidRPr="00563D71" w:rsidRDefault="0001423C" w:rsidP="003D2E29">
            <w:pPr>
              <w:pStyle w:val="ListParagraph"/>
              <w:spacing w:before="0" w:after="0" w:line="240" w:lineRule="auto"/>
              <w:ind w:left="6"/>
              <w:rPr>
                <w:rFonts w:ascii="Times New Roman" w:hAnsi="Times New Roman" w:cs="Times New Roman"/>
                <w:sz w:val="20"/>
                <w:szCs w:val="20"/>
              </w:rPr>
            </w:pPr>
            <w:r w:rsidRPr="00563D71">
              <w:rPr>
                <w:rFonts w:ascii="Times New Roman" w:hAnsi="Times New Roman" w:cs="Times New Roman"/>
                <w:sz w:val="20"/>
                <w:szCs w:val="20"/>
              </w:rPr>
              <w:t>Law No. 11</w:t>
            </w:r>
            <w:r w:rsidR="00572343"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2010 on Cultural Heritage </w:t>
            </w:r>
          </w:p>
          <w:p w14:paraId="0812AE60" w14:textId="77777777" w:rsidR="0001423C" w:rsidRPr="00563D71" w:rsidRDefault="0001423C" w:rsidP="003D2E29">
            <w:pPr>
              <w:pStyle w:val="ListParagraph"/>
              <w:spacing w:before="0" w:after="0" w:line="240" w:lineRule="auto"/>
              <w:ind w:left="6"/>
              <w:rPr>
                <w:rFonts w:ascii="Times New Roman" w:hAnsi="Times New Roman" w:cs="Times New Roman"/>
                <w:sz w:val="20"/>
                <w:szCs w:val="20"/>
              </w:rPr>
            </w:pPr>
          </w:p>
        </w:tc>
        <w:tc>
          <w:tcPr>
            <w:tcW w:w="5940" w:type="dxa"/>
            <w:tcBorders>
              <w:top w:val="single" w:sz="4" w:space="0" w:color="000000"/>
              <w:left w:val="single" w:sz="4" w:space="0" w:color="000000"/>
              <w:bottom w:val="single" w:sz="4" w:space="0" w:color="000000"/>
              <w:right w:val="single" w:sz="4" w:space="0" w:color="000000"/>
            </w:tcBorders>
          </w:tcPr>
          <w:p w14:paraId="4FB85917" w14:textId="31010391" w:rsidR="0001423C" w:rsidRPr="00563D71" w:rsidRDefault="0001423C" w:rsidP="003D2E29">
            <w:pPr>
              <w:spacing w:before="0" w:after="160"/>
              <w:ind w:left="-29" w:firstLine="0"/>
              <w:contextualSpacing/>
              <w:rPr>
                <w:rFonts w:eastAsiaTheme="minorHAnsi"/>
                <w:color w:val="auto"/>
                <w:sz w:val="20"/>
                <w:szCs w:val="20"/>
              </w:rPr>
            </w:pPr>
            <w:r w:rsidRPr="00563D71">
              <w:rPr>
                <w:sz w:val="20"/>
                <w:szCs w:val="20"/>
              </w:rPr>
              <w:t>This Law recognizes</w:t>
            </w:r>
            <w:r w:rsidRPr="00563D71">
              <w:rPr>
                <w:color w:val="auto"/>
                <w:sz w:val="20"/>
                <w:szCs w:val="20"/>
              </w:rPr>
              <w:t xml:space="preserve"> MHA as the owners of </w:t>
            </w:r>
            <w:r w:rsidR="00F357B8" w:rsidRPr="00563D71">
              <w:rPr>
                <w:color w:val="auto"/>
                <w:sz w:val="20"/>
                <w:szCs w:val="20"/>
              </w:rPr>
              <w:t xml:space="preserve">their </w:t>
            </w:r>
            <w:r w:rsidRPr="00563D71">
              <w:rPr>
                <w:color w:val="auto"/>
                <w:sz w:val="20"/>
                <w:szCs w:val="20"/>
              </w:rPr>
              <w:t>cultural heritage and grant</w:t>
            </w:r>
            <w:r w:rsidRPr="00563D71">
              <w:rPr>
                <w:sz w:val="20"/>
                <w:szCs w:val="20"/>
              </w:rPr>
              <w:t>s</w:t>
            </w:r>
            <w:r w:rsidRPr="00563D71">
              <w:rPr>
                <w:color w:val="auto"/>
                <w:sz w:val="20"/>
                <w:szCs w:val="20"/>
              </w:rPr>
              <w:t xml:space="preserve"> </w:t>
            </w:r>
            <w:r w:rsidR="00F357B8" w:rsidRPr="00563D71">
              <w:rPr>
                <w:color w:val="auto"/>
                <w:sz w:val="20"/>
                <w:szCs w:val="20"/>
              </w:rPr>
              <w:t xml:space="preserve">them </w:t>
            </w:r>
            <w:r w:rsidR="00DA4750" w:rsidRPr="00563D71">
              <w:rPr>
                <w:color w:val="auto"/>
                <w:sz w:val="20"/>
                <w:szCs w:val="20"/>
              </w:rPr>
              <w:t>the authority</w:t>
            </w:r>
            <w:r w:rsidRPr="00563D71">
              <w:rPr>
                <w:color w:val="auto"/>
                <w:sz w:val="20"/>
                <w:szCs w:val="20"/>
              </w:rPr>
              <w:t xml:space="preserve"> to manage it</w:t>
            </w:r>
            <w:r w:rsidRPr="00563D71">
              <w:rPr>
                <w:sz w:val="20"/>
                <w:szCs w:val="20"/>
              </w:rPr>
              <w:t xml:space="preserve">.  </w:t>
            </w:r>
            <w:r w:rsidRPr="00563D71">
              <w:rPr>
                <w:rFonts w:eastAsiaTheme="minorHAnsi"/>
                <w:color w:val="auto"/>
                <w:sz w:val="20"/>
                <w:szCs w:val="20"/>
              </w:rPr>
              <w:t>The law requires observation and data collection on cultural heritage that may be affected by project activ</w:t>
            </w:r>
            <w:r w:rsidR="00973176" w:rsidRPr="00563D71">
              <w:rPr>
                <w:rFonts w:eastAsiaTheme="minorHAnsi"/>
                <w:color w:val="auto"/>
                <w:sz w:val="20"/>
                <w:szCs w:val="20"/>
              </w:rPr>
              <w:t>ities.</w:t>
            </w:r>
          </w:p>
        </w:tc>
      </w:tr>
      <w:tr w:rsidR="00593ADA" w:rsidRPr="00563D71" w14:paraId="4C6A9EF4" w14:textId="77777777" w:rsidTr="00B92DB5">
        <w:trPr>
          <w:trHeight w:val="124"/>
        </w:trPr>
        <w:tc>
          <w:tcPr>
            <w:tcW w:w="9368" w:type="dxa"/>
            <w:gridSpan w:val="2"/>
            <w:tcBorders>
              <w:top w:val="single" w:sz="4" w:space="0" w:color="000000"/>
              <w:left w:val="single" w:sz="4" w:space="0" w:color="000000"/>
              <w:bottom w:val="single" w:sz="4" w:space="0" w:color="000000"/>
              <w:right w:val="single" w:sz="4" w:space="0" w:color="000000"/>
            </w:tcBorders>
          </w:tcPr>
          <w:p w14:paraId="153925C4" w14:textId="62DE6E40" w:rsidR="00593ADA" w:rsidRPr="00563D71" w:rsidRDefault="00593ADA" w:rsidP="003D2E29">
            <w:pPr>
              <w:spacing w:after="160"/>
              <w:ind w:left="0" w:firstLine="0"/>
              <w:jc w:val="center"/>
              <w:rPr>
                <w:b/>
                <w:sz w:val="22"/>
              </w:rPr>
            </w:pPr>
            <w:r w:rsidRPr="00563D71">
              <w:rPr>
                <w:b/>
                <w:sz w:val="22"/>
              </w:rPr>
              <w:t>Spatial Planning</w:t>
            </w:r>
          </w:p>
        </w:tc>
      </w:tr>
      <w:tr w:rsidR="00E5692A" w:rsidRPr="00563D71" w14:paraId="4C58FB87" w14:textId="77777777" w:rsidTr="00B92DB5">
        <w:trPr>
          <w:trHeight w:val="2590"/>
        </w:trPr>
        <w:tc>
          <w:tcPr>
            <w:tcW w:w="3428" w:type="dxa"/>
            <w:tcBorders>
              <w:top w:val="single" w:sz="4" w:space="0" w:color="000000"/>
              <w:left w:val="single" w:sz="4" w:space="0" w:color="000000"/>
              <w:bottom w:val="single" w:sz="4" w:space="0" w:color="000000"/>
              <w:right w:val="single" w:sz="4" w:space="0" w:color="000000"/>
            </w:tcBorders>
          </w:tcPr>
          <w:p w14:paraId="59AC9141" w14:textId="7F6F86DE" w:rsidR="00E5692A" w:rsidRPr="00563D71" w:rsidRDefault="008E0CAA" w:rsidP="00B92DB5">
            <w:pPr>
              <w:pStyle w:val="ListParagraph"/>
              <w:spacing w:before="0" w:after="0" w:line="240" w:lineRule="auto"/>
              <w:ind w:left="6"/>
              <w:rPr>
                <w:rFonts w:asciiTheme="majorBidi" w:hAnsiTheme="majorBidi" w:cstheme="majorBidi"/>
                <w:sz w:val="20"/>
                <w:szCs w:val="20"/>
              </w:rPr>
            </w:pPr>
            <w:r w:rsidRPr="00563D71">
              <w:rPr>
                <w:rFonts w:asciiTheme="majorBidi" w:hAnsiTheme="majorBidi" w:cstheme="majorBidi"/>
                <w:sz w:val="20"/>
                <w:szCs w:val="20"/>
              </w:rPr>
              <w:t>Law No. 26 Year 2007 on Spatial Planning (amends Law No. 24 Year 1992)</w:t>
            </w:r>
          </w:p>
        </w:tc>
        <w:tc>
          <w:tcPr>
            <w:tcW w:w="5940" w:type="dxa"/>
            <w:tcBorders>
              <w:top w:val="single" w:sz="4" w:space="0" w:color="000000"/>
              <w:left w:val="single" w:sz="4" w:space="0" w:color="000000"/>
              <w:bottom w:val="single" w:sz="4" w:space="0" w:color="000000"/>
              <w:right w:val="single" w:sz="4" w:space="0" w:color="000000"/>
            </w:tcBorders>
          </w:tcPr>
          <w:p w14:paraId="4C4D4B92" w14:textId="4E80787D" w:rsidR="00E5692A" w:rsidRPr="00563D71" w:rsidRDefault="008E0CAA" w:rsidP="00B92DB5">
            <w:pPr>
              <w:spacing w:before="0"/>
              <w:ind w:left="0" w:firstLine="0"/>
              <w:rPr>
                <w:sz w:val="20"/>
                <w:szCs w:val="20"/>
              </w:rPr>
            </w:pPr>
            <w:r w:rsidRPr="00563D71">
              <w:rPr>
                <w:sz w:val="20"/>
                <w:szCs w:val="20"/>
              </w:rPr>
              <w:t>Spatial Planning Management. In the context of decentralization, urbanization, and other factors, this law grants authority over spatial planning to provincial and local (district) governments (</w:t>
            </w:r>
            <w:r w:rsidRPr="00563D71">
              <w:rPr>
                <w:i/>
                <w:iCs/>
                <w:sz w:val="20"/>
                <w:szCs w:val="20"/>
              </w:rPr>
              <w:t xml:space="preserve">pemerintah kabupaten </w:t>
            </w:r>
            <w:r w:rsidRPr="00563D71">
              <w:rPr>
                <w:sz w:val="20"/>
                <w:szCs w:val="20"/>
              </w:rPr>
              <w:t xml:space="preserve">and </w:t>
            </w:r>
            <w:r w:rsidRPr="00563D71">
              <w:rPr>
                <w:i/>
                <w:iCs/>
                <w:sz w:val="20"/>
                <w:szCs w:val="20"/>
              </w:rPr>
              <w:t>pemerintah kota</w:t>
            </w:r>
            <w:r w:rsidRPr="00563D71">
              <w:rPr>
                <w:sz w:val="20"/>
                <w:szCs w:val="20"/>
              </w:rPr>
              <w:t>). Provision of this authority is not stipulated within previous spatial planning laws. It also provides some new ways for enhancing development control, including zoning; planning permits; and implementation of incentives and disincentives, including administrative and criminal sanction. This law also acknowledges the importance of public participation in spatial planning.</w:t>
            </w:r>
          </w:p>
        </w:tc>
      </w:tr>
      <w:tr w:rsidR="0001423C" w:rsidRPr="00563D71" w14:paraId="5A1B6CB9" w14:textId="77777777" w:rsidTr="00B92DB5">
        <w:trPr>
          <w:trHeight w:val="160"/>
        </w:trPr>
        <w:tc>
          <w:tcPr>
            <w:tcW w:w="9368" w:type="dxa"/>
            <w:gridSpan w:val="2"/>
            <w:tcBorders>
              <w:top w:val="single" w:sz="4" w:space="0" w:color="000000"/>
              <w:left w:val="single" w:sz="4" w:space="0" w:color="000000"/>
              <w:bottom w:val="single" w:sz="4" w:space="0" w:color="000000"/>
              <w:right w:val="single" w:sz="4" w:space="0" w:color="000000"/>
            </w:tcBorders>
          </w:tcPr>
          <w:p w14:paraId="62866D49" w14:textId="37E1D557" w:rsidR="0001423C" w:rsidRPr="00563D71" w:rsidRDefault="0001423C" w:rsidP="003D2E29">
            <w:pPr>
              <w:spacing w:after="160"/>
              <w:ind w:left="58" w:firstLine="0"/>
              <w:jc w:val="center"/>
              <w:rPr>
                <w:b/>
                <w:sz w:val="22"/>
              </w:rPr>
            </w:pPr>
            <w:r w:rsidRPr="00563D71">
              <w:rPr>
                <w:b/>
                <w:sz w:val="22"/>
              </w:rPr>
              <w:t>Tourism</w:t>
            </w:r>
          </w:p>
        </w:tc>
      </w:tr>
      <w:tr w:rsidR="0001423C" w:rsidRPr="00563D71" w14:paraId="24252C7C" w14:textId="77777777" w:rsidTr="00B92DB5">
        <w:trPr>
          <w:trHeight w:val="1440"/>
        </w:trPr>
        <w:tc>
          <w:tcPr>
            <w:tcW w:w="3428" w:type="dxa"/>
            <w:tcBorders>
              <w:top w:val="single" w:sz="4" w:space="0" w:color="000000"/>
              <w:left w:val="single" w:sz="4" w:space="0" w:color="000000"/>
              <w:bottom w:val="single" w:sz="4" w:space="0" w:color="000000"/>
              <w:right w:val="single" w:sz="4" w:space="0" w:color="000000"/>
            </w:tcBorders>
          </w:tcPr>
          <w:p w14:paraId="4F6D35BE" w14:textId="728FCA18" w:rsidR="0001423C" w:rsidRPr="00563D71" w:rsidRDefault="0001423C" w:rsidP="00B92DB5">
            <w:pPr>
              <w:pStyle w:val="ListParagraph"/>
              <w:spacing w:before="0" w:after="0" w:line="240" w:lineRule="auto"/>
              <w:ind w:left="6"/>
              <w:rPr>
                <w:rFonts w:ascii="Times New Roman" w:hAnsi="Times New Roman" w:cs="Times New Roman"/>
                <w:sz w:val="20"/>
                <w:szCs w:val="20"/>
              </w:rPr>
            </w:pPr>
            <w:r w:rsidRPr="00563D71">
              <w:rPr>
                <w:rFonts w:ascii="Times New Roman" w:hAnsi="Times New Roman" w:cs="Times New Roman"/>
                <w:sz w:val="20"/>
                <w:szCs w:val="20"/>
              </w:rPr>
              <w:t xml:space="preserve">Ministry of Tourism Regulation No. 14 </w:t>
            </w:r>
            <w:r w:rsidR="0006115C" w:rsidRPr="00563D71">
              <w:rPr>
                <w:rFonts w:ascii="Times New Roman" w:hAnsi="Times New Roman" w:cs="Times New Roman"/>
                <w:sz w:val="20"/>
                <w:szCs w:val="20"/>
              </w:rPr>
              <w:t>Year</w:t>
            </w:r>
            <w:r w:rsidRPr="00563D71">
              <w:rPr>
                <w:rFonts w:ascii="Times New Roman" w:hAnsi="Times New Roman" w:cs="Times New Roman"/>
                <w:sz w:val="20"/>
                <w:szCs w:val="20"/>
              </w:rPr>
              <w:t xml:space="preserve"> 2016 concerning Guidelines for Sustainable Tourism Destination (STO). </w:t>
            </w:r>
          </w:p>
        </w:tc>
        <w:tc>
          <w:tcPr>
            <w:tcW w:w="5940" w:type="dxa"/>
            <w:tcBorders>
              <w:top w:val="single" w:sz="4" w:space="0" w:color="000000"/>
              <w:left w:val="single" w:sz="4" w:space="0" w:color="000000"/>
              <w:bottom w:val="single" w:sz="4" w:space="0" w:color="000000"/>
              <w:right w:val="single" w:sz="4" w:space="0" w:color="000000"/>
            </w:tcBorders>
          </w:tcPr>
          <w:p w14:paraId="2BB399EF" w14:textId="62FC3F53" w:rsidR="0001423C" w:rsidRPr="00563D71" w:rsidRDefault="0001423C" w:rsidP="00B92DB5">
            <w:pPr>
              <w:spacing w:before="0"/>
              <w:ind w:left="0" w:firstLine="0"/>
              <w:rPr>
                <w:sz w:val="20"/>
                <w:szCs w:val="20"/>
              </w:rPr>
            </w:pPr>
            <w:r w:rsidRPr="00563D71">
              <w:rPr>
                <w:sz w:val="20"/>
                <w:szCs w:val="20"/>
              </w:rPr>
              <w:t xml:space="preserve">This regulation sets the guidelines for </w:t>
            </w:r>
            <w:r w:rsidR="00026D20" w:rsidRPr="00563D71">
              <w:rPr>
                <w:sz w:val="20"/>
                <w:szCs w:val="20"/>
              </w:rPr>
              <w:t xml:space="preserve">the </w:t>
            </w:r>
            <w:r w:rsidRPr="00563D71">
              <w:rPr>
                <w:sz w:val="20"/>
                <w:szCs w:val="20"/>
              </w:rPr>
              <w:t xml:space="preserve">national </w:t>
            </w:r>
            <w:r w:rsidR="00026D20" w:rsidRPr="00563D71">
              <w:rPr>
                <w:sz w:val="20"/>
                <w:szCs w:val="20"/>
              </w:rPr>
              <w:t>g</w:t>
            </w:r>
            <w:r w:rsidRPr="00563D71">
              <w:rPr>
                <w:sz w:val="20"/>
                <w:szCs w:val="20"/>
              </w:rPr>
              <w:t>overnment, local government</w:t>
            </w:r>
            <w:r w:rsidR="00026D20" w:rsidRPr="00563D71">
              <w:rPr>
                <w:sz w:val="20"/>
                <w:szCs w:val="20"/>
              </w:rPr>
              <w:t>,</w:t>
            </w:r>
            <w:r w:rsidRPr="00563D71">
              <w:rPr>
                <w:sz w:val="20"/>
                <w:szCs w:val="20"/>
              </w:rPr>
              <w:t xml:space="preserve"> and other stakeholder</w:t>
            </w:r>
            <w:r w:rsidR="00026D20" w:rsidRPr="00563D71">
              <w:rPr>
                <w:sz w:val="20"/>
                <w:szCs w:val="20"/>
              </w:rPr>
              <w:t>s</w:t>
            </w:r>
            <w:r w:rsidRPr="00563D71">
              <w:rPr>
                <w:sz w:val="20"/>
                <w:szCs w:val="20"/>
              </w:rPr>
              <w:t xml:space="preserve"> in the development of sustainable tourism destination</w:t>
            </w:r>
            <w:r w:rsidR="00026D20" w:rsidRPr="00563D71">
              <w:rPr>
                <w:sz w:val="20"/>
                <w:szCs w:val="20"/>
              </w:rPr>
              <w:t>s</w:t>
            </w:r>
            <w:r w:rsidRPr="00563D71">
              <w:rPr>
                <w:sz w:val="20"/>
                <w:szCs w:val="20"/>
              </w:rPr>
              <w:t>. The scope of the guideline</w:t>
            </w:r>
            <w:r w:rsidR="00026D20" w:rsidRPr="00563D71">
              <w:rPr>
                <w:sz w:val="20"/>
                <w:szCs w:val="20"/>
              </w:rPr>
              <w:t>s</w:t>
            </w:r>
            <w:r w:rsidRPr="00563D71">
              <w:rPr>
                <w:sz w:val="20"/>
                <w:szCs w:val="20"/>
              </w:rPr>
              <w:t xml:space="preserve"> include</w:t>
            </w:r>
            <w:r w:rsidR="00026D20" w:rsidRPr="00563D71">
              <w:rPr>
                <w:sz w:val="20"/>
                <w:szCs w:val="20"/>
              </w:rPr>
              <w:t>s</w:t>
            </w:r>
            <w:r w:rsidRPr="00563D71">
              <w:rPr>
                <w:sz w:val="20"/>
                <w:szCs w:val="20"/>
              </w:rPr>
              <w:t xml:space="preserve"> the management of STO, the local community</w:t>
            </w:r>
            <w:r w:rsidR="00026D20" w:rsidRPr="00563D71">
              <w:rPr>
                <w:sz w:val="20"/>
                <w:szCs w:val="20"/>
              </w:rPr>
              <w:t>’s</w:t>
            </w:r>
            <w:r w:rsidRPr="00563D71">
              <w:rPr>
                <w:sz w:val="20"/>
                <w:szCs w:val="20"/>
              </w:rPr>
              <w:t xml:space="preserve"> economic use, cultural preservation for the community and visitors</w:t>
            </w:r>
            <w:r w:rsidR="00026D20" w:rsidRPr="00563D71">
              <w:rPr>
                <w:sz w:val="20"/>
                <w:szCs w:val="20"/>
              </w:rPr>
              <w:t>,</w:t>
            </w:r>
            <w:r w:rsidRPr="00563D71">
              <w:rPr>
                <w:sz w:val="20"/>
                <w:szCs w:val="20"/>
              </w:rPr>
              <w:t xml:space="preserve"> a</w:t>
            </w:r>
            <w:r w:rsidR="00973176" w:rsidRPr="00563D71">
              <w:rPr>
                <w:sz w:val="20"/>
                <w:szCs w:val="20"/>
              </w:rPr>
              <w:t xml:space="preserve">nd environmental conservation. </w:t>
            </w:r>
          </w:p>
        </w:tc>
      </w:tr>
    </w:tbl>
    <w:p w14:paraId="23F9EC73" w14:textId="77777777" w:rsidR="00973176" w:rsidRPr="00563D71" w:rsidRDefault="00973176" w:rsidP="00973176">
      <w:pPr>
        <w:pStyle w:val="MainParanoChapter-Ch3"/>
        <w:numPr>
          <w:ilvl w:val="0"/>
          <w:numId w:val="0"/>
        </w:numPr>
      </w:pPr>
      <w:bookmarkStart w:id="59" w:name="_Toc468969239"/>
      <w:bookmarkStart w:id="60" w:name="_Toc481484053"/>
    </w:p>
    <w:p w14:paraId="61598B09" w14:textId="50428BCC" w:rsidR="00D4579B" w:rsidRPr="00563D71" w:rsidRDefault="00797FA9" w:rsidP="00AA40E2">
      <w:pPr>
        <w:pStyle w:val="Heading2"/>
        <w:rPr>
          <w:iCs/>
        </w:rPr>
      </w:pPr>
      <w:bookmarkStart w:id="61" w:name="_Toc485831033"/>
      <w:r w:rsidRPr="00563D71">
        <w:rPr>
          <w:iCs/>
        </w:rPr>
        <w:t>4</w:t>
      </w:r>
      <w:r w:rsidRPr="00563D71">
        <w:rPr>
          <w:rStyle w:val="Heading2Char"/>
          <w:b/>
          <w:iCs/>
        </w:rPr>
        <w:t>.</w:t>
      </w:r>
      <w:r w:rsidRPr="00563D71">
        <w:rPr>
          <w:rStyle w:val="Heading2Char"/>
          <w:b/>
          <w:i/>
        </w:rPr>
        <w:t>2</w:t>
      </w:r>
      <w:r w:rsidR="00203417" w:rsidRPr="00563D71">
        <w:rPr>
          <w:rStyle w:val="Heading2Char"/>
          <w:b/>
          <w:iCs/>
        </w:rPr>
        <w:tab/>
      </w:r>
      <w:r w:rsidRPr="00563D71">
        <w:rPr>
          <w:rStyle w:val="Heading2Char"/>
          <w:b/>
          <w:iCs/>
        </w:rPr>
        <w:t xml:space="preserve"> </w:t>
      </w:r>
      <w:r w:rsidR="00D4579B" w:rsidRPr="00563D71">
        <w:rPr>
          <w:rStyle w:val="Heading2Char"/>
          <w:b/>
          <w:i/>
        </w:rPr>
        <w:t>Institutional Framework</w:t>
      </w:r>
      <w:bookmarkEnd w:id="59"/>
      <w:bookmarkEnd w:id="60"/>
      <w:bookmarkEnd w:id="61"/>
    </w:p>
    <w:p w14:paraId="48F1EB35" w14:textId="3457AE3A" w:rsidR="005E485B" w:rsidRPr="00563D71" w:rsidRDefault="00555FDF" w:rsidP="0032029F">
      <w:pPr>
        <w:pStyle w:val="MainParanoChapter-Ch3"/>
      </w:pPr>
      <w:r w:rsidRPr="00563D71">
        <w:t>The institutions described below consist of governmental and special purpose bodies that are either: (a) responsible for protecting Indonesia’s natural and human environments and enforcing related Indonesian laws and regulations</w:t>
      </w:r>
      <w:r w:rsidR="00AE1AF7" w:rsidRPr="00563D71">
        <w:t>;</w:t>
      </w:r>
      <w:r w:rsidRPr="00563D71">
        <w:t xml:space="preserve"> or (b) in the course of carrying out their functions with respect to the Program, will have responsibility for implementing environmental and social management instruments including RKL</w:t>
      </w:r>
      <w:r w:rsidR="001A6A05" w:rsidRPr="00563D71">
        <w:t>-</w:t>
      </w:r>
      <w:r w:rsidRPr="00563D71">
        <w:t>RPL and UKL</w:t>
      </w:r>
      <w:r w:rsidR="001A6A05" w:rsidRPr="00563D71">
        <w:t>-</w:t>
      </w:r>
      <w:r w:rsidRPr="00563D71">
        <w:t xml:space="preserve">UPL. </w:t>
      </w:r>
    </w:p>
    <w:p w14:paraId="58D8E0EF" w14:textId="77777777" w:rsidR="00555FDF" w:rsidRPr="00563D71" w:rsidRDefault="00555FDF" w:rsidP="0032029F">
      <w:pPr>
        <w:pStyle w:val="MainParanoChapter-Ch3"/>
        <w:numPr>
          <w:ilvl w:val="0"/>
          <w:numId w:val="0"/>
        </w:numPr>
      </w:pPr>
    </w:p>
    <w:p w14:paraId="6B4B3BD3" w14:textId="4042F102" w:rsidR="00A47D09" w:rsidRPr="00563D71" w:rsidRDefault="00A47D09" w:rsidP="0032029F">
      <w:pPr>
        <w:pStyle w:val="MainParanoChapter-Ch3"/>
        <w:rPr>
          <w:rFonts w:asciiTheme="majorBidi" w:hAnsiTheme="majorBidi" w:cstheme="majorBidi"/>
          <w:b/>
        </w:rPr>
      </w:pPr>
      <w:r w:rsidRPr="00563D71">
        <w:rPr>
          <w:rFonts w:asciiTheme="majorBidi" w:hAnsiTheme="majorBidi" w:cstheme="majorBidi"/>
          <w:b/>
        </w:rPr>
        <w:t>National Agencies</w:t>
      </w:r>
    </w:p>
    <w:p w14:paraId="0567213F" w14:textId="5B65D2A8" w:rsidR="00AB3FEE" w:rsidRPr="00563D71" w:rsidRDefault="002A04C4"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National Planning Agency (</w:t>
      </w:r>
      <w:r w:rsidRPr="00563D71">
        <w:rPr>
          <w:rFonts w:asciiTheme="majorBidi" w:hAnsiTheme="majorBidi" w:cstheme="majorBidi"/>
          <w:i/>
          <w:sz w:val="24"/>
          <w:szCs w:val="24"/>
        </w:rPr>
        <w:t>Badan Peranca</w:t>
      </w:r>
      <w:r w:rsidR="00227CF5" w:rsidRPr="00563D71">
        <w:rPr>
          <w:rFonts w:asciiTheme="majorBidi" w:hAnsiTheme="majorBidi" w:cstheme="majorBidi"/>
          <w:i/>
          <w:sz w:val="24"/>
          <w:szCs w:val="24"/>
        </w:rPr>
        <w:t>naan</w:t>
      </w:r>
      <w:r w:rsidRPr="00563D71">
        <w:rPr>
          <w:rFonts w:asciiTheme="majorBidi" w:hAnsiTheme="majorBidi" w:cstheme="majorBidi"/>
          <w:i/>
          <w:sz w:val="24"/>
          <w:szCs w:val="24"/>
        </w:rPr>
        <w:t xml:space="preserve"> Pembangunan Nasional, or </w:t>
      </w:r>
      <w:r w:rsidR="00A47D09" w:rsidRPr="00563D71">
        <w:rPr>
          <w:rFonts w:asciiTheme="majorBidi" w:hAnsiTheme="majorBidi" w:cstheme="majorBidi"/>
          <w:sz w:val="24"/>
          <w:szCs w:val="24"/>
        </w:rPr>
        <w:t>BAPPENAS</w:t>
      </w:r>
      <w:r w:rsidRPr="00563D71">
        <w:rPr>
          <w:rFonts w:asciiTheme="majorBidi" w:hAnsiTheme="majorBidi" w:cstheme="majorBidi"/>
          <w:sz w:val="24"/>
          <w:szCs w:val="24"/>
        </w:rPr>
        <w:t>)</w:t>
      </w:r>
      <w:r w:rsidR="00B25619" w:rsidRPr="00563D71">
        <w:rPr>
          <w:rFonts w:asciiTheme="majorBidi" w:hAnsiTheme="majorBidi" w:cstheme="majorBidi"/>
          <w:sz w:val="24"/>
          <w:szCs w:val="24"/>
        </w:rPr>
        <w:t>. Providing regulations and strategies for tourism development and integrating tourism development in</w:t>
      </w:r>
      <w:r w:rsidR="005F28FE" w:rsidRPr="00563D71">
        <w:rPr>
          <w:rFonts w:asciiTheme="majorBidi" w:hAnsiTheme="majorBidi" w:cstheme="majorBidi"/>
          <w:sz w:val="24"/>
          <w:szCs w:val="24"/>
        </w:rPr>
        <w:t>to</w:t>
      </w:r>
      <w:r w:rsidR="00B25619" w:rsidRPr="00563D71">
        <w:rPr>
          <w:rFonts w:asciiTheme="majorBidi" w:hAnsiTheme="majorBidi" w:cstheme="majorBidi"/>
          <w:sz w:val="24"/>
          <w:szCs w:val="24"/>
        </w:rPr>
        <w:t xml:space="preserve"> national development planning</w:t>
      </w:r>
    </w:p>
    <w:p w14:paraId="6073148C" w14:textId="114EF574" w:rsidR="00AB3FEE" w:rsidRPr="00563D71" w:rsidRDefault="00A47D09" w:rsidP="009C6FE3">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Ministry of Public Works and Housing (MPWH)</w:t>
      </w:r>
      <w:r w:rsidR="00B25619" w:rsidRPr="00563D71">
        <w:rPr>
          <w:rFonts w:asciiTheme="majorBidi" w:hAnsiTheme="majorBidi" w:cstheme="majorBidi"/>
          <w:sz w:val="24"/>
          <w:szCs w:val="24"/>
        </w:rPr>
        <w:t xml:space="preserve">. Formulating policies and strategies for </w:t>
      </w:r>
      <w:r w:rsidR="0001423C" w:rsidRPr="00563D71">
        <w:rPr>
          <w:rFonts w:asciiTheme="majorBidi" w:hAnsiTheme="majorBidi" w:cstheme="majorBidi"/>
          <w:sz w:val="24"/>
          <w:szCs w:val="24"/>
        </w:rPr>
        <w:t>infrastructure and housing</w:t>
      </w:r>
      <w:r w:rsidR="00B36431" w:rsidRPr="00563D71">
        <w:rPr>
          <w:rFonts w:asciiTheme="majorBidi" w:hAnsiTheme="majorBidi" w:cstheme="majorBidi"/>
          <w:sz w:val="24"/>
          <w:szCs w:val="24"/>
        </w:rPr>
        <w:t xml:space="preserve"> </w:t>
      </w:r>
      <w:r w:rsidR="00B25619" w:rsidRPr="00563D71">
        <w:rPr>
          <w:rFonts w:asciiTheme="majorBidi" w:hAnsiTheme="majorBidi" w:cstheme="majorBidi"/>
          <w:sz w:val="24"/>
          <w:szCs w:val="24"/>
        </w:rPr>
        <w:t xml:space="preserve">development.  Spatial planning and control of utilization of space of KSN (National Strategic Areas), and infrastructure. </w:t>
      </w:r>
      <w:r w:rsidR="00AB3FEE" w:rsidRPr="00563D71">
        <w:rPr>
          <w:rFonts w:asciiTheme="majorBidi" w:hAnsiTheme="majorBidi" w:cstheme="majorBidi"/>
          <w:sz w:val="24"/>
          <w:szCs w:val="24"/>
        </w:rPr>
        <w:t xml:space="preserve">MPWH’s </w:t>
      </w:r>
      <w:r w:rsidR="00A04A2B" w:rsidRPr="00563D71">
        <w:rPr>
          <w:rFonts w:asciiTheme="majorBidi" w:hAnsiTheme="majorBidi" w:cstheme="majorBidi"/>
          <w:sz w:val="24"/>
          <w:szCs w:val="24"/>
        </w:rPr>
        <w:t>RIDA</w:t>
      </w:r>
      <w:r w:rsidR="00AB3FEE" w:rsidRPr="00563D71">
        <w:rPr>
          <w:rFonts w:asciiTheme="majorBidi" w:hAnsiTheme="majorBidi" w:cstheme="majorBidi"/>
          <w:sz w:val="24"/>
          <w:szCs w:val="24"/>
        </w:rPr>
        <w:t xml:space="preserve"> is the main executing agency for the </w:t>
      </w:r>
      <w:r w:rsidR="0001423C" w:rsidRPr="00563D71">
        <w:rPr>
          <w:rFonts w:asciiTheme="majorBidi" w:hAnsiTheme="majorBidi" w:cstheme="majorBidi"/>
          <w:sz w:val="24"/>
          <w:szCs w:val="24"/>
        </w:rPr>
        <w:t>PforR Program</w:t>
      </w:r>
      <w:r w:rsidR="0014516C" w:rsidRPr="00563D71">
        <w:rPr>
          <w:rFonts w:asciiTheme="majorBidi" w:hAnsiTheme="majorBidi" w:cstheme="majorBidi"/>
          <w:sz w:val="24"/>
          <w:szCs w:val="24"/>
        </w:rPr>
        <w:t>.</w:t>
      </w:r>
      <w:r w:rsidR="00AB3FEE" w:rsidRPr="00563D71">
        <w:rPr>
          <w:rFonts w:asciiTheme="majorBidi" w:hAnsiTheme="majorBidi" w:cstheme="majorBidi"/>
          <w:sz w:val="24"/>
          <w:szCs w:val="24"/>
        </w:rPr>
        <w:t xml:space="preserve">  As such, it will be responsible for </w:t>
      </w:r>
      <w:r w:rsidR="00AB3FEE" w:rsidRPr="00563D71">
        <w:rPr>
          <w:rFonts w:asciiTheme="majorBidi" w:hAnsiTheme="majorBidi" w:cstheme="majorBidi"/>
          <w:sz w:val="24"/>
          <w:szCs w:val="24"/>
        </w:rPr>
        <w:lastRenderedPageBreak/>
        <w:t>preparation of safeguards instruments for major projects and management oversight of all aspects of compliance with the national safeguards system. Within BPIW’s Strategic Area Development Center (</w:t>
      </w:r>
      <w:r w:rsidR="00AB3FEE" w:rsidRPr="00563D71">
        <w:rPr>
          <w:rFonts w:asciiTheme="majorBidi" w:hAnsiTheme="majorBidi" w:cstheme="majorBidi"/>
          <w:i/>
          <w:sz w:val="24"/>
          <w:szCs w:val="24"/>
        </w:rPr>
        <w:t>Pusat Pengembangan Wilayah Strategis</w:t>
      </w:r>
      <w:r w:rsidR="00AB3FEE" w:rsidRPr="00563D71">
        <w:rPr>
          <w:rFonts w:asciiTheme="majorBidi" w:hAnsiTheme="majorBidi" w:cstheme="majorBidi"/>
          <w:sz w:val="24"/>
          <w:szCs w:val="24"/>
        </w:rPr>
        <w:t>) is the Land Acquisition Facilitation Division (</w:t>
      </w:r>
      <w:r w:rsidR="00AB3FEE" w:rsidRPr="00563D71">
        <w:rPr>
          <w:rFonts w:asciiTheme="majorBidi" w:hAnsiTheme="majorBidi" w:cstheme="majorBidi"/>
          <w:i/>
          <w:sz w:val="24"/>
          <w:szCs w:val="24"/>
        </w:rPr>
        <w:t>Bidang Fasilitasi Pengadaan Tanah</w:t>
      </w:r>
      <w:r w:rsidR="00AB3FEE" w:rsidRPr="00563D71">
        <w:rPr>
          <w:rFonts w:asciiTheme="majorBidi" w:hAnsiTheme="majorBidi" w:cstheme="majorBidi"/>
          <w:sz w:val="24"/>
          <w:szCs w:val="24"/>
        </w:rPr>
        <w:t>) tha</w:t>
      </w:r>
      <w:r w:rsidR="002D6CA1" w:rsidRPr="00563D71">
        <w:rPr>
          <w:rFonts w:asciiTheme="majorBidi" w:hAnsiTheme="majorBidi" w:cstheme="majorBidi"/>
          <w:sz w:val="24"/>
          <w:szCs w:val="24"/>
        </w:rPr>
        <w:t>t</w:t>
      </w:r>
      <w:r w:rsidR="00AB3FEE" w:rsidRPr="00563D71">
        <w:rPr>
          <w:rFonts w:asciiTheme="majorBidi" w:hAnsiTheme="majorBidi" w:cstheme="majorBidi"/>
          <w:sz w:val="24"/>
          <w:szCs w:val="24"/>
        </w:rPr>
        <w:t xml:space="preserve"> works </w:t>
      </w:r>
      <w:r w:rsidR="00CC5643" w:rsidRPr="00563D71">
        <w:rPr>
          <w:rFonts w:asciiTheme="majorBidi" w:hAnsiTheme="majorBidi" w:cstheme="majorBidi"/>
          <w:sz w:val="24"/>
          <w:szCs w:val="24"/>
        </w:rPr>
        <w:t>o</w:t>
      </w:r>
      <w:r w:rsidR="00AB3FEE" w:rsidRPr="00563D71">
        <w:rPr>
          <w:rFonts w:asciiTheme="majorBidi" w:hAnsiTheme="majorBidi" w:cstheme="majorBidi"/>
          <w:sz w:val="24"/>
          <w:szCs w:val="24"/>
        </w:rPr>
        <w:t>n coordination and preparation of technical policy,</w:t>
      </w:r>
      <w:r w:rsidR="00CC5643" w:rsidRPr="00563D71">
        <w:rPr>
          <w:rFonts w:asciiTheme="majorBidi" w:hAnsiTheme="majorBidi" w:cstheme="majorBidi"/>
          <w:sz w:val="24"/>
          <w:szCs w:val="24"/>
        </w:rPr>
        <w:t xml:space="preserve"> as well as</w:t>
      </w:r>
      <w:r w:rsidR="00AB3FEE" w:rsidRPr="00563D71">
        <w:rPr>
          <w:rFonts w:asciiTheme="majorBidi" w:hAnsiTheme="majorBidi" w:cstheme="majorBidi"/>
          <w:sz w:val="24"/>
          <w:szCs w:val="24"/>
        </w:rPr>
        <w:t xml:space="preserve"> plan and </w:t>
      </w:r>
      <w:r w:rsidR="00A04A2B" w:rsidRPr="00563D71">
        <w:rPr>
          <w:rFonts w:asciiTheme="majorBidi" w:hAnsiTheme="majorBidi" w:cstheme="majorBidi"/>
          <w:sz w:val="24"/>
          <w:szCs w:val="24"/>
        </w:rPr>
        <w:t>p</w:t>
      </w:r>
      <w:r w:rsidR="00AB3FEE" w:rsidRPr="00563D71">
        <w:rPr>
          <w:rFonts w:asciiTheme="majorBidi" w:hAnsiTheme="majorBidi" w:cstheme="majorBidi"/>
          <w:sz w:val="24"/>
          <w:szCs w:val="24"/>
        </w:rPr>
        <w:t xml:space="preserve">rogram implementation of land acquisition and land reserves in the context of the integration of development strategic areas. </w:t>
      </w:r>
      <w:r w:rsidR="00CC5643" w:rsidRPr="00563D71">
        <w:rPr>
          <w:rFonts w:asciiTheme="majorBidi" w:hAnsiTheme="majorBidi" w:cstheme="majorBidi"/>
          <w:sz w:val="24"/>
          <w:szCs w:val="24"/>
        </w:rPr>
        <w:t xml:space="preserve">The </w:t>
      </w:r>
      <w:r w:rsidR="00D75F0B" w:rsidRPr="00563D71">
        <w:rPr>
          <w:rFonts w:asciiTheme="majorBidi" w:hAnsiTheme="majorBidi" w:cstheme="majorBidi"/>
          <w:sz w:val="24"/>
          <w:szCs w:val="24"/>
        </w:rPr>
        <w:t xml:space="preserve">Directorate General </w:t>
      </w:r>
      <w:r w:rsidR="000B33FD" w:rsidRPr="00563D71">
        <w:rPr>
          <w:rFonts w:asciiTheme="majorBidi" w:hAnsiTheme="majorBidi" w:cstheme="majorBidi"/>
          <w:sz w:val="24"/>
          <w:szCs w:val="24"/>
        </w:rPr>
        <w:t>of Cipta Karya (</w:t>
      </w:r>
      <w:r w:rsidR="00E12FC4" w:rsidRPr="00563D71">
        <w:rPr>
          <w:rFonts w:asciiTheme="majorBidi" w:hAnsiTheme="majorBidi" w:cstheme="majorBidi"/>
          <w:i/>
          <w:sz w:val="24"/>
          <w:szCs w:val="24"/>
        </w:rPr>
        <w:t>B</w:t>
      </w:r>
      <w:r w:rsidR="000D13EB" w:rsidRPr="00563D71">
        <w:rPr>
          <w:rFonts w:asciiTheme="majorBidi" w:hAnsiTheme="majorBidi" w:cstheme="majorBidi"/>
          <w:i/>
          <w:sz w:val="24"/>
          <w:szCs w:val="24"/>
        </w:rPr>
        <w:t>idang Permukim</w:t>
      </w:r>
      <w:r w:rsidR="00E12FC4" w:rsidRPr="00563D71">
        <w:rPr>
          <w:rFonts w:asciiTheme="majorBidi" w:hAnsiTheme="majorBidi" w:cstheme="majorBidi"/>
          <w:i/>
          <w:sz w:val="24"/>
          <w:szCs w:val="24"/>
        </w:rPr>
        <w:t>an</w:t>
      </w:r>
      <w:r w:rsidR="000B33FD" w:rsidRPr="00563D71">
        <w:rPr>
          <w:rFonts w:asciiTheme="majorBidi" w:hAnsiTheme="majorBidi" w:cstheme="majorBidi"/>
          <w:sz w:val="24"/>
          <w:szCs w:val="24"/>
        </w:rPr>
        <w:t>)</w:t>
      </w:r>
      <w:r w:rsidR="00293C6C" w:rsidRPr="00563D71">
        <w:rPr>
          <w:rFonts w:asciiTheme="majorBidi" w:hAnsiTheme="majorBidi" w:cstheme="majorBidi"/>
          <w:sz w:val="24"/>
          <w:szCs w:val="24"/>
        </w:rPr>
        <w:t xml:space="preserve">, </w:t>
      </w:r>
      <w:r w:rsidR="000B33FD" w:rsidRPr="00563D71">
        <w:rPr>
          <w:rFonts w:asciiTheme="majorBidi" w:hAnsiTheme="majorBidi" w:cstheme="majorBidi"/>
          <w:sz w:val="24"/>
          <w:szCs w:val="24"/>
        </w:rPr>
        <w:t>Directorate General of Water Resources (</w:t>
      </w:r>
      <w:r w:rsidR="00E12FC4" w:rsidRPr="00563D71">
        <w:rPr>
          <w:rFonts w:asciiTheme="majorBidi" w:hAnsiTheme="majorBidi" w:cstheme="majorBidi"/>
          <w:i/>
          <w:sz w:val="24"/>
          <w:szCs w:val="24"/>
        </w:rPr>
        <w:t>Bidang Sumber Air</w:t>
      </w:r>
      <w:r w:rsidR="000B33FD" w:rsidRPr="00563D71">
        <w:rPr>
          <w:rFonts w:asciiTheme="majorBidi" w:hAnsiTheme="majorBidi" w:cstheme="majorBidi"/>
          <w:sz w:val="24"/>
          <w:szCs w:val="24"/>
        </w:rPr>
        <w:t>)</w:t>
      </w:r>
      <w:r w:rsidR="00293C6C" w:rsidRPr="00563D71">
        <w:rPr>
          <w:rFonts w:asciiTheme="majorBidi" w:hAnsiTheme="majorBidi" w:cstheme="majorBidi"/>
          <w:sz w:val="24"/>
          <w:szCs w:val="24"/>
        </w:rPr>
        <w:t xml:space="preserve"> and the Directorate General of Highways are responsible </w:t>
      </w:r>
      <w:r w:rsidR="009C6FE3" w:rsidRPr="00563D71">
        <w:rPr>
          <w:rFonts w:asciiTheme="majorBidi" w:hAnsiTheme="majorBidi" w:cstheme="majorBidi"/>
          <w:sz w:val="24"/>
          <w:szCs w:val="24"/>
        </w:rPr>
        <w:t>for</w:t>
      </w:r>
      <w:r w:rsidR="00293C6C" w:rsidRPr="00563D71">
        <w:rPr>
          <w:rFonts w:asciiTheme="majorBidi" w:hAnsiTheme="majorBidi" w:cstheme="majorBidi"/>
          <w:sz w:val="24"/>
          <w:szCs w:val="24"/>
        </w:rPr>
        <w:t xml:space="preserve"> prepar</w:t>
      </w:r>
      <w:r w:rsidR="009C6FE3" w:rsidRPr="00563D71">
        <w:rPr>
          <w:rFonts w:asciiTheme="majorBidi" w:hAnsiTheme="majorBidi" w:cstheme="majorBidi"/>
          <w:sz w:val="24"/>
          <w:szCs w:val="24"/>
        </w:rPr>
        <w:t>ing</w:t>
      </w:r>
      <w:r w:rsidR="00293C6C" w:rsidRPr="00563D71">
        <w:rPr>
          <w:rFonts w:asciiTheme="majorBidi" w:hAnsiTheme="majorBidi" w:cstheme="majorBidi"/>
          <w:sz w:val="24"/>
          <w:szCs w:val="24"/>
        </w:rPr>
        <w:t xml:space="preserve"> and implement</w:t>
      </w:r>
      <w:r w:rsidR="009C6FE3" w:rsidRPr="00563D71">
        <w:rPr>
          <w:rFonts w:asciiTheme="majorBidi" w:hAnsiTheme="majorBidi" w:cstheme="majorBidi"/>
          <w:sz w:val="24"/>
          <w:szCs w:val="24"/>
        </w:rPr>
        <w:t>ing</w:t>
      </w:r>
      <w:r w:rsidR="00293C6C" w:rsidRPr="00563D71">
        <w:rPr>
          <w:rFonts w:asciiTheme="majorBidi" w:hAnsiTheme="majorBidi" w:cstheme="majorBidi"/>
          <w:sz w:val="24"/>
          <w:szCs w:val="24"/>
        </w:rPr>
        <w:t xml:space="preserve"> environmental and social safeguards instruments for any projects under their mandates, i.e. human settlements, water resource development</w:t>
      </w:r>
      <w:r w:rsidR="009C6FE3" w:rsidRPr="00563D71">
        <w:rPr>
          <w:rFonts w:asciiTheme="majorBidi" w:hAnsiTheme="majorBidi" w:cstheme="majorBidi"/>
          <w:sz w:val="24"/>
          <w:szCs w:val="24"/>
        </w:rPr>
        <w:t>,</w:t>
      </w:r>
      <w:r w:rsidR="00293C6C" w:rsidRPr="00563D71">
        <w:rPr>
          <w:rFonts w:asciiTheme="majorBidi" w:hAnsiTheme="majorBidi" w:cstheme="majorBidi"/>
          <w:sz w:val="24"/>
          <w:szCs w:val="24"/>
        </w:rPr>
        <w:t xml:space="preserve"> and national roads, respectively. </w:t>
      </w:r>
      <w:r w:rsidR="000B33FD" w:rsidRPr="00563D71">
        <w:rPr>
          <w:rFonts w:asciiTheme="majorBidi" w:hAnsiTheme="majorBidi" w:cstheme="majorBidi"/>
          <w:sz w:val="24"/>
          <w:szCs w:val="24"/>
        </w:rPr>
        <w:t xml:space="preserve"> </w:t>
      </w:r>
    </w:p>
    <w:p w14:paraId="0DB655C0" w14:textId="3F0143E5" w:rsidR="0001423C" w:rsidRPr="00563D71" w:rsidRDefault="0001423C"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Ministry of </w:t>
      </w:r>
      <w:r w:rsidR="00826F4F" w:rsidRPr="00563D71">
        <w:rPr>
          <w:rFonts w:asciiTheme="majorBidi" w:hAnsiTheme="majorBidi" w:cstheme="majorBidi"/>
          <w:sz w:val="24"/>
          <w:szCs w:val="24"/>
        </w:rPr>
        <w:t>Land and Spatial Planning</w:t>
      </w:r>
      <w:r w:rsidRPr="00563D71">
        <w:rPr>
          <w:rFonts w:asciiTheme="majorBidi" w:hAnsiTheme="majorBidi" w:cstheme="majorBidi"/>
          <w:sz w:val="24"/>
          <w:szCs w:val="24"/>
        </w:rPr>
        <w:t>.</w:t>
      </w:r>
      <w:r w:rsidRPr="00563D71">
        <w:rPr>
          <w:rFonts w:asciiTheme="majorBidi" w:hAnsiTheme="majorBidi" w:cstheme="majorBidi"/>
          <w:sz w:val="24"/>
          <w:szCs w:val="24"/>
        </w:rPr>
        <w:tab/>
        <w:t>This Ministry is responsible</w:t>
      </w:r>
      <w:r w:rsidR="00826F4F" w:rsidRPr="00563D71">
        <w:rPr>
          <w:rFonts w:asciiTheme="majorBidi" w:hAnsiTheme="majorBidi" w:cstheme="majorBidi"/>
          <w:sz w:val="24"/>
          <w:szCs w:val="24"/>
        </w:rPr>
        <w:t>,</w:t>
      </w:r>
      <w:r w:rsidRPr="00563D71">
        <w:rPr>
          <w:rFonts w:asciiTheme="majorBidi" w:hAnsiTheme="majorBidi" w:cstheme="majorBidi"/>
          <w:sz w:val="24"/>
          <w:szCs w:val="24"/>
        </w:rPr>
        <w:t xml:space="preserve"> among others, for managing land and spatial development, including in developing policies and strategies in spatial development, land management, </w:t>
      </w:r>
      <w:r w:rsidR="00826F4F" w:rsidRPr="00563D71">
        <w:rPr>
          <w:rFonts w:asciiTheme="majorBidi" w:hAnsiTheme="majorBidi" w:cstheme="majorBidi"/>
          <w:sz w:val="24"/>
          <w:szCs w:val="24"/>
        </w:rPr>
        <w:t xml:space="preserve">and </w:t>
      </w:r>
      <w:r w:rsidRPr="00563D71">
        <w:rPr>
          <w:rFonts w:asciiTheme="majorBidi" w:hAnsiTheme="majorBidi" w:cstheme="majorBidi"/>
          <w:sz w:val="24"/>
          <w:szCs w:val="24"/>
        </w:rPr>
        <w:t>land acquisition; in controlling spatial development and land tenure; and in managing land issues, use of spatial development</w:t>
      </w:r>
      <w:r w:rsidR="00826F4F" w:rsidRPr="00563D71">
        <w:rPr>
          <w:rFonts w:asciiTheme="majorBidi" w:hAnsiTheme="majorBidi" w:cstheme="majorBidi"/>
          <w:sz w:val="24"/>
          <w:szCs w:val="24"/>
        </w:rPr>
        <w:t>,</w:t>
      </w:r>
      <w:r w:rsidRPr="00563D71">
        <w:rPr>
          <w:rFonts w:asciiTheme="majorBidi" w:hAnsiTheme="majorBidi" w:cstheme="majorBidi"/>
          <w:sz w:val="24"/>
          <w:szCs w:val="24"/>
        </w:rPr>
        <w:t xml:space="preserve"> and land. This Ministry has an important role in defining the spatial development in tourism activities/destinations and in acquiring land for tourism activities.</w:t>
      </w:r>
    </w:p>
    <w:p w14:paraId="51F7CD20" w14:textId="0332F152" w:rsidR="00B25619" w:rsidRPr="00563D71" w:rsidRDefault="00A47D09"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Ministry of Tourism</w:t>
      </w:r>
      <w:r w:rsidR="00B25619" w:rsidRPr="00563D71">
        <w:rPr>
          <w:rFonts w:asciiTheme="majorBidi" w:hAnsiTheme="majorBidi" w:cstheme="majorBidi"/>
          <w:sz w:val="24"/>
          <w:szCs w:val="24"/>
        </w:rPr>
        <w:t xml:space="preserve">.  </w:t>
      </w:r>
      <w:r w:rsidR="0001423C" w:rsidRPr="00563D71">
        <w:rPr>
          <w:rFonts w:asciiTheme="majorBidi" w:hAnsiTheme="majorBidi" w:cstheme="majorBidi"/>
          <w:sz w:val="24"/>
          <w:szCs w:val="24"/>
        </w:rPr>
        <w:t>Establishing policies and strategies as well as promoting the development of tourism destinations and tourism industry, marketing outbound and inbound tourism, and developing tourism institutional capacity.</w:t>
      </w:r>
      <w:r w:rsidRPr="00563D71">
        <w:rPr>
          <w:rFonts w:asciiTheme="majorBidi" w:hAnsiTheme="majorBidi" w:cstheme="majorBidi"/>
          <w:sz w:val="24"/>
          <w:szCs w:val="24"/>
        </w:rPr>
        <w:t xml:space="preserve"> </w:t>
      </w:r>
      <w:r w:rsidR="00B25619" w:rsidRPr="00563D71">
        <w:rPr>
          <w:rFonts w:asciiTheme="majorBidi" w:hAnsiTheme="majorBidi" w:cstheme="majorBidi"/>
          <w:sz w:val="24"/>
          <w:szCs w:val="24"/>
        </w:rPr>
        <w:t xml:space="preserve">Providing </w:t>
      </w:r>
      <w:r w:rsidR="00E72FD9" w:rsidRPr="00563D71">
        <w:rPr>
          <w:rFonts w:asciiTheme="majorBidi" w:hAnsiTheme="majorBidi" w:cstheme="majorBidi"/>
          <w:sz w:val="24"/>
          <w:szCs w:val="24"/>
        </w:rPr>
        <w:t xml:space="preserve">the </w:t>
      </w:r>
      <w:r w:rsidR="00B25619" w:rsidRPr="00563D71">
        <w:rPr>
          <w:rFonts w:asciiTheme="majorBidi" w:hAnsiTheme="majorBidi" w:cstheme="majorBidi"/>
          <w:sz w:val="24"/>
          <w:szCs w:val="24"/>
        </w:rPr>
        <w:t xml:space="preserve">development concept </w:t>
      </w:r>
      <w:r w:rsidR="007C26A9" w:rsidRPr="00563D71">
        <w:rPr>
          <w:rFonts w:asciiTheme="majorBidi" w:hAnsiTheme="majorBidi" w:cstheme="majorBidi"/>
          <w:sz w:val="24"/>
          <w:szCs w:val="24"/>
        </w:rPr>
        <w:t xml:space="preserve">(“Vision”) </w:t>
      </w:r>
      <w:r w:rsidR="00B25619" w:rsidRPr="00563D71">
        <w:rPr>
          <w:rFonts w:asciiTheme="majorBidi" w:hAnsiTheme="majorBidi" w:cstheme="majorBidi"/>
          <w:sz w:val="24"/>
          <w:szCs w:val="24"/>
        </w:rPr>
        <w:t>for tourism development</w:t>
      </w:r>
      <w:r w:rsidR="00AB3FEE" w:rsidRPr="00563D71">
        <w:rPr>
          <w:rFonts w:asciiTheme="majorBidi" w:hAnsiTheme="majorBidi" w:cstheme="majorBidi"/>
          <w:sz w:val="24"/>
          <w:szCs w:val="24"/>
        </w:rPr>
        <w:t>. Implementing the UNWTO Sustainable Tourism Observatory Program</w:t>
      </w:r>
      <w:r w:rsidR="00900212" w:rsidRPr="00563D71">
        <w:rPr>
          <w:rFonts w:asciiTheme="majorBidi" w:hAnsiTheme="majorBidi" w:cstheme="majorBidi"/>
          <w:sz w:val="24"/>
          <w:szCs w:val="24"/>
        </w:rPr>
        <w:t>, responsible for the tourism schools, and various tourism</w:t>
      </w:r>
      <w:r w:rsidR="002D6CA1" w:rsidRPr="00563D71">
        <w:rPr>
          <w:rFonts w:asciiTheme="majorBidi" w:hAnsiTheme="majorBidi" w:cstheme="majorBidi"/>
          <w:sz w:val="24"/>
          <w:szCs w:val="24"/>
        </w:rPr>
        <w:t xml:space="preserve"> </w:t>
      </w:r>
      <w:r w:rsidR="00900212" w:rsidRPr="00563D71">
        <w:rPr>
          <w:rFonts w:asciiTheme="majorBidi" w:hAnsiTheme="majorBidi" w:cstheme="majorBidi"/>
          <w:sz w:val="24"/>
          <w:szCs w:val="24"/>
        </w:rPr>
        <w:t>industry</w:t>
      </w:r>
      <w:r w:rsidR="002D6CA1" w:rsidRPr="00563D71">
        <w:rPr>
          <w:rFonts w:asciiTheme="majorBidi" w:hAnsiTheme="majorBidi" w:cstheme="majorBidi"/>
          <w:sz w:val="24"/>
          <w:szCs w:val="24"/>
        </w:rPr>
        <w:t>-</w:t>
      </w:r>
      <w:r w:rsidR="00900212" w:rsidRPr="00563D71">
        <w:rPr>
          <w:rFonts w:asciiTheme="majorBidi" w:hAnsiTheme="majorBidi" w:cstheme="majorBidi"/>
          <w:sz w:val="24"/>
          <w:szCs w:val="24"/>
        </w:rPr>
        <w:t xml:space="preserve">related programs. </w:t>
      </w:r>
    </w:p>
    <w:p w14:paraId="4926C3C0" w14:textId="43AD77D4" w:rsidR="0001423C" w:rsidRPr="00563D71" w:rsidRDefault="00A47D09" w:rsidP="00E72FD9">
      <w:pPr>
        <w:pStyle w:val="ListParagraph"/>
        <w:numPr>
          <w:ilvl w:val="0"/>
          <w:numId w:val="21"/>
        </w:numPr>
        <w:spacing w:after="0" w:line="240" w:lineRule="auto"/>
        <w:ind w:left="1080"/>
        <w:rPr>
          <w:rFonts w:asciiTheme="majorBidi" w:hAnsiTheme="majorBidi" w:cstheme="majorBidi"/>
          <w:sz w:val="24"/>
          <w:szCs w:val="24"/>
        </w:rPr>
      </w:pPr>
      <w:r w:rsidRPr="00563D71">
        <w:rPr>
          <w:rFonts w:asciiTheme="majorBidi" w:hAnsiTheme="majorBidi" w:cstheme="majorBidi"/>
          <w:sz w:val="24"/>
          <w:szCs w:val="24"/>
        </w:rPr>
        <w:t>Ministry of Environment and Forestry (MOEF)</w:t>
      </w:r>
      <w:r w:rsidR="00B25619" w:rsidRPr="00563D71">
        <w:rPr>
          <w:rFonts w:asciiTheme="majorBidi" w:hAnsiTheme="majorBidi" w:cstheme="majorBidi"/>
          <w:sz w:val="24"/>
          <w:szCs w:val="24"/>
        </w:rPr>
        <w:t xml:space="preserve">. </w:t>
      </w:r>
      <w:r w:rsidR="00AB3FEE" w:rsidRPr="00563D71">
        <w:rPr>
          <w:rFonts w:asciiTheme="majorBidi" w:hAnsiTheme="majorBidi" w:cstheme="majorBidi"/>
          <w:sz w:val="24"/>
          <w:szCs w:val="24"/>
        </w:rPr>
        <w:t xml:space="preserve">Designated by law as the </w:t>
      </w:r>
      <w:r w:rsidR="00E72FD9" w:rsidRPr="00563D71">
        <w:rPr>
          <w:rFonts w:asciiTheme="majorBidi" w:hAnsiTheme="majorBidi" w:cstheme="majorBidi"/>
          <w:sz w:val="24"/>
          <w:szCs w:val="24"/>
        </w:rPr>
        <w:t xml:space="preserve">agency </w:t>
      </w:r>
      <w:r w:rsidR="00AB3FEE" w:rsidRPr="00563D71">
        <w:rPr>
          <w:rFonts w:asciiTheme="majorBidi" w:hAnsiTheme="majorBidi" w:cstheme="majorBidi"/>
          <w:sz w:val="24"/>
          <w:szCs w:val="24"/>
        </w:rPr>
        <w:t>responsible for managing Indonesia’s environment</w:t>
      </w:r>
      <w:r w:rsidR="0001423C" w:rsidRPr="00563D71">
        <w:rPr>
          <w:rFonts w:asciiTheme="majorBidi" w:hAnsiTheme="majorBidi" w:cstheme="majorBidi"/>
          <w:sz w:val="24"/>
          <w:szCs w:val="24"/>
        </w:rPr>
        <w:t xml:space="preserve"> and forest estate</w:t>
      </w:r>
      <w:r w:rsidR="00AB3FEE" w:rsidRPr="00563D71">
        <w:rPr>
          <w:rFonts w:asciiTheme="majorBidi" w:hAnsiTheme="majorBidi" w:cstheme="majorBidi"/>
          <w:sz w:val="24"/>
          <w:szCs w:val="24"/>
        </w:rPr>
        <w:t>. I</w:t>
      </w:r>
      <w:r w:rsidR="0001423C" w:rsidRPr="00563D71">
        <w:rPr>
          <w:rFonts w:asciiTheme="majorBidi" w:hAnsiTheme="majorBidi" w:cstheme="majorBidi"/>
          <w:sz w:val="24"/>
          <w:szCs w:val="24"/>
        </w:rPr>
        <w:t>t i</w:t>
      </w:r>
      <w:r w:rsidR="00AB3FEE" w:rsidRPr="00563D71">
        <w:rPr>
          <w:rFonts w:asciiTheme="majorBidi" w:hAnsiTheme="majorBidi" w:cstheme="majorBidi"/>
          <w:sz w:val="24"/>
          <w:szCs w:val="24"/>
        </w:rPr>
        <w:t xml:space="preserve">ssues </w:t>
      </w:r>
      <w:r w:rsidR="0001423C" w:rsidRPr="00563D71">
        <w:rPr>
          <w:rFonts w:asciiTheme="majorBidi" w:hAnsiTheme="majorBidi" w:cstheme="majorBidi"/>
          <w:sz w:val="24"/>
          <w:szCs w:val="24"/>
        </w:rPr>
        <w:t xml:space="preserve">policies, strategies, </w:t>
      </w:r>
      <w:r w:rsidR="00AB3FEE" w:rsidRPr="00563D71">
        <w:rPr>
          <w:rFonts w:asciiTheme="majorBidi" w:hAnsiTheme="majorBidi" w:cstheme="majorBidi"/>
          <w:sz w:val="24"/>
          <w:szCs w:val="24"/>
        </w:rPr>
        <w:t>regulations, guidelines, procedures</w:t>
      </w:r>
      <w:r w:rsidR="00E72FD9" w:rsidRPr="00563D71">
        <w:rPr>
          <w:rFonts w:asciiTheme="majorBidi" w:hAnsiTheme="majorBidi" w:cstheme="majorBidi"/>
          <w:sz w:val="24"/>
          <w:szCs w:val="24"/>
        </w:rPr>
        <w:t>,</w:t>
      </w:r>
      <w:r w:rsidR="00AB3FEE" w:rsidRPr="00563D71">
        <w:rPr>
          <w:rFonts w:asciiTheme="majorBidi" w:hAnsiTheme="majorBidi" w:cstheme="majorBidi"/>
          <w:sz w:val="24"/>
          <w:szCs w:val="24"/>
        </w:rPr>
        <w:t xml:space="preserve"> and standards</w:t>
      </w:r>
      <w:r w:rsidR="0001423C" w:rsidRPr="00563D71">
        <w:rPr>
          <w:rFonts w:asciiTheme="majorBidi" w:hAnsiTheme="majorBidi" w:cstheme="majorBidi"/>
          <w:sz w:val="24"/>
          <w:szCs w:val="24"/>
        </w:rPr>
        <w:t xml:space="preserve"> on environmental and forest management and works to ensure the consistent implementation of them</w:t>
      </w:r>
      <w:r w:rsidR="00AB3FEE" w:rsidRPr="00563D71">
        <w:rPr>
          <w:rFonts w:asciiTheme="majorBidi" w:hAnsiTheme="majorBidi" w:cstheme="majorBidi"/>
          <w:sz w:val="24"/>
          <w:szCs w:val="24"/>
        </w:rPr>
        <w:t xml:space="preserve">.  Responsible for management of Indonesia’s forest estate, including production, protection, and conservation forests and for management of national parks, biodiversity conservation areas, refuges, etc. </w:t>
      </w:r>
      <w:r w:rsidR="0001423C" w:rsidRPr="00563D71">
        <w:rPr>
          <w:rFonts w:asciiTheme="majorBidi" w:hAnsiTheme="majorBidi" w:cstheme="majorBidi"/>
          <w:sz w:val="24"/>
          <w:szCs w:val="24"/>
        </w:rPr>
        <w:t xml:space="preserve">This Ministry also responsible for ensuring Indigenous Peoples living and/or using the forests </w:t>
      </w:r>
      <w:r w:rsidR="00E72FD9" w:rsidRPr="00563D71">
        <w:rPr>
          <w:rFonts w:asciiTheme="majorBidi" w:hAnsiTheme="majorBidi" w:cstheme="majorBidi"/>
          <w:sz w:val="24"/>
          <w:szCs w:val="24"/>
        </w:rPr>
        <w:t xml:space="preserve">are </w:t>
      </w:r>
      <w:r w:rsidR="0001423C" w:rsidRPr="00563D71">
        <w:rPr>
          <w:rFonts w:asciiTheme="majorBidi" w:hAnsiTheme="majorBidi" w:cstheme="majorBidi"/>
          <w:sz w:val="24"/>
          <w:szCs w:val="24"/>
        </w:rPr>
        <w:t>part of the overall forest management.</w:t>
      </w:r>
    </w:p>
    <w:p w14:paraId="0E7E4EE5" w14:textId="36921F29" w:rsidR="0001423C" w:rsidRPr="00563D71" w:rsidRDefault="00592296" w:rsidP="00E72FD9">
      <w:pPr>
        <w:pStyle w:val="ListParagraph"/>
        <w:numPr>
          <w:ilvl w:val="0"/>
          <w:numId w:val="21"/>
        </w:numPr>
        <w:spacing w:after="0"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Ministry </w:t>
      </w:r>
      <w:r w:rsidR="004A0CAE" w:rsidRPr="00563D71">
        <w:rPr>
          <w:rFonts w:asciiTheme="majorBidi" w:hAnsiTheme="majorBidi" w:cstheme="majorBidi"/>
          <w:sz w:val="24"/>
          <w:szCs w:val="24"/>
        </w:rPr>
        <w:t>o</w:t>
      </w:r>
      <w:r w:rsidRPr="00563D71">
        <w:rPr>
          <w:rFonts w:asciiTheme="majorBidi" w:hAnsiTheme="majorBidi" w:cstheme="majorBidi"/>
          <w:sz w:val="24"/>
          <w:szCs w:val="24"/>
        </w:rPr>
        <w:t>f Social Affairs (MoSA).</w:t>
      </w:r>
      <w:r w:rsidR="0001423C" w:rsidRPr="00563D71">
        <w:rPr>
          <w:rFonts w:asciiTheme="majorBidi" w:hAnsiTheme="majorBidi" w:cstheme="majorBidi"/>
          <w:sz w:val="24"/>
          <w:szCs w:val="24"/>
        </w:rPr>
        <w:t xml:space="preserve"> This ministry f</w:t>
      </w:r>
      <w:r w:rsidRPr="00563D71">
        <w:rPr>
          <w:rFonts w:asciiTheme="majorBidi" w:hAnsiTheme="majorBidi" w:cstheme="majorBidi"/>
          <w:sz w:val="24"/>
          <w:szCs w:val="24"/>
        </w:rPr>
        <w:t>ormulate</w:t>
      </w:r>
      <w:r w:rsidR="00EB7BA6" w:rsidRPr="00563D71">
        <w:rPr>
          <w:rFonts w:asciiTheme="majorBidi" w:hAnsiTheme="majorBidi" w:cstheme="majorBidi"/>
          <w:sz w:val="24"/>
          <w:szCs w:val="24"/>
        </w:rPr>
        <w:t>s</w:t>
      </w:r>
      <w:r w:rsidRPr="00563D71">
        <w:rPr>
          <w:rFonts w:asciiTheme="majorBidi" w:hAnsiTheme="majorBidi" w:cstheme="majorBidi"/>
          <w:sz w:val="24"/>
          <w:szCs w:val="24"/>
        </w:rPr>
        <w:t xml:space="preserve"> and determine</w:t>
      </w:r>
      <w:r w:rsidR="00EB7BA6" w:rsidRPr="00563D71">
        <w:rPr>
          <w:rFonts w:asciiTheme="majorBidi" w:hAnsiTheme="majorBidi" w:cstheme="majorBidi"/>
          <w:sz w:val="24"/>
          <w:szCs w:val="24"/>
        </w:rPr>
        <w:t>s</w:t>
      </w:r>
      <w:r w:rsidRPr="00563D71">
        <w:rPr>
          <w:rFonts w:asciiTheme="majorBidi" w:hAnsiTheme="majorBidi" w:cstheme="majorBidi"/>
          <w:sz w:val="24"/>
          <w:szCs w:val="24"/>
        </w:rPr>
        <w:t xml:space="preserve"> imple</w:t>
      </w:r>
      <w:r w:rsidR="004A0CAE" w:rsidRPr="00563D71">
        <w:rPr>
          <w:rFonts w:asciiTheme="majorBidi" w:hAnsiTheme="majorBidi" w:cstheme="majorBidi"/>
          <w:sz w:val="24"/>
          <w:szCs w:val="24"/>
        </w:rPr>
        <w:t xml:space="preserve">mentation of policies of social </w:t>
      </w:r>
      <w:r w:rsidRPr="00563D71">
        <w:rPr>
          <w:rFonts w:asciiTheme="majorBidi" w:hAnsiTheme="majorBidi" w:cstheme="majorBidi"/>
          <w:sz w:val="24"/>
          <w:szCs w:val="24"/>
        </w:rPr>
        <w:t>rehabilitation, social security, social empowerment,</w:t>
      </w:r>
      <w:r w:rsidR="007B00DC" w:rsidRPr="00563D71">
        <w:rPr>
          <w:rFonts w:asciiTheme="majorBidi" w:hAnsiTheme="majorBidi" w:cstheme="majorBidi"/>
          <w:sz w:val="24"/>
          <w:szCs w:val="24"/>
        </w:rPr>
        <w:t xml:space="preserve"> and</w:t>
      </w:r>
      <w:r w:rsidRPr="00563D71">
        <w:rPr>
          <w:rFonts w:asciiTheme="majorBidi" w:hAnsiTheme="majorBidi" w:cstheme="majorBidi"/>
          <w:sz w:val="24"/>
          <w:szCs w:val="24"/>
        </w:rPr>
        <w:t xml:space="preserve"> social protection</w:t>
      </w:r>
      <w:r w:rsidR="007B00DC" w:rsidRPr="00563D71">
        <w:rPr>
          <w:rFonts w:asciiTheme="majorBidi" w:hAnsiTheme="majorBidi" w:cstheme="majorBidi"/>
          <w:sz w:val="24"/>
          <w:szCs w:val="24"/>
        </w:rPr>
        <w:t xml:space="preserve">. </w:t>
      </w:r>
      <w:r w:rsidR="0001423C" w:rsidRPr="00563D71">
        <w:rPr>
          <w:rFonts w:asciiTheme="majorBidi" w:hAnsiTheme="majorBidi" w:cstheme="majorBidi"/>
          <w:sz w:val="24"/>
          <w:szCs w:val="24"/>
        </w:rPr>
        <w:t>In addition, it i</w:t>
      </w:r>
      <w:r w:rsidR="007B00DC" w:rsidRPr="00563D71">
        <w:rPr>
          <w:rFonts w:asciiTheme="majorBidi" w:hAnsiTheme="majorBidi" w:cstheme="majorBidi"/>
          <w:sz w:val="24"/>
          <w:szCs w:val="24"/>
        </w:rPr>
        <w:t xml:space="preserve">ssues regulations to prevent women and </w:t>
      </w:r>
      <w:r w:rsidR="007C26A9" w:rsidRPr="00563D71">
        <w:rPr>
          <w:rFonts w:asciiTheme="majorBidi" w:hAnsiTheme="majorBidi" w:cstheme="majorBidi"/>
          <w:sz w:val="24"/>
          <w:szCs w:val="24"/>
        </w:rPr>
        <w:t>children</w:t>
      </w:r>
      <w:r w:rsidR="007B00DC" w:rsidRPr="00563D71">
        <w:rPr>
          <w:rFonts w:asciiTheme="majorBidi" w:hAnsiTheme="majorBidi" w:cstheme="majorBidi"/>
          <w:sz w:val="24"/>
          <w:szCs w:val="24"/>
        </w:rPr>
        <w:t xml:space="preserve"> </w:t>
      </w:r>
      <w:r w:rsidR="00677564" w:rsidRPr="00563D71">
        <w:rPr>
          <w:rFonts w:asciiTheme="majorBidi" w:hAnsiTheme="majorBidi" w:cstheme="majorBidi"/>
          <w:sz w:val="24"/>
          <w:szCs w:val="24"/>
        </w:rPr>
        <w:t>from</w:t>
      </w:r>
      <w:r w:rsidR="007B00DC" w:rsidRPr="00563D71">
        <w:rPr>
          <w:rFonts w:asciiTheme="majorBidi" w:hAnsiTheme="majorBidi" w:cstheme="majorBidi"/>
          <w:sz w:val="24"/>
          <w:szCs w:val="24"/>
        </w:rPr>
        <w:t xml:space="preserve"> be</w:t>
      </w:r>
      <w:r w:rsidR="00677564" w:rsidRPr="00563D71">
        <w:rPr>
          <w:rFonts w:asciiTheme="majorBidi" w:hAnsiTheme="majorBidi" w:cstheme="majorBidi"/>
          <w:sz w:val="24"/>
          <w:szCs w:val="24"/>
        </w:rPr>
        <w:t>ing</w:t>
      </w:r>
      <w:r w:rsidR="007B00DC" w:rsidRPr="00563D71">
        <w:rPr>
          <w:rFonts w:asciiTheme="majorBidi" w:hAnsiTheme="majorBidi" w:cstheme="majorBidi"/>
          <w:sz w:val="24"/>
          <w:szCs w:val="24"/>
        </w:rPr>
        <w:t xml:space="preserve"> exploited </w:t>
      </w:r>
      <w:r w:rsidR="004A0CAE" w:rsidRPr="00563D71">
        <w:rPr>
          <w:rFonts w:asciiTheme="majorBidi" w:hAnsiTheme="majorBidi" w:cstheme="majorBidi"/>
          <w:sz w:val="24"/>
          <w:szCs w:val="24"/>
        </w:rPr>
        <w:t>(traffick</w:t>
      </w:r>
      <w:r w:rsidR="00677564" w:rsidRPr="00563D71">
        <w:rPr>
          <w:rFonts w:asciiTheme="majorBidi" w:hAnsiTheme="majorBidi" w:cstheme="majorBidi"/>
          <w:sz w:val="24"/>
          <w:szCs w:val="24"/>
        </w:rPr>
        <w:t>ing, sexual, drugs, forced labo</w:t>
      </w:r>
      <w:r w:rsidR="004A0CAE" w:rsidRPr="00563D71">
        <w:rPr>
          <w:rFonts w:asciiTheme="majorBidi" w:hAnsiTheme="majorBidi" w:cstheme="majorBidi"/>
          <w:sz w:val="24"/>
          <w:szCs w:val="24"/>
        </w:rPr>
        <w:t>r) to reduce downside</w:t>
      </w:r>
      <w:r w:rsidR="00E72FD9" w:rsidRPr="00563D71">
        <w:rPr>
          <w:rFonts w:asciiTheme="majorBidi" w:hAnsiTheme="majorBidi" w:cstheme="majorBidi"/>
          <w:sz w:val="24"/>
          <w:szCs w:val="24"/>
        </w:rPr>
        <w:t>s</w:t>
      </w:r>
      <w:r w:rsidR="004A0CAE" w:rsidRPr="00563D71">
        <w:rPr>
          <w:rFonts w:asciiTheme="majorBidi" w:hAnsiTheme="majorBidi" w:cstheme="majorBidi"/>
          <w:sz w:val="24"/>
          <w:szCs w:val="24"/>
        </w:rPr>
        <w:t xml:space="preserve"> of mass tourism.</w:t>
      </w:r>
      <w:r w:rsidR="0001423C" w:rsidRPr="00563D71">
        <w:rPr>
          <w:rFonts w:asciiTheme="majorBidi" w:hAnsiTheme="majorBidi" w:cstheme="majorBidi"/>
          <w:sz w:val="24"/>
          <w:szCs w:val="24"/>
        </w:rPr>
        <w:t xml:space="preserve"> MoSA is also responsible for improving the life quality of Indigenous Peoples and </w:t>
      </w:r>
      <w:r w:rsidR="00E72FD9" w:rsidRPr="00563D71">
        <w:rPr>
          <w:rFonts w:asciiTheme="majorBidi" w:hAnsiTheme="majorBidi" w:cstheme="majorBidi"/>
          <w:sz w:val="24"/>
          <w:szCs w:val="24"/>
        </w:rPr>
        <w:t xml:space="preserve">other </w:t>
      </w:r>
      <w:r w:rsidR="0001423C" w:rsidRPr="00563D71">
        <w:rPr>
          <w:rFonts w:asciiTheme="majorBidi" w:hAnsiTheme="majorBidi" w:cstheme="majorBidi"/>
          <w:sz w:val="24"/>
          <w:szCs w:val="24"/>
        </w:rPr>
        <w:t>disadvantaged peoples.</w:t>
      </w:r>
    </w:p>
    <w:p w14:paraId="258F0C70" w14:textId="0AE92FC1" w:rsidR="00A47D09" w:rsidRPr="00563D71" w:rsidRDefault="00AB3FEE"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M</w:t>
      </w:r>
      <w:r w:rsidR="00A47D09" w:rsidRPr="00563D71">
        <w:rPr>
          <w:rFonts w:asciiTheme="majorBidi" w:hAnsiTheme="majorBidi" w:cstheme="majorBidi"/>
          <w:sz w:val="24"/>
          <w:szCs w:val="24"/>
        </w:rPr>
        <w:t>inistry of Education and Culture</w:t>
      </w:r>
      <w:r w:rsidRPr="00563D71">
        <w:rPr>
          <w:rFonts w:asciiTheme="majorBidi" w:hAnsiTheme="majorBidi" w:cstheme="majorBidi"/>
          <w:sz w:val="24"/>
          <w:szCs w:val="24"/>
        </w:rPr>
        <w:t xml:space="preserve"> (M</w:t>
      </w:r>
      <w:r w:rsidR="00900212" w:rsidRPr="00563D71">
        <w:rPr>
          <w:rFonts w:asciiTheme="majorBidi" w:hAnsiTheme="majorBidi" w:cstheme="majorBidi"/>
          <w:sz w:val="24"/>
          <w:szCs w:val="24"/>
        </w:rPr>
        <w:t>o</w:t>
      </w:r>
      <w:r w:rsidRPr="00563D71">
        <w:rPr>
          <w:rFonts w:asciiTheme="majorBidi" w:hAnsiTheme="majorBidi" w:cstheme="majorBidi"/>
          <w:sz w:val="24"/>
          <w:szCs w:val="24"/>
        </w:rPr>
        <w:t xml:space="preserve">EC). </w:t>
      </w:r>
      <w:r w:rsidR="0001423C" w:rsidRPr="00563D71">
        <w:rPr>
          <w:rFonts w:asciiTheme="majorBidi" w:hAnsiTheme="majorBidi" w:cstheme="majorBidi"/>
          <w:sz w:val="24"/>
          <w:szCs w:val="24"/>
        </w:rPr>
        <w:t>This ministry is responsible for supporting formal and vocational training. In supporting the la</w:t>
      </w:r>
      <w:r w:rsidR="00E72FD9" w:rsidRPr="00563D71">
        <w:rPr>
          <w:rFonts w:asciiTheme="majorBidi" w:hAnsiTheme="majorBidi" w:cstheme="majorBidi"/>
          <w:sz w:val="24"/>
          <w:szCs w:val="24"/>
        </w:rPr>
        <w:t>t</w:t>
      </w:r>
      <w:r w:rsidR="0001423C" w:rsidRPr="00563D71">
        <w:rPr>
          <w:rFonts w:asciiTheme="majorBidi" w:hAnsiTheme="majorBidi" w:cstheme="majorBidi"/>
          <w:sz w:val="24"/>
          <w:szCs w:val="24"/>
        </w:rPr>
        <w:t>ter, the M</w:t>
      </w:r>
      <w:r w:rsidR="00900212" w:rsidRPr="00563D71">
        <w:rPr>
          <w:rFonts w:asciiTheme="majorBidi" w:hAnsiTheme="majorBidi" w:cstheme="majorBidi"/>
          <w:sz w:val="24"/>
          <w:szCs w:val="24"/>
        </w:rPr>
        <w:t>o</w:t>
      </w:r>
      <w:r w:rsidR="0001423C" w:rsidRPr="00563D71">
        <w:rPr>
          <w:rFonts w:asciiTheme="majorBidi" w:hAnsiTheme="majorBidi" w:cstheme="majorBidi"/>
          <w:sz w:val="24"/>
          <w:szCs w:val="24"/>
        </w:rPr>
        <w:t>EC coordinates with other relevant ministries. For instance, for vocational training related to tourism, the M</w:t>
      </w:r>
      <w:r w:rsidR="00900212" w:rsidRPr="00563D71">
        <w:rPr>
          <w:rFonts w:asciiTheme="majorBidi" w:hAnsiTheme="majorBidi" w:cstheme="majorBidi"/>
          <w:sz w:val="24"/>
          <w:szCs w:val="24"/>
        </w:rPr>
        <w:t>o</w:t>
      </w:r>
      <w:r w:rsidR="0001423C" w:rsidRPr="00563D71">
        <w:rPr>
          <w:rFonts w:asciiTheme="majorBidi" w:hAnsiTheme="majorBidi" w:cstheme="majorBidi"/>
          <w:sz w:val="24"/>
          <w:szCs w:val="24"/>
        </w:rPr>
        <w:t xml:space="preserve">EC coordinates with the Ministry of Tourism. </w:t>
      </w:r>
      <w:r w:rsidR="0001423C" w:rsidRPr="00563D71">
        <w:rPr>
          <w:rFonts w:asciiTheme="majorBidi" w:hAnsiTheme="majorBidi" w:cstheme="majorBidi"/>
          <w:i/>
          <w:sz w:val="24"/>
          <w:szCs w:val="24"/>
        </w:rPr>
        <w:t>Balai Konservasi Borobudur</w:t>
      </w:r>
      <w:r w:rsidR="0001423C" w:rsidRPr="00563D71">
        <w:rPr>
          <w:rFonts w:asciiTheme="majorBidi" w:hAnsiTheme="majorBidi" w:cstheme="majorBidi"/>
          <w:sz w:val="24"/>
          <w:szCs w:val="24"/>
        </w:rPr>
        <w:t xml:space="preserve"> (Borobudur Heritage Conservation Institution-BHCI) is one of the technical </w:t>
      </w:r>
      <w:r w:rsidR="0001423C" w:rsidRPr="00563D71">
        <w:rPr>
          <w:rFonts w:asciiTheme="majorBidi" w:hAnsiTheme="majorBidi" w:cstheme="majorBidi"/>
          <w:sz w:val="24"/>
          <w:szCs w:val="24"/>
        </w:rPr>
        <w:lastRenderedPageBreak/>
        <w:t>implementation unit</w:t>
      </w:r>
      <w:r w:rsidR="00E72FD9" w:rsidRPr="00563D71">
        <w:rPr>
          <w:rFonts w:asciiTheme="majorBidi" w:hAnsiTheme="majorBidi" w:cstheme="majorBidi"/>
          <w:sz w:val="24"/>
          <w:szCs w:val="24"/>
        </w:rPr>
        <w:t>s</w:t>
      </w:r>
      <w:r w:rsidR="0001423C" w:rsidRPr="00563D71">
        <w:rPr>
          <w:rFonts w:asciiTheme="majorBidi" w:hAnsiTheme="majorBidi" w:cstheme="majorBidi"/>
          <w:sz w:val="24"/>
          <w:szCs w:val="24"/>
        </w:rPr>
        <w:t xml:space="preserve"> under the Directorate General of Culture of the M</w:t>
      </w:r>
      <w:r w:rsidR="00900212" w:rsidRPr="00563D71">
        <w:rPr>
          <w:rFonts w:asciiTheme="majorBidi" w:hAnsiTheme="majorBidi" w:cstheme="majorBidi"/>
          <w:sz w:val="24"/>
          <w:szCs w:val="24"/>
        </w:rPr>
        <w:t>o</w:t>
      </w:r>
      <w:r w:rsidR="0001423C" w:rsidRPr="00563D71">
        <w:rPr>
          <w:rFonts w:asciiTheme="majorBidi" w:hAnsiTheme="majorBidi" w:cstheme="majorBidi"/>
          <w:sz w:val="24"/>
          <w:szCs w:val="24"/>
        </w:rPr>
        <w:t>EC. The main task of BHCI is to conserve and preserve Borobudur temple.</w:t>
      </w:r>
    </w:p>
    <w:p w14:paraId="54BD6506" w14:textId="35A8B99A" w:rsidR="0001423C" w:rsidRPr="00563D71" w:rsidRDefault="002A04C4"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Ministry of Manpower</w:t>
      </w:r>
      <w:r w:rsidR="0001423C" w:rsidRPr="00563D71">
        <w:rPr>
          <w:rFonts w:asciiTheme="majorBidi" w:hAnsiTheme="majorBidi" w:cstheme="majorBidi"/>
          <w:sz w:val="24"/>
          <w:szCs w:val="24"/>
        </w:rPr>
        <w:t>. The ministry establishes policy and regulations on promoting competitiveness and productivity of labor; on strengthening placement of labor and expansion of job opportunities; improving industrial networks and social security for labor; and developing control</w:t>
      </w:r>
      <w:r w:rsidR="00E72FD9" w:rsidRPr="00563D71">
        <w:rPr>
          <w:rFonts w:asciiTheme="majorBidi" w:hAnsiTheme="majorBidi" w:cstheme="majorBidi"/>
          <w:sz w:val="24"/>
          <w:szCs w:val="24"/>
        </w:rPr>
        <w:t>s</w:t>
      </w:r>
      <w:r w:rsidR="0001423C" w:rsidRPr="00563D71">
        <w:rPr>
          <w:rFonts w:asciiTheme="majorBidi" w:hAnsiTheme="majorBidi" w:cstheme="majorBidi"/>
          <w:sz w:val="24"/>
          <w:szCs w:val="24"/>
        </w:rPr>
        <w:t xml:space="preserve"> for labor as well as promoting health and safety at the workplace.</w:t>
      </w:r>
    </w:p>
    <w:p w14:paraId="29C6325F" w14:textId="0DE1B583" w:rsidR="0001423C" w:rsidRDefault="0001423C" w:rsidP="003D2E29">
      <w:pPr>
        <w:pStyle w:val="ListParagraph"/>
        <w:numPr>
          <w:ilvl w:val="0"/>
          <w:numId w:val="21"/>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Ministry of Marine Affairs and Fisheries (MoMA&amp;F). This Ministry </w:t>
      </w:r>
      <w:r w:rsidR="00E72FD9" w:rsidRPr="00563D71">
        <w:rPr>
          <w:rFonts w:asciiTheme="majorBidi" w:hAnsiTheme="majorBidi" w:cstheme="majorBidi"/>
          <w:sz w:val="24"/>
          <w:szCs w:val="24"/>
        </w:rPr>
        <w:t xml:space="preserve">is </w:t>
      </w:r>
      <w:r w:rsidRPr="00563D71">
        <w:rPr>
          <w:rFonts w:asciiTheme="majorBidi" w:hAnsiTheme="majorBidi" w:cstheme="majorBidi"/>
          <w:sz w:val="24"/>
          <w:szCs w:val="24"/>
        </w:rPr>
        <w:t>mainly responsible for managing the maritime and fishery in the country. It establishes and implements policies and regulations to manage maritime and fishery activities. In addition, it provides technical supports, advice and control for implementation of maritime and fishery management at the local government level. The Directorate General of Maritime, Coastal Areas</w:t>
      </w:r>
      <w:r w:rsidR="006D27D8" w:rsidRPr="00563D71">
        <w:rPr>
          <w:rFonts w:asciiTheme="majorBidi" w:hAnsiTheme="majorBidi" w:cstheme="majorBidi"/>
          <w:sz w:val="24"/>
          <w:szCs w:val="24"/>
        </w:rPr>
        <w:t>,</w:t>
      </w:r>
      <w:r w:rsidRPr="00563D71">
        <w:rPr>
          <w:rFonts w:asciiTheme="majorBidi" w:hAnsiTheme="majorBidi" w:cstheme="majorBidi"/>
          <w:sz w:val="24"/>
          <w:szCs w:val="24"/>
        </w:rPr>
        <w:t xml:space="preserve"> and Small </w:t>
      </w:r>
      <w:r w:rsidR="006D27D8" w:rsidRPr="00563D71">
        <w:rPr>
          <w:rFonts w:asciiTheme="majorBidi" w:hAnsiTheme="majorBidi" w:cstheme="majorBidi"/>
          <w:sz w:val="24"/>
          <w:szCs w:val="24"/>
        </w:rPr>
        <w:t>I</w:t>
      </w:r>
      <w:r w:rsidRPr="00563D71">
        <w:rPr>
          <w:rFonts w:asciiTheme="majorBidi" w:hAnsiTheme="majorBidi" w:cstheme="majorBidi"/>
          <w:sz w:val="24"/>
          <w:szCs w:val="24"/>
        </w:rPr>
        <w:t>slands under this Ministry is responsible for managing these areas</w:t>
      </w:r>
      <w:r w:rsidR="006D27D8" w:rsidRPr="00563D71">
        <w:rPr>
          <w:rFonts w:asciiTheme="majorBidi" w:hAnsiTheme="majorBidi" w:cstheme="majorBidi"/>
          <w:sz w:val="24"/>
          <w:szCs w:val="24"/>
        </w:rPr>
        <w:t xml:space="preserve"> and</w:t>
      </w:r>
      <w:r w:rsidRPr="00563D71">
        <w:rPr>
          <w:rFonts w:asciiTheme="majorBidi" w:hAnsiTheme="majorBidi" w:cstheme="majorBidi"/>
          <w:sz w:val="24"/>
          <w:szCs w:val="24"/>
        </w:rPr>
        <w:t xml:space="preserve"> ensuring that local people and Indigenous Peoples will have access to natural resources.</w:t>
      </w:r>
    </w:p>
    <w:p w14:paraId="5B2F37A0" w14:textId="77777777" w:rsidR="0088331D" w:rsidRPr="00563D71" w:rsidRDefault="0088331D" w:rsidP="0088331D">
      <w:pPr>
        <w:pStyle w:val="ListParagraph"/>
        <w:spacing w:line="240" w:lineRule="auto"/>
        <w:ind w:left="1080"/>
        <w:rPr>
          <w:rFonts w:asciiTheme="majorBidi" w:hAnsiTheme="majorBidi" w:cstheme="majorBidi"/>
          <w:sz w:val="24"/>
          <w:szCs w:val="24"/>
        </w:rPr>
      </w:pPr>
    </w:p>
    <w:p w14:paraId="0D1A10DD" w14:textId="0667B18E" w:rsidR="00B25619" w:rsidRPr="00563D71" w:rsidRDefault="00B25619" w:rsidP="0032029F">
      <w:pPr>
        <w:pStyle w:val="MainParanoChapter-Ch3"/>
        <w:rPr>
          <w:b/>
          <w:bCs/>
        </w:rPr>
      </w:pPr>
      <w:r w:rsidRPr="00563D71">
        <w:rPr>
          <w:b/>
          <w:bCs/>
        </w:rPr>
        <w:t>Sub-National Agencies</w:t>
      </w:r>
    </w:p>
    <w:p w14:paraId="51960789" w14:textId="295FD5AD" w:rsidR="00B25619" w:rsidRPr="00563D71" w:rsidRDefault="002A04C4" w:rsidP="00A56C93">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Agency for Regional </w:t>
      </w:r>
      <w:r w:rsidR="00AB3FEE" w:rsidRPr="00563D71">
        <w:rPr>
          <w:rFonts w:asciiTheme="majorBidi" w:hAnsiTheme="majorBidi" w:cstheme="majorBidi"/>
          <w:sz w:val="24"/>
          <w:szCs w:val="24"/>
        </w:rPr>
        <w:t xml:space="preserve">Development </w:t>
      </w:r>
      <w:r w:rsidRPr="00563D71">
        <w:rPr>
          <w:rFonts w:asciiTheme="majorBidi" w:hAnsiTheme="majorBidi" w:cstheme="majorBidi"/>
          <w:sz w:val="24"/>
          <w:szCs w:val="24"/>
        </w:rPr>
        <w:t>(</w:t>
      </w:r>
      <w:r w:rsidRPr="00563D71">
        <w:rPr>
          <w:rFonts w:asciiTheme="majorBidi" w:hAnsiTheme="majorBidi" w:cstheme="majorBidi"/>
          <w:i/>
          <w:sz w:val="24"/>
          <w:szCs w:val="24"/>
        </w:rPr>
        <w:t xml:space="preserve">Badan </w:t>
      </w:r>
      <w:r w:rsidR="00A56C93">
        <w:rPr>
          <w:rFonts w:asciiTheme="majorBidi" w:hAnsiTheme="majorBidi" w:cstheme="majorBidi"/>
          <w:i/>
          <w:sz w:val="24"/>
          <w:szCs w:val="24"/>
        </w:rPr>
        <w:t>Perencanaan Pembangunan</w:t>
      </w:r>
      <w:r w:rsidRPr="00563D71">
        <w:rPr>
          <w:rFonts w:asciiTheme="majorBidi" w:hAnsiTheme="majorBidi" w:cstheme="majorBidi"/>
          <w:i/>
          <w:sz w:val="24"/>
          <w:szCs w:val="24"/>
        </w:rPr>
        <w:t xml:space="preserve"> Daerah, </w:t>
      </w:r>
      <w:r w:rsidRPr="00563D71">
        <w:rPr>
          <w:rFonts w:asciiTheme="majorBidi" w:hAnsiTheme="majorBidi" w:cstheme="majorBidi"/>
          <w:sz w:val="24"/>
          <w:szCs w:val="24"/>
        </w:rPr>
        <w:t xml:space="preserve">or </w:t>
      </w:r>
      <w:r w:rsidR="00E350A2">
        <w:rPr>
          <w:rFonts w:asciiTheme="majorBidi" w:hAnsiTheme="majorBidi" w:cstheme="majorBidi"/>
          <w:sz w:val="24"/>
          <w:szCs w:val="24"/>
        </w:rPr>
        <w:t>BAPPEDA</w:t>
      </w:r>
      <w:r w:rsidR="00AB3FEE" w:rsidRPr="00563D71">
        <w:rPr>
          <w:rFonts w:asciiTheme="majorBidi" w:hAnsiTheme="majorBidi" w:cstheme="majorBidi"/>
          <w:sz w:val="24"/>
          <w:szCs w:val="24"/>
        </w:rPr>
        <w:t xml:space="preserve">).  </w:t>
      </w:r>
      <w:r w:rsidR="00E350A2">
        <w:rPr>
          <w:rFonts w:asciiTheme="majorBidi" w:hAnsiTheme="majorBidi" w:cstheme="majorBidi"/>
          <w:sz w:val="24"/>
          <w:szCs w:val="24"/>
        </w:rPr>
        <w:t>BAPPEDA</w:t>
      </w:r>
      <w:r w:rsidR="00AB3FEE" w:rsidRPr="00563D71">
        <w:rPr>
          <w:rFonts w:asciiTheme="majorBidi" w:hAnsiTheme="majorBidi" w:cstheme="majorBidi"/>
          <w:sz w:val="24"/>
          <w:szCs w:val="24"/>
        </w:rPr>
        <w:t xml:space="preserve">s exist at the provincial and </w:t>
      </w:r>
      <w:r w:rsidR="00114617" w:rsidRPr="00563D71">
        <w:rPr>
          <w:rFonts w:asciiTheme="majorBidi" w:hAnsiTheme="majorBidi" w:cstheme="majorBidi"/>
          <w:sz w:val="24"/>
          <w:szCs w:val="24"/>
        </w:rPr>
        <w:t>district</w:t>
      </w:r>
      <w:r w:rsidR="00AB3FEE" w:rsidRPr="00563D71">
        <w:rPr>
          <w:rFonts w:asciiTheme="majorBidi" w:hAnsiTheme="majorBidi" w:cstheme="majorBidi"/>
          <w:sz w:val="24"/>
          <w:szCs w:val="24"/>
        </w:rPr>
        <w:t xml:space="preserve"> levels of government and are responsible for development planning.</w:t>
      </w:r>
    </w:p>
    <w:p w14:paraId="086C053D" w14:textId="667C281E" w:rsidR="00AB3FEE" w:rsidRPr="00563D71" w:rsidRDefault="00114617" w:rsidP="003D2E29">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AMDAL Commission (</w:t>
      </w:r>
      <w:r w:rsidRPr="00563D71">
        <w:rPr>
          <w:rFonts w:asciiTheme="majorBidi" w:hAnsiTheme="majorBidi" w:cstheme="majorBidi"/>
          <w:i/>
          <w:sz w:val="24"/>
          <w:szCs w:val="24"/>
        </w:rPr>
        <w:t>Komisi AMDAL</w:t>
      </w:r>
      <w:r w:rsidRPr="00563D71">
        <w:rPr>
          <w:rFonts w:asciiTheme="majorBidi" w:hAnsiTheme="majorBidi" w:cstheme="majorBidi"/>
          <w:sz w:val="24"/>
          <w:szCs w:val="24"/>
        </w:rPr>
        <w:t>) is established at the provincial and district levels to review AMDAL terms of reference and review and approve the reports of AMDALs, prior to issuance of environmental licenses by the governor or regent/mayor.  For projects affecting more than one district, the provincial AMDAL Commission conducts the review; otherwise, the responsibility is at the district level.  (Note:  there is also a national AMDAL Commission established by MOEF for activities affecting more than one province.)</w:t>
      </w:r>
    </w:p>
    <w:p w14:paraId="71B80939" w14:textId="1D2B186B" w:rsidR="00114617" w:rsidRPr="00563D71" w:rsidRDefault="002A04C4" w:rsidP="003D2E29">
      <w:pPr>
        <w:pStyle w:val="ListParagraph"/>
        <w:numPr>
          <w:ilvl w:val="0"/>
          <w:numId w:val="22"/>
        </w:numPr>
        <w:spacing w:after="0" w:line="240" w:lineRule="auto"/>
        <w:ind w:left="1080"/>
        <w:rPr>
          <w:rFonts w:asciiTheme="majorBidi" w:hAnsiTheme="majorBidi" w:cstheme="majorBidi"/>
          <w:sz w:val="24"/>
          <w:szCs w:val="24"/>
        </w:rPr>
      </w:pPr>
      <w:r w:rsidRPr="00563D71">
        <w:rPr>
          <w:rFonts w:asciiTheme="majorBidi" w:hAnsiTheme="majorBidi" w:cstheme="majorBidi"/>
          <w:sz w:val="24"/>
          <w:szCs w:val="24"/>
        </w:rPr>
        <w:t>Environmental Management Agency (</w:t>
      </w:r>
      <w:r w:rsidR="00114617" w:rsidRPr="00563D71">
        <w:rPr>
          <w:rFonts w:asciiTheme="majorBidi" w:hAnsiTheme="majorBidi" w:cstheme="majorBidi"/>
          <w:i/>
          <w:sz w:val="24"/>
          <w:szCs w:val="24"/>
        </w:rPr>
        <w:t>Badan Lingkungan Hidup/Badan Pengelola Lingkungan Hidup Daerah</w:t>
      </w:r>
      <w:r w:rsidR="00114617" w:rsidRPr="00563D71">
        <w:rPr>
          <w:rFonts w:asciiTheme="majorBidi" w:hAnsiTheme="majorBidi" w:cstheme="majorBidi"/>
          <w:sz w:val="24"/>
          <w:szCs w:val="24"/>
        </w:rPr>
        <w:t xml:space="preserve"> </w:t>
      </w:r>
      <w:r w:rsidRPr="00563D71">
        <w:rPr>
          <w:rFonts w:asciiTheme="majorBidi" w:hAnsiTheme="majorBidi" w:cstheme="majorBidi"/>
          <w:sz w:val="24"/>
          <w:szCs w:val="24"/>
        </w:rPr>
        <w:t>or BLH/BPLHD). Each province and district has an environmental agency, the responsibilities of which include support to AMDAL Commissions in their review and approval functions, review and approval of UKL</w:t>
      </w:r>
      <w:r w:rsidR="001A6A05" w:rsidRPr="00563D71">
        <w:rPr>
          <w:rFonts w:asciiTheme="majorBidi" w:hAnsiTheme="majorBidi" w:cstheme="majorBidi"/>
          <w:sz w:val="24"/>
          <w:szCs w:val="24"/>
        </w:rPr>
        <w:t>-</w:t>
      </w:r>
      <w:r w:rsidRPr="00563D71">
        <w:rPr>
          <w:rFonts w:asciiTheme="majorBidi" w:hAnsiTheme="majorBidi" w:cstheme="majorBidi"/>
          <w:sz w:val="24"/>
          <w:szCs w:val="24"/>
        </w:rPr>
        <w:t>UPLs, monitoring and enforcement of compliance with environmental management</w:t>
      </w:r>
      <w:r w:rsidR="006D27D8" w:rsidRPr="00563D71">
        <w:rPr>
          <w:rFonts w:asciiTheme="majorBidi" w:hAnsiTheme="majorBidi" w:cstheme="majorBidi"/>
          <w:sz w:val="24"/>
          <w:szCs w:val="24"/>
        </w:rPr>
        <w:t>,</w:t>
      </w:r>
      <w:r w:rsidRPr="00563D71">
        <w:rPr>
          <w:rFonts w:asciiTheme="majorBidi" w:hAnsiTheme="majorBidi" w:cstheme="majorBidi"/>
          <w:sz w:val="24"/>
          <w:szCs w:val="24"/>
        </w:rPr>
        <w:t xml:space="preserve"> and monitoring plans, and environmental quality monitoring.</w:t>
      </w:r>
    </w:p>
    <w:p w14:paraId="1461784E" w14:textId="55D5F722" w:rsidR="00576CF8" w:rsidRPr="00563D71" w:rsidRDefault="00576CF8" w:rsidP="003D2E29">
      <w:pPr>
        <w:pStyle w:val="ListParagraph"/>
        <w:numPr>
          <w:ilvl w:val="0"/>
          <w:numId w:val="22"/>
        </w:numPr>
        <w:spacing w:after="0" w:line="240" w:lineRule="auto"/>
        <w:ind w:left="1080"/>
        <w:rPr>
          <w:rFonts w:asciiTheme="majorBidi" w:hAnsiTheme="majorBidi" w:cstheme="majorBidi"/>
          <w:sz w:val="24"/>
          <w:szCs w:val="24"/>
        </w:rPr>
      </w:pPr>
      <w:r w:rsidRPr="00563D71">
        <w:rPr>
          <w:rFonts w:asciiTheme="majorBidi" w:hAnsiTheme="majorBidi" w:cstheme="majorBidi"/>
          <w:sz w:val="24"/>
          <w:szCs w:val="24"/>
        </w:rPr>
        <w:t>Public Works Department (</w:t>
      </w:r>
      <w:r w:rsidRPr="00563D71">
        <w:rPr>
          <w:rFonts w:asciiTheme="majorBidi" w:hAnsiTheme="majorBidi" w:cstheme="majorBidi"/>
          <w:i/>
          <w:sz w:val="24"/>
          <w:szCs w:val="24"/>
        </w:rPr>
        <w:t>Dinas Pekerjaan</w:t>
      </w:r>
      <w:r w:rsidR="00AC5DEA" w:rsidRPr="00563D71">
        <w:rPr>
          <w:rFonts w:asciiTheme="majorBidi" w:hAnsiTheme="majorBidi" w:cstheme="majorBidi"/>
          <w:i/>
          <w:sz w:val="24"/>
          <w:szCs w:val="24"/>
        </w:rPr>
        <w:t xml:space="preserve"> Umum</w:t>
      </w:r>
      <w:r w:rsidR="00AC5DEA" w:rsidRPr="00563D71">
        <w:rPr>
          <w:rFonts w:asciiTheme="majorBidi" w:hAnsiTheme="majorBidi" w:cstheme="majorBidi"/>
          <w:sz w:val="24"/>
          <w:szCs w:val="24"/>
        </w:rPr>
        <w:t>). Providing strategy and development plan</w:t>
      </w:r>
      <w:r w:rsidR="006D27D8" w:rsidRPr="00563D71">
        <w:rPr>
          <w:rFonts w:asciiTheme="majorBidi" w:hAnsiTheme="majorBidi" w:cstheme="majorBidi"/>
          <w:sz w:val="24"/>
          <w:szCs w:val="24"/>
        </w:rPr>
        <w:t>s</w:t>
      </w:r>
      <w:r w:rsidR="00AC5DEA" w:rsidRPr="00563D71">
        <w:rPr>
          <w:rFonts w:asciiTheme="majorBidi" w:hAnsiTheme="majorBidi" w:cstheme="majorBidi"/>
          <w:sz w:val="24"/>
          <w:szCs w:val="24"/>
        </w:rPr>
        <w:t xml:space="preserve"> for infrastructure at provincial and district levels, including the tourism program. Incorporating connectivity for tourism locations in infrastructure plans.  Preparing AMDAL or </w:t>
      </w:r>
      <w:r w:rsidR="00B92DB5">
        <w:rPr>
          <w:rFonts w:asciiTheme="majorBidi" w:hAnsiTheme="majorBidi" w:cstheme="majorBidi"/>
          <w:sz w:val="24"/>
          <w:szCs w:val="24"/>
        </w:rPr>
        <w:t>UKL-UPL</w:t>
      </w:r>
      <w:r w:rsidR="00AC5DEA" w:rsidRPr="00563D71">
        <w:rPr>
          <w:rFonts w:asciiTheme="majorBidi" w:hAnsiTheme="majorBidi" w:cstheme="majorBidi"/>
          <w:sz w:val="24"/>
          <w:szCs w:val="24"/>
        </w:rPr>
        <w:t xml:space="preserve"> for and overseeing execution of infrastructure projects, including impact management.  </w:t>
      </w:r>
    </w:p>
    <w:p w14:paraId="0852AB24" w14:textId="0B11CB53" w:rsidR="00114617" w:rsidRPr="00563D71" w:rsidRDefault="002A04C4" w:rsidP="003D2E29">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Sanitation Department (</w:t>
      </w:r>
      <w:r w:rsidRPr="00563D71">
        <w:rPr>
          <w:rFonts w:asciiTheme="majorBidi" w:hAnsiTheme="majorBidi" w:cstheme="majorBidi"/>
          <w:i/>
          <w:sz w:val="24"/>
          <w:szCs w:val="24"/>
        </w:rPr>
        <w:t>Dinas Kebersihan</w:t>
      </w:r>
      <w:r w:rsidRPr="00563D71">
        <w:rPr>
          <w:rFonts w:asciiTheme="majorBidi" w:hAnsiTheme="majorBidi" w:cstheme="majorBidi"/>
          <w:sz w:val="24"/>
          <w:szCs w:val="24"/>
        </w:rPr>
        <w:t>). Responsible for solid waste management at the district level.</w:t>
      </w:r>
    </w:p>
    <w:p w14:paraId="1E8BDD75" w14:textId="4F6B81FA" w:rsidR="002A04C4" w:rsidRPr="00563D71" w:rsidRDefault="0001423C" w:rsidP="003D2E29">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Agency for W</w:t>
      </w:r>
      <w:r w:rsidR="002A04C4" w:rsidRPr="00563D71">
        <w:rPr>
          <w:rFonts w:asciiTheme="majorBidi" w:hAnsiTheme="majorBidi" w:cstheme="majorBidi"/>
          <w:sz w:val="24"/>
          <w:szCs w:val="24"/>
        </w:rPr>
        <w:t>astewater</w:t>
      </w:r>
      <w:r w:rsidR="00252576" w:rsidRPr="00563D71">
        <w:rPr>
          <w:rFonts w:asciiTheme="majorBidi" w:hAnsiTheme="majorBidi" w:cstheme="majorBidi"/>
          <w:sz w:val="24"/>
          <w:szCs w:val="24"/>
        </w:rPr>
        <w:t xml:space="preserve"> (</w:t>
      </w:r>
      <w:r w:rsidR="00252576" w:rsidRPr="00563D71">
        <w:rPr>
          <w:rFonts w:asciiTheme="majorBidi" w:hAnsiTheme="majorBidi" w:cstheme="majorBidi"/>
          <w:i/>
          <w:sz w:val="24"/>
          <w:szCs w:val="24"/>
        </w:rPr>
        <w:t>UPTD Laboratorium Lingkungan</w:t>
      </w:r>
      <w:r w:rsidR="00252576" w:rsidRPr="00563D71">
        <w:rPr>
          <w:rFonts w:asciiTheme="majorBidi" w:hAnsiTheme="majorBidi" w:cstheme="majorBidi"/>
          <w:sz w:val="24"/>
          <w:szCs w:val="24"/>
        </w:rPr>
        <w:t xml:space="preserve">) is under </w:t>
      </w:r>
      <w:r w:rsidR="00252576" w:rsidRPr="00563D71">
        <w:rPr>
          <w:rFonts w:asciiTheme="majorBidi" w:hAnsiTheme="majorBidi" w:cstheme="majorBidi"/>
          <w:i/>
          <w:sz w:val="24"/>
          <w:szCs w:val="24"/>
        </w:rPr>
        <w:t>UPT Dinas Lingkungan Hidup Provinsi</w:t>
      </w:r>
      <w:r w:rsidRPr="00563D71">
        <w:rPr>
          <w:rFonts w:asciiTheme="majorBidi" w:hAnsiTheme="majorBidi" w:cstheme="majorBidi"/>
          <w:sz w:val="24"/>
          <w:szCs w:val="24"/>
        </w:rPr>
        <w:t>, and it</w:t>
      </w:r>
      <w:r w:rsidR="00252576" w:rsidRPr="00563D71">
        <w:rPr>
          <w:rFonts w:asciiTheme="majorBidi" w:hAnsiTheme="majorBidi" w:cstheme="majorBidi"/>
          <w:i/>
          <w:sz w:val="24"/>
          <w:szCs w:val="24"/>
        </w:rPr>
        <w:t xml:space="preserve"> </w:t>
      </w:r>
      <w:r w:rsidR="00252576" w:rsidRPr="00563D71">
        <w:rPr>
          <w:rFonts w:asciiTheme="majorBidi" w:hAnsiTheme="majorBidi" w:cstheme="majorBidi"/>
          <w:sz w:val="24"/>
          <w:szCs w:val="24"/>
        </w:rPr>
        <w:t xml:space="preserve">is established at each province level to conduct technical operation in executing testing parameters for measuring the quality of </w:t>
      </w:r>
      <w:r w:rsidR="00252576" w:rsidRPr="00563D71">
        <w:rPr>
          <w:rFonts w:asciiTheme="majorBidi" w:hAnsiTheme="majorBidi" w:cstheme="majorBidi"/>
          <w:sz w:val="24"/>
          <w:szCs w:val="24"/>
        </w:rPr>
        <w:lastRenderedPageBreak/>
        <w:t>environment. This includes sampling and testing of water quality of rivers or lakes to ensure constant monitoring of the environment.</w:t>
      </w:r>
    </w:p>
    <w:p w14:paraId="3534C811" w14:textId="6D11A18D" w:rsidR="00B959FC" w:rsidRPr="00563D71" w:rsidRDefault="00B959FC" w:rsidP="003D2E29">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Agency for </w:t>
      </w:r>
      <w:r w:rsidR="006D27D8" w:rsidRPr="00563D71">
        <w:rPr>
          <w:rFonts w:asciiTheme="majorBidi" w:hAnsiTheme="majorBidi" w:cstheme="majorBidi"/>
          <w:sz w:val="24"/>
          <w:szCs w:val="24"/>
        </w:rPr>
        <w:t>S</w:t>
      </w:r>
      <w:r w:rsidRPr="00563D71">
        <w:rPr>
          <w:rFonts w:asciiTheme="majorBidi" w:hAnsiTheme="majorBidi" w:cstheme="majorBidi"/>
          <w:sz w:val="24"/>
          <w:szCs w:val="24"/>
        </w:rPr>
        <w:t xml:space="preserve">olid </w:t>
      </w:r>
      <w:r w:rsidR="006D27D8" w:rsidRPr="00563D71">
        <w:rPr>
          <w:rFonts w:asciiTheme="majorBidi" w:hAnsiTheme="majorBidi" w:cstheme="majorBidi"/>
          <w:sz w:val="24"/>
          <w:szCs w:val="24"/>
        </w:rPr>
        <w:t>W</w:t>
      </w:r>
      <w:r w:rsidRPr="00563D71">
        <w:rPr>
          <w:rFonts w:asciiTheme="majorBidi" w:hAnsiTheme="majorBidi" w:cstheme="majorBidi"/>
          <w:sz w:val="24"/>
          <w:szCs w:val="24"/>
        </w:rPr>
        <w:t xml:space="preserve">aste </w:t>
      </w:r>
      <w:r w:rsidR="006D27D8" w:rsidRPr="00563D71">
        <w:rPr>
          <w:rFonts w:asciiTheme="majorBidi" w:hAnsiTheme="majorBidi" w:cstheme="majorBidi"/>
          <w:sz w:val="24"/>
          <w:szCs w:val="24"/>
        </w:rPr>
        <w:t>M</w:t>
      </w:r>
      <w:r w:rsidRPr="00563D71">
        <w:rPr>
          <w:rFonts w:asciiTheme="majorBidi" w:hAnsiTheme="majorBidi" w:cstheme="majorBidi"/>
          <w:sz w:val="24"/>
          <w:szCs w:val="24"/>
        </w:rPr>
        <w:t>anagement (</w:t>
      </w:r>
      <w:r w:rsidRPr="00563D71">
        <w:rPr>
          <w:rFonts w:asciiTheme="majorBidi" w:hAnsiTheme="majorBidi" w:cstheme="majorBidi"/>
          <w:i/>
          <w:sz w:val="24"/>
          <w:szCs w:val="24"/>
        </w:rPr>
        <w:t>UPTD Pengelolaan Sampah</w:t>
      </w:r>
      <w:r w:rsidRPr="00563D71">
        <w:rPr>
          <w:rFonts w:asciiTheme="majorBidi" w:hAnsiTheme="majorBidi" w:cstheme="majorBidi"/>
          <w:sz w:val="24"/>
          <w:szCs w:val="24"/>
        </w:rPr>
        <w:t>) under</w:t>
      </w:r>
      <w:r w:rsidR="00593428" w:rsidRPr="00563D71">
        <w:rPr>
          <w:rFonts w:asciiTheme="majorBidi" w:hAnsiTheme="majorBidi" w:cstheme="majorBidi"/>
          <w:sz w:val="24"/>
          <w:szCs w:val="24"/>
        </w:rPr>
        <w:t xml:space="preserve"> local government with the coordination from</w:t>
      </w:r>
      <w:r w:rsidRPr="00563D71">
        <w:rPr>
          <w:rFonts w:asciiTheme="majorBidi" w:hAnsiTheme="majorBidi" w:cstheme="majorBidi"/>
          <w:sz w:val="24"/>
          <w:szCs w:val="24"/>
        </w:rPr>
        <w:t xml:space="preserve"> MOEF. Responsible for conducting operational or/and technical activities in handling solid waste problems </w:t>
      </w:r>
      <w:r w:rsidR="009A4C94" w:rsidRPr="00563D71">
        <w:rPr>
          <w:rFonts w:asciiTheme="majorBidi" w:hAnsiTheme="majorBidi" w:cstheme="majorBidi"/>
          <w:sz w:val="24"/>
          <w:szCs w:val="24"/>
        </w:rPr>
        <w:t xml:space="preserve">on a regional scale.  </w:t>
      </w:r>
      <w:r w:rsidR="00A07B6F" w:rsidRPr="00563D71">
        <w:rPr>
          <w:rFonts w:asciiTheme="majorBidi" w:hAnsiTheme="majorBidi" w:cstheme="majorBidi"/>
          <w:sz w:val="24"/>
          <w:szCs w:val="24"/>
        </w:rPr>
        <w:t>Their function</w:t>
      </w:r>
      <w:r w:rsidR="006D27D8" w:rsidRPr="00563D71">
        <w:rPr>
          <w:rFonts w:asciiTheme="majorBidi" w:hAnsiTheme="majorBidi" w:cstheme="majorBidi"/>
          <w:sz w:val="24"/>
          <w:szCs w:val="24"/>
        </w:rPr>
        <w:t>s</w:t>
      </w:r>
      <w:r w:rsidR="00A07B6F" w:rsidRPr="00563D71">
        <w:rPr>
          <w:rFonts w:asciiTheme="majorBidi" w:hAnsiTheme="majorBidi" w:cstheme="majorBidi"/>
          <w:sz w:val="24"/>
          <w:szCs w:val="24"/>
        </w:rPr>
        <w:t xml:space="preserve"> include planning, monitoring and evaluation for carrying capacity for infrastructure relating main facilities, environment</w:t>
      </w:r>
      <w:r w:rsidR="006D27D8" w:rsidRPr="00563D71">
        <w:rPr>
          <w:rFonts w:asciiTheme="majorBidi" w:hAnsiTheme="majorBidi" w:cstheme="majorBidi"/>
          <w:sz w:val="24"/>
          <w:szCs w:val="24"/>
        </w:rPr>
        <w:t>al</w:t>
      </w:r>
      <w:r w:rsidR="00A07B6F" w:rsidRPr="00563D71">
        <w:rPr>
          <w:rFonts w:asciiTheme="majorBidi" w:hAnsiTheme="majorBidi" w:cstheme="majorBidi"/>
          <w:sz w:val="24"/>
          <w:szCs w:val="24"/>
        </w:rPr>
        <w:t xml:space="preserve"> protection</w:t>
      </w:r>
      <w:r w:rsidR="006D27D8" w:rsidRPr="00563D71">
        <w:rPr>
          <w:rFonts w:asciiTheme="majorBidi" w:hAnsiTheme="majorBidi" w:cstheme="majorBidi"/>
          <w:sz w:val="24"/>
          <w:szCs w:val="24"/>
        </w:rPr>
        <w:t>,</w:t>
      </w:r>
      <w:r w:rsidR="00A07B6F" w:rsidRPr="00563D71">
        <w:rPr>
          <w:rFonts w:asciiTheme="majorBidi" w:hAnsiTheme="majorBidi" w:cstheme="majorBidi"/>
          <w:sz w:val="24"/>
          <w:szCs w:val="24"/>
        </w:rPr>
        <w:t xml:space="preserve"> and </w:t>
      </w:r>
      <w:r w:rsidR="009C6FE3" w:rsidRPr="00563D71">
        <w:rPr>
          <w:rFonts w:asciiTheme="majorBidi" w:hAnsiTheme="majorBidi" w:cstheme="majorBidi"/>
          <w:sz w:val="24"/>
          <w:szCs w:val="24"/>
        </w:rPr>
        <w:t>support</w:t>
      </w:r>
      <w:r w:rsidR="00A07B6F" w:rsidRPr="00563D71">
        <w:rPr>
          <w:rFonts w:asciiTheme="majorBidi" w:hAnsiTheme="majorBidi" w:cstheme="majorBidi"/>
          <w:sz w:val="24"/>
          <w:szCs w:val="24"/>
        </w:rPr>
        <w:t xml:space="preserve"> for regional</w:t>
      </w:r>
      <w:r w:rsidR="00293C6C" w:rsidRPr="00563D71">
        <w:rPr>
          <w:rFonts w:asciiTheme="majorBidi" w:hAnsiTheme="majorBidi" w:cstheme="majorBidi"/>
          <w:sz w:val="24"/>
          <w:szCs w:val="24"/>
        </w:rPr>
        <w:t xml:space="preserve"> solid waste management</w:t>
      </w:r>
      <w:r w:rsidR="00A07B6F" w:rsidRPr="00563D71">
        <w:rPr>
          <w:rFonts w:asciiTheme="majorBidi" w:hAnsiTheme="majorBidi" w:cstheme="majorBidi"/>
          <w:sz w:val="24"/>
          <w:szCs w:val="24"/>
        </w:rPr>
        <w:t>.</w:t>
      </w:r>
    </w:p>
    <w:p w14:paraId="201BA345" w14:textId="12F8FCBC" w:rsidR="002A04C4" w:rsidRPr="00563D71" w:rsidRDefault="00D71112" w:rsidP="003D2E29">
      <w:pPr>
        <w:pStyle w:val="ListParagraph"/>
        <w:numPr>
          <w:ilvl w:val="0"/>
          <w:numId w:val="22"/>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District Department of Manpower. Inspects workplaces for compliance with health and safety regulations, sometimes in collaboration with Department or Industry and BLH.  </w:t>
      </w:r>
    </w:p>
    <w:p w14:paraId="1A7EA6B8" w14:textId="2642074A" w:rsidR="002A04C4" w:rsidRPr="00563D71" w:rsidRDefault="004A0CAE" w:rsidP="002D0001">
      <w:pPr>
        <w:pStyle w:val="ListParagraph"/>
        <w:numPr>
          <w:ilvl w:val="0"/>
          <w:numId w:val="23"/>
        </w:numPr>
        <w:spacing w:after="0"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Province/District </w:t>
      </w:r>
      <w:r w:rsidR="002A04C4" w:rsidRPr="00563D71">
        <w:rPr>
          <w:rFonts w:asciiTheme="majorBidi" w:hAnsiTheme="majorBidi" w:cstheme="majorBidi"/>
          <w:sz w:val="24"/>
          <w:szCs w:val="24"/>
        </w:rPr>
        <w:t xml:space="preserve">Social </w:t>
      </w:r>
      <w:r w:rsidR="006D27D8" w:rsidRPr="00563D71">
        <w:rPr>
          <w:rFonts w:asciiTheme="majorBidi" w:hAnsiTheme="majorBidi" w:cstheme="majorBidi"/>
          <w:sz w:val="24"/>
          <w:szCs w:val="24"/>
        </w:rPr>
        <w:t>A</w:t>
      </w:r>
      <w:r w:rsidR="002A04C4" w:rsidRPr="00563D71">
        <w:rPr>
          <w:rFonts w:asciiTheme="majorBidi" w:hAnsiTheme="majorBidi" w:cstheme="majorBidi"/>
          <w:sz w:val="24"/>
          <w:szCs w:val="24"/>
        </w:rPr>
        <w:t>gencies</w:t>
      </w:r>
      <w:r w:rsidRPr="00563D71">
        <w:rPr>
          <w:rFonts w:asciiTheme="majorBidi" w:hAnsiTheme="majorBidi" w:cstheme="majorBidi"/>
          <w:sz w:val="24"/>
          <w:szCs w:val="24"/>
        </w:rPr>
        <w:t>. Provide and expand social welfare services to exploited children (sexual, drugs, trafficking, child worker)</w:t>
      </w:r>
      <w:r w:rsidR="006D27D8" w:rsidRPr="00563D71">
        <w:rPr>
          <w:rFonts w:asciiTheme="majorBidi" w:hAnsiTheme="majorBidi" w:cstheme="majorBidi"/>
          <w:sz w:val="24"/>
          <w:szCs w:val="24"/>
        </w:rPr>
        <w:t>;</w:t>
      </w:r>
      <w:r w:rsidRPr="00563D71">
        <w:rPr>
          <w:rFonts w:asciiTheme="majorBidi" w:hAnsiTheme="majorBidi" w:cstheme="majorBidi"/>
          <w:sz w:val="24"/>
          <w:szCs w:val="24"/>
        </w:rPr>
        <w:t xml:space="preserve"> provide vocational training </w:t>
      </w:r>
      <w:r w:rsidR="007C26A9" w:rsidRPr="00563D71">
        <w:rPr>
          <w:rFonts w:asciiTheme="majorBidi" w:hAnsiTheme="majorBidi" w:cstheme="majorBidi"/>
          <w:sz w:val="24"/>
          <w:szCs w:val="24"/>
        </w:rPr>
        <w:t>services</w:t>
      </w:r>
      <w:r w:rsidRPr="00563D71">
        <w:rPr>
          <w:rFonts w:asciiTheme="majorBidi" w:hAnsiTheme="majorBidi" w:cstheme="majorBidi"/>
          <w:sz w:val="24"/>
          <w:szCs w:val="24"/>
        </w:rPr>
        <w:t xml:space="preserve">; to integrating </w:t>
      </w:r>
      <w:r w:rsidR="002D6CA1" w:rsidRPr="00563D71">
        <w:rPr>
          <w:rFonts w:asciiTheme="majorBidi" w:hAnsiTheme="majorBidi" w:cstheme="majorBidi"/>
          <w:sz w:val="24"/>
          <w:szCs w:val="24"/>
        </w:rPr>
        <w:t xml:space="preserve">a </w:t>
      </w:r>
      <w:r w:rsidRPr="00563D71">
        <w:rPr>
          <w:rFonts w:asciiTheme="majorBidi" w:hAnsiTheme="majorBidi" w:cstheme="majorBidi"/>
          <w:sz w:val="24"/>
          <w:szCs w:val="24"/>
        </w:rPr>
        <w:t xml:space="preserve">strategic program of social empowerment; and to optimize social corporate responsibility in poverty </w:t>
      </w:r>
      <w:r w:rsidR="007C26A9" w:rsidRPr="00563D71">
        <w:rPr>
          <w:rFonts w:asciiTheme="majorBidi" w:hAnsiTheme="majorBidi" w:cstheme="majorBidi"/>
          <w:sz w:val="24"/>
          <w:szCs w:val="24"/>
        </w:rPr>
        <w:t>alleviation.</w:t>
      </w:r>
    </w:p>
    <w:p w14:paraId="6F9C7CD8" w14:textId="77777777" w:rsidR="0088331D" w:rsidRPr="00563D71" w:rsidRDefault="0088331D" w:rsidP="0060091A">
      <w:pPr>
        <w:ind w:left="0" w:firstLine="0"/>
        <w:jc w:val="left"/>
        <w:rPr>
          <w:rFonts w:asciiTheme="majorBidi" w:hAnsiTheme="majorBidi" w:cstheme="majorBidi"/>
          <w:szCs w:val="24"/>
        </w:rPr>
      </w:pPr>
    </w:p>
    <w:p w14:paraId="6E07BF6A" w14:textId="539A676F" w:rsidR="00B25619" w:rsidRPr="00563D71" w:rsidRDefault="00AC5DEA" w:rsidP="0032029F">
      <w:pPr>
        <w:pStyle w:val="MainParanoChapter-Ch3"/>
        <w:rPr>
          <w:b/>
          <w:bCs/>
        </w:rPr>
      </w:pPr>
      <w:r w:rsidRPr="00563D71">
        <w:rPr>
          <w:b/>
          <w:bCs/>
        </w:rPr>
        <w:t>Special Purpose Agencies</w:t>
      </w:r>
    </w:p>
    <w:p w14:paraId="3198679A" w14:textId="7D9BC4B1" w:rsidR="007C26A9" w:rsidRPr="00563D71" w:rsidRDefault="007C26A9" w:rsidP="00F864DC">
      <w:pPr>
        <w:pStyle w:val="ListParagraph"/>
        <w:numPr>
          <w:ilvl w:val="0"/>
          <w:numId w:val="23"/>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Authority Boar</w:t>
      </w:r>
      <w:r w:rsidR="00F864DC" w:rsidRPr="00563D71">
        <w:rPr>
          <w:rFonts w:asciiTheme="majorBidi" w:hAnsiTheme="majorBidi" w:cstheme="majorBidi"/>
          <w:sz w:val="24"/>
          <w:szCs w:val="24"/>
        </w:rPr>
        <w:t>d of Toba Area</w:t>
      </w:r>
      <w:r w:rsidRPr="00563D71">
        <w:rPr>
          <w:rFonts w:asciiTheme="majorBidi" w:hAnsiTheme="majorBidi" w:cstheme="majorBidi"/>
          <w:sz w:val="24"/>
          <w:szCs w:val="24"/>
        </w:rPr>
        <w:t xml:space="preserve">. </w:t>
      </w:r>
      <w:r w:rsidR="00F864DC" w:rsidRPr="00563D71">
        <w:rPr>
          <w:rFonts w:asciiTheme="majorBidi" w:hAnsiTheme="majorBidi" w:cstheme="majorBidi"/>
          <w:sz w:val="24"/>
          <w:szCs w:val="24"/>
        </w:rPr>
        <w:t>Presidential Regulation No. 49, issued on June 13, 2016, creates a specific organizational structure for the planning, management, development, construction and control of a site of approximately 500 Ha in Lake Toba (the so-called ‘authority zone’). The specific geographic boundary of the broader so-called ‘coordination zone’, for which the Management Authority has a coordinating role, is according to Presidential Regulation No. 81 of 2014. The Regulation created two bodies: An Advisory Board, chaired by the Coordinating Minister for Maritime Affairs, which will establish the general policy, provide overall direction and supervision of the Lake Toba intervention; and an Executive Board, a working unit under the Ministry of Tourism, which will coordinate, synchronize, and facilitate the planning, development and construction of this tourism destination. Different ministries, agencies and the Governor of North Sumatra are also members of the Advisory Board. The Executive Board will be responsible for the preparation of a Masterplan for the Development and Construction of Lake Toba Tourism Area (the approximately 500 Ha site) for a period of 25 years, as well as a 5-year detailed plan. The tourism coordination team agreed to keep the responsibility for the integrated tourism masterplan for the tourism destination area with the Ministry of Public Works and Housing. Additionally, the Executive Board will also have authority to plan the allocation and use of land, the right to manage the Lake Toba Tourism Area and organize licensing and non-licensing services.</w:t>
      </w:r>
    </w:p>
    <w:p w14:paraId="75BC210F" w14:textId="02F14000" w:rsidR="00985AA7" w:rsidRPr="00563D71" w:rsidRDefault="00985AA7" w:rsidP="003D2E29">
      <w:pPr>
        <w:pStyle w:val="ListParagraph"/>
        <w:numPr>
          <w:ilvl w:val="0"/>
          <w:numId w:val="23"/>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PT. Taman Wisata Candi Borobudur, Prambanan</w:t>
      </w:r>
      <w:r w:rsidR="0076344E" w:rsidRPr="00563D71">
        <w:rPr>
          <w:rFonts w:asciiTheme="majorBidi" w:hAnsiTheme="majorBidi" w:cstheme="majorBidi"/>
          <w:sz w:val="24"/>
          <w:szCs w:val="24"/>
        </w:rPr>
        <w:t>,</w:t>
      </w:r>
      <w:r w:rsidRPr="00563D71">
        <w:rPr>
          <w:rFonts w:asciiTheme="majorBidi" w:hAnsiTheme="majorBidi" w:cstheme="majorBidi"/>
          <w:sz w:val="24"/>
          <w:szCs w:val="24"/>
        </w:rPr>
        <w:t xml:space="preserve"> and Ratu Boko (under the Ministry of State-owned Enterprises and under </w:t>
      </w:r>
      <w:r w:rsidR="0076344E" w:rsidRPr="00563D71">
        <w:rPr>
          <w:rFonts w:asciiTheme="majorBidi" w:hAnsiTheme="majorBidi" w:cstheme="majorBidi"/>
          <w:sz w:val="24"/>
          <w:szCs w:val="24"/>
        </w:rPr>
        <w:t xml:space="preserve">the </w:t>
      </w:r>
      <w:r w:rsidRPr="00563D71">
        <w:rPr>
          <w:rFonts w:asciiTheme="majorBidi" w:hAnsiTheme="majorBidi" w:cstheme="majorBidi"/>
          <w:sz w:val="24"/>
          <w:szCs w:val="24"/>
        </w:rPr>
        <w:t xml:space="preserve">supervision of Ministry of Tourism and Creative Economy). State-owned enterprise with the mandate to manage Zone II, i.e. the Borobudur Temple Recreation Park, as an archaeological park zone. This company also has a corporate social responsibility to ensure that the management of Borobudur Park benefits local communities. </w:t>
      </w:r>
    </w:p>
    <w:p w14:paraId="5461EF01" w14:textId="7DB0BF77" w:rsidR="00985AA7" w:rsidRPr="00563D71" w:rsidRDefault="00985AA7" w:rsidP="003D2E29">
      <w:pPr>
        <w:pStyle w:val="ListParagraph"/>
        <w:numPr>
          <w:ilvl w:val="0"/>
          <w:numId w:val="23"/>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lastRenderedPageBreak/>
        <w:t xml:space="preserve">Borobudur Heritage Conservation Institution (BHCI). Manager of Zone 1, i.e. the core conservation area/sanctuary zone. The unit is responsible </w:t>
      </w:r>
      <w:r w:rsidR="0076344E" w:rsidRPr="00563D71">
        <w:rPr>
          <w:rFonts w:asciiTheme="majorBidi" w:hAnsiTheme="majorBidi" w:cstheme="majorBidi"/>
          <w:sz w:val="24"/>
          <w:szCs w:val="24"/>
        </w:rPr>
        <w:t>for</w:t>
      </w:r>
      <w:r w:rsidRPr="00563D71">
        <w:rPr>
          <w:rFonts w:asciiTheme="majorBidi" w:hAnsiTheme="majorBidi" w:cstheme="majorBidi"/>
          <w:sz w:val="24"/>
          <w:szCs w:val="24"/>
        </w:rPr>
        <w:t xml:space="preserve"> conducting research, conservation, documentation</w:t>
      </w:r>
      <w:r w:rsidR="0076344E" w:rsidRPr="00563D71">
        <w:rPr>
          <w:rFonts w:asciiTheme="majorBidi" w:hAnsiTheme="majorBidi" w:cstheme="majorBidi"/>
          <w:sz w:val="24"/>
          <w:szCs w:val="24"/>
        </w:rPr>
        <w:t>,</w:t>
      </w:r>
      <w:r w:rsidRPr="00563D71">
        <w:rPr>
          <w:rFonts w:asciiTheme="majorBidi" w:hAnsiTheme="majorBidi" w:cstheme="majorBidi"/>
          <w:sz w:val="24"/>
          <w:szCs w:val="24"/>
        </w:rPr>
        <w:t xml:space="preserve"> and publication</w:t>
      </w:r>
      <w:r w:rsidR="0076344E" w:rsidRPr="00563D71">
        <w:rPr>
          <w:rFonts w:asciiTheme="majorBidi" w:hAnsiTheme="majorBidi" w:cstheme="majorBidi"/>
          <w:sz w:val="24"/>
          <w:szCs w:val="24"/>
        </w:rPr>
        <w:t>s</w:t>
      </w:r>
      <w:r w:rsidRPr="00563D71">
        <w:rPr>
          <w:rFonts w:asciiTheme="majorBidi" w:hAnsiTheme="majorBidi" w:cstheme="majorBidi"/>
          <w:sz w:val="24"/>
          <w:szCs w:val="24"/>
        </w:rPr>
        <w:t xml:space="preserve"> related to the Borobudur Temple.</w:t>
      </w:r>
    </w:p>
    <w:p w14:paraId="009FC3E7" w14:textId="5A584B54" w:rsidR="009A4C94" w:rsidRPr="00563D71" w:rsidRDefault="009A4C94" w:rsidP="003D2E29">
      <w:pPr>
        <w:pStyle w:val="ListParagraph"/>
        <w:numPr>
          <w:ilvl w:val="0"/>
          <w:numId w:val="23"/>
        </w:numPr>
        <w:spacing w:line="240" w:lineRule="auto"/>
        <w:ind w:left="1080"/>
        <w:rPr>
          <w:rFonts w:asciiTheme="majorBidi" w:hAnsiTheme="majorBidi" w:cstheme="majorBidi"/>
          <w:sz w:val="24"/>
          <w:szCs w:val="24"/>
        </w:rPr>
      </w:pPr>
      <w:r w:rsidRPr="00563D71">
        <w:rPr>
          <w:rFonts w:asciiTheme="majorBidi" w:hAnsiTheme="majorBidi" w:cstheme="majorBidi"/>
          <w:sz w:val="24"/>
          <w:szCs w:val="24"/>
        </w:rPr>
        <w:t xml:space="preserve">Sustainable Tourism Observatory (STO) (Ministry of Tourism Regulation No. 14/2016).  STOs are being established by </w:t>
      </w:r>
      <w:r w:rsidR="00E62922" w:rsidRPr="00563D71">
        <w:rPr>
          <w:rFonts w:asciiTheme="majorBidi" w:hAnsiTheme="majorBidi" w:cstheme="majorBidi"/>
          <w:sz w:val="24"/>
          <w:szCs w:val="24"/>
        </w:rPr>
        <w:t>the Ministry of Tourism</w:t>
      </w:r>
      <w:r w:rsidRPr="00563D71">
        <w:rPr>
          <w:rFonts w:asciiTheme="majorBidi" w:hAnsiTheme="majorBidi" w:cstheme="majorBidi"/>
          <w:sz w:val="24"/>
          <w:szCs w:val="24"/>
        </w:rPr>
        <w:t xml:space="preserve"> at major tourism destinations under a sustainable tourism program of the UN World Tourism Organization (UNWTO). The establishment of STO</w:t>
      </w:r>
      <w:r w:rsidR="0001423C" w:rsidRPr="00563D71">
        <w:rPr>
          <w:rFonts w:asciiTheme="majorBidi" w:hAnsiTheme="majorBidi" w:cstheme="majorBidi"/>
          <w:sz w:val="24"/>
          <w:szCs w:val="24"/>
        </w:rPr>
        <w:t>s</w:t>
      </w:r>
      <w:r w:rsidRPr="00563D71">
        <w:rPr>
          <w:rFonts w:asciiTheme="majorBidi" w:hAnsiTheme="majorBidi" w:cstheme="majorBidi"/>
          <w:sz w:val="24"/>
          <w:szCs w:val="24"/>
        </w:rPr>
        <w:t xml:space="preserve"> for three pilot chosen destination (Sesaot, Lombok; Sleman, </w:t>
      </w:r>
      <w:r w:rsidR="0001423C" w:rsidRPr="00563D71">
        <w:rPr>
          <w:rFonts w:asciiTheme="majorBidi" w:hAnsiTheme="majorBidi" w:cstheme="majorBidi"/>
          <w:sz w:val="24"/>
          <w:szCs w:val="24"/>
        </w:rPr>
        <w:t>Yogy</w:t>
      </w:r>
      <w:r w:rsidRPr="00563D71">
        <w:rPr>
          <w:rFonts w:asciiTheme="majorBidi" w:hAnsiTheme="majorBidi" w:cstheme="majorBidi"/>
          <w:sz w:val="24"/>
          <w:szCs w:val="24"/>
        </w:rPr>
        <w:t>akarta and P</w:t>
      </w:r>
      <w:r w:rsidR="0014516C" w:rsidRPr="00563D71">
        <w:rPr>
          <w:rFonts w:asciiTheme="majorBidi" w:hAnsiTheme="majorBidi" w:cstheme="majorBidi"/>
          <w:sz w:val="24"/>
          <w:szCs w:val="24"/>
        </w:rPr>
        <w:t>a</w:t>
      </w:r>
      <w:r w:rsidRPr="00563D71">
        <w:rPr>
          <w:rFonts w:asciiTheme="majorBidi" w:hAnsiTheme="majorBidi" w:cstheme="majorBidi"/>
          <w:sz w:val="24"/>
          <w:szCs w:val="24"/>
        </w:rPr>
        <w:t xml:space="preserve">ngandaran, West Java) </w:t>
      </w:r>
      <w:r w:rsidR="0001423C" w:rsidRPr="00563D71">
        <w:rPr>
          <w:rFonts w:asciiTheme="majorBidi" w:hAnsiTheme="majorBidi" w:cstheme="majorBidi"/>
          <w:sz w:val="24"/>
          <w:szCs w:val="24"/>
        </w:rPr>
        <w:t>was</w:t>
      </w:r>
      <w:r w:rsidRPr="00563D71">
        <w:rPr>
          <w:rFonts w:asciiTheme="majorBidi" w:hAnsiTheme="majorBidi" w:cstheme="majorBidi"/>
          <w:sz w:val="24"/>
          <w:szCs w:val="24"/>
        </w:rPr>
        <w:t xml:space="preserve"> formalized </w:t>
      </w:r>
      <w:r w:rsidR="0001423C" w:rsidRPr="00563D71">
        <w:rPr>
          <w:rFonts w:asciiTheme="majorBidi" w:hAnsiTheme="majorBidi" w:cstheme="majorBidi"/>
          <w:sz w:val="24"/>
          <w:szCs w:val="24"/>
        </w:rPr>
        <w:t xml:space="preserve">through an MOU </w:t>
      </w:r>
      <w:r w:rsidRPr="00563D71">
        <w:rPr>
          <w:rFonts w:asciiTheme="majorBidi" w:hAnsiTheme="majorBidi" w:cstheme="majorBidi"/>
          <w:sz w:val="24"/>
          <w:szCs w:val="24"/>
        </w:rPr>
        <w:t xml:space="preserve">signed between UNWTO and </w:t>
      </w:r>
      <w:r w:rsidR="00E62922" w:rsidRPr="00563D71">
        <w:rPr>
          <w:rFonts w:asciiTheme="majorBidi" w:hAnsiTheme="majorBidi" w:cstheme="majorBidi"/>
          <w:sz w:val="24"/>
          <w:szCs w:val="24"/>
        </w:rPr>
        <w:t>the Ministry of Tourism</w:t>
      </w:r>
      <w:r w:rsidRPr="00563D71">
        <w:rPr>
          <w:rFonts w:asciiTheme="majorBidi" w:hAnsiTheme="majorBidi" w:cstheme="majorBidi"/>
          <w:sz w:val="24"/>
          <w:szCs w:val="24"/>
        </w:rPr>
        <w:t xml:space="preserve"> in Jakarta on September, 2016. In total, 41 indicators had been identified as part of the standards to be </w:t>
      </w:r>
      <w:r w:rsidR="0001423C" w:rsidRPr="00563D71">
        <w:rPr>
          <w:rFonts w:asciiTheme="majorBidi" w:hAnsiTheme="majorBidi" w:cstheme="majorBidi"/>
          <w:sz w:val="24"/>
          <w:szCs w:val="24"/>
        </w:rPr>
        <w:t>met</w:t>
      </w:r>
      <w:r w:rsidRPr="00563D71">
        <w:rPr>
          <w:rFonts w:asciiTheme="majorBidi" w:hAnsiTheme="majorBidi" w:cstheme="majorBidi"/>
          <w:sz w:val="24"/>
          <w:szCs w:val="24"/>
        </w:rPr>
        <w:t xml:space="preserve"> in order to achieve the sustainable tourism certification. It is divided into four major components: A) Effective sustainable management; B) Economic benefits to local community; C) Benefits to communities, visitors and culture and D) Benefits to the environment and minimization on negative impacts. This collaboration of STO organization consist</w:t>
      </w:r>
      <w:r w:rsidR="0076344E" w:rsidRPr="00563D71">
        <w:rPr>
          <w:rFonts w:asciiTheme="majorBidi" w:hAnsiTheme="majorBidi" w:cstheme="majorBidi"/>
          <w:sz w:val="24"/>
          <w:szCs w:val="24"/>
        </w:rPr>
        <w:t>s</w:t>
      </w:r>
      <w:r w:rsidRPr="00563D71">
        <w:rPr>
          <w:rFonts w:asciiTheme="majorBidi" w:hAnsiTheme="majorBidi" w:cstheme="majorBidi"/>
          <w:sz w:val="24"/>
          <w:szCs w:val="24"/>
        </w:rPr>
        <w:t xml:space="preserve"> of local universit</w:t>
      </w:r>
      <w:r w:rsidR="0076344E" w:rsidRPr="00563D71">
        <w:rPr>
          <w:rFonts w:asciiTheme="majorBidi" w:hAnsiTheme="majorBidi" w:cstheme="majorBidi"/>
          <w:sz w:val="24"/>
          <w:szCs w:val="24"/>
        </w:rPr>
        <w:t>ies</w:t>
      </w:r>
      <w:r w:rsidRPr="00563D71">
        <w:rPr>
          <w:rFonts w:asciiTheme="majorBidi" w:hAnsiTheme="majorBidi" w:cstheme="majorBidi"/>
          <w:sz w:val="24"/>
          <w:szCs w:val="24"/>
        </w:rPr>
        <w:t xml:space="preserve">, </w:t>
      </w:r>
      <w:r w:rsidR="0076344E" w:rsidRPr="00563D71">
        <w:rPr>
          <w:rFonts w:asciiTheme="majorBidi" w:hAnsiTheme="majorBidi" w:cstheme="majorBidi"/>
          <w:sz w:val="24"/>
          <w:szCs w:val="24"/>
        </w:rPr>
        <w:t>district-</w:t>
      </w:r>
      <w:r w:rsidRPr="00563D71">
        <w:rPr>
          <w:rFonts w:asciiTheme="majorBidi" w:hAnsiTheme="majorBidi" w:cstheme="majorBidi"/>
          <w:sz w:val="24"/>
          <w:szCs w:val="24"/>
        </w:rPr>
        <w:t>level</w:t>
      </w:r>
      <w:r w:rsidR="0076344E" w:rsidRPr="00563D71">
        <w:rPr>
          <w:rFonts w:asciiTheme="majorBidi" w:hAnsiTheme="majorBidi" w:cstheme="majorBidi"/>
          <w:sz w:val="24"/>
          <w:szCs w:val="24"/>
        </w:rPr>
        <w:t xml:space="preserve"> governments</w:t>
      </w:r>
      <w:r w:rsidRPr="00563D71">
        <w:rPr>
          <w:rFonts w:asciiTheme="majorBidi" w:hAnsiTheme="majorBidi" w:cstheme="majorBidi"/>
          <w:sz w:val="24"/>
          <w:szCs w:val="24"/>
        </w:rPr>
        <w:t xml:space="preserve">, </w:t>
      </w:r>
      <w:r w:rsidR="00E62922" w:rsidRPr="00563D71">
        <w:rPr>
          <w:rFonts w:asciiTheme="majorBidi" w:hAnsiTheme="majorBidi" w:cstheme="majorBidi"/>
          <w:sz w:val="24"/>
          <w:szCs w:val="24"/>
        </w:rPr>
        <w:t>the Ministry of Tourism</w:t>
      </w:r>
      <w:r w:rsidR="0076344E" w:rsidRPr="00563D71">
        <w:rPr>
          <w:rFonts w:asciiTheme="majorBidi" w:hAnsiTheme="majorBidi" w:cstheme="majorBidi"/>
          <w:sz w:val="24"/>
          <w:szCs w:val="24"/>
        </w:rPr>
        <w:t>,</w:t>
      </w:r>
      <w:r w:rsidRPr="00563D71">
        <w:rPr>
          <w:rFonts w:asciiTheme="majorBidi" w:hAnsiTheme="majorBidi" w:cstheme="majorBidi"/>
          <w:sz w:val="24"/>
          <w:szCs w:val="24"/>
        </w:rPr>
        <w:t xml:space="preserve"> and UNWTO.</w:t>
      </w:r>
    </w:p>
    <w:p w14:paraId="5B3329E6" w14:textId="2E244B96" w:rsidR="00EB7BA6" w:rsidRPr="00563D71" w:rsidRDefault="00EB7BA6" w:rsidP="009A4C94">
      <w:pPr>
        <w:ind w:left="360" w:firstLine="0"/>
        <w:rPr>
          <w:szCs w:val="24"/>
        </w:rPr>
      </w:pPr>
    </w:p>
    <w:p w14:paraId="25BF96FF" w14:textId="77777777" w:rsidR="0060091A" w:rsidRDefault="0060091A">
      <w:pPr>
        <w:spacing w:before="0"/>
        <w:ind w:left="11" w:hanging="11"/>
        <w:rPr>
          <w:b/>
        </w:rPr>
      </w:pPr>
      <w:bookmarkStart w:id="62" w:name="_Toc468969240"/>
      <w:bookmarkStart w:id="63" w:name="_Toc481484054"/>
      <w:r>
        <w:br w:type="page"/>
      </w:r>
    </w:p>
    <w:p w14:paraId="1796B0FD" w14:textId="0A6026DD" w:rsidR="00E51570" w:rsidRPr="00563D71" w:rsidRDefault="00E51570" w:rsidP="00BE11AA">
      <w:pPr>
        <w:pStyle w:val="Heading1"/>
        <w:jc w:val="center"/>
      </w:pPr>
      <w:bookmarkStart w:id="64" w:name="_Toc485831034"/>
      <w:r w:rsidRPr="00563D71">
        <w:lastRenderedPageBreak/>
        <w:t>5</w:t>
      </w:r>
      <w:r w:rsidRPr="00563D71">
        <w:rPr>
          <w:rFonts w:ascii="Arial" w:eastAsia="Arial" w:hAnsi="Arial" w:cs="Arial"/>
        </w:rPr>
        <w:t xml:space="preserve"> </w:t>
      </w:r>
      <w:r w:rsidRPr="00563D71">
        <w:t xml:space="preserve">  ASSESSMENT OF PROGRAM SYSTEM</w:t>
      </w:r>
      <w:bookmarkEnd w:id="62"/>
      <w:bookmarkEnd w:id="63"/>
      <w:bookmarkEnd w:id="64"/>
    </w:p>
    <w:p w14:paraId="03D48624" w14:textId="0555FA1F" w:rsidR="00BE11AA" w:rsidRPr="00563D71" w:rsidRDefault="00BE11AA" w:rsidP="00BE11AA"/>
    <w:p w14:paraId="55C8EE43" w14:textId="2E4AFA58" w:rsidR="0064751E" w:rsidRPr="00563D71" w:rsidRDefault="00512E59" w:rsidP="006F764A">
      <w:pPr>
        <w:pStyle w:val="Heading2"/>
      </w:pPr>
      <w:bookmarkStart w:id="65" w:name="_Toc468969241"/>
      <w:bookmarkStart w:id="66" w:name="_Toc481484055"/>
      <w:bookmarkStart w:id="67" w:name="_Toc485831035"/>
      <w:r w:rsidRPr="00563D71">
        <w:t>5.1</w:t>
      </w:r>
      <w:r w:rsidRPr="00563D71">
        <w:tab/>
        <w:t>Summary of Assessment Findings</w:t>
      </w:r>
      <w:bookmarkEnd w:id="65"/>
      <w:bookmarkEnd w:id="66"/>
      <w:bookmarkEnd w:id="67"/>
    </w:p>
    <w:p w14:paraId="0C34A5C3" w14:textId="60FADF11" w:rsidR="007B49BF" w:rsidRPr="00563D71" w:rsidRDefault="00F52337" w:rsidP="0032029F">
      <w:pPr>
        <w:pStyle w:val="MainParanoChapter-Ch3"/>
        <w:rPr>
          <w:rFonts w:eastAsiaTheme="minorEastAsia"/>
        </w:rPr>
      </w:pPr>
      <w:r w:rsidRPr="00563D71">
        <w:t xml:space="preserve">In general, the Indonesian </w:t>
      </w:r>
      <w:r w:rsidR="00E25B03" w:rsidRPr="00563D71">
        <w:t xml:space="preserve">environmental and social safeguards system conforms to the policy elements as defined in the </w:t>
      </w:r>
      <w:r w:rsidR="00ED6A9C" w:rsidRPr="00563D71">
        <w:t xml:space="preserve">Bank’s </w:t>
      </w:r>
      <w:r w:rsidR="00E25B03" w:rsidRPr="00563D71">
        <w:t xml:space="preserve">Program for Results Policy, when </w:t>
      </w:r>
      <w:r w:rsidR="00ED6A9C" w:rsidRPr="00563D71">
        <w:t>the system</w:t>
      </w:r>
      <w:r w:rsidR="00E25B03" w:rsidRPr="00563D71">
        <w:t xml:space="preserve"> is effectively implemented.  There are a </w:t>
      </w:r>
      <w:r w:rsidR="007C26A9" w:rsidRPr="00563D71">
        <w:t xml:space="preserve">few </w:t>
      </w:r>
      <w:r w:rsidR="00E25B03" w:rsidRPr="00563D71">
        <w:t xml:space="preserve">gaps in the laws and regulations; the main ones are: lack of guidelines and regulations for consultation with </w:t>
      </w:r>
      <w:r w:rsidR="008134E1" w:rsidRPr="00563D71">
        <w:t>I</w:t>
      </w:r>
      <w:r w:rsidR="00E25B03" w:rsidRPr="00563D71">
        <w:t xml:space="preserve">ndigenous </w:t>
      </w:r>
      <w:r w:rsidR="008134E1" w:rsidRPr="00563D71">
        <w:t>P</w:t>
      </w:r>
      <w:r w:rsidR="00E25B03" w:rsidRPr="00563D71">
        <w:t xml:space="preserve">eoples, </w:t>
      </w:r>
      <w:r w:rsidR="00FA5519" w:rsidRPr="00563D71">
        <w:t>unclear pathways</w:t>
      </w:r>
      <w:r w:rsidR="00E25B03" w:rsidRPr="00563D71">
        <w:t xml:space="preserve"> for groups that seek to be identified as indigenous, insufficient attention to livelihood restoration in resettlement laws and regulations, and a screening process for environmental assessment that relies mostly on quantitative thresholds rather than risks. The integrated tourism development </w:t>
      </w:r>
      <w:r w:rsidR="00900212" w:rsidRPr="00563D71">
        <w:t xml:space="preserve">planning </w:t>
      </w:r>
      <w:r w:rsidR="00E25B03" w:rsidRPr="00563D71">
        <w:t xml:space="preserve">process defined in Results Area 4 and supported by the IPF </w:t>
      </w:r>
      <w:r w:rsidR="000B0DC9" w:rsidRPr="00563D71">
        <w:t xml:space="preserve">offers </w:t>
      </w:r>
      <w:r w:rsidR="00B04E23" w:rsidRPr="00563D71">
        <w:t>entry point</w:t>
      </w:r>
      <w:r w:rsidR="000B0DC9" w:rsidRPr="00563D71">
        <w:t>s</w:t>
      </w:r>
      <w:r w:rsidR="00E25B03" w:rsidRPr="00563D71">
        <w:t xml:space="preserve"> through which the indigenous </w:t>
      </w:r>
      <w:r w:rsidR="007C26A9" w:rsidRPr="00563D71">
        <w:t>people</w:t>
      </w:r>
      <w:r w:rsidR="00C105B2" w:rsidRPr="00563D71">
        <w:t>s’</w:t>
      </w:r>
      <w:r w:rsidR="00E25B03" w:rsidRPr="00563D71">
        <w:t xml:space="preserve"> issues will be addressed, as it will include social assessment and extensive consultation with all stakeholders. The Program </w:t>
      </w:r>
      <w:r w:rsidR="00677564" w:rsidRPr="00563D71">
        <w:t>will include increased attention</w:t>
      </w:r>
      <w:r w:rsidR="00E25B03" w:rsidRPr="00563D71">
        <w:t xml:space="preserve"> </w:t>
      </w:r>
      <w:r w:rsidR="00677564" w:rsidRPr="00563D71">
        <w:t>to</w:t>
      </w:r>
      <w:r w:rsidR="00E25B03" w:rsidRPr="00563D71">
        <w:t xml:space="preserve"> livelihood restoration </w:t>
      </w:r>
      <w:r w:rsidR="00677564" w:rsidRPr="00563D71">
        <w:t>(including adequate budgets)</w:t>
      </w:r>
      <w:r w:rsidR="00E50CCD" w:rsidRPr="00563D71">
        <w:t>.  T</w:t>
      </w:r>
      <w:r w:rsidR="007B49BF" w:rsidRPr="00563D71">
        <w:t>he adoption of the Investment and Expenditure Menu of the Program, the mechanism for reviewing the proposed annual work plan against the Menu and the ITMPs, and the screening mechanism for year 1 investments and proposed additions to the Menu</w:t>
      </w:r>
      <w:r w:rsidR="00F756C3" w:rsidRPr="00563D71">
        <w:t>, which</w:t>
      </w:r>
      <w:r w:rsidR="007B49BF" w:rsidRPr="00563D71">
        <w:t xml:space="preserve"> is part of the Program Action Plan and is required prior to loan effectiveness</w:t>
      </w:r>
      <w:r w:rsidR="00F756C3" w:rsidRPr="00563D71">
        <w:t>,</w:t>
      </w:r>
      <w:r w:rsidR="007B49BF" w:rsidRPr="00563D71">
        <w:t xml:space="preserve"> will ensure that sensitive areas are excluded from development (through the identification of “no development zones” and zones suitable only for certain types of development</w:t>
      </w:r>
      <w:r w:rsidR="00F756C3" w:rsidRPr="00563D71">
        <w:t xml:space="preserve"> in the ITMPs</w:t>
      </w:r>
      <w:r w:rsidR="007B49BF" w:rsidRPr="00563D71">
        <w:t xml:space="preserve">). </w:t>
      </w:r>
      <w:r w:rsidR="00D126AB" w:rsidRPr="00563D71">
        <w:t>Examples include s</w:t>
      </w:r>
      <w:r w:rsidR="007B49BF" w:rsidRPr="00563D71">
        <w:t xml:space="preserve">ites with unique visual amenity, uses for traditional cultural events, and essential sources of livelihoods. Similarly, areas with </w:t>
      </w:r>
      <w:r w:rsidR="007B49BF" w:rsidRPr="00563D71">
        <w:rPr>
          <w:rFonts w:eastAsiaTheme="minorEastAsia"/>
        </w:rPr>
        <w:t>land legacy issues that have not been addressed properly, agreed by the involved parties, in accordance to the prevailing Indonesian laws and regulations, will be highlighted in the ITMPs, and the Program, as part of the adopted work plan review process will avoid the inclusion of Program investments in these areas.</w:t>
      </w:r>
    </w:p>
    <w:p w14:paraId="763F095A" w14:textId="77777777" w:rsidR="00FE0BBB" w:rsidRPr="00563D71" w:rsidRDefault="00FE0BBB" w:rsidP="0032029F">
      <w:pPr>
        <w:spacing w:before="0" w:after="160"/>
        <w:ind w:left="0" w:right="14" w:firstLine="0"/>
        <w:contextualSpacing/>
        <w:rPr>
          <w:rFonts w:eastAsiaTheme="minorEastAsia"/>
          <w:color w:val="auto"/>
          <w:szCs w:val="24"/>
        </w:rPr>
      </w:pPr>
    </w:p>
    <w:p w14:paraId="31504F37" w14:textId="5CCA0E2E" w:rsidR="00512E59" w:rsidRPr="00563D71" w:rsidRDefault="00E25B03" w:rsidP="0032029F">
      <w:pPr>
        <w:pStyle w:val="MainParanoChapter-Ch3"/>
      </w:pPr>
      <w:r w:rsidRPr="00563D71">
        <w:t xml:space="preserve">The other gaps are in implementation of the Indonesian system. </w:t>
      </w:r>
      <w:r w:rsidR="008154E4" w:rsidRPr="00563D71">
        <w:t xml:space="preserve">Table </w:t>
      </w:r>
      <w:r w:rsidR="000311AE" w:rsidRPr="00563D71">
        <w:t xml:space="preserve">10 </w:t>
      </w:r>
      <w:r w:rsidR="00964850" w:rsidRPr="00563D71">
        <w:t>shows</w:t>
      </w:r>
      <w:r w:rsidR="00E270F1" w:rsidRPr="00563D71">
        <w:t xml:space="preserve"> an</w:t>
      </w:r>
      <w:r w:rsidR="00964850" w:rsidRPr="00563D71">
        <w:t xml:space="preserve"> assessment of the institutional capacity to address risks and impacts. This will also show the areas of strengthening that can be improved through the Program. </w:t>
      </w:r>
      <w:r w:rsidRPr="00563D71">
        <w:t xml:space="preserve">The quality of environmental assessments is uneven, and the Program Action Plan calls for training for consultants and staff in review and approval agencies such as </w:t>
      </w:r>
      <w:r w:rsidR="00E270F1" w:rsidRPr="00563D71">
        <w:t>the Environmental Management Agency (</w:t>
      </w:r>
      <w:r w:rsidRPr="00563D71">
        <w:t>BLH</w:t>
      </w:r>
      <w:r w:rsidR="00E270F1" w:rsidRPr="00563D71">
        <w:t>)</w:t>
      </w:r>
      <w:r w:rsidRPr="00563D71">
        <w:t xml:space="preserve">.  </w:t>
      </w:r>
      <w:r w:rsidR="00B04E23" w:rsidRPr="00563D71">
        <w:t>Implementation of impact management measures</w:t>
      </w:r>
      <w:r w:rsidRPr="00563D71">
        <w:t xml:space="preserve"> is not consistently enforced, but the</w:t>
      </w:r>
      <w:r w:rsidR="00B04E23" w:rsidRPr="00563D71">
        <w:t xml:space="preserve"> </w:t>
      </w:r>
      <w:r w:rsidR="00972AD2" w:rsidRPr="00563D71">
        <w:t>establish</w:t>
      </w:r>
      <w:r w:rsidR="00C83738" w:rsidRPr="00563D71">
        <w:t>ment</w:t>
      </w:r>
      <w:r w:rsidR="00972AD2" w:rsidRPr="00563D71">
        <w:t xml:space="preserve"> of arrangements or strengthening</w:t>
      </w:r>
      <w:r w:rsidRPr="00563D71">
        <w:t xml:space="preserve"> of </w:t>
      </w:r>
      <w:r w:rsidR="00972AD2" w:rsidRPr="00563D71">
        <w:t xml:space="preserve">existing arrangements for </w:t>
      </w:r>
      <w:r w:rsidRPr="00563D71">
        <w:t xml:space="preserve">monitoring and protection </w:t>
      </w:r>
      <w:r w:rsidR="00972AD2" w:rsidRPr="00563D71">
        <w:t xml:space="preserve">of natural and cultural assets </w:t>
      </w:r>
      <w:r w:rsidR="00B04E23" w:rsidRPr="00563D71">
        <w:t xml:space="preserve">arrangements at each destination </w:t>
      </w:r>
      <w:r w:rsidR="00C83738" w:rsidRPr="00563D71">
        <w:t xml:space="preserve">is part </w:t>
      </w:r>
      <w:r w:rsidR="00C34821" w:rsidRPr="00563D71">
        <w:t xml:space="preserve">of </w:t>
      </w:r>
      <w:r w:rsidRPr="00563D71">
        <w:t>the Program</w:t>
      </w:r>
      <w:r w:rsidR="00972AD2" w:rsidRPr="00563D71">
        <w:t xml:space="preserve"> Action Plan and implementation throughout </w:t>
      </w:r>
      <w:r w:rsidR="000B0DC9" w:rsidRPr="00563D71">
        <w:t xml:space="preserve">the </w:t>
      </w:r>
      <w:r w:rsidR="00972AD2" w:rsidRPr="00563D71">
        <w:t>Program period is incentivized in RA4, where its regular reporting is a DLI. Moreover, the Program Management Suppo</w:t>
      </w:r>
      <w:r w:rsidR="00292CCB" w:rsidRPr="00563D71">
        <w:t>rt Consultant</w:t>
      </w:r>
      <w:r w:rsidR="00925002" w:rsidRPr="00563D71">
        <w:t xml:space="preserve">s’ Services </w:t>
      </w:r>
      <w:r w:rsidR="00292CCB" w:rsidRPr="00563D71">
        <w:t xml:space="preserve">(and/or additional qualified MPWH staff) </w:t>
      </w:r>
      <w:r w:rsidR="00925002" w:rsidRPr="00563D71">
        <w:t>will d</w:t>
      </w:r>
      <w:r w:rsidR="00972AD2" w:rsidRPr="00563D71">
        <w:t>evelop and implement a tourism-specific training program for consultants that prepare AMDALs and UKL</w:t>
      </w:r>
      <w:r w:rsidR="001A6A05" w:rsidRPr="00563D71">
        <w:t>-</w:t>
      </w:r>
      <w:r w:rsidR="00972AD2" w:rsidRPr="00563D71">
        <w:t>UPL and for the agencies that review, approve, and enforce them</w:t>
      </w:r>
      <w:r w:rsidR="00D7694C" w:rsidRPr="00563D71">
        <w:t>.</w:t>
      </w:r>
      <w:r w:rsidR="00972AD2" w:rsidRPr="00563D71">
        <w:t xml:space="preserve"> </w:t>
      </w:r>
      <w:r w:rsidR="00D7694C" w:rsidRPr="00563D71">
        <w:t>U</w:t>
      </w:r>
      <w:r w:rsidR="00972AD2" w:rsidRPr="00563D71">
        <w:t>nder the Program</w:t>
      </w:r>
      <w:r w:rsidR="00D7694C" w:rsidRPr="00563D71">
        <w:t>,</w:t>
      </w:r>
      <w:r w:rsidR="00972AD2" w:rsidRPr="00563D71">
        <w:t xml:space="preserve"> budget allocations to environmental departments will be incentivized and/or enforced (as part of Program Action Plan).</w:t>
      </w:r>
      <w:r w:rsidRPr="00563D71">
        <w:t xml:space="preserve"> Workplace health and safety rules are not well enforced, and attention to this area is inc</w:t>
      </w:r>
      <w:r w:rsidR="00677564" w:rsidRPr="00563D71">
        <w:t>luded in the Program</w:t>
      </w:r>
      <w:r w:rsidRPr="00563D71">
        <w:t xml:space="preserve">. </w:t>
      </w:r>
      <w:r w:rsidR="00EB7BA6" w:rsidRPr="00563D71">
        <w:t xml:space="preserve">With effective implementation of the </w:t>
      </w:r>
      <w:r w:rsidR="00B04E23" w:rsidRPr="00563D71">
        <w:t xml:space="preserve">monitoring and reporting </w:t>
      </w:r>
      <w:r w:rsidR="00EB7BA6" w:rsidRPr="00563D71">
        <w:t xml:space="preserve">DLI and </w:t>
      </w:r>
      <w:r w:rsidR="00B04E23" w:rsidRPr="00563D71">
        <w:t xml:space="preserve">the </w:t>
      </w:r>
      <w:r w:rsidR="00EB7BA6" w:rsidRPr="00563D71">
        <w:t>measures in Results Area 4 and the Program Action Plan, the system will deliver safeguards results consistent with the Program for Results Policy.</w:t>
      </w:r>
    </w:p>
    <w:p w14:paraId="675D539B" w14:textId="13DF9A7A" w:rsidR="00512E59" w:rsidRPr="00563D71" w:rsidRDefault="00512E59" w:rsidP="00FA5519">
      <w:pPr>
        <w:pStyle w:val="Heading2"/>
        <w:ind w:left="0"/>
      </w:pPr>
      <w:bookmarkStart w:id="68" w:name="_Toc468969242"/>
      <w:bookmarkStart w:id="69" w:name="_Toc481484056"/>
      <w:bookmarkStart w:id="70" w:name="_Toc485831036"/>
      <w:r w:rsidRPr="00563D71">
        <w:lastRenderedPageBreak/>
        <w:t>5.2</w:t>
      </w:r>
      <w:r w:rsidRPr="00563D71">
        <w:tab/>
        <w:t>Details of Assessment</w:t>
      </w:r>
      <w:bookmarkEnd w:id="68"/>
      <w:bookmarkEnd w:id="69"/>
      <w:bookmarkEnd w:id="70"/>
    </w:p>
    <w:p w14:paraId="60D93697" w14:textId="718FE389" w:rsidR="00512E59" w:rsidRPr="00563D71" w:rsidRDefault="00512E59" w:rsidP="0032029F">
      <w:pPr>
        <w:pStyle w:val="MainParanoChapter-Ch3"/>
      </w:pPr>
      <w:r w:rsidRPr="00563D71">
        <w:t xml:space="preserve">The details of the assessment are presented in Table </w:t>
      </w:r>
      <w:r w:rsidR="00704623" w:rsidRPr="00563D71">
        <w:t>9</w:t>
      </w:r>
      <w:r w:rsidR="00FA5519" w:rsidRPr="00563D71">
        <w:t xml:space="preserve"> </w:t>
      </w:r>
      <w:r w:rsidRPr="00563D71">
        <w:t>below.</w:t>
      </w:r>
    </w:p>
    <w:p w14:paraId="5A23BE7B" w14:textId="05C98BE2" w:rsidR="00245F03" w:rsidRPr="00563D71" w:rsidRDefault="00245F03">
      <w:pPr>
        <w:spacing w:line="259" w:lineRule="auto"/>
        <w:ind w:left="0" w:firstLine="0"/>
        <w:jc w:val="left"/>
      </w:pPr>
    </w:p>
    <w:p w14:paraId="284F6DFF" w14:textId="77777777" w:rsidR="00245F03" w:rsidRPr="00563D71" w:rsidRDefault="00245F03" w:rsidP="00781FF7">
      <w:pPr>
        <w:ind w:left="0" w:firstLine="0"/>
        <w:sectPr w:rsidR="00245F03" w:rsidRPr="00563D71" w:rsidSect="00CF22F2">
          <w:footerReference w:type="even" r:id="rId15"/>
          <w:footerReference w:type="default" r:id="rId16"/>
          <w:footerReference w:type="first" r:id="rId17"/>
          <w:type w:val="continuous"/>
          <w:pgSz w:w="12240" w:h="15840"/>
          <w:pgMar w:top="1440" w:right="1440" w:bottom="1440" w:left="1440" w:header="720" w:footer="718" w:gutter="0"/>
          <w:pgNumType w:start="0"/>
          <w:cols w:space="720"/>
          <w:docGrid w:linePitch="326"/>
        </w:sectPr>
      </w:pPr>
    </w:p>
    <w:p w14:paraId="152298C5" w14:textId="6FB7DFBA" w:rsidR="00245F03" w:rsidRPr="00563D71" w:rsidRDefault="00D04B10" w:rsidP="003D2E29">
      <w:pPr>
        <w:pStyle w:val="NoSpacing"/>
      </w:pPr>
      <w:bookmarkStart w:id="71" w:name="_Toc485824770"/>
      <w:r w:rsidRPr="00563D71">
        <w:lastRenderedPageBreak/>
        <w:t xml:space="preserve">Table </w:t>
      </w:r>
      <w:r w:rsidR="00704623" w:rsidRPr="00563D71">
        <w:t>9</w:t>
      </w:r>
      <w:r w:rsidRPr="00563D71">
        <w:t xml:space="preserve">. Evaluation of the </w:t>
      </w:r>
      <w:r w:rsidR="00062989" w:rsidRPr="00563D71">
        <w:t>G</w:t>
      </w:r>
      <w:r w:rsidR="00F06297" w:rsidRPr="00563D71">
        <w:t>o</w:t>
      </w:r>
      <w:r w:rsidR="00062989" w:rsidRPr="00563D71">
        <w:t>I</w:t>
      </w:r>
      <w:r w:rsidRPr="00563D71">
        <w:t xml:space="preserve"> Environmental and Social Systems </w:t>
      </w:r>
      <w:r w:rsidR="00062989" w:rsidRPr="00563D71">
        <w:t>in Relation to the PforR Policy of</w:t>
      </w:r>
      <w:r w:rsidRPr="00563D71">
        <w:t xml:space="preserve"> the World Bank.</w:t>
      </w:r>
      <w:bookmarkEnd w:id="71"/>
      <w:r w:rsidRPr="00563D71">
        <w:t xml:space="preserve"> </w:t>
      </w:r>
    </w:p>
    <w:tbl>
      <w:tblPr>
        <w:tblStyle w:val="TableGrid"/>
        <w:tblW w:w="5000" w:type="pct"/>
        <w:tblInd w:w="0" w:type="dxa"/>
        <w:tblCellMar>
          <w:top w:w="6" w:type="dxa"/>
          <w:left w:w="109" w:type="dxa"/>
          <w:right w:w="94" w:type="dxa"/>
        </w:tblCellMar>
        <w:tblLook w:val="04A0" w:firstRow="1" w:lastRow="0" w:firstColumn="1" w:lastColumn="0" w:noHBand="0" w:noVBand="1"/>
      </w:tblPr>
      <w:tblGrid>
        <w:gridCol w:w="2934"/>
        <w:gridCol w:w="3792"/>
        <w:gridCol w:w="3147"/>
        <w:gridCol w:w="3077"/>
      </w:tblGrid>
      <w:tr w:rsidR="00245F03" w:rsidRPr="00563D71" w14:paraId="2BC03168" w14:textId="77777777" w:rsidTr="0032029F">
        <w:trPr>
          <w:trHeight w:val="1100"/>
        </w:trPr>
        <w:tc>
          <w:tcPr>
            <w:tcW w:w="3812" w:type="pct"/>
            <w:gridSpan w:val="3"/>
            <w:tcBorders>
              <w:top w:val="single" w:sz="4" w:space="0" w:color="000000"/>
              <w:left w:val="single" w:sz="4" w:space="0" w:color="000000"/>
              <w:bottom w:val="single" w:sz="8" w:space="0" w:color="4BACC6"/>
              <w:right w:val="nil"/>
            </w:tcBorders>
            <w:shd w:val="clear" w:color="auto" w:fill="4DADC7"/>
          </w:tcPr>
          <w:p w14:paraId="4C41965E" w14:textId="134C8232" w:rsidR="00245F03" w:rsidRPr="00563D71" w:rsidRDefault="00394010" w:rsidP="0032029F">
            <w:pPr>
              <w:spacing w:before="240" w:line="259" w:lineRule="auto"/>
              <w:ind w:left="0" w:firstLine="0"/>
              <w:jc w:val="left"/>
            </w:pPr>
            <w:r w:rsidRPr="00563D71">
              <w:rPr>
                <w:b/>
                <w:sz w:val="22"/>
              </w:rPr>
              <w:t>Policy Element 1</w:t>
            </w:r>
            <w:r w:rsidR="00162585" w:rsidRPr="00563D71">
              <w:rPr>
                <w:b/>
                <w:sz w:val="22"/>
              </w:rPr>
              <w:t>:</w:t>
            </w:r>
            <w:r w:rsidRPr="00563D71">
              <w:rPr>
                <w:b/>
                <w:sz w:val="22"/>
              </w:rPr>
              <w:t xml:space="preserve">  </w:t>
            </w:r>
            <w:r w:rsidR="00162585" w:rsidRPr="00563D71">
              <w:rPr>
                <w:b/>
                <w:sz w:val="22"/>
              </w:rPr>
              <w:t xml:space="preserve">Program systems </w:t>
            </w:r>
            <w:r w:rsidRPr="00563D71">
              <w:rPr>
                <w:b/>
                <w:sz w:val="22"/>
              </w:rPr>
              <w:t xml:space="preserve">promote environmental and social sustainability in the Program </w:t>
            </w:r>
            <w:r w:rsidR="00162585" w:rsidRPr="00563D71">
              <w:rPr>
                <w:b/>
                <w:sz w:val="22"/>
              </w:rPr>
              <w:t>d</w:t>
            </w:r>
            <w:r w:rsidRPr="00563D71">
              <w:rPr>
                <w:b/>
                <w:sz w:val="22"/>
              </w:rPr>
              <w:t>esign; avoid, minimize, or mitigate adverse impacts</w:t>
            </w:r>
            <w:r w:rsidR="00D7694C" w:rsidRPr="00563D71">
              <w:rPr>
                <w:b/>
                <w:sz w:val="22"/>
              </w:rPr>
              <w:t>;</w:t>
            </w:r>
            <w:r w:rsidRPr="00563D71">
              <w:rPr>
                <w:b/>
                <w:sz w:val="22"/>
              </w:rPr>
              <w:t xml:space="preserve"> and promote informed decision-making relating to the Program’s environmental and social impacts.</w:t>
            </w:r>
          </w:p>
        </w:tc>
        <w:tc>
          <w:tcPr>
            <w:tcW w:w="1188" w:type="pct"/>
            <w:tcBorders>
              <w:top w:val="single" w:sz="4" w:space="0" w:color="000000"/>
              <w:left w:val="nil"/>
              <w:bottom w:val="single" w:sz="8" w:space="0" w:color="4BACC6"/>
              <w:right w:val="single" w:sz="4" w:space="0" w:color="000000"/>
            </w:tcBorders>
            <w:shd w:val="clear" w:color="auto" w:fill="4DADC7"/>
          </w:tcPr>
          <w:p w14:paraId="0B32825F" w14:textId="77777777" w:rsidR="00245F03" w:rsidRPr="00563D71" w:rsidRDefault="00245F03">
            <w:pPr>
              <w:spacing w:after="160" w:line="259" w:lineRule="auto"/>
              <w:ind w:left="0" w:firstLine="0"/>
              <w:jc w:val="left"/>
            </w:pPr>
          </w:p>
        </w:tc>
      </w:tr>
      <w:tr w:rsidR="00245F03" w:rsidRPr="00563D71" w14:paraId="2F6EAADB" w14:textId="77777777" w:rsidTr="0032029F">
        <w:trPr>
          <w:trHeight w:val="430"/>
        </w:trPr>
        <w:tc>
          <w:tcPr>
            <w:tcW w:w="1133" w:type="pct"/>
            <w:tcBorders>
              <w:top w:val="single" w:sz="8" w:space="0" w:color="4BACC6"/>
              <w:left w:val="single" w:sz="4" w:space="0" w:color="000000"/>
              <w:bottom w:val="single" w:sz="8" w:space="0" w:color="4BACC6"/>
              <w:right w:val="single" w:sz="4" w:space="0" w:color="000000"/>
            </w:tcBorders>
            <w:shd w:val="clear" w:color="auto" w:fill="B8CCE4"/>
          </w:tcPr>
          <w:p w14:paraId="073433C8" w14:textId="77777777" w:rsidR="00245F03" w:rsidRPr="00563D71" w:rsidRDefault="00D04B10" w:rsidP="00394010">
            <w:pPr>
              <w:spacing w:line="259" w:lineRule="auto"/>
              <w:ind w:left="0" w:firstLine="0"/>
              <w:jc w:val="left"/>
            </w:pPr>
            <w:r w:rsidRPr="00563D71">
              <w:rPr>
                <w:b/>
                <w:sz w:val="20"/>
              </w:rPr>
              <w:t xml:space="preserve">Key </w:t>
            </w:r>
            <w:r w:rsidR="00394010" w:rsidRPr="00563D71">
              <w:rPr>
                <w:b/>
                <w:sz w:val="20"/>
              </w:rPr>
              <w:t>Attributes</w:t>
            </w:r>
            <w:r w:rsidRPr="00563D71">
              <w:rPr>
                <w:b/>
                <w:sz w:val="20"/>
              </w:rPr>
              <w:t xml:space="preserve"> </w:t>
            </w:r>
          </w:p>
        </w:tc>
        <w:tc>
          <w:tcPr>
            <w:tcW w:w="2679" w:type="pct"/>
            <w:gridSpan w:val="2"/>
            <w:tcBorders>
              <w:top w:val="single" w:sz="8" w:space="0" w:color="4BACC6"/>
              <w:left w:val="single" w:sz="4" w:space="0" w:color="000000"/>
              <w:bottom w:val="single" w:sz="8" w:space="0" w:color="4BACC6"/>
              <w:right w:val="single" w:sz="4" w:space="0" w:color="000000"/>
            </w:tcBorders>
            <w:shd w:val="clear" w:color="auto" w:fill="B8CCE4"/>
          </w:tcPr>
          <w:p w14:paraId="78B340B1" w14:textId="77777777" w:rsidR="00245F03" w:rsidRPr="00563D71" w:rsidRDefault="00D04B10">
            <w:pPr>
              <w:spacing w:line="259" w:lineRule="auto"/>
              <w:ind w:left="6" w:firstLine="0"/>
              <w:jc w:val="left"/>
            </w:pPr>
            <w:r w:rsidRPr="00563D71">
              <w:rPr>
                <w:b/>
                <w:sz w:val="20"/>
              </w:rPr>
              <w:t xml:space="preserve">Program System </w:t>
            </w:r>
          </w:p>
        </w:tc>
        <w:tc>
          <w:tcPr>
            <w:tcW w:w="1188" w:type="pct"/>
            <w:tcBorders>
              <w:top w:val="single" w:sz="8" w:space="0" w:color="4BACC6"/>
              <w:left w:val="single" w:sz="4" w:space="0" w:color="000000"/>
              <w:bottom w:val="single" w:sz="8" w:space="0" w:color="4BACC6"/>
              <w:right w:val="single" w:sz="4" w:space="0" w:color="000000"/>
            </w:tcBorders>
            <w:shd w:val="clear" w:color="auto" w:fill="B8CCE4"/>
          </w:tcPr>
          <w:p w14:paraId="0FC5B99E" w14:textId="77777777" w:rsidR="00245F03" w:rsidRPr="00563D71" w:rsidRDefault="00D04B10">
            <w:pPr>
              <w:spacing w:line="259" w:lineRule="auto"/>
              <w:ind w:left="6" w:firstLine="0"/>
              <w:jc w:val="left"/>
            </w:pPr>
            <w:r w:rsidRPr="00563D71">
              <w:rPr>
                <w:b/>
                <w:sz w:val="20"/>
              </w:rPr>
              <w:t xml:space="preserve">Gaps  </w:t>
            </w:r>
          </w:p>
        </w:tc>
      </w:tr>
      <w:tr w:rsidR="00245F03" w:rsidRPr="00563D71" w14:paraId="5F68920E" w14:textId="77777777" w:rsidTr="0032029F">
        <w:trPr>
          <w:trHeight w:val="4356"/>
        </w:trPr>
        <w:tc>
          <w:tcPr>
            <w:tcW w:w="1133" w:type="pct"/>
            <w:tcBorders>
              <w:top w:val="single" w:sz="8" w:space="0" w:color="4BACC6"/>
              <w:left w:val="single" w:sz="4" w:space="0" w:color="000000"/>
              <w:bottom w:val="single" w:sz="4" w:space="0" w:color="000000"/>
              <w:right w:val="single" w:sz="4" w:space="0" w:color="000000"/>
            </w:tcBorders>
          </w:tcPr>
          <w:p w14:paraId="439D5FD6" w14:textId="77777777" w:rsidR="00245F03" w:rsidRPr="00563D71" w:rsidRDefault="00162585" w:rsidP="00C01871">
            <w:pPr>
              <w:spacing w:line="259" w:lineRule="auto"/>
              <w:ind w:left="0" w:right="54" w:firstLine="0"/>
              <w:jc w:val="left"/>
            </w:pPr>
            <w:r w:rsidRPr="00563D71">
              <w:rPr>
                <w:sz w:val="20"/>
              </w:rPr>
              <w:t>(a)</w:t>
            </w:r>
            <w:r w:rsidR="00D04B10" w:rsidRPr="00563D71">
              <w:rPr>
                <w:sz w:val="20"/>
              </w:rPr>
              <w:t xml:space="preserve"> Operate within an adequate legal and regulatory framework to guide environmental and social impact assessments at the program level.</w:t>
            </w:r>
            <w:r w:rsidR="00D04B10" w:rsidRPr="00563D71">
              <w:rPr>
                <w:b/>
                <w:sz w:val="20"/>
              </w:rPr>
              <w:t xml:space="preserve">  </w:t>
            </w:r>
          </w:p>
        </w:tc>
        <w:tc>
          <w:tcPr>
            <w:tcW w:w="2679" w:type="pct"/>
            <w:gridSpan w:val="2"/>
            <w:tcBorders>
              <w:top w:val="single" w:sz="8" w:space="0" w:color="4BACC6"/>
              <w:left w:val="single" w:sz="4" w:space="0" w:color="000000"/>
              <w:bottom w:val="single" w:sz="4" w:space="0" w:color="000000"/>
              <w:right w:val="single" w:sz="4" w:space="0" w:color="000000"/>
            </w:tcBorders>
          </w:tcPr>
          <w:p w14:paraId="07726B23" w14:textId="59A50993" w:rsidR="00245F03" w:rsidRPr="00563D71" w:rsidRDefault="00D04B10" w:rsidP="0087217C">
            <w:pPr>
              <w:spacing w:line="238" w:lineRule="auto"/>
              <w:ind w:left="6" w:right="44" w:firstLine="0"/>
              <w:jc w:val="left"/>
            </w:pPr>
            <w:r w:rsidRPr="00563D71">
              <w:rPr>
                <w:sz w:val="20"/>
              </w:rPr>
              <w:t xml:space="preserve">The requirement for environmental impact assessment (AMDAL) </w:t>
            </w:r>
            <w:r w:rsidR="0087217C" w:rsidRPr="00563D71">
              <w:rPr>
                <w:sz w:val="20"/>
              </w:rPr>
              <w:t>was</w:t>
            </w:r>
            <w:r w:rsidRPr="00563D71">
              <w:rPr>
                <w:sz w:val="20"/>
              </w:rPr>
              <w:t xml:space="preserve"> initiated in 1982 (Law </w:t>
            </w:r>
            <w:r w:rsidR="0006115C" w:rsidRPr="00563D71">
              <w:rPr>
                <w:sz w:val="20"/>
              </w:rPr>
              <w:t xml:space="preserve">No. </w:t>
            </w:r>
            <w:r w:rsidRPr="00563D71">
              <w:rPr>
                <w:sz w:val="20"/>
              </w:rPr>
              <w:t>4</w:t>
            </w:r>
            <w:r w:rsidR="0006115C" w:rsidRPr="00563D71">
              <w:rPr>
                <w:sz w:val="20"/>
              </w:rPr>
              <w:t xml:space="preserve"> Year </w:t>
            </w:r>
            <w:r w:rsidRPr="00563D71">
              <w:rPr>
                <w:sz w:val="20"/>
              </w:rPr>
              <w:t>1982 on Environmental Management and Protection</w:t>
            </w:r>
            <w:r w:rsidR="0087217C" w:rsidRPr="00563D71">
              <w:rPr>
                <w:sz w:val="20"/>
              </w:rPr>
              <w:t>,</w:t>
            </w:r>
            <w:r w:rsidRPr="00563D71">
              <w:rPr>
                <w:sz w:val="20"/>
              </w:rPr>
              <w:t xml:space="preserve"> </w:t>
            </w:r>
            <w:r w:rsidR="0087217C" w:rsidRPr="00563D71">
              <w:rPr>
                <w:sz w:val="20"/>
              </w:rPr>
              <w:t xml:space="preserve">which </w:t>
            </w:r>
            <w:r w:rsidRPr="00563D71">
              <w:rPr>
                <w:sz w:val="20"/>
              </w:rPr>
              <w:t>was then superseded by the Law No. 32</w:t>
            </w:r>
            <w:r w:rsidR="0006115C" w:rsidRPr="00563D71">
              <w:rPr>
                <w:sz w:val="20"/>
              </w:rPr>
              <w:t xml:space="preserve"> Year </w:t>
            </w:r>
            <w:r w:rsidRPr="00563D71">
              <w:rPr>
                <w:sz w:val="20"/>
              </w:rPr>
              <w:t>2009). Derivative of the Law No</w:t>
            </w:r>
            <w:r w:rsidR="0006115C" w:rsidRPr="00563D71">
              <w:rPr>
                <w:sz w:val="20"/>
              </w:rPr>
              <w:t>.</w:t>
            </w:r>
            <w:r w:rsidRPr="00563D71">
              <w:rPr>
                <w:sz w:val="20"/>
              </w:rPr>
              <w:t xml:space="preserve"> 32</w:t>
            </w:r>
            <w:r w:rsidR="0006115C" w:rsidRPr="00563D71">
              <w:rPr>
                <w:sz w:val="20"/>
              </w:rPr>
              <w:t xml:space="preserve"> Year </w:t>
            </w:r>
            <w:r w:rsidRPr="00563D71">
              <w:rPr>
                <w:sz w:val="20"/>
              </w:rPr>
              <w:t>2009 is Government Regulation (PP) No. 27</w:t>
            </w:r>
            <w:r w:rsidR="0006115C" w:rsidRPr="00563D71">
              <w:rPr>
                <w:sz w:val="20"/>
              </w:rPr>
              <w:t xml:space="preserve"> Year </w:t>
            </w:r>
            <w:r w:rsidRPr="00563D71">
              <w:rPr>
                <w:sz w:val="20"/>
              </w:rPr>
              <w:t>2012 on Environmental Permit</w:t>
            </w:r>
            <w:r w:rsidR="0087217C" w:rsidRPr="00563D71">
              <w:rPr>
                <w:sz w:val="20"/>
              </w:rPr>
              <w:t>s</w:t>
            </w:r>
            <w:r w:rsidRPr="00563D71">
              <w:rPr>
                <w:sz w:val="20"/>
              </w:rPr>
              <w:t xml:space="preserve"> that further em</w:t>
            </w:r>
            <w:r w:rsidR="00C01871" w:rsidRPr="00563D71">
              <w:rPr>
                <w:sz w:val="20"/>
              </w:rPr>
              <w:t xml:space="preserve">phasizes the need to prepare environmental </w:t>
            </w:r>
            <w:r w:rsidRPr="00563D71">
              <w:rPr>
                <w:sz w:val="20"/>
              </w:rPr>
              <w:t>assessment documents</w:t>
            </w:r>
            <w:r w:rsidR="0006115C" w:rsidRPr="00563D71">
              <w:rPr>
                <w:sz w:val="20"/>
              </w:rPr>
              <w:t>—</w:t>
            </w:r>
            <w:r w:rsidRPr="00563D71">
              <w:rPr>
                <w:sz w:val="20"/>
              </w:rPr>
              <w:t>AMDAL or UKL</w:t>
            </w:r>
            <w:r w:rsidR="001A6A05" w:rsidRPr="00563D71">
              <w:rPr>
                <w:sz w:val="20"/>
              </w:rPr>
              <w:t>-</w:t>
            </w:r>
            <w:r w:rsidRPr="00563D71">
              <w:rPr>
                <w:sz w:val="20"/>
              </w:rPr>
              <w:t>UPL</w:t>
            </w:r>
            <w:r w:rsidR="00C01871" w:rsidRPr="00563D71">
              <w:rPr>
                <w:sz w:val="20"/>
              </w:rPr>
              <w:t xml:space="preserve"> (essentially environmental management and monitoring plans, respectively</w:t>
            </w:r>
            <w:r w:rsidRPr="00563D71">
              <w:rPr>
                <w:sz w:val="20"/>
              </w:rPr>
              <w:t>)</w:t>
            </w:r>
            <w:r w:rsidR="0006115C" w:rsidRPr="00563D71">
              <w:rPr>
                <w:sz w:val="20"/>
              </w:rPr>
              <w:t>—</w:t>
            </w:r>
            <w:r w:rsidR="00C01871" w:rsidRPr="00563D71">
              <w:rPr>
                <w:sz w:val="20"/>
              </w:rPr>
              <w:t>f</w:t>
            </w:r>
            <w:r w:rsidRPr="00563D71">
              <w:rPr>
                <w:sz w:val="20"/>
              </w:rPr>
              <w:t>or act</w:t>
            </w:r>
            <w:r w:rsidR="00C01871" w:rsidRPr="00563D71">
              <w:rPr>
                <w:sz w:val="20"/>
              </w:rPr>
              <w:t>ivities that potentially result</w:t>
            </w:r>
            <w:r w:rsidRPr="00563D71">
              <w:rPr>
                <w:sz w:val="20"/>
              </w:rPr>
              <w:t xml:space="preserve"> in </w:t>
            </w:r>
            <w:r w:rsidR="00C01871" w:rsidRPr="00563D71">
              <w:rPr>
                <w:sz w:val="20"/>
              </w:rPr>
              <w:t xml:space="preserve">adverse </w:t>
            </w:r>
            <w:r w:rsidRPr="00563D71">
              <w:rPr>
                <w:sz w:val="20"/>
              </w:rPr>
              <w:t>en</w:t>
            </w:r>
            <w:r w:rsidR="00C01871" w:rsidRPr="00563D71">
              <w:rPr>
                <w:sz w:val="20"/>
              </w:rPr>
              <w:t xml:space="preserve">vironmental and social </w:t>
            </w:r>
            <w:r w:rsidRPr="00563D71">
              <w:rPr>
                <w:sz w:val="20"/>
              </w:rPr>
              <w:t>impact. The PP describes the requirements of AMDAL, UKL</w:t>
            </w:r>
            <w:r w:rsidR="001A6A05" w:rsidRPr="00563D71">
              <w:rPr>
                <w:sz w:val="20"/>
              </w:rPr>
              <w:t>-</w:t>
            </w:r>
            <w:r w:rsidRPr="00563D71">
              <w:rPr>
                <w:sz w:val="20"/>
              </w:rPr>
              <w:t>UPL or SPPL, the permitting process, outline of environmental documents’ preparation, community involvement and public consultations, grievance</w:t>
            </w:r>
            <w:r w:rsidR="00C01871" w:rsidRPr="00563D71">
              <w:rPr>
                <w:sz w:val="20"/>
              </w:rPr>
              <w:t xml:space="preserve"> redress mechanism</w:t>
            </w:r>
            <w:r w:rsidR="0087217C" w:rsidRPr="00563D71">
              <w:rPr>
                <w:sz w:val="20"/>
              </w:rPr>
              <w:t>s</w:t>
            </w:r>
            <w:r w:rsidR="00C01871" w:rsidRPr="00563D71">
              <w:rPr>
                <w:sz w:val="20"/>
              </w:rPr>
              <w:t xml:space="preserve">, </w:t>
            </w:r>
            <w:bookmarkStart w:id="72" w:name="OLE_LINK64"/>
            <w:r w:rsidR="00C01871" w:rsidRPr="00563D71">
              <w:rPr>
                <w:sz w:val="20"/>
              </w:rPr>
              <w:t>implementati</w:t>
            </w:r>
            <w:r w:rsidRPr="00563D71">
              <w:rPr>
                <w:sz w:val="20"/>
              </w:rPr>
              <w:t xml:space="preserve">on and monitoring of management and mitigation measures to address significant negative impacts. </w:t>
            </w:r>
            <w:bookmarkEnd w:id="72"/>
          </w:p>
          <w:p w14:paraId="6AE6632E" w14:textId="7B1430BF" w:rsidR="00245F03" w:rsidRPr="00563D71" w:rsidRDefault="00512E59" w:rsidP="00FD4926">
            <w:pPr>
              <w:spacing w:after="4" w:line="250" w:lineRule="auto"/>
              <w:ind w:left="0" w:right="-11" w:firstLine="0"/>
              <w:jc w:val="left"/>
            </w:pPr>
            <w:r w:rsidRPr="00563D71">
              <w:rPr>
                <w:sz w:val="20"/>
              </w:rPr>
              <w:t xml:space="preserve">(UKL-UPL pertains to the management and monitoring efforts of business/activities that have no significant impacts on the environment, </w:t>
            </w:r>
            <w:r w:rsidR="00FD4926" w:rsidRPr="00563D71">
              <w:rPr>
                <w:sz w:val="20"/>
              </w:rPr>
              <w:t>and</w:t>
            </w:r>
            <w:r w:rsidRPr="00563D71">
              <w:rPr>
                <w:sz w:val="20"/>
              </w:rPr>
              <w:t xml:space="preserve"> </w:t>
            </w:r>
            <w:r w:rsidR="00FD4926" w:rsidRPr="00563D71">
              <w:rPr>
                <w:sz w:val="20"/>
              </w:rPr>
              <w:t>must</w:t>
            </w:r>
            <w:r w:rsidR="00D975C0" w:rsidRPr="00563D71">
              <w:rPr>
                <w:sz w:val="20"/>
              </w:rPr>
              <w:t xml:space="preserve"> be prepared </w:t>
            </w:r>
            <w:r w:rsidRPr="00563D71">
              <w:rPr>
                <w:sz w:val="20"/>
              </w:rPr>
              <w:t xml:space="preserve">for the process of the decision making regarding the implementation of the business/activities. SPPL is a statement regarding </w:t>
            </w:r>
            <w:r w:rsidR="00EF1207" w:rsidRPr="00563D71">
              <w:rPr>
                <w:sz w:val="20"/>
              </w:rPr>
              <w:t>efforts</w:t>
            </w:r>
            <w:r w:rsidRPr="00563D71">
              <w:rPr>
                <w:sz w:val="20"/>
              </w:rPr>
              <w:t xml:space="preserve"> to monitor and manage the environmental impact of business/activities which are exempted from the </w:t>
            </w:r>
            <w:r w:rsidR="00EF1207" w:rsidRPr="00563D71">
              <w:rPr>
                <w:sz w:val="20"/>
              </w:rPr>
              <w:t xml:space="preserve">requirement to complete an </w:t>
            </w:r>
            <w:r w:rsidRPr="00563D71">
              <w:rPr>
                <w:sz w:val="20"/>
              </w:rPr>
              <w:t xml:space="preserve">AMDAL or UKL-UPL.) </w:t>
            </w:r>
          </w:p>
        </w:tc>
        <w:tc>
          <w:tcPr>
            <w:tcW w:w="1188" w:type="pct"/>
            <w:tcBorders>
              <w:top w:val="single" w:sz="8" w:space="0" w:color="4BACC6"/>
              <w:left w:val="single" w:sz="4" w:space="0" w:color="000000"/>
              <w:bottom w:val="single" w:sz="4" w:space="0" w:color="000000"/>
              <w:right w:val="single" w:sz="4" w:space="0" w:color="000000"/>
            </w:tcBorders>
          </w:tcPr>
          <w:p w14:paraId="718A3D8F" w14:textId="1ED119FC" w:rsidR="00245F03" w:rsidRPr="00563D71" w:rsidRDefault="00D04B10" w:rsidP="00C01871">
            <w:pPr>
              <w:spacing w:line="259" w:lineRule="auto"/>
              <w:ind w:left="6" w:firstLine="0"/>
              <w:jc w:val="left"/>
            </w:pPr>
            <w:r w:rsidRPr="00563D71">
              <w:rPr>
                <w:sz w:val="20"/>
              </w:rPr>
              <w:t>No significant gaps</w:t>
            </w:r>
            <w:r w:rsidR="00C01871" w:rsidRPr="00563D71">
              <w:rPr>
                <w:sz w:val="20"/>
              </w:rPr>
              <w:t>.</w:t>
            </w:r>
            <w:r w:rsidR="00AC5A07" w:rsidRPr="00563D71">
              <w:rPr>
                <w:sz w:val="20"/>
              </w:rPr>
              <w:t xml:space="preserve"> </w:t>
            </w:r>
          </w:p>
        </w:tc>
      </w:tr>
      <w:tr w:rsidR="00245F03" w:rsidRPr="00563D71" w14:paraId="724380F7" w14:textId="77777777" w:rsidTr="0032029F">
        <w:tblPrEx>
          <w:tblCellMar>
            <w:top w:w="3" w:type="dxa"/>
            <w:left w:w="110" w:type="dxa"/>
            <w:right w:w="70" w:type="dxa"/>
          </w:tblCellMar>
        </w:tblPrEx>
        <w:trPr>
          <w:trHeight w:val="701"/>
        </w:trPr>
        <w:tc>
          <w:tcPr>
            <w:tcW w:w="1133" w:type="pct"/>
            <w:tcBorders>
              <w:top w:val="single" w:sz="4" w:space="0" w:color="000000"/>
              <w:left w:val="single" w:sz="4" w:space="0" w:color="000000"/>
              <w:bottom w:val="single" w:sz="4" w:space="0" w:color="000000"/>
              <w:right w:val="single" w:sz="4" w:space="0" w:color="000000"/>
            </w:tcBorders>
          </w:tcPr>
          <w:p w14:paraId="36832F60" w14:textId="00A32534" w:rsidR="00245F03" w:rsidRPr="00563D71" w:rsidRDefault="00512E59" w:rsidP="00C01871">
            <w:pPr>
              <w:spacing w:line="259" w:lineRule="auto"/>
              <w:ind w:left="0" w:right="78" w:firstLine="0"/>
              <w:jc w:val="left"/>
            </w:pPr>
            <w:r w:rsidRPr="00563D71">
              <w:rPr>
                <w:sz w:val="20"/>
              </w:rPr>
              <w:t xml:space="preserve"> </w:t>
            </w:r>
            <w:r w:rsidR="00162585" w:rsidRPr="00563D71">
              <w:rPr>
                <w:sz w:val="20"/>
              </w:rPr>
              <w:t>(b)</w:t>
            </w:r>
            <w:r w:rsidR="00D04B10" w:rsidRPr="00563D71">
              <w:rPr>
                <w:sz w:val="20"/>
              </w:rPr>
              <w:t xml:space="preserve"> Incorporate recognized elements of environmental and social assessment good practice, including: </w:t>
            </w:r>
          </w:p>
        </w:tc>
        <w:tc>
          <w:tcPr>
            <w:tcW w:w="2679" w:type="pct"/>
            <w:gridSpan w:val="2"/>
            <w:tcBorders>
              <w:top w:val="single" w:sz="4" w:space="0" w:color="000000"/>
              <w:left w:val="single" w:sz="4" w:space="0" w:color="000000"/>
              <w:bottom w:val="single" w:sz="4" w:space="0" w:color="000000"/>
              <w:right w:val="single" w:sz="4" w:space="0" w:color="000000"/>
            </w:tcBorders>
          </w:tcPr>
          <w:p w14:paraId="61BD36C3" w14:textId="77777777" w:rsidR="00245F03" w:rsidRPr="00563D71" w:rsidRDefault="00D04B10" w:rsidP="00C01871">
            <w:pPr>
              <w:spacing w:line="259" w:lineRule="auto"/>
              <w:ind w:left="5" w:firstLine="0"/>
              <w:jc w:val="left"/>
            </w:pPr>
            <w:r w:rsidRPr="00563D71">
              <w:rPr>
                <w:b/>
                <w:sz w:val="20"/>
              </w:rPr>
              <w:t xml:space="preserve"> </w:t>
            </w:r>
          </w:p>
        </w:tc>
        <w:tc>
          <w:tcPr>
            <w:tcW w:w="1188" w:type="pct"/>
            <w:tcBorders>
              <w:top w:val="single" w:sz="4" w:space="0" w:color="000000"/>
              <w:left w:val="single" w:sz="4" w:space="0" w:color="000000"/>
              <w:bottom w:val="single" w:sz="4" w:space="0" w:color="000000"/>
              <w:right w:val="single" w:sz="4" w:space="0" w:color="000000"/>
            </w:tcBorders>
          </w:tcPr>
          <w:p w14:paraId="32EABC38" w14:textId="77777777" w:rsidR="00245F03" w:rsidRPr="00563D71" w:rsidRDefault="00D04B10">
            <w:pPr>
              <w:spacing w:line="259" w:lineRule="auto"/>
              <w:ind w:left="5" w:firstLine="0"/>
              <w:jc w:val="left"/>
            </w:pPr>
            <w:r w:rsidRPr="00563D71">
              <w:rPr>
                <w:sz w:val="20"/>
              </w:rPr>
              <w:t xml:space="preserve"> </w:t>
            </w:r>
          </w:p>
        </w:tc>
      </w:tr>
      <w:tr w:rsidR="00245F03" w:rsidRPr="00563D71" w14:paraId="547F50F8" w14:textId="77777777" w:rsidTr="0032029F">
        <w:tblPrEx>
          <w:tblCellMar>
            <w:top w:w="3" w:type="dxa"/>
            <w:left w:w="110" w:type="dxa"/>
            <w:right w:w="70" w:type="dxa"/>
          </w:tblCellMar>
        </w:tblPrEx>
        <w:trPr>
          <w:trHeight w:val="2310"/>
        </w:trPr>
        <w:tc>
          <w:tcPr>
            <w:tcW w:w="1133" w:type="pct"/>
            <w:tcBorders>
              <w:top w:val="single" w:sz="4" w:space="0" w:color="000000"/>
              <w:left w:val="single" w:sz="4" w:space="0" w:color="000000"/>
              <w:bottom w:val="single" w:sz="4" w:space="0" w:color="000000"/>
              <w:right w:val="single" w:sz="4" w:space="0" w:color="000000"/>
            </w:tcBorders>
          </w:tcPr>
          <w:p w14:paraId="22B76EA8" w14:textId="792B64AB" w:rsidR="00245F03" w:rsidRPr="00563D71" w:rsidRDefault="00D04B10" w:rsidP="004B4C0E">
            <w:pPr>
              <w:ind w:left="1008" w:hanging="288"/>
              <w:jc w:val="left"/>
            </w:pPr>
            <w:r w:rsidRPr="00563D71">
              <w:rPr>
                <w:sz w:val="20"/>
              </w:rPr>
              <w:lastRenderedPageBreak/>
              <w:t>(</w:t>
            </w:r>
            <w:r w:rsidR="00162585" w:rsidRPr="00563D71">
              <w:rPr>
                <w:sz w:val="20"/>
              </w:rPr>
              <w:t>i</w:t>
            </w:r>
            <w:r w:rsidRPr="00563D71">
              <w:rPr>
                <w:sz w:val="20"/>
              </w:rPr>
              <w:t>)</w:t>
            </w:r>
            <w:r w:rsidRPr="00563D71">
              <w:rPr>
                <w:rFonts w:ascii="Arial" w:eastAsia="Arial" w:hAnsi="Arial" w:cs="Arial"/>
                <w:sz w:val="20"/>
              </w:rPr>
              <w:t xml:space="preserve"> </w:t>
            </w:r>
            <w:r w:rsidRPr="00563D71">
              <w:rPr>
                <w:sz w:val="20"/>
              </w:rPr>
              <w:t xml:space="preserve">early screening of potential </w:t>
            </w:r>
            <w:r w:rsidR="00394010" w:rsidRPr="00563D71">
              <w:rPr>
                <w:sz w:val="20"/>
              </w:rPr>
              <w:t>impact</w:t>
            </w:r>
            <w:r w:rsidRPr="00563D71">
              <w:rPr>
                <w:sz w:val="20"/>
              </w:rPr>
              <w:t xml:space="preserve">s;  </w:t>
            </w:r>
          </w:p>
        </w:tc>
        <w:tc>
          <w:tcPr>
            <w:tcW w:w="2679" w:type="pct"/>
            <w:gridSpan w:val="2"/>
            <w:tcBorders>
              <w:top w:val="single" w:sz="4" w:space="0" w:color="000000"/>
              <w:left w:val="single" w:sz="4" w:space="0" w:color="000000"/>
              <w:bottom w:val="single" w:sz="4" w:space="0" w:color="000000"/>
              <w:right w:val="single" w:sz="4" w:space="0" w:color="000000"/>
            </w:tcBorders>
          </w:tcPr>
          <w:p w14:paraId="1D0B2CC3" w14:textId="6E9A310F" w:rsidR="00F132C9" w:rsidRPr="00563D71" w:rsidRDefault="00C211B6" w:rsidP="00C01871">
            <w:pPr>
              <w:spacing w:line="237" w:lineRule="auto"/>
              <w:ind w:left="5" w:firstLine="0"/>
              <w:jc w:val="left"/>
              <w:rPr>
                <w:sz w:val="20"/>
              </w:rPr>
            </w:pPr>
            <w:r w:rsidRPr="00563D71">
              <w:rPr>
                <w:iCs/>
                <w:sz w:val="20"/>
              </w:rPr>
              <w:t>Ministry of Environment (MOE) regulation (</w:t>
            </w:r>
            <w:r w:rsidR="00D04B10" w:rsidRPr="00563D71">
              <w:rPr>
                <w:iCs/>
                <w:sz w:val="20"/>
              </w:rPr>
              <w:t>P</w:t>
            </w:r>
            <w:r w:rsidR="0031157B" w:rsidRPr="00563D71">
              <w:rPr>
                <w:iCs/>
                <w:sz w:val="20"/>
              </w:rPr>
              <w:t>ermen</w:t>
            </w:r>
            <w:r w:rsidR="00D975C0" w:rsidRPr="00563D71">
              <w:rPr>
                <w:iCs/>
                <w:sz w:val="20"/>
              </w:rPr>
              <w:t>LH</w:t>
            </w:r>
            <w:r w:rsidRPr="00563D71">
              <w:rPr>
                <w:iCs/>
                <w:sz w:val="20"/>
              </w:rPr>
              <w:t>)</w:t>
            </w:r>
            <w:r w:rsidR="00D04B10" w:rsidRPr="00563D71">
              <w:rPr>
                <w:iCs/>
                <w:sz w:val="20"/>
              </w:rPr>
              <w:t xml:space="preserve"> </w:t>
            </w:r>
            <w:r w:rsidR="00512E59" w:rsidRPr="00563D71">
              <w:rPr>
                <w:sz w:val="20"/>
              </w:rPr>
              <w:t xml:space="preserve">No. </w:t>
            </w:r>
            <w:r w:rsidR="00D04B10" w:rsidRPr="00563D71">
              <w:rPr>
                <w:sz w:val="20"/>
              </w:rPr>
              <w:t>05</w:t>
            </w:r>
            <w:r w:rsidR="00587EF2" w:rsidRPr="00563D71">
              <w:rPr>
                <w:sz w:val="20"/>
              </w:rPr>
              <w:t xml:space="preserve"> Year </w:t>
            </w:r>
            <w:r w:rsidR="00D04B10" w:rsidRPr="00563D71">
              <w:rPr>
                <w:sz w:val="20"/>
              </w:rPr>
              <w:t xml:space="preserve">2012 covers the activities or businesses that require </w:t>
            </w:r>
            <w:r w:rsidR="00C01871" w:rsidRPr="00563D71">
              <w:rPr>
                <w:sz w:val="20"/>
              </w:rPr>
              <w:t>AMDAL (</w:t>
            </w:r>
            <w:r w:rsidR="00D04B10" w:rsidRPr="00563D71">
              <w:rPr>
                <w:sz w:val="20"/>
              </w:rPr>
              <w:t>full environmental assessment</w:t>
            </w:r>
            <w:r w:rsidR="00C01871" w:rsidRPr="00563D71">
              <w:rPr>
                <w:sz w:val="20"/>
              </w:rPr>
              <w:t>)</w:t>
            </w:r>
            <w:r w:rsidR="00D04B10" w:rsidRPr="00563D71">
              <w:rPr>
                <w:sz w:val="20"/>
              </w:rPr>
              <w:t xml:space="preserve">. The environmental screening as per </w:t>
            </w:r>
            <w:r w:rsidR="0031157B" w:rsidRPr="00563D71">
              <w:rPr>
                <w:sz w:val="20"/>
              </w:rPr>
              <w:t>Permen</w:t>
            </w:r>
            <w:r w:rsidR="00D04B10" w:rsidRPr="00563D71">
              <w:rPr>
                <w:sz w:val="20"/>
              </w:rPr>
              <w:t xml:space="preserve"> No. 05</w:t>
            </w:r>
            <w:r w:rsidR="00587EF2" w:rsidRPr="00563D71">
              <w:rPr>
                <w:sz w:val="20"/>
              </w:rPr>
              <w:t xml:space="preserve"> Year </w:t>
            </w:r>
            <w:r w:rsidR="00D04B10" w:rsidRPr="00563D71">
              <w:rPr>
                <w:sz w:val="20"/>
              </w:rPr>
              <w:t xml:space="preserve">2012 applies a prescriptive list with </w:t>
            </w:r>
            <w:r w:rsidR="00AC5A07" w:rsidRPr="00563D71">
              <w:rPr>
                <w:sz w:val="20"/>
              </w:rPr>
              <w:t xml:space="preserve">quantitative </w:t>
            </w:r>
            <w:r w:rsidR="00D04B10" w:rsidRPr="00563D71">
              <w:rPr>
                <w:sz w:val="20"/>
              </w:rPr>
              <w:t xml:space="preserve">thresholds </w:t>
            </w:r>
            <w:r w:rsidR="00AC5A07" w:rsidRPr="00563D71">
              <w:rPr>
                <w:sz w:val="20"/>
              </w:rPr>
              <w:t>(e.g., capacity, area, length, etc.) o</w:t>
            </w:r>
            <w:r w:rsidR="00D04B10" w:rsidRPr="00563D71">
              <w:rPr>
                <w:sz w:val="20"/>
              </w:rPr>
              <w:t>f proposed activit</w:t>
            </w:r>
            <w:r w:rsidR="00A12AB7" w:rsidRPr="00563D71">
              <w:rPr>
                <w:sz w:val="20"/>
              </w:rPr>
              <w:t>ies</w:t>
            </w:r>
            <w:r w:rsidR="00D04B10" w:rsidRPr="00563D71">
              <w:rPr>
                <w:sz w:val="20"/>
              </w:rPr>
              <w:t xml:space="preserve"> and potential adverse impact</w:t>
            </w:r>
            <w:r w:rsidR="00A12AB7" w:rsidRPr="00563D71">
              <w:rPr>
                <w:sz w:val="20"/>
              </w:rPr>
              <w:t>s</w:t>
            </w:r>
            <w:r w:rsidR="00D04B10" w:rsidRPr="00563D71">
              <w:rPr>
                <w:sz w:val="20"/>
              </w:rPr>
              <w:t xml:space="preserve"> included. AMDAL is </w:t>
            </w:r>
            <w:r w:rsidR="00AC5A07" w:rsidRPr="00563D71">
              <w:rPr>
                <w:sz w:val="20"/>
              </w:rPr>
              <w:t xml:space="preserve">mandatory for </w:t>
            </w:r>
            <w:r w:rsidR="00C01871" w:rsidRPr="00563D71">
              <w:rPr>
                <w:sz w:val="20"/>
              </w:rPr>
              <w:t xml:space="preserve">any </w:t>
            </w:r>
            <w:r w:rsidR="00AC5A07" w:rsidRPr="00563D71">
              <w:rPr>
                <w:sz w:val="20"/>
              </w:rPr>
              <w:t>business/activity</w:t>
            </w:r>
            <w:r w:rsidR="00D04B10" w:rsidRPr="00563D71">
              <w:rPr>
                <w:sz w:val="20"/>
              </w:rPr>
              <w:t xml:space="preserve"> that is located in or directly adjacent to protected areas (i.e. protected forest, national park, critical habitats)</w:t>
            </w:r>
            <w:r w:rsidR="00C01871" w:rsidRPr="00563D71">
              <w:rPr>
                <w:sz w:val="20"/>
              </w:rPr>
              <w:t>, regardless of scale</w:t>
            </w:r>
            <w:r w:rsidR="00D04B10" w:rsidRPr="00563D71">
              <w:rPr>
                <w:sz w:val="20"/>
              </w:rPr>
              <w:t xml:space="preserve">. </w:t>
            </w:r>
          </w:p>
          <w:p w14:paraId="721CDE4C" w14:textId="33B94F8B" w:rsidR="00245F03" w:rsidRPr="00563D71" w:rsidRDefault="00837B5D" w:rsidP="00C01871">
            <w:pPr>
              <w:spacing w:line="237" w:lineRule="auto"/>
              <w:ind w:left="5" w:firstLine="0"/>
              <w:jc w:val="left"/>
              <w:rPr>
                <w:sz w:val="20"/>
              </w:rPr>
            </w:pPr>
            <w:r w:rsidRPr="00563D71">
              <w:rPr>
                <w:sz w:val="20"/>
              </w:rPr>
              <w:t xml:space="preserve">Ministry of Environment Regulation No. 13 </w:t>
            </w:r>
            <w:r w:rsidR="00587EF2" w:rsidRPr="00563D71">
              <w:rPr>
                <w:sz w:val="20"/>
              </w:rPr>
              <w:t>Year</w:t>
            </w:r>
            <w:r w:rsidRPr="00563D71">
              <w:rPr>
                <w:sz w:val="20"/>
              </w:rPr>
              <w:t xml:space="preserve"> 2010 on UKL-UPL and SPPL regulates the projects and/or development activities that are not AMDAL</w:t>
            </w:r>
            <w:r w:rsidR="00A12AB7" w:rsidRPr="00563D71">
              <w:rPr>
                <w:sz w:val="20"/>
              </w:rPr>
              <w:t>-</w:t>
            </w:r>
            <w:r w:rsidRPr="00563D71">
              <w:rPr>
                <w:sz w:val="20"/>
              </w:rPr>
              <w:t xml:space="preserve">mandatory but </w:t>
            </w:r>
            <w:r w:rsidR="00A12AB7" w:rsidRPr="00563D71">
              <w:rPr>
                <w:sz w:val="20"/>
              </w:rPr>
              <w:t xml:space="preserve">which </w:t>
            </w:r>
            <w:r w:rsidRPr="00563D71">
              <w:rPr>
                <w:sz w:val="20"/>
              </w:rPr>
              <w:t>require UKL-UPL.</w:t>
            </w:r>
          </w:p>
          <w:p w14:paraId="5888FD73" w14:textId="00CA4F3D" w:rsidR="00245F03" w:rsidRPr="00563D71" w:rsidRDefault="00C211B6" w:rsidP="00D975C0">
            <w:pPr>
              <w:spacing w:line="259" w:lineRule="auto"/>
              <w:ind w:left="5" w:firstLine="0"/>
              <w:jc w:val="left"/>
            </w:pPr>
            <w:r w:rsidRPr="00563D71">
              <w:rPr>
                <w:iCs/>
                <w:sz w:val="20"/>
              </w:rPr>
              <w:t>Ministry of Public Works and Housing (MPWH) regulation (</w:t>
            </w:r>
            <w:r w:rsidR="0031157B" w:rsidRPr="00563D71">
              <w:rPr>
                <w:iCs/>
                <w:sz w:val="20"/>
              </w:rPr>
              <w:t>Permen</w:t>
            </w:r>
            <w:r w:rsidR="00F132C9" w:rsidRPr="00563D71">
              <w:rPr>
                <w:sz w:val="20"/>
              </w:rPr>
              <w:t>PU</w:t>
            </w:r>
            <w:r w:rsidRPr="00563D71">
              <w:rPr>
                <w:sz w:val="20"/>
              </w:rPr>
              <w:t>)</w:t>
            </w:r>
            <w:r w:rsidR="00F132C9" w:rsidRPr="00563D71">
              <w:rPr>
                <w:sz w:val="20"/>
              </w:rPr>
              <w:t xml:space="preserve"> No. 10/PRT/M/2008</w:t>
            </w:r>
            <w:r w:rsidR="00D04B10" w:rsidRPr="00563D71">
              <w:rPr>
                <w:sz w:val="20"/>
              </w:rPr>
              <w:t xml:space="preserve"> </w:t>
            </w:r>
            <w:r w:rsidR="00F132C9" w:rsidRPr="00563D71">
              <w:rPr>
                <w:sz w:val="20"/>
              </w:rPr>
              <w:t>on Businesses and Activities in the Field of Public Works that Require UKL</w:t>
            </w:r>
            <w:r w:rsidR="00D975C0" w:rsidRPr="00563D71">
              <w:rPr>
                <w:sz w:val="20"/>
              </w:rPr>
              <w:t>-</w:t>
            </w:r>
            <w:r w:rsidR="00F132C9" w:rsidRPr="00563D71">
              <w:rPr>
                <w:sz w:val="20"/>
              </w:rPr>
              <w:t>UPL provides an additional level of screening that determines whether</w:t>
            </w:r>
            <w:r w:rsidR="00C01871" w:rsidRPr="00563D71">
              <w:rPr>
                <w:sz w:val="20"/>
              </w:rPr>
              <w:t xml:space="preserve"> or not</w:t>
            </w:r>
            <w:r w:rsidR="00F132C9" w:rsidRPr="00563D71">
              <w:rPr>
                <w:sz w:val="20"/>
              </w:rPr>
              <w:t xml:space="preserve"> a proposed </w:t>
            </w:r>
            <w:r w:rsidR="00C01871" w:rsidRPr="00563D71">
              <w:rPr>
                <w:sz w:val="20"/>
              </w:rPr>
              <w:t xml:space="preserve">infrastructure project </w:t>
            </w:r>
            <w:r w:rsidR="00407762" w:rsidRPr="00563D71">
              <w:rPr>
                <w:sz w:val="20"/>
              </w:rPr>
              <w:t>that is below the thresh</w:t>
            </w:r>
            <w:r w:rsidR="00F132C9" w:rsidRPr="00563D71">
              <w:rPr>
                <w:sz w:val="20"/>
              </w:rPr>
              <w:t>o</w:t>
            </w:r>
            <w:r w:rsidR="00407762" w:rsidRPr="00563D71">
              <w:rPr>
                <w:sz w:val="20"/>
              </w:rPr>
              <w:t xml:space="preserve">ld for </w:t>
            </w:r>
            <w:r w:rsidR="00A12AB7" w:rsidRPr="00563D71">
              <w:rPr>
                <w:sz w:val="20"/>
              </w:rPr>
              <w:t xml:space="preserve">an </w:t>
            </w:r>
            <w:r w:rsidR="00407762" w:rsidRPr="00563D71">
              <w:rPr>
                <w:sz w:val="20"/>
              </w:rPr>
              <w:t>AMDAL requires UKL</w:t>
            </w:r>
            <w:r w:rsidR="00D975C0" w:rsidRPr="00563D71">
              <w:rPr>
                <w:sz w:val="20"/>
              </w:rPr>
              <w:t>-</w:t>
            </w:r>
            <w:r w:rsidR="00407762" w:rsidRPr="00563D71">
              <w:rPr>
                <w:sz w:val="20"/>
              </w:rPr>
              <w:t xml:space="preserve">UPL. </w:t>
            </w:r>
          </w:p>
        </w:tc>
        <w:tc>
          <w:tcPr>
            <w:tcW w:w="1188" w:type="pct"/>
            <w:tcBorders>
              <w:top w:val="single" w:sz="4" w:space="0" w:color="000000"/>
              <w:left w:val="single" w:sz="4" w:space="0" w:color="000000"/>
              <w:bottom w:val="single" w:sz="4" w:space="0" w:color="000000"/>
              <w:right w:val="single" w:sz="4" w:space="0" w:color="000000"/>
            </w:tcBorders>
          </w:tcPr>
          <w:p w14:paraId="1A6FF7BA" w14:textId="3A2CCCE4" w:rsidR="00245F03" w:rsidRPr="00563D71" w:rsidRDefault="00AC5A07" w:rsidP="00A12AB7">
            <w:pPr>
              <w:spacing w:line="237" w:lineRule="auto"/>
              <w:ind w:left="5" w:firstLine="0"/>
              <w:jc w:val="left"/>
            </w:pPr>
            <w:r w:rsidRPr="00563D71">
              <w:rPr>
                <w:sz w:val="20"/>
              </w:rPr>
              <w:t xml:space="preserve">Besides the protected area requirement </w:t>
            </w:r>
            <w:r w:rsidR="00A12AB7" w:rsidRPr="00563D71">
              <w:rPr>
                <w:sz w:val="20"/>
              </w:rPr>
              <w:t xml:space="preserve">which </w:t>
            </w:r>
            <w:r w:rsidRPr="00563D71">
              <w:rPr>
                <w:sz w:val="20"/>
              </w:rPr>
              <w:t>override thresholds, the system</w:t>
            </w:r>
            <w:r w:rsidR="00A12AB7" w:rsidRPr="00563D71">
              <w:rPr>
                <w:sz w:val="20"/>
              </w:rPr>
              <w:t xml:space="preserve"> only</w:t>
            </w:r>
            <w:r w:rsidRPr="00563D71">
              <w:rPr>
                <w:sz w:val="20"/>
              </w:rPr>
              <w:t xml:space="preserve"> takes environmental and soc</w:t>
            </w:r>
            <w:r w:rsidR="00C01871" w:rsidRPr="00563D71">
              <w:rPr>
                <w:sz w:val="20"/>
              </w:rPr>
              <w:t>ial setting into account to a limited</w:t>
            </w:r>
            <w:r w:rsidRPr="00563D71">
              <w:rPr>
                <w:sz w:val="20"/>
              </w:rPr>
              <w:t xml:space="preserve"> extent, e.g., different area thresholds for housing developments in small and large cities. It does not otherwise consider </w:t>
            </w:r>
            <w:r w:rsidR="00A12AB7" w:rsidRPr="00563D71">
              <w:rPr>
                <w:sz w:val="20"/>
              </w:rPr>
              <w:t xml:space="preserve">the </w:t>
            </w:r>
            <w:r w:rsidRPr="00563D71">
              <w:rPr>
                <w:sz w:val="20"/>
              </w:rPr>
              <w:t>environmental or soc</w:t>
            </w:r>
            <w:r w:rsidR="00C01871" w:rsidRPr="00563D71">
              <w:rPr>
                <w:sz w:val="20"/>
              </w:rPr>
              <w:t xml:space="preserve">ial sensitivity of the activity’s </w:t>
            </w:r>
            <w:r w:rsidRPr="00563D71">
              <w:rPr>
                <w:sz w:val="20"/>
              </w:rPr>
              <w:t>setting.</w:t>
            </w:r>
          </w:p>
        </w:tc>
      </w:tr>
      <w:tr w:rsidR="00245F03" w:rsidRPr="00563D71" w14:paraId="3EAAA9F6" w14:textId="77777777" w:rsidTr="0032029F">
        <w:tblPrEx>
          <w:tblCellMar>
            <w:top w:w="3" w:type="dxa"/>
            <w:left w:w="110" w:type="dxa"/>
            <w:right w:w="70" w:type="dxa"/>
          </w:tblCellMar>
        </w:tblPrEx>
        <w:trPr>
          <w:trHeight w:val="1392"/>
        </w:trPr>
        <w:tc>
          <w:tcPr>
            <w:tcW w:w="1133" w:type="pct"/>
            <w:tcBorders>
              <w:top w:val="single" w:sz="4" w:space="0" w:color="000000"/>
              <w:left w:val="single" w:sz="4" w:space="0" w:color="000000"/>
              <w:bottom w:val="single" w:sz="4" w:space="0" w:color="000000"/>
              <w:right w:val="single" w:sz="4" w:space="0" w:color="000000"/>
            </w:tcBorders>
          </w:tcPr>
          <w:p w14:paraId="33520EFD" w14:textId="59FA72BB" w:rsidR="00245F03" w:rsidRPr="00563D71" w:rsidRDefault="00D04B10" w:rsidP="004B4C0E">
            <w:pPr>
              <w:spacing w:line="259" w:lineRule="auto"/>
              <w:ind w:left="1080" w:right="73" w:hanging="360"/>
              <w:jc w:val="left"/>
            </w:pPr>
            <w:r w:rsidRPr="00563D71">
              <w:rPr>
                <w:sz w:val="20"/>
              </w:rPr>
              <w:t>(</w:t>
            </w:r>
            <w:r w:rsidR="00162585" w:rsidRPr="00563D71">
              <w:rPr>
                <w:sz w:val="20"/>
              </w:rPr>
              <w:t>ii</w:t>
            </w:r>
            <w:r w:rsidRPr="00563D71">
              <w:rPr>
                <w:sz w:val="20"/>
              </w:rPr>
              <w:t>)</w:t>
            </w:r>
            <w:r w:rsidRPr="00563D71">
              <w:rPr>
                <w:rFonts w:ascii="Arial" w:eastAsia="Arial" w:hAnsi="Arial" w:cs="Arial"/>
                <w:sz w:val="20"/>
              </w:rPr>
              <w:t xml:space="preserve"> </w:t>
            </w:r>
            <w:r w:rsidRPr="00563D71">
              <w:rPr>
                <w:sz w:val="20"/>
              </w:rPr>
              <w:t xml:space="preserve">consideration of strategic, technical, and site alternatives (including the “no action” alternative);  </w:t>
            </w:r>
          </w:p>
        </w:tc>
        <w:tc>
          <w:tcPr>
            <w:tcW w:w="2679" w:type="pct"/>
            <w:gridSpan w:val="2"/>
            <w:tcBorders>
              <w:top w:val="single" w:sz="4" w:space="0" w:color="000000"/>
              <w:left w:val="single" w:sz="4" w:space="0" w:color="000000"/>
              <w:bottom w:val="single" w:sz="4" w:space="0" w:color="000000"/>
              <w:right w:val="single" w:sz="4" w:space="0" w:color="000000"/>
            </w:tcBorders>
          </w:tcPr>
          <w:p w14:paraId="6E15D207" w14:textId="6C4E8A55" w:rsidR="00245F03" w:rsidRPr="00563D71" w:rsidRDefault="00C211B6" w:rsidP="00D975C0">
            <w:pPr>
              <w:spacing w:line="259" w:lineRule="auto"/>
              <w:ind w:left="5" w:right="68" w:firstLine="0"/>
              <w:jc w:val="left"/>
            </w:pPr>
            <w:r w:rsidRPr="00563D71">
              <w:rPr>
                <w:iCs/>
                <w:sz w:val="20"/>
              </w:rPr>
              <w:t>Ministry of Environment (MOE) regulation (</w:t>
            </w:r>
            <w:r w:rsidR="0031157B" w:rsidRPr="00563D71">
              <w:rPr>
                <w:iCs/>
                <w:sz w:val="20"/>
              </w:rPr>
              <w:t>Permen</w:t>
            </w:r>
            <w:r w:rsidR="00D975C0" w:rsidRPr="00563D71">
              <w:rPr>
                <w:iCs/>
                <w:sz w:val="20"/>
              </w:rPr>
              <w:t>LH</w:t>
            </w:r>
            <w:r w:rsidRPr="00563D71">
              <w:rPr>
                <w:iCs/>
                <w:sz w:val="20"/>
              </w:rPr>
              <w:t>)</w:t>
            </w:r>
            <w:r w:rsidR="0031157B" w:rsidRPr="00563D71">
              <w:rPr>
                <w:sz w:val="20"/>
              </w:rPr>
              <w:t xml:space="preserve"> </w:t>
            </w:r>
            <w:r w:rsidR="00D04B10" w:rsidRPr="00563D71">
              <w:rPr>
                <w:sz w:val="20"/>
              </w:rPr>
              <w:t>No. 16</w:t>
            </w:r>
            <w:r w:rsidR="00587EF2" w:rsidRPr="00563D71">
              <w:rPr>
                <w:sz w:val="20"/>
              </w:rPr>
              <w:t xml:space="preserve"> Year </w:t>
            </w:r>
            <w:r w:rsidR="00D04B10" w:rsidRPr="00563D71">
              <w:rPr>
                <w:sz w:val="20"/>
              </w:rPr>
              <w:t xml:space="preserve">2012 on </w:t>
            </w:r>
            <w:r w:rsidR="00373374" w:rsidRPr="00563D71">
              <w:rPr>
                <w:sz w:val="20"/>
              </w:rPr>
              <w:t>G</w:t>
            </w:r>
            <w:r w:rsidR="00D04B10" w:rsidRPr="00563D71">
              <w:rPr>
                <w:sz w:val="20"/>
              </w:rPr>
              <w:t xml:space="preserve">uidelines of </w:t>
            </w:r>
            <w:r w:rsidR="00373374" w:rsidRPr="00563D71">
              <w:rPr>
                <w:sz w:val="20"/>
              </w:rPr>
              <w:t xml:space="preserve">Environmental </w:t>
            </w:r>
            <w:r w:rsidR="00D975C0" w:rsidRPr="00563D71">
              <w:rPr>
                <w:sz w:val="20"/>
              </w:rPr>
              <w:t>Assessment</w:t>
            </w:r>
            <w:r w:rsidR="00373374" w:rsidRPr="00563D71">
              <w:rPr>
                <w:sz w:val="20"/>
              </w:rPr>
              <w:t xml:space="preserve"> D</w:t>
            </w:r>
            <w:r w:rsidR="00D04B10" w:rsidRPr="00563D71">
              <w:rPr>
                <w:sz w:val="20"/>
              </w:rPr>
              <w:t>ocument</w:t>
            </w:r>
            <w:r w:rsidR="00373374" w:rsidRPr="00563D71">
              <w:rPr>
                <w:sz w:val="20"/>
              </w:rPr>
              <w:t>s</w:t>
            </w:r>
            <w:r w:rsidR="00D04B10" w:rsidRPr="00563D71">
              <w:rPr>
                <w:sz w:val="20"/>
              </w:rPr>
              <w:t xml:space="preserve"> requires the assessment to consider alternatives such as technology, project siting or alignment, equipment used, technical specification etc. </w:t>
            </w:r>
            <w:r w:rsidR="002E3379" w:rsidRPr="00563D71">
              <w:rPr>
                <w:sz w:val="20"/>
              </w:rPr>
              <w:t>Law No. 32</w:t>
            </w:r>
            <w:r w:rsidR="00587EF2" w:rsidRPr="00563D71">
              <w:rPr>
                <w:sz w:val="20"/>
              </w:rPr>
              <w:t xml:space="preserve"> Year </w:t>
            </w:r>
            <w:r w:rsidR="002E3379" w:rsidRPr="00563D71">
              <w:rPr>
                <w:sz w:val="20"/>
              </w:rPr>
              <w:t>2009 requires Strategic Environmental Assessment (SEA) for development plans involving natural resource use.</w:t>
            </w:r>
          </w:p>
        </w:tc>
        <w:tc>
          <w:tcPr>
            <w:tcW w:w="1188" w:type="pct"/>
            <w:tcBorders>
              <w:top w:val="single" w:sz="4" w:space="0" w:color="000000"/>
              <w:left w:val="single" w:sz="4" w:space="0" w:color="000000"/>
              <w:bottom w:val="single" w:sz="4" w:space="0" w:color="000000"/>
              <w:right w:val="single" w:sz="4" w:space="0" w:color="000000"/>
            </w:tcBorders>
          </w:tcPr>
          <w:p w14:paraId="562759BE" w14:textId="12457D6F" w:rsidR="00245F03" w:rsidRPr="00563D71" w:rsidRDefault="002E3379" w:rsidP="002E3379">
            <w:pPr>
              <w:spacing w:line="237" w:lineRule="auto"/>
              <w:ind w:left="5" w:firstLine="0"/>
              <w:jc w:val="left"/>
              <w:rPr>
                <w:sz w:val="20"/>
              </w:rPr>
            </w:pPr>
            <w:r w:rsidRPr="00563D71">
              <w:rPr>
                <w:sz w:val="20"/>
              </w:rPr>
              <w:t>A regulation with guidelines for SEA has been drafted but not issued. Otherwise, there are n</w:t>
            </w:r>
            <w:r w:rsidR="00D04B10" w:rsidRPr="00563D71">
              <w:rPr>
                <w:sz w:val="20"/>
              </w:rPr>
              <w:t xml:space="preserve">o significant gaps </w:t>
            </w:r>
            <w:r w:rsidR="00AC5A07" w:rsidRPr="00563D71">
              <w:rPr>
                <w:sz w:val="20"/>
              </w:rPr>
              <w:t>in regulations, but the quality of assessments is often weak in this area. Uneven capacity in the consulting industry and in reviewing and approving agencies is the cause.</w:t>
            </w:r>
          </w:p>
        </w:tc>
      </w:tr>
      <w:tr w:rsidR="00245F03" w:rsidRPr="00563D71" w14:paraId="5504FA0E" w14:textId="77777777" w:rsidTr="0032029F">
        <w:tblPrEx>
          <w:tblCellMar>
            <w:top w:w="3" w:type="dxa"/>
            <w:left w:w="110" w:type="dxa"/>
            <w:right w:w="70" w:type="dxa"/>
          </w:tblCellMar>
        </w:tblPrEx>
        <w:trPr>
          <w:trHeight w:val="389"/>
        </w:trPr>
        <w:tc>
          <w:tcPr>
            <w:tcW w:w="1133" w:type="pct"/>
            <w:tcBorders>
              <w:top w:val="single" w:sz="4" w:space="0" w:color="000000"/>
              <w:left w:val="single" w:sz="4" w:space="0" w:color="000000"/>
              <w:bottom w:val="single" w:sz="4" w:space="0" w:color="000000"/>
              <w:right w:val="single" w:sz="4" w:space="0" w:color="000000"/>
            </w:tcBorders>
          </w:tcPr>
          <w:p w14:paraId="34471756" w14:textId="20747636" w:rsidR="00245F03" w:rsidRPr="00563D71" w:rsidRDefault="00D04B10" w:rsidP="004B4C0E">
            <w:pPr>
              <w:spacing w:line="259" w:lineRule="auto"/>
              <w:ind w:left="1080" w:right="73" w:hanging="360"/>
              <w:jc w:val="left"/>
            </w:pPr>
            <w:r w:rsidRPr="00563D71">
              <w:rPr>
                <w:sz w:val="20"/>
              </w:rPr>
              <w:t>(</w:t>
            </w:r>
            <w:r w:rsidR="00162585" w:rsidRPr="00563D71">
              <w:rPr>
                <w:sz w:val="20"/>
              </w:rPr>
              <w:t>iii</w:t>
            </w:r>
            <w:r w:rsidRPr="00563D71">
              <w:rPr>
                <w:sz w:val="20"/>
              </w:rPr>
              <w:t xml:space="preserve">) explicit assessment of: </w:t>
            </w:r>
            <w:r w:rsidR="00162585" w:rsidRPr="00563D71">
              <w:rPr>
                <w:sz w:val="20"/>
              </w:rPr>
              <w:t>potential induced, cumulative, and transboundary impacts</w:t>
            </w:r>
          </w:p>
        </w:tc>
        <w:tc>
          <w:tcPr>
            <w:tcW w:w="2679" w:type="pct"/>
            <w:gridSpan w:val="2"/>
            <w:tcBorders>
              <w:top w:val="single" w:sz="4" w:space="0" w:color="000000"/>
              <w:left w:val="single" w:sz="4" w:space="0" w:color="000000"/>
              <w:bottom w:val="single" w:sz="4" w:space="0" w:color="000000"/>
              <w:right w:val="single" w:sz="4" w:space="0" w:color="000000"/>
            </w:tcBorders>
          </w:tcPr>
          <w:p w14:paraId="26571755" w14:textId="0BBF4B72" w:rsidR="00162585" w:rsidRPr="00563D71" w:rsidRDefault="00C211B6" w:rsidP="0031157B">
            <w:pPr>
              <w:spacing w:line="237" w:lineRule="auto"/>
              <w:ind w:left="48" w:right="53" w:firstLine="0"/>
              <w:jc w:val="left"/>
            </w:pPr>
            <w:r w:rsidRPr="00563D71">
              <w:rPr>
                <w:iCs/>
                <w:sz w:val="20"/>
              </w:rPr>
              <w:t>Ministry of Environment (MOE) regulation (</w:t>
            </w:r>
            <w:r w:rsidR="0031157B" w:rsidRPr="00563D71">
              <w:rPr>
                <w:iCs/>
                <w:sz w:val="20"/>
              </w:rPr>
              <w:t>Permen</w:t>
            </w:r>
            <w:r w:rsidRPr="00563D71">
              <w:rPr>
                <w:iCs/>
                <w:sz w:val="20"/>
              </w:rPr>
              <w:t>LH)</w:t>
            </w:r>
            <w:r w:rsidR="00162585" w:rsidRPr="00563D71">
              <w:rPr>
                <w:sz w:val="20"/>
              </w:rPr>
              <w:t xml:space="preserve"> No.16</w:t>
            </w:r>
            <w:r w:rsidR="00587EF2" w:rsidRPr="00563D71">
              <w:rPr>
                <w:sz w:val="20"/>
              </w:rPr>
              <w:t xml:space="preserve"> Year </w:t>
            </w:r>
            <w:r w:rsidR="00162585" w:rsidRPr="00563D71">
              <w:rPr>
                <w:sz w:val="20"/>
              </w:rPr>
              <w:t xml:space="preserve">2012 </w:t>
            </w:r>
            <w:r w:rsidR="002E3379" w:rsidRPr="00563D71">
              <w:rPr>
                <w:sz w:val="20"/>
              </w:rPr>
              <w:t>stipulates</w:t>
            </w:r>
            <w:r w:rsidR="00162585" w:rsidRPr="00563D71">
              <w:rPr>
                <w:sz w:val="20"/>
              </w:rPr>
              <w:t xml:space="preserve"> scope and aspects to be assessed in AMDAL</w:t>
            </w:r>
            <w:r w:rsidR="002E3379" w:rsidRPr="00563D71">
              <w:rPr>
                <w:sz w:val="20"/>
              </w:rPr>
              <w:t xml:space="preserve">, among them </w:t>
            </w:r>
            <w:r w:rsidR="00162585" w:rsidRPr="00563D71">
              <w:rPr>
                <w:sz w:val="20"/>
              </w:rPr>
              <w:t>geo-physical</w:t>
            </w:r>
            <w:r w:rsidR="002E3379" w:rsidRPr="00563D71">
              <w:rPr>
                <w:sz w:val="20"/>
              </w:rPr>
              <w:t>/</w:t>
            </w:r>
            <w:r w:rsidR="00162585" w:rsidRPr="00563D71">
              <w:rPr>
                <w:sz w:val="20"/>
              </w:rPr>
              <w:t xml:space="preserve">chemical, biological, </w:t>
            </w:r>
            <w:r w:rsidR="002E3379" w:rsidRPr="00563D71">
              <w:rPr>
                <w:sz w:val="20"/>
              </w:rPr>
              <w:t xml:space="preserve">and social-economic-cultural </w:t>
            </w:r>
            <w:r w:rsidR="00162585" w:rsidRPr="00563D71">
              <w:rPr>
                <w:sz w:val="20"/>
              </w:rPr>
              <w:t>impacts</w:t>
            </w:r>
            <w:r w:rsidR="002E3379" w:rsidRPr="00563D71">
              <w:rPr>
                <w:sz w:val="20"/>
              </w:rPr>
              <w:t xml:space="preserve">, including </w:t>
            </w:r>
            <w:r w:rsidR="00162585" w:rsidRPr="00563D71">
              <w:rPr>
                <w:sz w:val="20"/>
              </w:rPr>
              <w:t>direct, indirect, cumulative</w:t>
            </w:r>
            <w:r w:rsidR="00252CA7" w:rsidRPr="00563D71">
              <w:rPr>
                <w:sz w:val="20"/>
              </w:rPr>
              <w:t>,</w:t>
            </w:r>
            <w:r w:rsidR="00162585" w:rsidRPr="00563D71">
              <w:rPr>
                <w:sz w:val="20"/>
              </w:rPr>
              <w:t xml:space="preserve"> and induced impacts and risks. </w:t>
            </w:r>
          </w:p>
          <w:p w14:paraId="7626F097" w14:textId="77777777" w:rsidR="00245F03" w:rsidRPr="00563D71" w:rsidRDefault="00245F03" w:rsidP="00C01871">
            <w:pPr>
              <w:spacing w:line="259" w:lineRule="auto"/>
              <w:ind w:left="5" w:firstLine="0"/>
              <w:jc w:val="left"/>
            </w:pPr>
          </w:p>
        </w:tc>
        <w:tc>
          <w:tcPr>
            <w:tcW w:w="1188" w:type="pct"/>
            <w:tcBorders>
              <w:top w:val="single" w:sz="4" w:space="0" w:color="000000"/>
              <w:left w:val="single" w:sz="4" w:space="0" w:color="000000"/>
              <w:bottom w:val="single" w:sz="4" w:space="0" w:color="000000"/>
              <w:right w:val="single" w:sz="4" w:space="0" w:color="000000"/>
            </w:tcBorders>
          </w:tcPr>
          <w:p w14:paraId="4EE8D374" w14:textId="183BD003" w:rsidR="00245F03" w:rsidRPr="00563D71" w:rsidRDefault="00AC5A07" w:rsidP="00653C6C">
            <w:pPr>
              <w:spacing w:line="237" w:lineRule="auto"/>
              <w:ind w:left="5" w:firstLine="0"/>
              <w:jc w:val="left"/>
              <w:rPr>
                <w:sz w:val="20"/>
              </w:rPr>
            </w:pPr>
            <w:r w:rsidRPr="00563D71">
              <w:rPr>
                <w:sz w:val="20"/>
              </w:rPr>
              <w:t>No significant gaps in regulations, but the quality of assessments is often weak in this area.  Uneven capacity in the consulting industry and in reviewing and approving agencies is the cause.</w:t>
            </w:r>
          </w:p>
        </w:tc>
      </w:tr>
      <w:tr w:rsidR="00245F03" w:rsidRPr="00563D71" w14:paraId="1CC133AA" w14:textId="77777777" w:rsidTr="0032029F">
        <w:tblPrEx>
          <w:tblCellMar>
            <w:top w:w="3" w:type="dxa"/>
            <w:left w:w="67" w:type="dxa"/>
            <w:right w:w="90" w:type="dxa"/>
          </w:tblCellMar>
        </w:tblPrEx>
        <w:trPr>
          <w:trHeight w:val="1888"/>
        </w:trPr>
        <w:tc>
          <w:tcPr>
            <w:tcW w:w="1133" w:type="pct"/>
            <w:tcBorders>
              <w:top w:val="single" w:sz="4" w:space="0" w:color="000000"/>
              <w:left w:val="single" w:sz="4" w:space="0" w:color="000000"/>
              <w:bottom w:val="single" w:sz="4" w:space="0" w:color="000000"/>
              <w:right w:val="single" w:sz="4" w:space="0" w:color="000000"/>
            </w:tcBorders>
          </w:tcPr>
          <w:p w14:paraId="1F3A7946" w14:textId="67970156" w:rsidR="00245F03" w:rsidRPr="00563D71" w:rsidRDefault="00D04B10" w:rsidP="00964E66">
            <w:pPr>
              <w:spacing w:line="259" w:lineRule="auto"/>
              <w:ind w:left="1080" w:right="90" w:hanging="360"/>
              <w:jc w:val="left"/>
            </w:pPr>
            <w:r w:rsidRPr="00563D71">
              <w:rPr>
                <w:sz w:val="20"/>
              </w:rPr>
              <w:lastRenderedPageBreak/>
              <w:t>(</w:t>
            </w:r>
            <w:r w:rsidR="00162585" w:rsidRPr="00563D71">
              <w:rPr>
                <w:sz w:val="20"/>
              </w:rPr>
              <w:t>iv</w:t>
            </w:r>
            <w:r w:rsidRPr="00563D71">
              <w:rPr>
                <w:sz w:val="20"/>
              </w:rPr>
              <w:t>)</w:t>
            </w:r>
            <w:r w:rsidRPr="00563D71">
              <w:rPr>
                <w:rFonts w:ascii="Arial" w:eastAsia="Arial" w:hAnsi="Arial" w:cs="Arial"/>
                <w:sz w:val="20"/>
              </w:rPr>
              <w:t xml:space="preserve"> </w:t>
            </w:r>
            <w:r w:rsidRPr="00563D71">
              <w:rPr>
                <w:sz w:val="20"/>
              </w:rPr>
              <w:t>identification of measures to mitigate adverse environmental or social impacts that cannot be</w:t>
            </w:r>
            <w:r w:rsidR="00964E66" w:rsidRPr="00563D71">
              <w:rPr>
                <w:sz w:val="20"/>
              </w:rPr>
              <w:t xml:space="preserve"> </w:t>
            </w:r>
            <w:r w:rsidRPr="00563D71">
              <w:rPr>
                <w:sz w:val="20"/>
              </w:rPr>
              <w:t xml:space="preserve">otherwise avoided or minimized; </w:t>
            </w:r>
          </w:p>
        </w:tc>
        <w:tc>
          <w:tcPr>
            <w:tcW w:w="2679" w:type="pct"/>
            <w:gridSpan w:val="2"/>
            <w:tcBorders>
              <w:top w:val="single" w:sz="4" w:space="0" w:color="000000"/>
              <w:left w:val="single" w:sz="4" w:space="0" w:color="000000"/>
              <w:bottom w:val="single" w:sz="4" w:space="0" w:color="000000"/>
              <w:right w:val="single" w:sz="4" w:space="0" w:color="000000"/>
            </w:tcBorders>
          </w:tcPr>
          <w:p w14:paraId="5F07B844" w14:textId="606F10E0" w:rsidR="00245F03" w:rsidRPr="00563D71" w:rsidRDefault="00D04B10" w:rsidP="003D2E29">
            <w:pPr>
              <w:spacing w:line="259" w:lineRule="auto"/>
              <w:ind w:left="48" w:firstLine="0"/>
              <w:jc w:val="left"/>
            </w:pPr>
            <w:r w:rsidRPr="00563D71">
              <w:rPr>
                <w:sz w:val="20"/>
              </w:rPr>
              <w:t xml:space="preserve">The identification of environmental impacts and preparation of the </w:t>
            </w:r>
            <w:r w:rsidR="00D975C0" w:rsidRPr="00563D71">
              <w:rPr>
                <w:sz w:val="20"/>
              </w:rPr>
              <w:t>environmental management plan</w:t>
            </w:r>
            <w:r w:rsidR="00C211B6" w:rsidRPr="00563D71">
              <w:rPr>
                <w:sz w:val="20"/>
              </w:rPr>
              <w:t>,</w:t>
            </w:r>
            <w:r w:rsidR="00D975C0" w:rsidRPr="00563D71">
              <w:rPr>
                <w:sz w:val="20"/>
              </w:rPr>
              <w:t xml:space="preserve"> </w:t>
            </w:r>
            <w:r w:rsidR="002E3379" w:rsidRPr="00563D71">
              <w:rPr>
                <w:sz w:val="20"/>
              </w:rPr>
              <w:t>EMP</w:t>
            </w:r>
            <w:r w:rsidRPr="00563D71">
              <w:rPr>
                <w:sz w:val="20"/>
              </w:rPr>
              <w:t xml:space="preserve"> (RKL</w:t>
            </w:r>
            <w:r w:rsidR="00D975C0" w:rsidRPr="00563D71">
              <w:rPr>
                <w:sz w:val="20"/>
              </w:rPr>
              <w:t>-</w:t>
            </w:r>
            <w:r w:rsidRPr="00563D71">
              <w:rPr>
                <w:sz w:val="20"/>
              </w:rPr>
              <w:t>RPL)</w:t>
            </w:r>
            <w:r w:rsidRPr="00563D71">
              <w:rPr>
                <w:sz w:val="20"/>
                <w:vertAlign w:val="superscript"/>
              </w:rPr>
              <w:footnoteReference w:id="42"/>
            </w:r>
            <w:r w:rsidRPr="00563D71">
              <w:rPr>
                <w:sz w:val="20"/>
              </w:rPr>
              <w:t xml:space="preserve"> to address adverse impacts is provided in </w:t>
            </w:r>
            <w:r w:rsidR="00C211B6" w:rsidRPr="00563D71">
              <w:rPr>
                <w:sz w:val="20"/>
              </w:rPr>
              <w:t>Ministry of Environment (MOE) regulation (</w:t>
            </w:r>
            <w:r w:rsidR="0031157B" w:rsidRPr="00563D71">
              <w:rPr>
                <w:iCs/>
                <w:sz w:val="20"/>
              </w:rPr>
              <w:t>Permen</w:t>
            </w:r>
            <w:r w:rsidR="00D975C0" w:rsidRPr="00563D71">
              <w:rPr>
                <w:iCs/>
                <w:sz w:val="20"/>
              </w:rPr>
              <w:t>LH</w:t>
            </w:r>
            <w:r w:rsidR="00C211B6" w:rsidRPr="00563D71">
              <w:rPr>
                <w:iCs/>
                <w:sz w:val="20"/>
              </w:rPr>
              <w:t>)</w:t>
            </w:r>
            <w:r w:rsidR="0031157B" w:rsidRPr="00563D71">
              <w:rPr>
                <w:iCs/>
                <w:sz w:val="20"/>
              </w:rPr>
              <w:t xml:space="preserve"> </w:t>
            </w:r>
            <w:r w:rsidRPr="00563D71">
              <w:rPr>
                <w:sz w:val="20"/>
              </w:rPr>
              <w:t>No. 16</w:t>
            </w:r>
            <w:r w:rsidR="00587EF2" w:rsidRPr="00563D71">
              <w:rPr>
                <w:sz w:val="20"/>
              </w:rPr>
              <w:t xml:space="preserve"> Year </w:t>
            </w:r>
            <w:r w:rsidRPr="00563D71">
              <w:rPr>
                <w:sz w:val="20"/>
              </w:rPr>
              <w:t>2012. Th</w:t>
            </w:r>
            <w:r w:rsidR="002E3379" w:rsidRPr="00563D71">
              <w:rPr>
                <w:sz w:val="20"/>
              </w:rPr>
              <w:t>e EMP is part</w:t>
            </w:r>
            <w:r w:rsidRPr="00563D71">
              <w:rPr>
                <w:sz w:val="20"/>
              </w:rPr>
              <w:t xml:space="preserve"> of AMDAL documents </w:t>
            </w:r>
            <w:r w:rsidR="002E3379" w:rsidRPr="00563D71">
              <w:rPr>
                <w:sz w:val="20"/>
              </w:rPr>
              <w:t>and</w:t>
            </w:r>
            <w:r w:rsidRPr="00563D71">
              <w:rPr>
                <w:sz w:val="20"/>
              </w:rPr>
              <w:t xml:space="preserve"> contains plans to prevent, control, and manage significant negative impacts to environment, as well as</w:t>
            </w:r>
            <w:r w:rsidR="00DC1D0F" w:rsidRPr="00563D71">
              <w:rPr>
                <w:sz w:val="20"/>
              </w:rPr>
              <w:t xml:space="preserve"> </w:t>
            </w:r>
            <w:r w:rsidR="002E3379" w:rsidRPr="00563D71">
              <w:rPr>
                <w:sz w:val="20"/>
              </w:rPr>
              <w:t xml:space="preserve">to </w:t>
            </w:r>
            <w:r w:rsidRPr="00563D71">
              <w:rPr>
                <w:sz w:val="20"/>
              </w:rPr>
              <w:t xml:space="preserve">enhance the positive impact of the business/activities.  </w:t>
            </w:r>
          </w:p>
          <w:p w14:paraId="4634EA8F" w14:textId="77777777" w:rsidR="00245F03" w:rsidRPr="00563D71" w:rsidRDefault="00D04B10" w:rsidP="00C01871">
            <w:pPr>
              <w:spacing w:line="259" w:lineRule="auto"/>
              <w:ind w:left="48" w:firstLine="0"/>
              <w:jc w:val="left"/>
            </w:pPr>
            <w:r w:rsidRPr="00563D71">
              <w:rPr>
                <w:sz w:val="20"/>
              </w:rPr>
              <w:t xml:space="preserve"> </w:t>
            </w:r>
          </w:p>
          <w:p w14:paraId="54BE4D50" w14:textId="09220F08" w:rsidR="00245F03" w:rsidRPr="00563D71" w:rsidRDefault="00245F03" w:rsidP="00C01871">
            <w:pPr>
              <w:spacing w:line="259" w:lineRule="auto"/>
              <w:ind w:left="48" w:firstLine="0"/>
              <w:jc w:val="left"/>
            </w:pPr>
          </w:p>
        </w:tc>
        <w:tc>
          <w:tcPr>
            <w:tcW w:w="1188" w:type="pct"/>
            <w:tcBorders>
              <w:top w:val="single" w:sz="4" w:space="0" w:color="000000"/>
              <w:left w:val="single" w:sz="4" w:space="0" w:color="000000"/>
              <w:bottom w:val="single" w:sz="4" w:space="0" w:color="000000"/>
              <w:right w:val="single" w:sz="4" w:space="0" w:color="000000"/>
            </w:tcBorders>
          </w:tcPr>
          <w:p w14:paraId="23A8C603" w14:textId="4608F4FB" w:rsidR="00245F03" w:rsidRPr="00563D71" w:rsidRDefault="00AC5A07" w:rsidP="002F3F95">
            <w:pPr>
              <w:spacing w:line="237" w:lineRule="auto"/>
              <w:ind w:left="5" w:firstLine="0"/>
              <w:jc w:val="left"/>
              <w:rPr>
                <w:sz w:val="20"/>
              </w:rPr>
            </w:pPr>
            <w:r w:rsidRPr="00563D71">
              <w:rPr>
                <w:sz w:val="20"/>
              </w:rPr>
              <w:t>No significant gaps in regulations, but the quality of assessments is often weak in this area. Uneven capacity in the consulting industry</w:t>
            </w:r>
            <w:r w:rsidR="002E3379" w:rsidRPr="00563D71">
              <w:rPr>
                <w:sz w:val="20"/>
              </w:rPr>
              <w:t>, particularly in assessing socio-economic impacts and in applying quantitativ</w:t>
            </w:r>
            <w:r w:rsidR="002F3F95" w:rsidRPr="00563D71">
              <w:rPr>
                <w:sz w:val="20"/>
              </w:rPr>
              <w:t>e analytical techniques such as water</w:t>
            </w:r>
            <w:r w:rsidR="002E3379" w:rsidRPr="00563D71">
              <w:rPr>
                <w:sz w:val="20"/>
              </w:rPr>
              <w:t xml:space="preserve"> quality modeling is part of the cause. Uneven capacity i</w:t>
            </w:r>
            <w:r w:rsidRPr="00563D71">
              <w:rPr>
                <w:sz w:val="20"/>
              </w:rPr>
              <w:t xml:space="preserve">n reviewing and </w:t>
            </w:r>
            <w:r w:rsidR="002E3379" w:rsidRPr="00563D71">
              <w:rPr>
                <w:sz w:val="20"/>
              </w:rPr>
              <w:t>approving agencies is another part.</w:t>
            </w:r>
          </w:p>
        </w:tc>
      </w:tr>
      <w:tr w:rsidR="00245F03" w:rsidRPr="00563D71" w14:paraId="0779AADE" w14:textId="77777777" w:rsidTr="0032029F">
        <w:tblPrEx>
          <w:tblCellMar>
            <w:top w:w="3" w:type="dxa"/>
            <w:left w:w="67" w:type="dxa"/>
            <w:right w:w="53" w:type="dxa"/>
          </w:tblCellMar>
        </w:tblPrEx>
        <w:trPr>
          <w:trHeight w:val="2079"/>
        </w:trPr>
        <w:tc>
          <w:tcPr>
            <w:tcW w:w="1133" w:type="pct"/>
            <w:tcBorders>
              <w:top w:val="single" w:sz="4" w:space="0" w:color="000000"/>
              <w:left w:val="single" w:sz="4" w:space="0" w:color="000000"/>
              <w:bottom w:val="single" w:sz="4" w:space="0" w:color="000000"/>
              <w:right w:val="single" w:sz="4" w:space="0" w:color="000000"/>
            </w:tcBorders>
          </w:tcPr>
          <w:p w14:paraId="66F16858" w14:textId="47BF255C" w:rsidR="00245F03" w:rsidRPr="00563D71" w:rsidRDefault="00D04B10" w:rsidP="004B4C0E">
            <w:pPr>
              <w:spacing w:line="259" w:lineRule="auto"/>
              <w:ind w:left="1080" w:right="233" w:hanging="360"/>
              <w:jc w:val="left"/>
            </w:pPr>
            <w:r w:rsidRPr="00563D71">
              <w:rPr>
                <w:sz w:val="20"/>
              </w:rPr>
              <w:t>(</w:t>
            </w:r>
            <w:r w:rsidR="00162585" w:rsidRPr="00563D71">
              <w:rPr>
                <w:sz w:val="20"/>
              </w:rPr>
              <w:t>v</w:t>
            </w:r>
            <w:r w:rsidRPr="00563D71">
              <w:rPr>
                <w:sz w:val="20"/>
              </w:rPr>
              <w:t>)</w:t>
            </w:r>
            <w:r w:rsidRPr="00563D71">
              <w:rPr>
                <w:rFonts w:ascii="Arial" w:eastAsia="Arial" w:hAnsi="Arial" w:cs="Arial"/>
                <w:sz w:val="20"/>
              </w:rPr>
              <w:t xml:space="preserve"> </w:t>
            </w:r>
            <w:r w:rsidRPr="00563D71">
              <w:rPr>
                <w:sz w:val="20"/>
              </w:rPr>
              <w:t>clear articulation of institutional responsibilities and resources to support implementation of plans</w:t>
            </w:r>
            <w:r w:rsidRPr="00563D71">
              <w:rPr>
                <w:b/>
                <w:sz w:val="20"/>
              </w:rPr>
              <w:t xml:space="preserve">; </w:t>
            </w:r>
            <w:r w:rsidRPr="00563D71">
              <w:rPr>
                <w:sz w:val="20"/>
              </w:rPr>
              <w:t xml:space="preserve"> </w:t>
            </w:r>
          </w:p>
        </w:tc>
        <w:tc>
          <w:tcPr>
            <w:tcW w:w="2679" w:type="pct"/>
            <w:gridSpan w:val="2"/>
            <w:tcBorders>
              <w:top w:val="single" w:sz="4" w:space="0" w:color="000000"/>
              <w:left w:val="single" w:sz="4" w:space="0" w:color="000000"/>
              <w:bottom w:val="single" w:sz="4" w:space="0" w:color="000000"/>
              <w:right w:val="single" w:sz="4" w:space="0" w:color="000000"/>
            </w:tcBorders>
          </w:tcPr>
          <w:p w14:paraId="726B6A89" w14:textId="03B8DAED" w:rsidR="009843F9" w:rsidRPr="00563D71" w:rsidRDefault="00D04B10" w:rsidP="003D2E29">
            <w:pPr>
              <w:spacing w:line="237" w:lineRule="auto"/>
              <w:ind w:left="48" w:firstLine="0"/>
              <w:jc w:val="left"/>
              <w:rPr>
                <w:sz w:val="20"/>
              </w:rPr>
            </w:pPr>
            <w:r w:rsidRPr="00563D71">
              <w:rPr>
                <w:sz w:val="20"/>
              </w:rPr>
              <w:t>Government Regulation (PP) No. 27</w:t>
            </w:r>
            <w:r w:rsidR="00587EF2" w:rsidRPr="00563D71">
              <w:rPr>
                <w:sz w:val="20"/>
              </w:rPr>
              <w:t xml:space="preserve"> Year </w:t>
            </w:r>
            <w:r w:rsidRPr="00563D71">
              <w:rPr>
                <w:sz w:val="20"/>
              </w:rPr>
              <w:t>2012 on Environmental Permit clearly mentions that the process of AMDAL and the responsibilities</w:t>
            </w:r>
            <w:r w:rsidR="009843F9" w:rsidRPr="00563D71">
              <w:rPr>
                <w:sz w:val="20"/>
              </w:rPr>
              <w:t xml:space="preserve"> </w:t>
            </w:r>
            <w:r w:rsidRPr="00563D71">
              <w:rPr>
                <w:sz w:val="20"/>
              </w:rPr>
              <w:t>of each institution (e.g. the proponent responsibility for prepar</w:t>
            </w:r>
            <w:r w:rsidR="009843F9" w:rsidRPr="00563D71">
              <w:rPr>
                <w:sz w:val="20"/>
              </w:rPr>
              <w:t xml:space="preserve">ing </w:t>
            </w:r>
            <w:r w:rsidRPr="00563D71">
              <w:rPr>
                <w:sz w:val="20"/>
              </w:rPr>
              <w:t>AMDAL, BLH/BPLHD for clearances following the recommendati</w:t>
            </w:r>
            <w:r w:rsidR="0087533D" w:rsidRPr="00563D71">
              <w:rPr>
                <w:sz w:val="20"/>
              </w:rPr>
              <w:t xml:space="preserve">on from AMDAL Committee, etc.). </w:t>
            </w:r>
          </w:p>
          <w:p w14:paraId="7B0BCF55" w14:textId="1B80D496" w:rsidR="00245F03" w:rsidRPr="00563D71" w:rsidRDefault="00C211B6" w:rsidP="003D2E29">
            <w:pPr>
              <w:spacing w:line="237" w:lineRule="auto"/>
              <w:ind w:left="48" w:firstLine="0"/>
              <w:jc w:val="left"/>
            </w:pPr>
            <w:r w:rsidRPr="00563D71">
              <w:rPr>
                <w:iCs/>
                <w:sz w:val="20"/>
              </w:rPr>
              <w:t>Ministry of Environment (MOE) regulation (</w:t>
            </w:r>
            <w:r w:rsidR="0031157B" w:rsidRPr="00563D71">
              <w:rPr>
                <w:iCs/>
                <w:sz w:val="20"/>
              </w:rPr>
              <w:t>Permen</w:t>
            </w:r>
            <w:r w:rsidR="00D975C0" w:rsidRPr="00563D71">
              <w:rPr>
                <w:iCs/>
                <w:sz w:val="20"/>
              </w:rPr>
              <w:t>LH</w:t>
            </w:r>
            <w:r w:rsidRPr="00563D71">
              <w:rPr>
                <w:iCs/>
                <w:sz w:val="20"/>
              </w:rPr>
              <w:t>)</w:t>
            </w:r>
            <w:r w:rsidR="0031157B" w:rsidRPr="00563D71">
              <w:rPr>
                <w:i/>
                <w:sz w:val="20"/>
              </w:rPr>
              <w:t xml:space="preserve"> </w:t>
            </w:r>
            <w:r w:rsidR="0087533D" w:rsidRPr="00563D71">
              <w:rPr>
                <w:sz w:val="20"/>
              </w:rPr>
              <w:t>No. 16</w:t>
            </w:r>
            <w:r w:rsidR="00587EF2" w:rsidRPr="00563D71">
              <w:rPr>
                <w:sz w:val="20"/>
              </w:rPr>
              <w:t xml:space="preserve"> Year </w:t>
            </w:r>
            <w:r w:rsidR="0087533D" w:rsidRPr="00563D71">
              <w:rPr>
                <w:sz w:val="20"/>
              </w:rPr>
              <w:t xml:space="preserve">2012 requires that the responsibilities for </w:t>
            </w:r>
            <w:r w:rsidR="00A6799F" w:rsidRPr="00563D71">
              <w:rPr>
                <w:sz w:val="20"/>
              </w:rPr>
              <w:t xml:space="preserve">the </w:t>
            </w:r>
            <w:r w:rsidR="0087533D" w:rsidRPr="00563D71">
              <w:rPr>
                <w:sz w:val="20"/>
              </w:rPr>
              <w:t>implementation of mitigation and monitoring</w:t>
            </w:r>
            <w:r w:rsidR="00FE7910">
              <w:rPr>
                <w:sz w:val="20"/>
              </w:rPr>
              <w:t xml:space="preserve"> activities be specified in RKL-</w:t>
            </w:r>
            <w:r w:rsidR="0087533D" w:rsidRPr="00563D71">
              <w:rPr>
                <w:sz w:val="20"/>
              </w:rPr>
              <w:t xml:space="preserve">RPL and </w:t>
            </w:r>
            <w:r w:rsidR="00B92DB5">
              <w:rPr>
                <w:sz w:val="20"/>
              </w:rPr>
              <w:t>UKL-UPL</w:t>
            </w:r>
            <w:r w:rsidR="0087533D" w:rsidRPr="00563D71">
              <w:rPr>
                <w:sz w:val="20"/>
              </w:rPr>
              <w:t>.</w:t>
            </w:r>
          </w:p>
        </w:tc>
        <w:tc>
          <w:tcPr>
            <w:tcW w:w="1188" w:type="pct"/>
            <w:tcBorders>
              <w:top w:val="single" w:sz="4" w:space="0" w:color="000000"/>
              <w:left w:val="single" w:sz="4" w:space="0" w:color="000000"/>
              <w:bottom w:val="single" w:sz="4" w:space="0" w:color="000000"/>
              <w:right w:val="single" w:sz="4" w:space="0" w:color="000000"/>
            </w:tcBorders>
          </w:tcPr>
          <w:p w14:paraId="0F1DDB7B" w14:textId="23A95FE5" w:rsidR="00245F03" w:rsidRPr="00563D71" w:rsidRDefault="00AC5A07" w:rsidP="00ED507E">
            <w:pPr>
              <w:spacing w:line="237" w:lineRule="auto"/>
              <w:ind w:left="5" w:firstLine="0"/>
              <w:jc w:val="left"/>
            </w:pPr>
            <w:r w:rsidRPr="00563D71">
              <w:rPr>
                <w:sz w:val="20"/>
              </w:rPr>
              <w:t>No significant gaps in regulations,</w:t>
            </w:r>
            <w:r w:rsidR="00A75025" w:rsidRPr="00563D71">
              <w:rPr>
                <w:sz w:val="20"/>
              </w:rPr>
              <w:t xml:space="preserve"> </w:t>
            </w:r>
            <w:r w:rsidRPr="00563D71">
              <w:rPr>
                <w:sz w:val="20"/>
              </w:rPr>
              <w:t>but the capacity</w:t>
            </w:r>
            <w:r w:rsidR="00A75025" w:rsidRPr="00563D71">
              <w:rPr>
                <w:sz w:val="20"/>
              </w:rPr>
              <w:t xml:space="preserve"> </w:t>
            </w:r>
            <w:r w:rsidR="00ED507E" w:rsidRPr="00563D71">
              <w:rPr>
                <w:sz w:val="20"/>
              </w:rPr>
              <w:t xml:space="preserve">in some </w:t>
            </w:r>
            <w:r w:rsidR="00A75025" w:rsidRPr="00563D71">
              <w:rPr>
                <w:sz w:val="20"/>
              </w:rPr>
              <w:t>of the decentralized regulatory authorities to monitor and enforce implementation of permit conditions and environmental management measures is constrained by lack of resources</w:t>
            </w:r>
            <w:r w:rsidR="00ED507E" w:rsidRPr="00563D71">
              <w:rPr>
                <w:sz w:val="20"/>
              </w:rPr>
              <w:t xml:space="preserve">.  </w:t>
            </w:r>
            <w:r w:rsidR="00D04B10" w:rsidRPr="00563D71">
              <w:rPr>
                <w:sz w:val="20"/>
              </w:rPr>
              <w:t xml:space="preserve"> </w:t>
            </w:r>
          </w:p>
        </w:tc>
      </w:tr>
      <w:tr w:rsidR="00245F03" w:rsidRPr="00563D71" w14:paraId="42E45B9A" w14:textId="77777777" w:rsidTr="0032029F">
        <w:tblPrEx>
          <w:tblCellMar>
            <w:top w:w="3" w:type="dxa"/>
            <w:left w:w="67" w:type="dxa"/>
            <w:right w:w="53" w:type="dxa"/>
          </w:tblCellMar>
        </w:tblPrEx>
        <w:trPr>
          <w:trHeight w:val="709"/>
        </w:trPr>
        <w:tc>
          <w:tcPr>
            <w:tcW w:w="1133" w:type="pct"/>
            <w:tcBorders>
              <w:top w:val="single" w:sz="4" w:space="0" w:color="000000"/>
              <w:left w:val="single" w:sz="4" w:space="0" w:color="000000"/>
              <w:bottom w:val="single" w:sz="4" w:space="0" w:color="000000"/>
              <w:right w:val="single" w:sz="4" w:space="0" w:color="000000"/>
            </w:tcBorders>
          </w:tcPr>
          <w:p w14:paraId="619CCE6E" w14:textId="5569B020" w:rsidR="00245F03" w:rsidRPr="00563D71" w:rsidRDefault="00076A7E" w:rsidP="004B4C0E">
            <w:pPr>
              <w:spacing w:line="259" w:lineRule="auto"/>
              <w:ind w:left="1080" w:right="233" w:hanging="360"/>
              <w:jc w:val="left"/>
            </w:pPr>
            <w:r w:rsidRPr="00563D71">
              <w:rPr>
                <w:sz w:val="20"/>
              </w:rPr>
              <w:t>(vi)  responsiveness</w:t>
            </w:r>
            <w:r w:rsidR="00162585" w:rsidRPr="00563D71">
              <w:rPr>
                <w:sz w:val="20"/>
              </w:rPr>
              <w:t xml:space="preserve"> and accountability through </w:t>
            </w:r>
            <w:r w:rsidR="00D04B10" w:rsidRPr="00563D71">
              <w:rPr>
                <w:sz w:val="20"/>
              </w:rPr>
              <w:t xml:space="preserve">stakeholder consultation, </w:t>
            </w:r>
            <w:r w:rsidR="00162585" w:rsidRPr="00563D71">
              <w:rPr>
                <w:sz w:val="20"/>
              </w:rPr>
              <w:t>timely dissemination of Program information, and responsive grievance redress</w:t>
            </w:r>
            <w:r w:rsidR="00D04B10" w:rsidRPr="00563D71">
              <w:rPr>
                <w:sz w:val="20"/>
              </w:rPr>
              <w:t xml:space="preserve"> measures. </w:t>
            </w:r>
          </w:p>
        </w:tc>
        <w:tc>
          <w:tcPr>
            <w:tcW w:w="2679" w:type="pct"/>
            <w:gridSpan w:val="2"/>
            <w:tcBorders>
              <w:top w:val="single" w:sz="4" w:space="0" w:color="000000"/>
              <w:left w:val="single" w:sz="4" w:space="0" w:color="000000"/>
              <w:bottom w:val="single" w:sz="4" w:space="0" w:color="000000"/>
              <w:right w:val="single" w:sz="4" w:space="0" w:color="000000"/>
            </w:tcBorders>
          </w:tcPr>
          <w:p w14:paraId="368827B0" w14:textId="513A3C3E" w:rsidR="00AC5A07" w:rsidRPr="00563D71" w:rsidRDefault="00AC5A07" w:rsidP="00C01871">
            <w:pPr>
              <w:spacing w:line="237" w:lineRule="auto"/>
              <w:ind w:left="0" w:right="92" w:firstLine="0"/>
              <w:jc w:val="left"/>
            </w:pPr>
            <w:r w:rsidRPr="00563D71">
              <w:rPr>
                <w:sz w:val="20"/>
              </w:rPr>
              <w:t>Under Law No. 14</w:t>
            </w:r>
            <w:r w:rsidR="00AF2002" w:rsidRPr="00563D71">
              <w:rPr>
                <w:sz w:val="20"/>
              </w:rPr>
              <w:t xml:space="preserve"> Year </w:t>
            </w:r>
            <w:r w:rsidRPr="00563D71">
              <w:rPr>
                <w:sz w:val="20"/>
              </w:rPr>
              <w:t xml:space="preserve">2008 on Public Information, everyone has the right to obtain public information, attend public meetings, request copies of public information through an application, and/or disseminate public information. </w:t>
            </w:r>
          </w:p>
          <w:p w14:paraId="386F1FD2" w14:textId="0F947181" w:rsidR="00C8190F" w:rsidRPr="00563D71" w:rsidRDefault="00C211B6" w:rsidP="0031157B">
            <w:pPr>
              <w:spacing w:line="237" w:lineRule="auto"/>
              <w:ind w:left="0" w:right="92" w:firstLine="0"/>
              <w:jc w:val="left"/>
              <w:rPr>
                <w:sz w:val="20"/>
              </w:rPr>
            </w:pPr>
            <w:r w:rsidRPr="00563D71">
              <w:rPr>
                <w:sz w:val="20"/>
              </w:rPr>
              <w:t>Ministry of Environment (MOE) regulations (</w:t>
            </w:r>
            <w:r w:rsidR="0031157B" w:rsidRPr="00563D71">
              <w:rPr>
                <w:sz w:val="20"/>
              </w:rPr>
              <w:t>Permen</w:t>
            </w:r>
            <w:r w:rsidR="00D975C0" w:rsidRPr="00563D71">
              <w:rPr>
                <w:sz w:val="20"/>
              </w:rPr>
              <w:t>LH</w:t>
            </w:r>
            <w:r w:rsidRPr="00563D71">
              <w:rPr>
                <w:sz w:val="20"/>
              </w:rPr>
              <w:t>)</w:t>
            </w:r>
            <w:r w:rsidR="0031157B" w:rsidRPr="00563D71">
              <w:rPr>
                <w:sz w:val="20"/>
              </w:rPr>
              <w:t xml:space="preserve"> </w:t>
            </w:r>
            <w:r w:rsidR="00D04B10" w:rsidRPr="00563D71">
              <w:rPr>
                <w:sz w:val="20"/>
              </w:rPr>
              <w:t>No. 16</w:t>
            </w:r>
            <w:r w:rsidR="00AF2002" w:rsidRPr="00563D71">
              <w:rPr>
                <w:sz w:val="20"/>
              </w:rPr>
              <w:t xml:space="preserve"> Year </w:t>
            </w:r>
            <w:r w:rsidR="00D04B10" w:rsidRPr="00563D71">
              <w:rPr>
                <w:sz w:val="20"/>
              </w:rPr>
              <w:t xml:space="preserve">2012 and </w:t>
            </w:r>
            <w:r w:rsidR="0031157B" w:rsidRPr="00563D71">
              <w:rPr>
                <w:sz w:val="20"/>
              </w:rPr>
              <w:t>Permen</w:t>
            </w:r>
            <w:r w:rsidR="00D975C0" w:rsidRPr="00563D71">
              <w:rPr>
                <w:sz w:val="20"/>
              </w:rPr>
              <w:t>LH</w:t>
            </w:r>
            <w:r w:rsidR="0031157B" w:rsidRPr="00563D71">
              <w:rPr>
                <w:sz w:val="20"/>
              </w:rPr>
              <w:t xml:space="preserve"> </w:t>
            </w:r>
            <w:r w:rsidR="00D04B10" w:rsidRPr="00563D71">
              <w:rPr>
                <w:sz w:val="20"/>
              </w:rPr>
              <w:t>No. 17</w:t>
            </w:r>
            <w:r w:rsidR="00AF2002" w:rsidRPr="00563D71">
              <w:rPr>
                <w:sz w:val="20"/>
              </w:rPr>
              <w:t xml:space="preserve"> Year </w:t>
            </w:r>
            <w:r w:rsidR="00D04B10" w:rsidRPr="00563D71">
              <w:rPr>
                <w:sz w:val="20"/>
              </w:rPr>
              <w:t>2012 on Guidelines for Public Participation in AMDAL Process and Environmental Permit prescribe the requirements for community involvement and public consultation (socialization). For projects requiring AMDAL, public consultation from the AMDAL TOR preparation stage is mandatory. The community involvement during the process of AMDAL and the environmental permit should be based on the</w:t>
            </w:r>
            <w:r w:rsidR="00AC5A07" w:rsidRPr="00563D71">
              <w:rPr>
                <w:sz w:val="20"/>
              </w:rPr>
              <w:t>se principles:</w:t>
            </w:r>
            <w:r w:rsidR="00D04B10" w:rsidRPr="00563D71">
              <w:rPr>
                <w:sz w:val="20"/>
              </w:rPr>
              <w:t xml:space="preserve"> (i) the provision of transparent and complete information; (ii) position of equality among the parties involved; (iii) fair and prudent dispute settlement; and (iv) coordination, communication and cooperation among the concerned parties.</w:t>
            </w:r>
            <w:r w:rsidR="00AC5A07" w:rsidRPr="00563D71">
              <w:rPr>
                <w:sz w:val="20"/>
              </w:rPr>
              <w:t xml:space="preserve"> </w:t>
            </w:r>
            <w:r w:rsidR="00C8190F" w:rsidRPr="00563D71">
              <w:rPr>
                <w:sz w:val="20"/>
              </w:rPr>
              <w:t xml:space="preserve">Government </w:t>
            </w:r>
            <w:r w:rsidR="00C8190F" w:rsidRPr="00563D71">
              <w:rPr>
                <w:sz w:val="20"/>
              </w:rPr>
              <w:lastRenderedPageBreak/>
              <w:t>Regulation No. 17</w:t>
            </w:r>
            <w:r w:rsidR="00AF2002" w:rsidRPr="00563D71">
              <w:rPr>
                <w:sz w:val="20"/>
              </w:rPr>
              <w:t xml:space="preserve"> Year </w:t>
            </w:r>
            <w:r w:rsidR="00C8190F" w:rsidRPr="00563D71">
              <w:rPr>
                <w:sz w:val="20"/>
              </w:rPr>
              <w:t>2012 requires the disclosure of</w:t>
            </w:r>
            <w:r w:rsidR="00AC5A07" w:rsidRPr="00563D71">
              <w:rPr>
                <w:sz w:val="20"/>
              </w:rPr>
              <w:t xml:space="preserve"> </w:t>
            </w:r>
            <w:r w:rsidR="00C8190F" w:rsidRPr="00563D71">
              <w:rPr>
                <w:sz w:val="20"/>
              </w:rPr>
              <w:t xml:space="preserve">environmental documents (both draft and final versions) to stakeholders including affected people. </w:t>
            </w:r>
          </w:p>
          <w:p w14:paraId="6E1E15C2" w14:textId="752E278C" w:rsidR="00C8190F" w:rsidRPr="00563D71" w:rsidRDefault="00C8190F" w:rsidP="00697A14">
            <w:pPr>
              <w:spacing w:line="259" w:lineRule="auto"/>
              <w:ind w:left="0" w:firstLine="0"/>
              <w:jc w:val="left"/>
            </w:pPr>
            <w:r w:rsidRPr="00563D71">
              <w:rPr>
                <w:sz w:val="20"/>
              </w:rPr>
              <w:t>Before preparing environmental documents, a project proponent shall provide a general project concept note (e.g. name of proponent, project title, type, scale, and location of business/activities potential impacts and proposed impact mitigation measures). On</w:t>
            </w:r>
            <w:r w:rsidR="00697A14" w:rsidRPr="00563D71">
              <w:rPr>
                <w:sz w:val="20"/>
              </w:rPr>
              <w:t>c</w:t>
            </w:r>
            <w:r w:rsidRPr="00563D71">
              <w:rPr>
                <w:sz w:val="20"/>
              </w:rPr>
              <w:t>e agreed</w:t>
            </w:r>
            <w:r w:rsidR="00697A14" w:rsidRPr="00563D71">
              <w:rPr>
                <w:sz w:val="20"/>
              </w:rPr>
              <w:t xml:space="preserve"> upon</w:t>
            </w:r>
            <w:r w:rsidRPr="00563D71">
              <w:rPr>
                <w:sz w:val="20"/>
              </w:rPr>
              <w:t xml:space="preserve">, the project proponent shall publish the information </w:t>
            </w:r>
            <w:r w:rsidR="00AC5A07" w:rsidRPr="00563D71">
              <w:rPr>
                <w:sz w:val="20"/>
              </w:rPr>
              <w:t xml:space="preserve">via </w:t>
            </w:r>
            <w:r w:rsidRPr="00563D71">
              <w:rPr>
                <w:sz w:val="20"/>
              </w:rPr>
              <w:t>public</w:t>
            </w:r>
            <w:r w:rsidR="00AC5A07" w:rsidRPr="00563D71">
              <w:rPr>
                <w:sz w:val="20"/>
              </w:rPr>
              <w:t>ly accessible media.</w:t>
            </w:r>
            <w:r w:rsidRPr="00563D71">
              <w:rPr>
                <w:sz w:val="20"/>
              </w:rPr>
              <w:t xml:space="preserve"> When the environmental agency issues an environmental license, within 5 days after the issuance </w:t>
            </w:r>
            <w:r w:rsidR="00AC5A07" w:rsidRPr="00563D71">
              <w:rPr>
                <w:sz w:val="20"/>
              </w:rPr>
              <w:t xml:space="preserve">it shall </w:t>
            </w:r>
            <w:r w:rsidRPr="00563D71">
              <w:rPr>
                <w:sz w:val="20"/>
              </w:rPr>
              <w:t>disc</w:t>
            </w:r>
            <w:r w:rsidR="00AC5A07" w:rsidRPr="00563D71">
              <w:rPr>
                <w:sz w:val="20"/>
              </w:rPr>
              <w:t>lose the documents and announce</w:t>
            </w:r>
            <w:r w:rsidRPr="00563D71">
              <w:rPr>
                <w:sz w:val="20"/>
              </w:rPr>
              <w:t xml:space="preserve"> the issuance </w:t>
            </w:r>
            <w:r w:rsidR="00AC5A07" w:rsidRPr="00563D71">
              <w:rPr>
                <w:sz w:val="20"/>
              </w:rPr>
              <w:t>via</w:t>
            </w:r>
            <w:r w:rsidRPr="00563D71">
              <w:rPr>
                <w:sz w:val="20"/>
              </w:rPr>
              <w:t xml:space="preserve"> </w:t>
            </w:r>
            <w:r w:rsidR="00AC5A07" w:rsidRPr="00563D71">
              <w:rPr>
                <w:sz w:val="20"/>
              </w:rPr>
              <w:t xml:space="preserve">publicly accessible </w:t>
            </w:r>
            <w:r w:rsidRPr="00563D71">
              <w:rPr>
                <w:sz w:val="20"/>
              </w:rPr>
              <w:t>media</w:t>
            </w:r>
            <w:r w:rsidR="00AC5A07" w:rsidRPr="00563D71">
              <w:rPr>
                <w:sz w:val="20"/>
              </w:rPr>
              <w:t>.</w:t>
            </w:r>
            <w:r w:rsidRPr="00563D71">
              <w:rPr>
                <w:sz w:val="20"/>
              </w:rPr>
              <w:t xml:space="preserve"> </w:t>
            </w:r>
          </w:p>
          <w:p w14:paraId="2D622120" w14:textId="5AB26795" w:rsidR="00245F03" w:rsidRPr="00563D71" w:rsidRDefault="00C211B6" w:rsidP="0031157B">
            <w:pPr>
              <w:spacing w:line="259" w:lineRule="auto"/>
              <w:ind w:left="0" w:firstLine="0"/>
              <w:jc w:val="left"/>
            </w:pPr>
            <w:r w:rsidRPr="00563D71">
              <w:rPr>
                <w:iCs/>
                <w:sz w:val="20"/>
              </w:rPr>
              <w:t>Ministry of Environment (MOE) regulation (</w:t>
            </w:r>
            <w:r w:rsidR="0031157B" w:rsidRPr="00563D71">
              <w:rPr>
                <w:iCs/>
                <w:sz w:val="20"/>
              </w:rPr>
              <w:t>Permen</w:t>
            </w:r>
            <w:r w:rsidR="00D975C0" w:rsidRPr="00563D71">
              <w:rPr>
                <w:iCs/>
                <w:sz w:val="20"/>
              </w:rPr>
              <w:t>LH</w:t>
            </w:r>
            <w:r w:rsidRPr="00563D71">
              <w:rPr>
                <w:iCs/>
                <w:sz w:val="20"/>
              </w:rPr>
              <w:t>)</w:t>
            </w:r>
            <w:r w:rsidR="0031157B" w:rsidRPr="00563D71">
              <w:rPr>
                <w:iCs/>
                <w:sz w:val="20"/>
              </w:rPr>
              <w:t xml:space="preserve"> </w:t>
            </w:r>
            <w:r w:rsidR="00D04B10" w:rsidRPr="00563D71">
              <w:rPr>
                <w:sz w:val="20"/>
              </w:rPr>
              <w:t>No. 17</w:t>
            </w:r>
            <w:r w:rsidR="00AF2002" w:rsidRPr="00563D71">
              <w:rPr>
                <w:sz w:val="20"/>
              </w:rPr>
              <w:t xml:space="preserve"> Year </w:t>
            </w:r>
            <w:r w:rsidR="00D04B10" w:rsidRPr="00563D71">
              <w:rPr>
                <w:sz w:val="20"/>
              </w:rPr>
              <w:t xml:space="preserve">2012 also describes the grievance redress procedure for community complaints against a project. The procedure also outlines the methods and timeline for resolving complaints.  </w:t>
            </w:r>
          </w:p>
        </w:tc>
        <w:tc>
          <w:tcPr>
            <w:tcW w:w="1188" w:type="pct"/>
            <w:tcBorders>
              <w:top w:val="single" w:sz="4" w:space="0" w:color="000000"/>
              <w:left w:val="single" w:sz="4" w:space="0" w:color="000000"/>
              <w:bottom w:val="single" w:sz="4" w:space="0" w:color="000000"/>
              <w:right w:val="single" w:sz="4" w:space="0" w:color="000000"/>
            </w:tcBorders>
          </w:tcPr>
          <w:p w14:paraId="289DA58A" w14:textId="0D66D0D5" w:rsidR="00245F03" w:rsidRPr="00563D71" w:rsidRDefault="00AC5A07" w:rsidP="003D2E29">
            <w:pPr>
              <w:spacing w:line="259" w:lineRule="auto"/>
              <w:jc w:val="left"/>
            </w:pPr>
            <w:r w:rsidRPr="00563D71">
              <w:rPr>
                <w:sz w:val="20"/>
              </w:rPr>
              <w:lastRenderedPageBreak/>
              <w:t>No significant gaps.</w:t>
            </w:r>
          </w:p>
        </w:tc>
      </w:tr>
      <w:tr w:rsidR="0011324E" w:rsidRPr="00563D71" w14:paraId="77D656DC" w14:textId="77777777" w:rsidTr="0032029F">
        <w:tblPrEx>
          <w:tblCellMar>
            <w:top w:w="3" w:type="dxa"/>
            <w:left w:w="67" w:type="dxa"/>
            <w:right w:w="53" w:type="dxa"/>
          </w:tblCellMar>
        </w:tblPrEx>
        <w:trPr>
          <w:trHeight w:val="353"/>
        </w:trPr>
        <w:tc>
          <w:tcPr>
            <w:tcW w:w="2597"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979AB2D" w14:textId="090AE6EA" w:rsidR="0011324E" w:rsidRPr="00563D71" w:rsidRDefault="0011324E" w:rsidP="009B51EA">
            <w:pPr>
              <w:spacing w:line="259" w:lineRule="auto"/>
              <w:ind w:left="0" w:firstLine="0"/>
              <w:jc w:val="left"/>
              <w:rPr>
                <w:b/>
                <w:sz w:val="20"/>
              </w:rPr>
            </w:pPr>
            <w:r w:rsidRPr="00563D71">
              <w:rPr>
                <w:b/>
                <w:sz w:val="20"/>
              </w:rPr>
              <w:t>Actions and Opportunities</w:t>
            </w:r>
          </w:p>
        </w:tc>
        <w:tc>
          <w:tcPr>
            <w:tcW w:w="2403"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9456F93" w14:textId="50CBE948" w:rsidR="0011324E" w:rsidRPr="00563D71" w:rsidRDefault="0011324E" w:rsidP="009B51EA">
            <w:pPr>
              <w:spacing w:line="259" w:lineRule="auto"/>
              <w:ind w:left="0" w:firstLine="0"/>
              <w:jc w:val="left"/>
              <w:rPr>
                <w:b/>
                <w:sz w:val="20"/>
              </w:rPr>
            </w:pPr>
            <w:r w:rsidRPr="00563D71">
              <w:rPr>
                <w:b/>
                <w:sz w:val="20"/>
              </w:rPr>
              <w:t>Risks</w:t>
            </w:r>
          </w:p>
        </w:tc>
      </w:tr>
      <w:tr w:rsidR="0011324E" w:rsidRPr="00563D71" w14:paraId="740D2981" w14:textId="77777777" w:rsidTr="0032029F">
        <w:tblPrEx>
          <w:tblCellMar>
            <w:top w:w="3" w:type="dxa"/>
            <w:left w:w="67" w:type="dxa"/>
            <w:right w:w="53" w:type="dxa"/>
          </w:tblCellMar>
        </w:tblPrEx>
        <w:trPr>
          <w:trHeight w:val="352"/>
        </w:trPr>
        <w:tc>
          <w:tcPr>
            <w:tcW w:w="2597" w:type="pct"/>
            <w:gridSpan w:val="2"/>
            <w:tcBorders>
              <w:top w:val="single" w:sz="4" w:space="0" w:color="000000"/>
              <w:left w:val="single" w:sz="4" w:space="0" w:color="000000"/>
              <w:bottom w:val="single" w:sz="4" w:space="0" w:color="000000"/>
              <w:right w:val="single" w:sz="4" w:space="0" w:color="000000"/>
            </w:tcBorders>
          </w:tcPr>
          <w:p w14:paraId="5F4CFD87" w14:textId="34B5D662" w:rsidR="0011324E" w:rsidRPr="00563D71" w:rsidRDefault="00DD0776" w:rsidP="00F56CAB">
            <w:pPr>
              <w:pStyle w:val="ListParagraph"/>
              <w:numPr>
                <w:ilvl w:val="0"/>
                <w:numId w:val="24"/>
              </w:numPr>
              <w:spacing w:after="0" w:line="259" w:lineRule="auto"/>
              <w:jc w:val="left"/>
              <w:rPr>
                <w:rFonts w:ascii="Times New Roman" w:hAnsi="Times New Roman" w:cs="Times New Roman"/>
                <w:sz w:val="20"/>
              </w:rPr>
            </w:pPr>
            <w:r w:rsidRPr="00563D71">
              <w:rPr>
                <w:rFonts w:ascii="Times New Roman" w:hAnsi="Times New Roman" w:cs="Times New Roman"/>
                <w:sz w:val="20"/>
              </w:rPr>
              <w:t xml:space="preserve">Program support for preparation of Integrated </w:t>
            </w:r>
            <w:r w:rsidR="00F00BCF" w:rsidRPr="00563D71">
              <w:rPr>
                <w:rFonts w:ascii="Times New Roman" w:hAnsi="Times New Roman" w:cs="Times New Roman"/>
                <w:sz w:val="20"/>
              </w:rPr>
              <w:t xml:space="preserve">Tourism </w:t>
            </w:r>
            <w:r w:rsidRPr="00563D71">
              <w:rPr>
                <w:rFonts w:ascii="Times New Roman" w:hAnsi="Times New Roman" w:cs="Times New Roman"/>
                <w:sz w:val="20"/>
              </w:rPr>
              <w:t xml:space="preserve">Master Plans </w:t>
            </w:r>
            <w:r w:rsidR="000B0DC9" w:rsidRPr="00563D71">
              <w:rPr>
                <w:rFonts w:ascii="Times New Roman" w:hAnsi="Times New Roman" w:cs="Times New Roman"/>
                <w:sz w:val="20"/>
              </w:rPr>
              <w:t xml:space="preserve">(IPF component) </w:t>
            </w:r>
            <w:r w:rsidRPr="00563D71">
              <w:rPr>
                <w:rFonts w:ascii="Times New Roman" w:hAnsi="Times New Roman" w:cs="Times New Roman"/>
                <w:sz w:val="20"/>
              </w:rPr>
              <w:t xml:space="preserve">will take environmental and socio-cultural opportunities and constraints into consideration and consider alternatives at a strategic level, and feasibility studies </w:t>
            </w:r>
            <w:r w:rsidR="00927D45" w:rsidRPr="00563D71">
              <w:rPr>
                <w:rFonts w:ascii="Times New Roman" w:hAnsi="Times New Roman" w:cs="Times New Roman"/>
                <w:sz w:val="20"/>
              </w:rPr>
              <w:t xml:space="preserve">and environmental instruments </w:t>
            </w:r>
            <w:r w:rsidRPr="00563D71">
              <w:rPr>
                <w:rFonts w:ascii="Times New Roman" w:hAnsi="Times New Roman" w:cs="Times New Roman"/>
                <w:sz w:val="20"/>
              </w:rPr>
              <w:t>will do the same at the</w:t>
            </w:r>
            <w:r w:rsidR="00F00BCF" w:rsidRPr="00563D71">
              <w:rPr>
                <w:rFonts w:ascii="Times New Roman" w:hAnsi="Times New Roman" w:cs="Times New Roman"/>
                <w:sz w:val="20"/>
              </w:rPr>
              <w:t xml:space="preserve"> investment</w:t>
            </w:r>
            <w:r w:rsidRPr="00563D71">
              <w:rPr>
                <w:rFonts w:ascii="Times New Roman" w:hAnsi="Times New Roman" w:cs="Times New Roman"/>
                <w:sz w:val="20"/>
              </w:rPr>
              <w:t xml:space="preserve"> level</w:t>
            </w:r>
            <w:r w:rsidR="009556D3" w:rsidRPr="00563D71">
              <w:rPr>
                <w:rFonts w:ascii="Times New Roman" w:hAnsi="Times New Roman" w:cs="Times New Roman"/>
                <w:sz w:val="20"/>
              </w:rPr>
              <w:t xml:space="preserve">, the latter with oversight from </w:t>
            </w:r>
            <w:r w:rsidR="000B0DC9" w:rsidRPr="00563D71">
              <w:rPr>
                <w:rFonts w:ascii="Times New Roman" w:hAnsi="Times New Roman" w:cs="Times New Roman"/>
                <w:sz w:val="20"/>
              </w:rPr>
              <w:t xml:space="preserve">Program </w:t>
            </w:r>
            <w:r w:rsidR="009556D3" w:rsidRPr="00563D71">
              <w:rPr>
                <w:rFonts w:ascii="Times New Roman" w:hAnsi="Times New Roman" w:cs="Times New Roman"/>
                <w:sz w:val="20"/>
              </w:rPr>
              <w:t xml:space="preserve">Management </w:t>
            </w:r>
            <w:r w:rsidR="000B0DC9" w:rsidRPr="00563D71">
              <w:rPr>
                <w:rFonts w:ascii="Times New Roman" w:hAnsi="Times New Roman" w:cs="Times New Roman"/>
                <w:sz w:val="20"/>
              </w:rPr>
              <w:t xml:space="preserve">Support (through the Program Management </w:t>
            </w:r>
            <w:r w:rsidR="009556D3" w:rsidRPr="00563D71">
              <w:rPr>
                <w:rFonts w:ascii="Times New Roman" w:hAnsi="Times New Roman" w:cs="Times New Roman"/>
                <w:sz w:val="20"/>
              </w:rPr>
              <w:t>Consultant</w:t>
            </w:r>
            <w:r w:rsidR="000B0DC9" w:rsidRPr="00563D71">
              <w:rPr>
                <w:rFonts w:ascii="Times New Roman" w:hAnsi="Times New Roman" w:cs="Times New Roman"/>
                <w:sz w:val="20"/>
              </w:rPr>
              <w:t>s’ Services and/or additional qualified staff at the MPWH)</w:t>
            </w:r>
            <w:r w:rsidR="009556D3" w:rsidRPr="00563D71">
              <w:rPr>
                <w:rFonts w:ascii="Times New Roman" w:hAnsi="Times New Roman" w:cs="Times New Roman"/>
                <w:sz w:val="20"/>
              </w:rPr>
              <w:t>.</w:t>
            </w:r>
          </w:p>
          <w:p w14:paraId="7C636DAD" w14:textId="10C1F048" w:rsidR="00C55C8A" w:rsidRPr="00563D71" w:rsidRDefault="00C55C8A" w:rsidP="00F56CAB">
            <w:pPr>
              <w:pStyle w:val="ListParagraph"/>
              <w:numPr>
                <w:ilvl w:val="0"/>
                <w:numId w:val="24"/>
              </w:numPr>
              <w:spacing w:after="0" w:line="259" w:lineRule="auto"/>
              <w:jc w:val="left"/>
              <w:rPr>
                <w:rFonts w:ascii="Times New Roman" w:hAnsi="Times New Roman" w:cs="Times New Roman"/>
                <w:sz w:val="20"/>
              </w:rPr>
            </w:pPr>
            <w:r w:rsidRPr="00563D71">
              <w:rPr>
                <w:rFonts w:ascii="Times New Roman" w:hAnsi="Times New Roman" w:cs="Times New Roman"/>
                <w:sz w:val="20"/>
              </w:rPr>
              <w:t xml:space="preserve">Establish </w:t>
            </w:r>
            <w:r w:rsidR="00ED78A9" w:rsidRPr="00563D71">
              <w:rPr>
                <w:rFonts w:ascii="Times New Roman" w:hAnsi="Times New Roman" w:cs="Times New Roman"/>
                <w:sz w:val="20"/>
              </w:rPr>
              <w:t xml:space="preserve">or strengthen existing </w:t>
            </w:r>
            <w:r w:rsidRPr="00563D71">
              <w:rPr>
                <w:rFonts w:ascii="Times New Roman" w:hAnsi="Times New Roman" w:cs="Times New Roman"/>
                <w:sz w:val="20"/>
              </w:rPr>
              <w:t>institutional arrangement for monitoring and protection of cultural and natural assets for tourism</w:t>
            </w:r>
            <w:r w:rsidR="004B4C0E" w:rsidRPr="00563D71">
              <w:rPr>
                <w:rFonts w:ascii="Times New Roman" w:hAnsi="Times New Roman" w:cs="Times New Roman"/>
                <w:sz w:val="20"/>
              </w:rPr>
              <w:t xml:space="preserve"> at each destination</w:t>
            </w:r>
            <w:r w:rsidR="00F56CAB" w:rsidRPr="00563D71">
              <w:rPr>
                <w:rFonts w:ascii="Times New Roman" w:hAnsi="Times New Roman" w:cs="Times New Roman"/>
                <w:sz w:val="20"/>
              </w:rPr>
              <w:t>.</w:t>
            </w:r>
          </w:p>
          <w:p w14:paraId="0A5762EA" w14:textId="4C4F37E3" w:rsidR="00DD0776" w:rsidRPr="00563D71" w:rsidRDefault="000B0DC9" w:rsidP="00854FB5">
            <w:pPr>
              <w:pStyle w:val="ListParagraph"/>
              <w:numPr>
                <w:ilvl w:val="0"/>
                <w:numId w:val="24"/>
              </w:numPr>
              <w:spacing w:after="0" w:line="259" w:lineRule="auto"/>
              <w:jc w:val="left"/>
              <w:rPr>
                <w:rFonts w:ascii="Times New Roman" w:hAnsi="Times New Roman" w:cs="Times New Roman"/>
                <w:sz w:val="20"/>
              </w:rPr>
            </w:pPr>
            <w:r w:rsidRPr="00563D71">
              <w:rPr>
                <w:rFonts w:ascii="Times New Roman" w:hAnsi="Times New Roman" w:cs="Times New Roman"/>
                <w:sz w:val="20"/>
              </w:rPr>
              <w:t xml:space="preserve">Program </w:t>
            </w:r>
            <w:r w:rsidR="009556D3" w:rsidRPr="00563D71">
              <w:rPr>
                <w:rFonts w:ascii="Times New Roman" w:hAnsi="Times New Roman" w:cs="Times New Roman"/>
                <w:sz w:val="20"/>
              </w:rPr>
              <w:t xml:space="preserve">Management </w:t>
            </w:r>
            <w:r w:rsidRPr="00563D71">
              <w:rPr>
                <w:rFonts w:ascii="Times New Roman" w:hAnsi="Times New Roman" w:cs="Times New Roman"/>
                <w:sz w:val="20"/>
              </w:rPr>
              <w:t xml:space="preserve">Support </w:t>
            </w:r>
            <w:r w:rsidR="009556D3" w:rsidRPr="00563D71">
              <w:rPr>
                <w:rFonts w:ascii="Times New Roman" w:hAnsi="Times New Roman" w:cs="Times New Roman"/>
                <w:sz w:val="20"/>
              </w:rPr>
              <w:t>Consultant</w:t>
            </w:r>
            <w:r w:rsidRPr="00563D71">
              <w:rPr>
                <w:rFonts w:ascii="Times New Roman" w:hAnsi="Times New Roman" w:cs="Times New Roman"/>
                <w:sz w:val="20"/>
              </w:rPr>
              <w:t>s Services</w:t>
            </w:r>
            <w:r w:rsidR="009556D3" w:rsidRPr="00563D71">
              <w:rPr>
                <w:rFonts w:ascii="Times New Roman" w:hAnsi="Times New Roman" w:cs="Times New Roman"/>
                <w:sz w:val="20"/>
              </w:rPr>
              <w:t xml:space="preserve"> </w:t>
            </w:r>
            <w:r w:rsidRPr="00563D71">
              <w:rPr>
                <w:rFonts w:ascii="Times New Roman" w:hAnsi="Times New Roman" w:cs="Times New Roman"/>
                <w:sz w:val="20"/>
              </w:rPr>
              <w:t xml:space="preserve">(and/or additional staff at MPWH) </w:t>
            </w:r>
            <w:r w:rsidR="009556D3" w:rsidRPr="00563D71">
              <w:rPr>
                <w:rFonts w:ascii="Times New Roman" w:hAnsi="Times New Roman" w:cs="Times New Roman"/>
                <w:sz w:val="20"/>
              </w:rPr>
              <w:t>will have environmental and social staff</w:t>
            </w:r>
            <w:r w:rsidR="00DD0776" w:rsidRPr="00563D71">
              <w:rPr>
                <w:rFonts w:ascii="Times New Roman" w:hAnsi="Times New Roman" w:cs="Times New Roman"/>
                <w:sz w:val="20"/>
              </w:rPr>
              <w:t xml:space="preserve"> to assist monitoring and approving agencies</w:t>
            </w:r>
            <w:r w:rsidR="009556D3" w:rsidRPr="00563D71">
              <w:rPr>
                <w:rFonts w:ascii="Times New Roman" w:hAnsi="Times New Roman" w:cs="Times New Roman"/>
                <w:sz w:val="20"/>
              </w:rPr>
              <w:t xml:space="preserve"> in their functions and to provide the training in items 4 and 5 below.</w:t>
            </w:r>
          </w:p>
          <w:p w14:paraId="3E0AEBDC" w14:textId="77777777" w:rsidR="00DD0776" w:rsidRPr="00563D71" w:rsidRDefault="00DD0776" w:rsidP="00854FB5">
            <w:pPr>
              <w:pStyle w:val="ListParagraph"/>
              <w:numPr>
                <w:ilvl w:val="0"/>
                <w:numId w:val="24"/>
              </w:numPr>
              <w:spacing w:after="0" w:line="259" w:lineRule="auto"/>
              <w:jc w:val="left"/>
              <w:rPr>
                <w:rFonts w:ascii="Times New Roman" w:hAnsi="Times New Roman" w:cs="Times New Roman"/>
                <w:sz w:val="20"/>
              </w:rPr>
            </w:pPr>
            <w:r w:rsidRPr="00563D71">
              <w:rPr>
                <w:rFonts w:ascii="Times New Roman" w:hAnsi="Times New Roman" w:cs="Times New Roman"/>
                <w:sz w:val="20"/>
              </w:rPr>
              <w:t xml:space="preserve">Training for EA consultants </w:t>
            </w:r>
          </w:p>
          <w:p w14:paraId="0F502AA6" w14:textId="77777777" w:rsidR="0087533D" w:rsidRPr="00563D71" w:rsidRDefault="00DD0776" w:rsidP="00854FB5">
            <w:pPr>
              <w:pStyle w:val="ListParagraph"/>
              <w:numPr>
                <w:ilvl w:val="0"/>
                <w:numId w:val="24"/>
              </w:numPr>
              <w:spacing w:after="0" w:line="259" w:lineRule="auto"/>
              <w:jc w:val="left"/>
              <w:rPr>
                <w:rFonts w:ascii="Times New Roman" w:hAnsi="Times New Roman" w:cs="Times New Roman"/>
                <w:sz w:val="20"/>
              </w:rPr>
            </w:pPr>
            <w:r w:rsidRPr="00563D71">
              <w:rPr>
                <w:rFonts w:ascii="Times New Roman" w:hAnsi="Times New Roman" w:cs="Times New Roman"/>
                <w:sz w:val="20"/>
              </w:rPr>
              <w:t>Training for monitoring, reviewing/approving, and enforcement agencies</w:t>
            </w:r>
          </w:p>
          <w:p w14:paraId="7C056795" w14:textId="2E87FB65" w:rsidR="00927D45" w:rsidRPr="00563D71" w:rsidRDefault="00CE0605" w:rsidP="00604C9B">
            <w:pPr>
              <w:pStyle w:val="ListParagraph"/>
              <w:numPr>
                <w:ilvl w:val="0"/>
                <w:numId w:val="24"/>
              </w:numPr>
              <w:spacing w:after="0" w:line="259" w:lineRule="auto"/>
              <w:jc w:val="left"/>
              <w:rPr>
                <w:sz w:val="20"/>
              </w:rPr>
            </w:pPr>
            <w:r w:rsidRPr="00563D71">
              <w:rPr>
                <w:rFonts w:ascii="Times New Roman" w:hAnsi="Times New Roman" w:cs="Times New Roman"/>
                <w:sz w:val="20"/>
                <w:szCs w:val="20"/>
              </w:rPr>
              <w:t xml:space="preserve">Adoption of the Investment and Expenditure Menu of the Program, the mechanism for reviewing the proposed annual work plan against the Menu and the Integrated Tourism Master Plans, and the screening mechanism for year 1 investments and proposed additions to the Menu, to </w:t>
            </w:r>
            <w:r w:rsidR="00927D45" w:rsidRPr="00563D71">
              <w:rPr>
                <w:rFonts w:ascii="Times New Roman" w:hAnsi="Times New Roman" w:cs="Times New Roman"/>
                <w:sz w:val="20"/>
              </w:rPr>
              <w:t>ensure that the Program does not finance projects proscribed in the Program for Results Policy</w:t>
            </w:r>
            <w:r w:rsidRPr="00563D71">
              <w:rPr>
                <w:rFonts w:ascii="Times New Roman" w:hAnsi="Times New Roman" w:cs="Times New Roman"/>
                <w:sz w:val="20"/>
              </w:rPr>
              <w:t>.</w:t>
            </w:r>
          </w:p>
        </w:tc>
        <w:tc>
          <w:tcPr>
            <w:tcW w:w="2403" w:type="pct"/>
            <w:gridSpan w:val="2"/>
            <w:tcBorders>
              <w:top w:val="single" w:sz="4" w:space="0" w:color="000000"/>
              <w:left w:val="single" w:sz="4" w:space="0" w:color="000000"/>
              <w:bottom w:val="single" w:sz="4" w:space="0" w:color="000000"/>
              <w:right w:val="single" w:sz="4" w:space="0" w:color="000000"/>
            </w:tcBorders>
          </w:tcPr>
          <w:p w14:paraId="441EBC77" w14:textId="14A98BC2" w:rsidR="00DD0776" w:rsidRPr="00563D71" w:rsidRDefault="00DD0776" w:rsidP="003D2E29">
            <w:pPr>
              <w:pStyle w:val="ListParagraph"/>
              <w:numPr>
                <w:ilvl w:val="0"/>
                <w:numId w:val="20"/>
              </w:numPr>
              <w:spacing w:after="0" w:line="240" w:lineRule="auto"/>
              <w:ind w:left="331" w:hanging="288"/>
              <w:jc w:val="left"/>
              <w:rPr>
                <w:rFonts w:ascii="Times New Roman" w:hAnsi="Times New Roman" w:cs="Times New Roman"/>
                <w:sz w:val="20"/>
              </w:rPr>
            </w:pPr>
            <w:bookmarkStart w:id="73" w:name="OLE_LINK65"/>
            <w:bookmarkStart w:id="74" w:name="OLE_LINK66"/>
            <w:r w:rsidRPr="00563D71">
              <w:rPr>
                <w:rFonts w:ascii="Times New Roman" w:hAnsi="Times New Roman" w:cs="Times New Roman"/>
                <w:sz w:val="20"/>
              </w:rPr>
              <w:t xml:space="preserve">Individual infrastructure </w:t>
            </w:r>
            <w:r w:rsidR="00F00BCF" w:rsidRPr="00563D71">
              <w:rPr>
                <w:rFonts w:ascii="Times New Roman" w:hAnsi="Times New Roman" w:cs="Times New Roman"/>
                <w:sz w:val="20"/>
              </w:rPr>
              <w:t xml:space="preserve">investments </w:t>
            </w:r>
            <w:r w:rsidRPr="00563D71">
              <w:rPr>
                <w:rFonts w:ascii="Times New Roman" w:hAnsi="Times New Roman" w:cs="Times New Roman"/>
                <w:sz w:val="20"/>
              </w:rPr>
              <w:t>will proceed in a non-integrated fashion, without consideration of environmental and socio-economic constraints at the destination level, or of interactions and cumulative impacts.</w:t>
            </w:r>
          </w:p>
          <w:p w14:paraId="197E0F2B" w14:textId="3502F5A0" w:rsidR="00DD0776" w:rsidRPr="00563D71" w:rsidRDefault="00DD0776" w:rsidP="003D2E29">
            <w:pPr>
              <w:pStyle w:val="ListParagraph"/>
              <w:numPr>
                <w:ilvl w:val="0"/>
                <w:numId w:val="20"/>
              </w:numPr>
              <w:spacing w:after="0" w:line="240" w:lineRule="auto"/>
              <w:ind w:left="331" w:hanging="288"/>
              <w:jc w:val="left"/>
              <w:rPr>
                <w:rFonts w:ascii="Times New Roman" w:hAnsi="Times New Roman" w:cs="Times New Roman"/>
                <w:sz w:val="20"/>
              </w:rPr>
            </w:pPr>
            <w:r w:rsidRPr="00563D71">
              <w:rPr>
                <w:rFonts w:ascii="Times New Roman" w:hAnsi="Times New Roman" w:cs="Times New Roman"/>
                <w:sz w:val="20"/>
              </w:rPr>
              <w:t>Assessments will lack analytical rigor and will not have sufficient depth on social impacts</w:t>
            </w:r>
            <w:r w:rsidR="000B0DC9" w:rsidRPr="00563D71">
              <w:rPr>
                <w:rFonts w:ascii="Times New Roman" w:hAnsi="Times New Roman" w:cs="Times New Roman"/>
                <w:sz w:val="20"/>
              </w:rPr>
              <w:t>.</w:t>
            </w:r>
          </w:p>
          <w:p w14:paraId="191FB2F0" w14:textId="77777777" w:rsidR="0011324E" w:rsidRPr="00563D71" w:rsidRDefault="00DD0776" w:rsidP="003D2E29">
            <w:pPr>
              <w:pStyle w:val="ListParagraph"/>
              <w:numPr>
                <w:ilvl w:val="0"/>
                <w:numId w:val="20"/>
              </w:numPr>
              <w:spacing w:after="0" w:line="240" w:lineRule="auto"/>
              <w:ind w:left="331" w:hanging="288"/>
              <w:jc w:val="left"/>
              <w:rPr>
                <w:sz w:val="20"/>
              </w:rPr>
            </w:pPr>
            <w:r w:rsidRPr="00563D71">
              <w:rPr>
                <w:rFonts w:ascii="Times New Roman" w:hAnsi="Times New Roman" w:cs="Times New Roman"/>
                <w:sz w:val="20"/>
              </w:rPr>
              <w:t>Environmental management and monitoring plans will not be implemented or enforced.</w:t>
            </w:r>
            <w:r w:rsidRPr="00563D71">
              <w:rPr>
                <w:sz w:val="20"/>
              </w:rPr>
              <w:t xml:space="preserve"> </w:t>
            </w:r>
          </w:p>
          <w:p w14:paraId="6BCE6571" w14:textId="60B86F50" w:rsidR="00C55C8A" w:rsidRPr="00563D71" w:rsidRDefault="00C55C8A" w:rsidP="003D2E29">
            <w:pPr>
              <w:pStyle w:val="ListParagraph"/>
              <w:numPr>
                <w:ilvl w:val="0"/>
                <w:numId w:val="20"/>
              </w:numPr>
              <w:spacing w:after="0" w:line="240" w:lineRule="auto"/>
              <w:ind w:left="331" w:hanging="288"/>
              <w:jc w:val="left"/>
              <w:rPr>
                <w:rFonts w:ascii="Times New Roman" w:hAnsi="Times New Roman" w:cs="Times New Roman"/>
                <w:sz w:val="20"/>
              </w:rPr>
            </w:pPr>
            <w:r w:rsidRPr="00563D71">
              <w:rPr>
                <w:rFonts w:ascii="Times New Roman" w:hAnsi="Times New Roman" w:cs="Times New Roman"/>
                <w:sz w:val="20"/>
              </w:rPr>
              <w:t xml:space="preserve">Natural and cultural assets that are the attraction for </w:t>
            </w:r>
            <w:r w:rsidR="000B0DC9" w:rsidRPr="00563D71">
              <w:rPr>
                <w:rFonts w:ascii="Times New Roman" w:hAnsi="Times New Roman" w:cs="Times New Roman"/>
                <w:sz w:val="20"/>
              </w:rPr>
              <w:t xml:space="preserve">visitors </w:t>
            </w:r>
            <w:r w:rsidRPr="00563D71">
              <w:rPr>
                <w:rFonts w:ascii="Times New Roman" w:hAnsi="Times New Roman" w:cs="Times New Roman"/>
                <w:sz w:val="20"/>
              </w:rPr>
              <w:t xml:space="preserve">will </w:t>
            </w:r>
            <w:r w:rsidR="009556D3" w:rsidRPr="00563D71">
              <w:rPr>
                <w:rFonts w:ascii="Times New Roman" w:hAnsi="Times New Roman" w:cs="Times New Roman"/>
                <w:sz w:val="20"/>
              </w:rPr>
              <w:t xml:space="preserve">continue to </w:t>
            </w:r>
            <w:r w:rsidRPr="00563D71">
              <w:rPr>
                <w:rFonts w:ascii="Times New Roman" w:hAnsi="Times New Roman" w:cs="Times New Roman"/>
                <w:sz w:val="20"/>
              </w:rPr>
              <w:t>be degraded</w:t>
            </w:r>
            <w:r w:rsidR="000B0DC9" w:rsidRPr="00563D71">
              <w:rPr>
                <w:rFonts w:ascii="Times New Roman" w:hAnsi="Times New Roman" w:cs="Times New Roman"/>
                <w:sz w:val="20"/>
              </w:rPr>
              <w:t>.</w:t>
            </w:r>
          </w:p>
          <w:bookmarkEnd w:id="73"/>
          <w:bookmarkEnd w:id="74"/>
          <w:p w14:paraId="702053E9" w14:textId="44C169F2" w:rsidR="00C55C8A" w:rsidRPr="00563D71" w:rsidRDefault="00C55C8A" w:rsidP="00C55C8A">
            <w:pPr>
              <w:pStyle w:val="ListParagraph"/>
              <w:spacing w:after="0" w:line="259" w:lineRule="auto"/>
              <w:ind w:left="331"/>
              <w:jc w:val="left"/>
              <w:rPr>
                <w:sz w:val="20"/>
              </w:rPr>
            </w:pPr>
          </w:p>
          <w:p w14:paraId="7677FC0B" w14:textId="5447C093" w:rsidR="00C55C8A" w:rsidRPr="00563D71" w:rsidRDefault="00C55C8A" w:rsidP="00C55C8A">
            <w:pPr>
              <w:pStyle w:val="ListParagraph"/>
              <w:spacing w:after="0" w:line="259" w:lineRule="auto"/>
              <w:ind w:left="331"/>
              <w:jc w:val="left"/>
              <w:rPr>
                <w:sz w:val="20"/>
              </w:rPr>
            </w:pPr>
          </w:p>
        </w:tc>
      </w:tr>
    </w:tbl>
    <w:p w14:paraId="4D9AECD3" w14:textId="31C4125B" w:rsidR="00245F03" w:rsidRPr="00563D71" w:rsidRDefault="00245F03">
      <w:pPr>
        <w:spacing w:line="259" w:lineRule="auto"/>
        <w:ind w:left="0" w:firstLine="0"/>
      </w:pPr>
    </w:p>
    <w:tbl>
      <w:tblPr>
        <w:tblStyle w:val="TableGrid"/>
        <w:tblW w:w="5000" w:type="pct"/>
        <w:tblInd w:w="0" w:type="dxa"/>
        <w:tblCellMar>
          <w:top w:w="3" w:type="dxa"/>
          <w:left w:w="108" w:type="dxa"/>
          <w:right w:w="92" w:type="dxa"/>
        </w:tblCellMar>
        <w:tblLook w:val="04A0" w:firstRow="1" w:lastRow="0" w:firstColumn="1" w:lastColumn="0" w:noHBand="0" w:noVBand="1"/>
      </w:tblPr>
      <w:tblGrid>
        <w:gridCol w:w="432"/>
        <w:gridCol w:w="2352"/>
        <w:gridCol w:w="3424"/>
        <w:gridCol w:w="3867"/>
        <w:gridCol w:w="2875"/>
      </w:tblGrid>
      <w:tr w:rsidR="00245F03" w:rsidRPr="00563D71" w14:paraId="778650FA" w14:textId="77777777" w:rsidTr="0032029F">
        <w:trPr>
          <w:trHeight w:val="7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4DADC7"/>
          </w:tcPr>
          <w:p w14:paraId="4B7C383D" w14:textId="0C378F93" w:rsidR="00245F03" w:rsidRPr="00563D71" w:rsidRDefault="00162585" w:rsidP="00162585">
            <w:pPr>
              <w:spacing w:before="240" w:line="259" w:lineRule="auto"/>
              <w:ind w:left="0" w:firstLine="0"/>
              <w:jc w:val="left"/>
            </w:pPr>
            <w:r w:rsidRPr="00563D71">
              <w:rPr>
                <w:b/>
                <w:sz w:val="22"/>
              </w:rPr>
              <w:t xml:space="preserve">Policy Element 2:  </w:t>
            </w:r>
            <w:r w:rsidR="00D04B10" w:rsidRPr="00563D71">
              <w:rPr>
                <w:b/>
                <w:sz w:val="22"/>
              </w:rPr>
              <w:t xml:space="preserve"> </w:t>
            </w:r>
            <w:r w:rsidRPr="00563D71">
              <w:rPr>
                <w:b/>
                <w:sz w:val="22"/>
              </w:rPr>
              <w:t xml:space="preserve">Program systems </w:t>
            </w:r>
            <w:r w:rsidR="00D04B10" w:rsidRPr="00563D71">
              <w:rPr>
                <w:b/>
                <w:sz w:val="22"/>
              </w:rPr>
              <w:t>avoid, minimize</w:t>
            </w:r>
            <w:r w:rsidR="00C80C31" w:rsidRPr="00563D71">
              <w:rPr>
                <w:b/>
                <w:sz w:val="22"/>
              </w:rPr>
              <w:t>,</w:t>
            </w:r>
            <w:r w:rsidR="00D04B10" w:rsidRPr="00563D71">
              <w:rPr>
                <w:b/>
                <w:sz w:val="22"/>
              </w:rPr>
              <w:t xml:space="preserve"> and mitigate against adverse effects on natural habitats and physical cultural resources resulting fr</w:t>
            </w:r>
            <w:r w:rsidRPr="00563D71">
              <w:rPr>
                <w:b/>
                <w:sz w:val="22"/>
              </w:rPr>
              <w:t>om the P</w:t>
            </w:r>
            <w:r w:rsidR="00D04B10" w:rsidRPr="00563D71">
              <w:rPr>
                <w:b/>
                <w:sz w:val="22"/>
              </w:rPr>
              <w:t>rogram.</w:t>
            </w:r>
            <w:r w:rsidR="00D04B10" w:rsidRPr="00563D71">
              <w:rPr>
                <w:b/>
                <w:sz w:val="20"/>
              </w:rPr>
              <w:t xml:space="preserve">   </w:t>
            </w:r>
          </w:p>
        </w:tc>
      </w:tr>
      <w:tr w:rsidR="00245F03" w:rsidRPr="00563D71" w14:paraId="33CB70BD" w14:textId="77777777" w:rsidTr="0032029F">
        <w:trPr>
          <w:trHeight w:val="369"/>
        </w:trPr>
        <w:tc>
          <w:tcPr>
            <w:tcW w:w="1075" w:type="pct"/>
            <w:gridSpan w:val="2"/>
            <w:tcBorders>
              <w:top w:val="single" w:sz="4" w:space="0" w:color="000000"/>
              <w:left w:val="single" w:sz="8" w:space="0" w:color="4BACC6"/>
              <w:bottom w:val="single" w:sz="4" w:space="0" w:color="000000"/>
              <w:right w:val="single" w:sz="4" w:space="0" w:color="000000"/>
            </w:tcBorders>
            <w:shd w:val="clear" w:color="auto" w:fill="B8CCE4"/>
          </w:tcPr>
          <w:p w14:paraId="76DD7855" w14:textId="77777777" w:rsidR="00245F03" w:rsidRPr="00563D71" w:rsidRDefault="00D04B10" w:rsidP="00162585">
            <w:pPr>
              <w:spacing w:line="259" w:lineRule="auto"/>
              <w:ind w:left="0" w:firstLine="0"/>
              <w:jc w:val="left"/>
            </w:pPr>
            <w:r w:rsidRPr="00563D71">
              <w:rPr>
                <w:b/>
                <w:sz w:val="20"/>
              </w:rPr>
              <w:t xml:space="preserve">Key </w:t>
            </w:r>
            <w:r w:rsidR="00162585" w:rsidRPr="00563D71">
              <w:rPr>
                <w:b/>
                <w:sz w:val="20"/>
              </w:rPr>
              <w:t>Attributes</w:t>
            </w:r>
            <w:r w:rsidRPr="00563D71">
              <w:rPr>
                <w:b/>
                <w:sz w:val="20"/>
              </w:rPr>
              <w:t xml:space="preserve"> </w:t>
            </w:r>
          </w:p>
        </w:tc>
        <w:tc>
          <w:tcPr>
            <w:tcW w:w="2815" w:type="pct"/>
            <w:gridSpan w:val="2"/>
            <w:tcBorders>
              <w:top w:val="single" w:sz="4" w:space="0" w:color="000000"/>
              <w:left w:val="single" w:sz="4" w:space="0" w:color="000000"/>
              <w:bottom w:val="single" w:sz="4" w:space="0" w:color="000000"/>
              <w:right w:val="single" w:sz="4" w:space="0" w:color="000000"/>
            </w:tcBorders>
            <w:shd w:val="clear" w:color="auto" w:fill="B8CCE4"/>
          </w:tcPr>
          <w:p w14:paraId="295E5C47" w14:textId="77777777" w:rsidR="00245F03" w:rsidRPr="00563D71" w:rsidRDefault="00D04B10">
            <w:pPr>
              <w:spacing w:line="259" w:lineRule="auto"/>
              <w:ind w:left="7" w:firstLine="0"/>
              <w:jc w:val="left"/>
            </w:pPr>
            <w:r w:rsidRPr="00563D71">
              <w:rPr>
                <w:b/>
                <w:sz w:val="20"/>
              </w:rPr>
              <w:t xml:space="preserve">Program System </w:t>
            </w:r>
          </w:p>
        </w:tc>
        <w:tc>
          <w:tcPr>
            <w:tcW w:w="1110" w:type="pct"/>
            <w:tcBorders>
              <w:top w:val="single" w:sz="4" w:space="0" w:color="000000"/>
              <w:left w:val="single" w:sz="4" w:space="0" w:color="000000"/>
              <w:bottom w:val="single" w:sz="4" w:space="0" w:color="000000"/>
              <w:right w:val="single" w:sz="8" w:space="0" w:color="4BACC6"/>
            </w:tcBorders>
            <w:shd w:val="clear" w:color="auto" w:fill="B8CCE4"/>
          </w:tcPr>
          <w:p w14:paraId="2406CBF6" w14:textId="77777777" w:rsidR="00245F03" w:rsidRPr="00563D71" w:rsidRDefault="00D04B10">
            <w:pPr>
              <w:spacing w:line="259" w:lineRule="auto"/>
              <w:ind w:left="7" w:firstLine="0"/>
              <w:jc w:val="left"/>
            </w:pPr>
            <w:r w:rsidRPr="00563D71">
              <w:rPr>
                <w:b/>
                <w:sz w:val="20"/>
              </w:rPr>
              <w:t xml:space="preserve">Gaps  </w:t>
            </w:r>
          </w:p>
        </w:tc>
      </w:tr>
      <w:tr w:rsidR="00245F03" w:rsidRPr="00563D71" w14:paraId="05A1420A" w14:textId="77777777" w:rsidTr="0032029F">
        <w:trPr>
          <w:trHeight w:val="1282"/>
        </w:trPr>
        <w:tc>
          <w:tcPr>
            <w:tcW w:w="1075" w:type="pct"/>
            <w:gridSpan w:val="2"/>
            <w:tcBorders>
              <w:top w:val="single" w:sz="4" w:space="0" w:color="000000"/>
              <w:left w:val="single" w:sz="4" w:space="0" w:color="000000"/>
              <w:bottom w:val="single" w:sz="4" w:space="0" w:color="000000"/>
              <w:right w:val="single" w:sz="4" w:space="0" w:color="000000"/>
            </w:tcBorders>
          </w:tcPr>
          <w:p w14:paraId="1EB0CA5E" w14:textId="77777777" w:rsidR="00245F03" w:rsidRPr="00563D71" w:rsidRDefault="00162585" w:rsidP="004B4C0E">
            <w:pPr>
              <w:spacing w:line="259" w:lineRule="auto"/>
              <w:ind w:left="374" w:right="29" w:hanging="288"/>
              <w:jc w:val="left"/>
            </w:pPr>
            <w:r w:rsidRPr="00563D71">
              <w:rPr>
                <w:sz w:val="20"/>
              </w:rPr>
              <w:t>(a)</w:t>
            </w:r>
            <w:r w:rsidR="00D04B10" w:rsidRPr="00563D71">
              <w:rPr>
                <w:sz w:val="20"/>
              </w:rPr>
              <w:t xml:space="preserve"> </w:t>
            </w:r>
            <w:r w:rsidRPr="00563D71">
              <w:rPr>
                <w:sz w:val="20"/>
              </w:rPr>
              <w:t>Include</w:t>
            </w:r>
            <w:r w:rsidR="00D04B10" w:rsidRPr="00563D71">
              <w:rPr>
                <w:sz w:val="20"/>
              </w:rPr>
              <w:t xml:space="preserve"> appropriate measures for </w:t>
            </w:r>
            <w:r w:rsidRPr="00563D71">
              <w:rPr>
                <w:sz w:val="20"/>
              </w:rPr>
              <w:t xml:space="preserve">the </w:t>
            </w:r>
            <w:r w:rsidR="00D04B10" w:rsidRPr="00563D71">
              <w:rPr>
                <w:sz w:val="20"/>
              </w:rPr>
              <w:t xml:space="preserve">early identification and screening of potentially important biodiversity and cultural resource areas. </w:t>
            </w:r>
          </w:p>
        </w:tc>
        <w:tc>
          <w:tcPr>
            <w:tcW w:w="2815" w:type="pct"/>
            <w:gridSpan w:val="2"/>
            <w:tcBorders>
              <w:top w:val="single" w:sz="4" w:space="0" w:color="000000"/>
              <w:left w:val="single" w:sz="4" w:space="0" w:color="000000"/>
              <w:bottom w:val="single" w:sz="4" w:space="0" w:color="000000"/>
              <w:right w:val="single" w:sz="4" w:space="0" w:color="000000"/>
            </w:tcBorders>
          </w:tcPr>
          <w:p w14:paraId="3B41B91B" w14:textId="795FBEBD" w:rsidR="00245F03" w:rsidRPr="00563D71" w:rsidRDefault="00C211B6" w:rsidP="00927D45">
            <w:pPr>
              <w:spacing w:line="237" w:lineRule="auto"/>
              <w:ind w:left="6" w:firstLine="0"/>
            </w:pPr>
            <w:r w:rsidRPr="00563D71">
              <w:rPr>
                <w:iCs/>
                <w:sz w:val="20"/>
              </w:rPr>
              <w:t>Ministry of Environment (MOE) regulation (</w:t>
            </w:r>
            <w:r w:rsidR="0031157B" w:rsidRPr="00563D71">
              <w:rPr>
                <w:iCs/>
                <w:sz w:val="20"/>
              </w:rPr>
              <w:t>Permen</w:t>
            </w:r>
            <w:r w:rsidR="00D975C0" w:rsidRPr="00563D71">
              <w:rPr>
                <w:iCs/>
                <w:sz w:val="20"/>
              </w:rPr>
              <w:t>LH</w:t>
            </w:r>
            <w:r w:rsidRPr="00563D71">
              <w:rPr>
                <w:iCs/>
                <w:sz w:val="20"/>
              </w:rPr>
              <w:t>)</w:t>
            </w:r>
            <w:r w:rsidR="0031157B" w:rsidRPr="00563D71">
              <w:rPr>
                <w:sz w:val="20"/>
              </w:rPr>
              <w:t xml:space="preserve"> </w:t>
            </w:r>
            <w:r w:rsidR="00C8190F" w:rsidRPr="00563D71">
              <w:rPr>
                <w:sz w:val="20"/>
              </w:rPr>
              <w:t>No. 05</w:t>
            </w:r>
            <w:r w:rsidR="00AF2002" w:rsidRPr="00563D71">
              <w:rPr>
                <w:sz w:val="20"/>
              </w:rPr>
              <w:t xml:space="preserve"> Year </w:t>
            </w:r>
            <w:r w:rsidR="00C8190F" w:rsidRPr="00563D71">
              <w:rPr>
                <w:sz w:val="20"/>
              </w:rPr>
              <w:t>2012</w:t>
            </w:r>
            <w:r w:rsidR="00927D45" w:rsidRPr="00563D71">
              <w:rPr>
                <w:sz w:val="20"/>
              </w:rPr>
              <w:t xml:space="preserve"> </w:t>
            </w:r>
            <w:r w:rsidR="00C8190F" w:rsidRPr="00563D71">
              <w:rPr>
                <w:sz w:val="20"/>
              </w:rPr>
              <w:t>requires AMDAL for any business/activities in or directly adjacent to protected areas</w:t>
            </w:r>
            <w:r w:rsidR="00653C6C" w:rsidRPr="00563D71">
              <w:rPr>
                <w:sz w:val="20"/>
              </w:rPr>
              <w:t>, including watershed</w:t>
            </w:r>
            <w:r w:rsidR="00C80C31" w:rsidRPr="00563D71">
              <w:rPr>
                <w:sz w:val="20"/>
              </w:rPr>
              <w:t>s,</w:t>
            </w:r>
            <w:r w:rsidR="00653C6C" w:rsidRPr="00563D71">
              <w:rPr>
                <w:sz w:val="20"/>
              </w:rPr>
              <w:t xml:space="preserve"> protect</w:t>
            </w:r>
            <w:r w:rsidR="00C80C31" w:rsidRPr="00563D71">
              <w:rPr>
                <w:sz w:val="20"/>
              </w:rPr>
              <w:t>ed</w:t>
            </w:r>
            <w:r w:rsidR="00653C6C" w:rsidRPr="00563D71">
              <w:rPr>
                <w:sz w:val="20"/>
              </w:rPr>
              <w:t xml:space="preserve"> forest</w:t>
            </w:r>
            <w:r w:rsidR="00C80C31" w:rsidRPr="00563D71">
              <w:rPr>
                <w:sz w:val="20"/>
              </w:rPr>
              <w:t>s</w:t>
            </w:r>
            <w:r w:rsidR="00653C6C" w:rsidRPr="00563D71">
              <w:rPr>
                <w:sz w:val="20"/>
              </w:rPr>
              <w:t>, cultural preservation areas, ground</w:t>
            </w:r>
            <w:r w:rsidR="00EA53A3" w:rsidRPr="00563D71">
              <w:rPr>
                <w:sz w:val="20"/>
              </w:rPr>
              <w:t xml:space="preserve"> </w:t>
            </w:r>
            <w:r w:rsidR="00653C6C" w:rsidRPr="00563D71">
              <w:rPr>
                <w:sz w:val="20"/>
              </w:rPr>
              <w:t>water recharge areas, national parks, etc.</w:t>
            </w:r>
            <w:r w:rsidR="00C8190F" w:rsidRPr="00563D71">
              <w:rPr>
                <w:sz w:val="20"/>
              </w:rPr>
              <w:t xml:space="preserve">  </w:t>
            </w:r>
            <w:r w:rsidR="00D04B10" w:rsidRPr="00563D71">
              <w:rPr>
                <w:sz w:val="20"/>
              </w:rPr>
              <w:t xml:space="preserve"> </w:t>
            </w:r>
          </w:p>
        </w:tc>
        <w:tc>
          <w:tcPr>
            <w:tcW w:w="1110" w:type="pct"/>
            <w:tcBorders>
              <w:top w:val="single" w:sz="4" w:space="0" w:color="000000"/>
              <w:left w:val="single" w:sz="4" w:space="0" w:color="000000"/>
              <w:bottom w:val="single" w:sz="4" w:space="0" w:color="000000"/>
              <w:right w:val="single" w:sz="4" w:space="0" w:color="000000"/>
            </w:tcBorders>
          </w:tcPr>
          <w:p w14:paraId="63671BC5" w14:textId="0A23C177" w:rsidR="00245F03" w:rsidRPr="00563D71" w:rsidRDefault="00653C6C" w:rsidP="00C80C31">
            <w:pPr>
              <w:spacing w:line="259" w:lineRule="auto"/>
              <w:ind w:left="7" w:firstLine="0"/>
              <w:jc w:val="left"/>
            </w:pPr>
            <w:r w:rsidRPr="00563D71">
              <w:rPr>
                <w:sz w:val="20"/>
              </w:rPr>
              <w:t>The screening process may not be responsive to the presence of natural habitat</w:t>
            </w:r>
            <w:r w:rsidR="00C80C31" w:rsidRPr="00563D71">
              <w:rPr>
                <w:sz w:val="20"/>
              </w:rPr>
              <w:t>s</w:t>
            </w:r>
            <w:r w:rsidRPr="00563D71">
              <w:rPr>
                <w:sz w:val="20"/>
              </w:rPr>
              <w:t xml:space="preserve"> or cultural resources that </w:t>
            </w:r>
            <w:r w:rsidR="00C80C31" w:rsidRPr="00563D71">
              <w:rPr>
                <w:sz w:val="20"/>
              </w:rPr>
              <w:t xml:space="preserve">do not have </w:t>
            </w:r>
            <w:r w:rsidR="004E0C0A" w:rsidRPr="00563D71">
              <w:rPr>
                <w:sz w:val="20"/>
              </w:rPr>
              <w:t xml:space="preserve">official </w:t>
            </w:r>
            <w:r w:rsidRPr="00563D71">
              <w:rPr>
                <w:sz w:val="20"/>
              </w:rPr>
              <w:t>protected status.</w:t>
            </w:r>
            <w:r w:rsidR="00D04B10" w:rsidRPr="00563D71">
              <w:rPr>
                <w:sz w:val="20"/>
              </w:rPr>
              <w:t xml:space="preserve"> </w:t>
            </w:r>
          </w:p>
        </w:tc>
      </w:tr>
      <w:tr w:rsidR="00245F03" w:rsidRPr="00563D71" w14:paraId="3265734E" w14:textId="77777777" w:rsidTr="0032029F">
        <w:tblPrEx>
          <w:tblCellMar>
            <w:left w:w="0" w:type="dxa"/>
            <w:right w:w="89" w:type="dxa"/>
          </w:tblCellMar>
        </w:tblPrEx>
        <w:trPr>
          <w:trHeight w:val="3316"/>
        </w:trPr>
        <w:tc>
          <w:tcPr>
            <w:tcW w:w="167" w:type="pct"/>
            <w:tcBorders>
              <w:top w:val="single" w:sz="4" w:space="0" w:color="000000"/>
              <w:left w:val="single" w:sz="4" w:space="0" w:color="000000"/>
              <w:bottom w:val="single" w:sz="4" w:space="0" w:color="000000"/>
              <w:right w:val="nil"/>
            </w:tcBorders>
          </w:tcPr>
          <w:p w14:paraId="166F3B93" w14:textId="4DCA7830" w:rsidR="00245F03" w:rsidRPr="00563D71" w:rsidRDefault="00C8190F" w:rsidP="00E75099">
            <w:pPr>
              <w:spacing w:line="259" w:lineRule="auto"/>
              <w:ind w:left="86" w:right="29" w:firstLine="0"/>
              <w:jc w:val="left"/>
              <w:rPr>
                <w:sz w:val="20"/>
              </w:rPr>
            </w:pPr>
            <w:r w:rsidRPr="00563D71">
              <w:rPr>
                <w:sz w:val="20"/>
              </w:rPr>
              <w:t>b)</w:t>
            </w:r>
          </w:p>
        </w:tc>
        <w:tc>
          <w:tcPr>
            <w:tcW w:w="908" w:type="pct"/>
            <w:tcBorders>
              <w:top w:val="single" w:sz="4" w:space="0" w:color="000000"/>
              <w:left w:val="nil"/>
              <w:bottom w:val="single" w:sz="4" w:space="0" w:color="000000"/>
              <w:right w:val="single" w:sz="4" w:space="0" w:color="000000"/>
            </w:tcBorders>
          </w:tcPr>
          <w:p w14:paraId="444D23E2" w14:textId="5D4A7482" w:rsidR="00245F03" w:rsidRPr="00563D71" w:rsidRDefault="00162585" w:rsidP="004B4C0E">
            <w:pPr>
              <w:ind w:left="86" w:right="29" w:firstLine="0"/>
              <w:jc w:val="left"/>
              <w:rPr>
                <w:sz w:val="20"/>
              </w:rPr>
            </w:pPr>
            <w:r w:rsidRPr="00563D71">
              <w:rPr>
                <w:sz w:val="20"/>
              </w:rPr>
              <w:t>Support and promote</w:t>
            </w:r>
            <w:r w:rsidR="00D04B10" w:rsidRPr="00563D71">
              <w:rPr>
                <w:sz w:val="20"/>
              </w:rPr>
              <w:t xml:space="preserve"> the conservation, maintenance, and rehabilita</w:t>
            </w:r>
            <w:r w:rsidRPr="00563D71">
              <w:rPr>
                <w:sz w:val="20"/>
              </w:rPr>
              <w:t xml:space="preserve">tion of natural habitats; avoid </w:t>
            </w:r>
            <w:r w:rsidR="00D04B10" w:rsidRPr="00563D71">
              <w:rPr>
                <w:sz w:val="20"/>
              </w:rPr>
              <w:t>the significant conversion or degradati</w:t>
            </w:r>
            <w:r w:rsidRPr="00563D71">
              <w:rPr>
                <w:sz w:val="20"/>
              </w:rPr>
              <w:t>on of critical natural habitats;</w:t>
            </w:r>
            <w:r w:rsidR="00D04B10" w:rsidRPr="00563D71">
              <w:rPr>
                <w:sz w:val="20"/>
              </w:rPr>
              <w:t xml:space="preserve"> and</w:t>
            </w:r>
            <w:r w:rsidR="00C80C31" w:rsidRPr="00563D71">
              <w:rPr>
                <w:sz w:val="20"/>
              </w:rPr>
              <w:t>,</w:t>
            </w:r>
            <w:r w:rsidR="00D04B10" w:rsidRPr="00563D71">
              <w:rPr>
                <w:sz w:val="20"/>
              </w:rPr>
              <w:t xml:space="preserve"> if avoiding the significant conversion of natural habitats is no</w:t>
            </w:r>
            <w:r w:rsidRPr="00563D71">
              <w:rPr>
                <w:sz w:val="20"/>
              </w:rPr>
              <w:t>t technically feasible, include</w:t>
            </w:r>
            <w:r w:rsidR="00D04B10" w:rsidRPr="00563D71">
              <w:rPr>
                <w:sz w:val="20"/>
              </w:rPr>
              <w:t xml:space="preserve"> measures to mitigate or offset </w:t>
            </w:r>
            <w:r w:rsidRPr="00563D71">
              <w:rPr>
                <w:sz w:val="20"/>
              </w:rPr>
              <w:t xml:space="preserve">the adverse </w:t>
            </w:r>
            <w:r w:rsidR="00D04B10" w:rsidRPr="00563D71">
              <w:rPr>
                <w:sz w:val="20"/>
              </w:rPr>
              <w:t xml:space="preserve">impacts </w:t>
            </w:r>
            <w:r w:rsidRPr="00563D71">
              <w:rPr>
                <w:sz w:val="20"/>
              </w:rPr>
              <w:t>of the</w:t>
            </w:r>
            <w:r w:rsidR="00D04B10" w:rsidRPr="00563D71">
              <w:rPr>
                <w:sz w:val="20"/>
              </w:rPr>
              <w:t xml:space="preserve"> </w:t>
            </w:r>
            <w:r w:rsidRPr="00563D71">
              <w:rPr>
                <w:sz w:val="20"/>
              </w:rPr>
              <w:t>P</w:t>
            </w:r>
            <w:r w:rsidR="00D04B10" w:rsidRPr="00563D71">
              <w:rPr>
                <w:sz w:val="20"/>
              </w:rPr>
              <w:t xml:space="preserve">rogram activities. </w:t>
            </w:r>
          </w:p>
        </w:tc>
        <w:tc>
          <w:tcPr>
            <w:tcW w:w="2815" w:type="pct"/>
            <w:gridSpan w:val="2"/>
            <w:tcBorders>
              <w:top w:val="single" w:sz="4" w:space="0" w:color="000000"/>
              <w:left w:val="single" w:sz="4" w:space="0" w:color="000000"/>
              <w:bottom w:val="single" w:sz="4" w:space="0" w:color="000000"/>
              <w:right w:val="single" w:sz="4" w:space="0" w:color="000000"/>
            </w:tcBorders>
          </w:tcPr>
          <w:p w14:paraId="4A333ED4" w14:textId="2C562AEF" w:rsidR="0011324E" w:rsidRPr="00563D71" w:rsidRDefault="00D975C0" w:rsidP="009B51EA">
            <w:pPr>
              <w:spacing w:after="19" w:line="237" w:lineRule="auto"/>
              <w:ind w:left="115" w:right="46" w:firstLine="0"/>
              <w:rPr>
                <w:b/>
                <w:bCs/>
                <w:i/>
                <w:iCs/>
                <w:sz w:val="20"/>
              </w:rPr>
            </w:pPr>
            <w:r w:rsidRPr="00563D71">
              <w:rPr>
                <w:sz w:val="20"/>
              </w:rPr>
              <w:t xml:space="preserve">Presidential </w:t>
            </w:r>
            <w:r w:rsidR="00076A7E" w:rsidRPr="00563D71">
              <w:rPr>
                <w:sz w:val="20"/>
              </w:rPr>
              <w:t>Decree No. 32</w:t>
            </w:r>
            <w:r w:rsidR="00AF2002" w:rsidRPr="00563D71">
              <w:rPr>
                <w:sz w:val="20"/>
              </w:rPr>
              <w:t xml:space="preserve"> Year </w:t>
            </w:r>
            <w:r w:rsidR="00076A7E" w:rsidRPr="00563D71">
              <w:rPr>
                <w:sz w:val="20"/>
              </w:rPr>
              <w:t xml:space="preserve">1990 stipulates that; (i) in protected areas, cultivation, which interferes with the environmental function of the protected area, is prohibited; and (ii) in nature reserves and areas of cultural heritage, cultivation which alters the landscape, land use conditions, natural ecosystem, or environmental function of the nature reserves or cultural heritage, is prohibited.  </w:t>
            </w:r>
          </w:p>
          <w:p w14:paraId="3B860DDE" w14:textId="230353B7" w:rsidR="00245F03" w:rsidRPr="00563D71" w:rsidRDefault="00D04B10" w:rsidP="003D2E29">
            <w:pPr>
              <w:spacing w:after="19" w:line="237" w:lineRule="auto"/>
              <w:ind w:left="115" w:right="46" w:firstLine="0"/>
              <w:rPr>
                <w:rFonts w:eastAsiaTheme="minorHAnsi"/>
                <w:color w:val="auto"/>
                <w:sz w:val="20"/>
                <w:szCs w:val="20"/>
              </w:rPr>
            </w:pPr>
            <w:r w:rsidRPr="00563D71">
              <w:rPr>
                <w:sz w:val="20"/>
              </w:rPr>
              <w:t xml:space="preserve">The </w:t>
            </w:r>
            <w:r w:rsidR="00F06297" w:rsidRPr="00563D71">
              <w:rPr>
                <w:sz w:val="20"/>
              </w:rPr>
              <w:t>GoI</w:t>
            </w:r>
            <w:r w:rsidRPr="00563D71">
              <w:rPr>
                <w:sz w:val="20"/>
              </w:rPr>
              <w:t xml:space="preserve"> has ratified international </w:t>
            </w:r>
            <w:r w:rsidR="00076A7E" w:rsidRPr="00563D71">
              <w:rPr>
                <w:sz w:val="20"/>
              </w:rPr>
              <w:t>conventions</w:t>
            </w:r>
            <w:r w:rsidRPr="00563D71">
              <w:rPr>
                <w:sz w:val="20"/>
              </w:rPr>
              <w:t xml:space="preserve"> on biodiversity through Law No. 05</w:t>
            </w:r>
            <w:r w:rsidR="00AF2002" w:rsidRPr="00563D71">
              <w:rPr>
                <w:sz w:val="20"/>
              </w:rPr>
              <w:t xml:space="preserve"> Year </w:t>
            </w:r>
            <w:r w:rsidRPr="00563D71">
              <w:rPr>
                <w:sz w:val="20"/>
              </w:rPr>
              <w:t>1994: United Nation Convention on Biodiversity. The Law</w:t>
            </w:r>
            <w:r w:rsidRPr="00563D71">
              <w:rPr>
                <w:sz w:val="22"/>
              </w:rPr>
              <w:t xml:space="preserve"> </w:t>
            </w:r>
            <w:r w:rsidRPr="00563D71">
              <w:rPr>
                <w:sz w:val="20"/>
              </w:rPr>
              <w:t xml:space="preserve">requires the environmental assessment of proposed projects likely to have significant impacts on biological diversity with a view of avoiding or minimizing such effects. </w:t>
            </w:r>
            <w:r w:rsidR="0042323F" w:rsidRPr="00563D71">
              <w:rPr>
                <w:rFonts w:eastAsiaTheme="minorHAnsi"/>
                <w:color w:val="auto"/>
                <w:sz w:val="20"/>
                <w:szCs w:val="20"/>
              </w:rPr>
              <w:t xml:space="preserve">Law No. 11 </w:t>
            </w:r>
            <w:r w:rsidR="00AF2002" w:rsidRPr="00563D71">
              <w:rPr>
                <w:rFonts w:eastAsiaTheme="minorHAnsi"/>
                <w:color w:val="auto"/>
                <w:sz w:val="20"/>
                <w:szCs w:val="20"/>
              </w:rPr>
              <w:t>Year</w:t>
            </w:r>
            <w:r w:rsidR="0042323F" w:rsidRPr="00563D71">
              <w:rPr>
                <w:rFonts w:eastAsiaTheme="minorHAnsi"/>
                <w:color w:val="auto"/>
                <w:sz w:val="20"/>
                <w:szCs w:val="20"/>
              </w:rPr>
              <w:t xml:space="preserve"> 2010 on National Heritage (</w:t>
            </w:r>
            <w:r w:rsidR="0042323F" w:rsidRPr="00563D71">
              <w:rPr>
                <w:rFonts w:eastAsiaTheme="minorHAnsi"/>
                <w:i/>
                <w:color w:val="auto"/>
                <w:sz w:val="20"/>
                <w:szCs w:val="20"/>
              </w:rPr>
              <w:t>Undang-undang Cagar Budaya</w:t>
            </w:r>
            <w:r w:rsidR="0042323F" w:rsidRPr="00563D71">
              <w:rPr>
                <w:rFonts w:eastAsiaTheme="minorHAnsi"/>
                <w:color w:val="auto"/>
                <w:sz w:val="20"/>
                <w:szCs w:val="20"/>
              </w:rPr>
              <w:t>) focuses</w:t>
            </w:r>
            <w:r w:rsidR="00B36431" w:rsidRPr="00563D71">
              <w:rPr>
                <w:rFonts w:eastAsiaTheme="minorHAnsi"/>
                <w:color w:val="auto"/>
                <w:sz w:val="20"/>
                <w:szCs w:val="20"/>
              </w:rPr>
              <w:t xml:space="preserve"> </w:t>
            </w:r>
            <w:r w:rsidR="0042323F" w:rsidRPr="00563D71">
              <w:rPr>
                <w:rFonts w:eastAsiaTheme="minorHAnsi"/>
                <w:color w:val="auto"/>
                <w:sz w:val="20"/>
                <w:szCs w:val="20"/>
              </w:rPr>
              <w:t xml:space="preserve">on the requirements for observation and data collection on and proper management of cultural heritage that may be affected by project activities. The chance finds procedures based on the law specify that </w:t>
            </w:r>
            <w:r w:rsidR="004B4C0E" w:rsidRPr="00563D71">
              <w:rPr>
                <w:rFonts w:eastAsiaTheme="minorHAnsi"/>
                <w:color w:val="auto"/>
                <w:sz w:val="20"/>
                <w:szCs w:val="20"/>
              </w:rPr>
              <w:t>finds are to be given immediate protection and reported to the local Institute of Archaeology, if one exists, or to the Department of Culture of the province o</w:t>
            </w:r>
            <w:r w:rsidR="00C80C31" w:rsidRPr="00563D71">
              <w:rPr>
                <w:rFonts w:eastAsiaTheme="minorHAnsi"/>
                <w:color w:val="auto"/>
                <w:sz w:val="20"/>
                <w:szCs w:val="20"/>
              </w:rPr>
              <w:t>r</w:t>
            </w:r>
            <w:r w:rsidR="004B4C0E" w:rsidRPr="00563D71">
              <w:rPr>
                <w:rFonts w:eastAsiaTheme="minorHAnsi"/>
                <w:color w:val="auto"/>
                <w:sz w:val="20"/>
                <w:szCs w:val="20"/>
              </w:rPr>
              <w:t xml:space="preserve"> district. Construction work is not to recommence until permission is granted by one of those authorities.    </w:t>
            </w:r>
          </w:p>
        </w:tc>
        <w:tc>
          <w:tcPr>
            <w:tcW w:w="1110" w:type="pct"/>
            <w:tcBorders>
              <w:top w:val="single" w:sz="4" w:space="0" w:color="000000"/>
              <w:left w:val="single" w:sz="4" w:space="0" w:color="000000"/>
              <w:bottom w:val="single" w:sz="4" w:space="0" w:color="000000"/>
              <w:right w:val="single" w:sz="4" w:space="0" w:color="000000"/>
            </w:tcBorders>
          </w:tcPr>
          <w:p w14:paraId="7DDD91E2" w14:textId="77777777" w:rsidR="00736EC1" w:rsidRPr="00563D71" w:rsidRDefault="00927D45" w:rsidP="00927D45">
            <w:pPr>
              <w:ind w:left="115" w:firstLine="0"/>
              <w:jc w:val="left"/>
              <w:rPr>
                <w:sz w:val="20"/>
              </w:rPr>
            </w:pPr>
            <w:r w:rsidRPr="00563D71">
              <w:rPr>
                <w:sz w:val="20"/>
              </w:rPr>
              <w:t xml:space="preserve">No significant gaps in laws and regulations.  </w:t>
            </w:r>
          </w:p>
          <w:p w14:paraId="07A96EFB" w14:textId="77777777" w:rsidR="00736EC1" w:rsidRPr="00563D71" w:rsidRDefault="00736EC1" w:rsidP="00927D45">
            <w:pPr>
              <w:ind w:left="115" w:firstLine="0"/>
              <w:jc w:val="left"/>
              <w:rPr>
                <w:sz w:val="20"/>
              </w:rPr>
            </w:pPr>
          </w:p>
          <w:p w14:paraId="20CEC2BC" w14:textId="383295CB" w:rsidR="00245F03" w:rsidRPr="00563D71" w:rsidRDefault="00927D45" w:rsidP="00927D45">
            <w:pPr>
              <w:ind w:left="115" w:firstLine="0"/>
              <w:jc w:val="left"/>
              <w:rPr>
                <w:sz w:val="20"/>
              </w:rPr>
            </w:pPr>
            <w:r w:rsidRPr="00563D71">
              <w:rPr>
                <w:sz w:val="20"/>
              </w:rPr>
              <w:t>There have been instances of development activities and encroachment in protected areas.  Indonesia’s rate of deforestation indicates lack of enforcement.</w:t>
            </w:r>
          </w:p>
          <w:p w14:paraId="321CC65C" w14:textId="77777777" w:rsidR="004E0C0A" w:rsidRPr="00563D71" w:rsidRDefault="004E0C0A" w:rsidP="004E0C0A">
            <w:pPr>
              <w:ind w:left="0" w:firstLine="0"/>
              <w:jc w:val="left"/>
              <w:rPr>
                <w:sz w:val="20"/>
              </w:rPr>
            </w:pPr>
          </w:p>
          <w:p w14:paraId="37116BE8" w14:textId="424CBE81" w:rsidR="00245F03" w:rsidRPr="00563D71" w:rsidRDefault="00245F03" w:rsidP="00131900">
            <w:pPr>
              <w:spacing w:line="259" w:lineRule="auto"/>
              <w:ind w:left="0" w:firstLine="0"/>
              <w:jc w:val="left"/>
            </w:pPr>
          </w:p>
        </w:tc>
      </w:tr>
      <w:tr w:rsidR="00653C6C" w:rsidRPr="00563D71" w14:paraId="77F003B0" w14:textId="77777777" w:rsidTr="0032029F">
        <w:tblPrEx>
          <w:tblCellMar>
            <w:left w:w="0" w:type="dxa"/>
            <w:right w:w="89" w:type="dxa"/>
          </w:tblCellMar>
        </w:tblPrEx>
        <w:trPr>
          <w:trHeight w:val="436"/>
        </w:trPr>
        <w:tc>
          <w:tcPr>
            <w:tcW w:w="2397" w:type="pct"/>
            <w:gridSpan w:val="3"/>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E50AD55" w14:textId="5410A1CA" w:rsidR="00653C6C" w:rsidRPr="00563D71" w:rsidRDefault="00653C6C" w:rsidP="00653C6C">
            <w:pPr>
              <w:spacing w:line="259" w:lineRule="auto"/>
              <w:ind w:left="0" w:firstLine="0"/>
              <w:jc w:val="left"/>
              <w:rPr>
                <w:b/>
                <w:sz w:val="20"/>
              </w:rPr>
            </w:pPr>
            <w:r w:rsidRPr="00563D71">
              <w:rPr>
                <w:b/>
                <w:sz w:val="20"/>
              </w:rPr>
              <w:t>Actions and Opportunities</w:t>
            </w:r>
          </w:p>
        </w:tc>
        <w:tc>
          <w:tcPr>
            <w:tcW w:w="2603"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C490274" w14:textId="050768DB" w:rsidR="00653C6C" w:rsidRPr="00563D71" w:rsidRDefault="00653C6C" w:rsidP="00653C6C">
            <w:pPr>
              <w:spacing w:line="259" w:lineRule="auto"/>
              <w:ind w:left="0" w:firstLine="0"/>
              <w:jc w:val="left"/>
              <w:rPr>
                <w:b/>
                <w:sz w:val="20"/>
              </w:rPr>
            </w:pPr>
            <w:r w:rsidRPr="00563D71">
              <w:rPr>
                <w:b/>
                <w:sz w:val="20"/>
              </w:rPr>
              <w:t>Risks</w:t>
            </w:r>
          </w:p>
        </w:tc>
      </w:tr>
      <w:tr w:rsidR="00653C6C" w:rsidRPr="00563D71" w14:paraId="69AF4E8E" w14:textId="77777777" w:rsidTr="0032029F">
        <w:tblPrEx>
          <w:tblCellMar>
            <w:left w:w="0" w:type="dxa"/>
            <w:right w:w="89" w:type="dxa"/>
          </w:tblCellMar>
        </w:tblPrEx>
        <w:trPr>
          <w:trHeight w:val="2143"/>
        </w:trPr>
        <w:tc>
          <w:tcPr>
            <w:tcW w:w="2397" w:type="pct"/>
            <w:gridSpan w:val="3"/>
            <w:tcBorders>
              <w:top w:val="single" w:sz="4" w:space="0" w:color="000000"/>
              <w:left w:val="single" w:sz="4" w:space="0" w:color="000000"/>
              <w:bottom w:val="single" w:sz="4" w:space="0" w:color="auto"/>
              <w:right w:val="single" w:sz="4" w:space="0" w:color="000000"/>
            </w:tcBorders>
          </w:tcPr>
          <w:p w14:paraId="3C638409" w14:textId="45B51704" w:rsidR="000B0DC9" w:rsidRPr="00563D71" w:rsidRDefault="000B0DC9" w:rsidP="00C80C31">
            <w:pPr>
              <w:pStyle w:val="ListParagraph"/>
              <w:numPr>
                <w:ilvl w:val="0"/>
                <w:numId w:val="117"/>
              </w:numPr>
              <w:spacing w:after="0" w:line="259" w:lineRule="auto"/>
              <w:jc w:val="left"/>
              <w:rPr>
                <w:rFonts w:ascii="Times New Roman" w:hAnsi="Times New Roman" w:cs="Times New Roman"/>
                <w:sz w:val="20"/>
              </w:rPr>
            </w:pPr>
            <w:r w:rsidRPr="00563D71">
              <w:rPr>
                <w:rFonts w:ascii="Times New Roman" w:hAnsi="Times New Roman" w:cs="Times New Roman"/>
                <w:sz w:val="20"/>
              </w:rPr>
              <w:lastRenderedPageBreak/>
              <w:t xml:space="preserve">Program support for </w:t>
            </w:r>
            <w:r w:rsidR="00C80C31" w:rsidRPr="00563D71">
              <w:rPr>
                <w:rFonts w:ascii="Times New Roman" w:hAnsi="Times New Roman" w:cs="Times New Roman"/>
                <w:sz w:val="20"/>
              </w:rPr>
              <w:t xml:space="preserve">the </w:t>
            </w:r>
            <w:r w:rsidRPr="00563D71">
              <w:rPr>
                <w:rFonts w:ascii="Times New Roman" w:hAnsi="Times New Roman" w:cs="Times New Roman"/>
                <w:sz w:val="20"/>
              </w:rPr>
              <w:t>preparation of Integrated Tourism Master Plans (IPF component) will take environmental and socio-cultural opportunities and constraints into consideration and consider alternatives at a strategic level, and feasibility studies and environmental instruments will do the same at the investment level, the latter with oversight from Program Management Support (through the Program Management Consultants’ Services and/or additional qualified staff at the MPWH).</w:t>
            </w:r>
          </w:p>
          <w:p w14:paraId="35C2A5C6" w14:textId="77777777" w:rsidR="00FE0BBB" w:rsidRPr="00563D71" w:rsidRDefault="00FE0BBB" w:rsidP="00C80C31">
            <w:pPr>
              <w:pStyle w:val="ListParagraph"/>
              <w:numPr>
                <w:ilvl w:val="0"/>
                <w:numId w:val="117"/>
              </w:numPr>
              <w:spacing w:after="0" w:line="259" w:lineRule="auto"/>
              <w:jc w:val="left"/>
              <w:rPr>
                <w:rFonts w:ascii="Times New Roman" w:hAnsi="Times New Roman" w:cs="Times New Roman"/>
                <w:sz w:val="20"/>
              </w:rPr>
            </w:pPr>
            <w:r w:rsidRPr="00563D71">
              <w:rPr>
                <w:rFonts w:ascii="Times New Roman" w:hAnsi="Times New Roman" w:cs="Times New Roman"/>
                <w:sz w:val="20"/>
                <w:szCs w:val="20"/>
              </w:rPr>
              <w:t xml:space="preserve">Adoption of the Investment and Expenditure Menu of the Program, the mechanism for reviewing the proposed annual work plan against the Menu and the Integrated Tourism Master Plans, and the screening mechanism for year 1 investments and proposed additions to the Menu, to </w:t>
            </w:r>
            <w:r w:rsidRPr="00563D71">
              <w:rPr>
                <w:rFonts w:ascii="Times New Roman" w:hAnsi="Times New Roman" w:cs="Times New Roman"/>
                <w:sz w:val="20"/>
              </w:rPr>
              <w:t>ensure that the Program does not finance projects proscribed in the Program for Results Policy.</w:t>
            </w:r>
          </w:p>
          <w:p w14:paraId="0DA3B2A1" w14:textId="70E4E4BE" w:rsidR="00736EC1" w:rsidRPr="00563D71" w:rsidRDefault="000B0DC9" w:rsidP="0032029F">
            <w:pPr>
              <w:pStyle w:val="ListParagraph"/>
              <w:numPr>
                <w:ilvl w:val="0"/>
                <w:numId w:val="117"/>
              </w:numPr>
              <w:spacing w:after="0" w:line="259" w:lineRule="auto"/>
              <w:jc w:val="left"/>
            </w:pPr>
            <w:r w:rsidRPr="00563D71">
              <w:rPr>
                <w:rFonts w:ascii="Times New Roman" w:hAnsi="Times New Roman" w:cs="Times New Roman"/>
                <w:sz w:val="20"/>
              </w:rPr>
              <w:t>Establish or strengthen existing institutional arrangement for monitoring and protection of cultural and natural assets for tourism at each destination</w:t>
            </w:r>
            <w:r w:rsidR="00C80C31" w:rsidRPr="00563D71">
              <w:rPr>
                <w:rFonts w:ascii="Times New Roman" w:hAnsi="Times New Roman" w:cs="Times New Roman"/>
                <w:sz w:val="20"/>
              </w:rPr>
              <w:t xml:space="preserve"> (e.g. STOs)</w:t>
            </w:r>
            <w:r w:rsidRPr="00563D71">
              <w:rPr>
                <w:rFonts w:ascii="Times New Roman" w:hAnsi="Times New Roman" w:cs="Times New Roman"/>
                <w:sz w:val="20"/>
              </w:rPr>
              <w:t>.</w:t>
            </w:r>
          </w:p>
        </w:tc>
        <w:tc>
          <w:tcPr>
            <w:tcW w:w="2603" w:type="pct"/>
            <w:gridSpan w:val="2"/>
            <w:tcBorders>
              <w:top w:val="single" w:sz="4" w:space="0" w:color="000000"/>
              <w:left w:val="single" w:sz="4" w:space="0" w:color="000000"/>
              <w:bottom w:val="single" w:sz="4" w:space="0" w:color="auto"/>
              <w:right w:val="single" w:sz="4" w:space="0" w:color="000000"/>
            </w:tcBorders>
          </w:tcPr>
          <w:p w14:paraId="42F680C6" w14:textId="77777777" w:rsidR="00653C6C" w:rsidRPr="00563D71" w:rsidRDefault="00736EC1" w:rsidP="00854FB5">
            <w:pPr>
              <w:pStyle w:val="ListParagraph"/>
              <w:numPr>
                <w:ilvl w:val="0"/>
                <w:numId w:val="20"/>
              </w:numPr>
              <w:spacing w:after="0" w:line="259" w:lineRule="auto"/>
              <w:ind w:left="331" w:hanging="288"/>
              <w:jc w:val="left"/>
              <w:rPr>
                <w:sz w:val="20"/>
              </w:rPr>
            </w:pPr>
            <w:r w:rsidRPr="00563D71">
              <w:rPr>
                <w:rFonts w:ascii="Times New Roman" w:hAnsi="Times New Roman" w:cs="Times New Roman"/>
                <w:sz w:val="20"/>
              </w:rPr>
              <w:t>Tourism development results in degradation of the natural and cultural assets that attract the tourists.</w:t>
            </w:r>
          </w:p>
          <w:p w14:paraId="78FBA9D5" w14:textId="2C6A3957" w:rsidR="00813268" w:rsidRPr="00563D71" w:rsidRDefault="00813268" w:rsidP="00854FB5">
            <w:pPr>
              <w:pStyle w:val="ListParagraph"/>
              <w:numPr>
                <w:ilvl w:val="0"/>
                <w:numId w:val="20"/>
              </w:numPr>
              <w:spacing w:after="0" w:line="259" w:lineRule="auto"/>
              <w:ind w:left="331" w:hanging="288"/>
              <w:jc w:val="left"/>
              <w:rPr>
                <w:sz w:val="20"/>
              </w:rPr>
            </w:pPr>
            <w:r w:rsidRPr="00563D71">
              <w:rPr>
                <w:rFonts w:ascii="Times New Roman" w:hAnsi="Times New Roman" w:cs="Times New Roman"/>
                <w:sz w:val="20"/>
              </w:rPr>
              <w:t xml:space="preserve">Natural and cultural assets important for tourism </w:t>
            </w:r>
            <w:r w:rsidR="009556D3" w:rsidRPr="00563D71">
              <w:rPr>
                <w:rFonts w:ascii="Times New Roman" w:hAnsi="Times New Roman" w:cs="Times New Roman"/>
                <w:sz w:val="20"/>
              </w:rPr>
              <w:t>continue to be</w:t>
            </w:r>
            <w:r w:rsidRPr="00563D71">
              <w:rPr>
                <w:rFonts w:ascii="Times New Roman" w:hAnsi="Times New Roman" w:cs="Times New Roman"/>
                <w:sz w:val="20"/>
              </w:rPr>
              <w:t xml:space="preserve"> degraded by other activities not related to the Program</w:t>
            </w:r>
            <w:r w:rsidR="00C80C31" w:rsidRPr="00563D71">
              <w:rPr>
                <w:rFonts w:ascii="Times New Roman" w:hAnsi="Times New Roman" w:cs="Times New Roman"/>
                <w:sz w:val="20"/>
              </w:rPr>
              <w:t>.</w:t>
            </w:r>
          </w:p>
        </w:tc>
      </w:tr>
    </w:tbl>
    <w:p w14:paraId="23DFE0F8" w14:textId="77777777" w:rsidR="00653C6C" w:rsidRPr="00563D71" w:rsidRDefault="00653C6C"/>
    <w:tbl>
      <w:tblPr>
        <w:tblStyle w:val="TableGrid"/>
        <w:tblW w:w="5000" w:type="pct"/>
        <w:tblInd w:w="0" w:type="dxa"/>
        <w:tblLayout w:type="fixed"/>
        <w:tblCellMar>
          <w:top w:w="3" w:type="dxa"/>
          <w:left w:w="108" w:type="dxa"/>
          <w:right w:w="89" w:type="dxa"/>
        </w:tblCellMar>
        <w:tblLook w:val="04A0" w:firstRow="1" w:lastRow="0" w:firstColumn="1" w:lastColumn="0" w:noHBand="0" w:noVBand="1"/>
      </w:tblPr>
      <w:tblGrid>
        <w:gridCol w:w="2932"/>
        <w:gridCol w:w="2675"/>
        <w:gridCol w:w="3528"/>
        <w:gridCol w:w="39"/>
        <w:gridCol w:w="3776"/>
      </w:tblGrid>
      <w:tr w:rsidR="00DC0DE8" w:rsidRPr="00563D71" w14:paraId="50B222B3" w14:textId="77777777" w:rsidTr="0032029F">
        <w:trPr>
          <w:trHeight w:val="14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4DADC7"/>
          </w:tcPr>
          <w:p w14:paraId="51FF782C" w14:textId="77777777" w:rsidR="00DC0DE8" w:rsidRPr="00563D71" w:rsidRDefault="00DC0DE8" w:rsidP="00B15A61">
            <w:pPr>
              <w:spacing w:before="240" w:after="213"/>
              <w:ind w:left="0" w:firstLine="0"/>
              <w:jc w:val="left"/>
            </w:pPr>
            <w:r w:rsidRPr="00563D71">
              <w:rPr>
                <w:b/>
                <w:sz w:val="22"/>
              </w:rPr>
              <w:t>Policy Element 3:  Program systems protect public and worker safety against the potential risks associated with (i) construction and/or operations of facilities or other operational practices under the Program; (ii) exposure to toxic chemicals, hazardous wastes, and other dangerous materials under the Program; and (iii) reconstruction or rehabilitation of infrastructure located in areas prone to natural hazards.</w:t>
            </w:r>
            <w:r w:rsidRPr="00563D71">
              <w:rPr>
                <w:sz w:val="20"/>
              </w:rPr>
              <w:t xml:space="preserve"> </w:t>
            </w:r>
          </w:p>
        </w:tc>
      </w:tr>
      <w:tr w:rsidR="00DC0DE8" w:rsidRPr="00563D71" w14:paraId="28198778" w14:textId="77777777" w:rsidTr="0032029F">
        <w:trPr>
          <w:trHeight w:val="472"/>
        </w:trPr>
        <w:tc>
          <w:tcPr>
            <w:tcW w:w="1131" w:type="pct"/>
            <w:tcBorders>
              <w:top w:val="single" w:sz="4" w:space="0" w:color="000000"/>
              <w:left w:val="single" w:sz="8" w:space="0" w:color="4BACC6"/>
              <w:bottom w:val="single" w:sz="4" w:space="0" w:color="000000"/>
              <w:right w:val="single" w:sz="4" w:space="0" w:color="000000"/>
            </w:tcBorders>
            <w:shd w:val="clear" w:color="auto" w:fill="B8CCE4"/>
          </w:tcPr>
          <w:p w14:paraId="5CEA0A63" w14:textId="77777777" w:rsidR="00DC0DE8" w:rsidRPr="00563D71" w:rsidRDefault="00DC0DE8" w:rsidP="00535BE4">
            <w:pPr>
              <w:spacing w:line="259" w:lineRule="auto"/>
              <w:ind w:left="0" w:firstLine="0"/>
              <w:jc w:val="left"/>
            </w:pPr>
            <w:r w:rsidRPr="00563D71">
              <w:rPr>
                <w:b/>
                <w:sz w:val="20"/>
              </w:rPr>
              <w:t xml:space="preserve">Key Attributes </w:t>
            </w:r>
          </w:p>
        </w:tc>
        <w:tc>
          <w:tcPr>
            <w:tcW w:w="2395" w:type="pct"/>
            <w:gridSpan w:val="2"/>
            <w:tcBorders>
              <w:top w:val="single" w:sz="4" w:space="0" w:color="000000"/>
              <w:left w:val="single" w:sz="4" w:space="0" w:color="000000"/>
              <w:bottom w:val="single" w:sz="4" w:space="0" w:color="000000"/>
              <w:right w:val="single" w:sz="4" w:space="0" w:color="000000"/>
            </w:tcBorders>
            <w:shd w:val="clear" w:color="auto" w:fill="B8CCE4"/>
          </w:tcPr>
          <w:p w14:paraId="199D5E3F" w14:textId="77777777" w:rsidR="00DC0DE8" w:rsidRPr="00563D71" w:rsidRDefault="00DC0DE8" w:rsidP="00535BE4">
            <w:pPr>
              <w:spacing w:line="259" w:lineRule="auto"/>
              <w:ind w:left="5" w:firstLine="0"/>
              <w:jc w:val="left"/>
            </w:pPr>
            <w:r w:rsidRPr="00563D71">
              <w:rPr>
                <w:b/>
                <w:sz w:val="20"/>
              </w:rPr>
              <w:t xml:space="preserve">Program System </w:t>
            </w:r>
          </w:p>
        </w:tc>
        <w:tc>
          <w:tcPr>
            <w:tcW w:w="1474" w:type="pct"/>
            <w:gridSpan w:val="2"/>
            <w:tcBorders>
              <w:top w:val="single" w:sz="4" w:space="0" w:color="000000"/>
              <w:left w:val="single" w:sz="4" w:space="0" w:color="000000"/>
              <w:bottom w:val="single" w:sz="4" w:space="0" w:color="000000"/>
              <w:right w:val="single" w:sz="8" w:space="0" w:color="4BACC6"/>
            </w:tcBorders>
            <w:shd w:val="clear" w:color="auto" w:fill="B8CCE4"/>
          </w:tcPr>
          <w:p w14:paraId="4535480A" w14:textId="77777777" w:rsidR="00DC0DE8" w:rsidRPr="00563D71" w:rsidRDefault="00DC0DE8" w:rsidP="00535BE4">
            <w:pPr>
              <w:spacing w:line="259" w:lineRule="auto"/>
              <w:ind w:left="7" w:firstLine="0"/>
              <w:jc w:val="left"/>
            </w:pPr>
            <w:r w:rsidRPr="00563D71">
              <w:rPr>
                <w:b/>
                <w:sz w:val="20"/>
              </w:rPr>
              <w:t xml:space="preserve">Gaps  </w:t>
            </w:r>
          </w:p>
        </w:tc>
      </w:tr>
      <w:tr w:rsidR="00DC0DE8" w:rsidRPr="00563D71" w14:paraId="792859B1" w14:textId="77777777" w:rsidTr="0032029F">
        <w:trPr>
          <w:trHeight w:val="2299"/>
        </w:trPr>
        <w:tc>
          <w:tcPr>
            <w:tcW w:w="1131" w:type="pct"/>
            <w:tcBorders>
              <w:top w:val="single" w:sz="4" w:space="0" w:color="000000"/>
              <w:left w:val="single" w:sz="4" w:space="0" w:color="000000"/>
              <w:bottom w:val="single" w:sz="4" w:space="0" w:color="000000"/>
              <w:right w:val="single" w:sz="4" w:space="0" w:color="000000"/>
            </w:tcBorders>
          </w:tcPr>
          <w:p w14:paraId="766EC648" w14:textId="77777777" w:rsidR="00DC0DE8" w:rsidRPr="00563D71" w:rsidRDefault="00DC0DE8" w:rsidP="00535BE4">
            <w:pPr>
              <w:ind w:left="374" w:right="29" w:hanging="288"/>
              <w:jc w:val="left"/>
              <w:rPr>
                <w:sz w:val="20"/>
              </w:rPr>
            </w:pPr>
            <w:r w:rsidRPr="00563D71">
              <w:rPr>
                <w:sz w:val="20"/>
              </w:rPr>
              <w:t xml:space="preserve">(a)  Promote adequate community, individual, and worker safety through the safe design, construction, operation, and maintenance of physical infrastructure; or in carrying out activities that may be dependent on such infrastructure, incorporate safety measures, inspections, </w:t>
            </w:r>
            <w:r w:rsidRPr="00563D71">
              <w:rPr>
                <w:sz w:val="20"/>
              </w:rPr>
              <w:lastRenderedPageBreak/>
              <w:t xml:space="preserve">or remedial works as appropriate. </w:t>
            </w:r>
          </w:p>
        </w:tc>
        <w:tc>
          <w:tcPr>
            <w:tcW w:w="2395" w:type="pct"/>
            <w:gridSpan w:val="2"/>
            <w:tcBorders>
              <w:top w:val="single" w:sz="4" w:space="0" w:color="000000"/>
              <w:left w:val="single" w:sz="4" w:space="0" w:color="000000"/>
              <w:bottom w:val="single" w:sz="4" w:space="0" w:color="000000"/>
              <w:right w:val="single" w:sz="4" w:space="0" w:color="000000"/>
            </w:tcBorders>
          </w:tcPr>
          <w:p w14:paraId="12B9A122" w14:textId="31C64181" w:rsidR="00DC0DE8" w:rsidRPr="00563D71" w:rsidRDefault="00DC0DE8" w:rsidP="00535BE4">
            <w:pPr>
              <w:spacing w:line="237" w:lineRule="auto"/>
              <w:ind w:left="5" w:right="72" w:firstLine="0"/>
              <w:rPr>
                <w:sz w:val="20"/>
              </w:rPr>
            </w:pPr>
            <w:r w:rsidRPr="00563D71">
              <w:rPr>
                <w:sz w:val="20"/>
              </w:rPr>
              <w:lastRenderedPageBreak/>
              <w:t>On labor and occupationa</w:t>
            </w:r>
            <w:r w:rsidR="00664860" w:rsidRPr="00563D71">
              <w:rPr>
                <w:sz w:val="20"/>
              </w:rPr>
              <w:t xml:space="preserve">l health and safety, Law No. 13 Year </w:t>
            </w:r>
            <w:r w:rsidRPr="00563D71">
              <w:rPr>
                <w:sz w:val="20"/>
              </w:rPr>
              <w:t>2003 on Manpower warrants the right of worker for protection, health and safety to achieve optimal work productivity, stipulates the obligation of all company to practice health and safety management and to integrate the aspect into the company management system, and requires implementation of health and safety system.  For the implementation of the health and safety system, t</w:t>
            </w:r>
            <w:r w:rsidR="00664860" w:rsidRPr="00563D71">
              <w:rPr>
                <w:sz w:val="20"/>
              </w:rPr>
              <w:t xml:space="preserve">he Government Regulation No. 50 Year </w:t>
            </w:r>
            <w:r w:rsidRPr="00563D71">
              <w:rPr>
                <w:sz w:val="20"/>
              </w:rPr>
              <w:t>2012 on Practice of Health and Safety Management System has been issued.</w:t>
            </w:r>
          </w:p>
        </w:tc>
        <w:tc>
          <w:tcPr>
            <w:tcW w:w="1474" w:type="pct"/>
            <w:gridSpan w:val="2"/>
            <w:tcBorders>
              <w:top w:val="single" w:sz="4" w:space="0" w:color="000000"/>
              <w:left w:val="single" w:sz="4" w:space="0" w:color="000000"/>
              <w:bottom w:val="single" w:sz="4" w:space="0" w:color="000000"/>
              <w:right w:val="single" w:sz="4" w:space="0" w:color="000000"/>
            </w:tcBorders>
          </w:tcPr>
          <w:p w14:paraId="76675B42" w14:textId="77777777" w:rsidR="00DC0DE8" w:rsidRPr="00563D71" w:rsidRDefault="00DC0DE8" w:rsidP="00535BE4">
            <w:pPr>
              <w:spacing w:after="213" w:line="259" w:lineRule="auto"/>
              <w:ind w:left="7" w:firstLine="0"/>
              <w:jc w:val="left"/>
              <w:rPr>
                <w:sz w:val="20"/>
              </w:rPr>
            </w:pPr>
            <w:r w:rsidRPr="00563D71">
              <w:rPr>
                <w:sz w:val="20"/>
              </w:rPr>
              <w:t xml:space="preserve">No significant gaps in laws and regulations.  However, with the exceptions of certain industries (e.g., oil and gas, power) the Indonesian workforce lacks a safety culture, making enforcement of use of PPE and adherence to safety procedures a continuing challenge.  </w:t>
            </w:r>
          </w:p>
          <w:p w14:paraId="7624DEDF" w14:textId="77777777" w:rsidR="00DC0DE8" w:rsidRPr="00563D71" w:rsidRDefault="00DC0DE8" w:rsidP="00535BE4">
            <w:pPr>
              <w:spacing w:after="213" w:line="259" w:lineRule="auto"/>
              <w:ind w:left="7" w:firstLine="0"/>
              <w:jc w:val="left"/>
              <w:rPr>
                <w:sz w:val="20"/>
              </w:rPr>
            </w:pPr>
            <w:r w:rsidRPr="00563D71">
              <w:rPr>
                <w:sz w:val="20"/>
              </w:rPr>
              <w:lastRenderedPageBreak/>
              <w:t>Ministry Department of Manpower and Department of Health at the district level are tasked with inspecting facilities but lacks resources to do so on a routine basis, instead often responding to complaints and requests for inspections.</w:t>
            </w:r>
          </w:p>
          <w:p w14:paraId="7F87006D" w14:textId="77777777" w:rsidR="00DC0DE8" w:rsidRPr="00563D71" w:rsidRDefault="00DC0DE8" w:rsidP="00535BE4">
            <w:pPr>
              <w:spacing w:after="213" w:line="259" w:lineRule="auto"/>
              <w:ind w:left="7" w:firstLine="0"/>
              <w:jc w:val="left"/>
              <w:rPr>
                <w:b/>
                <w:sz w:val="20"/>
              </w:rPr>
            </w:pPr>
          </w:p>
        </w:tc>
      </w:tr>
      <w:tr w:rsidR="00495BF9" w:rsidRPr="00563D71" w14:paraId="42236E5E" w14:textId="77777777" w:rsidTr="0032029F">
        <w:tblPrEx>
          <w:tblCellMar>
            <w:left w:w="0" w:type="dxa"/>
            <w:right w:w="94" w:type="dxa"/>
          </w:tblCellMar>
        </w:tblPrEx>
        <w:trPr>
          <w:trHeight w:val="4216"/>
        </w:trPr>
        <w:tc>
          <w:tcPr>
            <w:tcW w:w="1132" w:type="pct"/>
            <w:tcBorders>
              <w:top w:val="single" w:sz="4" w:space="0" w:color="000000"/>
              <w:left w:val="single" w:sz="4" w:space="0" w:color="auto"/>
              <w:bottom w:val="single" w:sz="4" w:space="0" w:color="000000"/>
              <w:right w:val="single" w:sz="4" w:space="0" w:color="000000"/>
            </w:tcBorders>
          </w:tcPr>
          <w:p w14:paraId="6C731FA8" w14:textId="5F723936" w:rsidR="00495BF9" w:rsidRPr="00563D71" w:rsidRDefault="00495BF9" w:rsidP="00E75099">
            <w:pPr>
              <w:ind w:left="289" w:right="29" w:hanging="251"/>
              <w:jc w:val="left"/>
              <w:rPr>
                <w:sz w:val="20"/>
              </w:rPr>
            </w:pPr>
            <w:r w:rsidRPr="00563D71">
              <w:rPr>
                <w:sz w:val="20"/>
              </w:rPr>
              <w:lastRenderedPageBreak/>
              <w:t xml:space="preserve">(b) Promote the use of recognized good practice in the production, management, storage, transport, and disposal of hazardous materials generated under the Program; promote the use of integrated pest management practices to manage or reduce pests or disease vectors; and provide training for workers involved in the production, procurement, storage, transport, use, and disposal of hazardous chemicals in accordance with the relevant international guidelines and conventions.  </w:t>
            </w:r>
          </w:p>
        </w:tc>
        <w:tc>
          <w:tcPr>
            <w:tcW w:w="2410" w:type="pct"/>
            <w:gridSpan w:val="3"/>
            <w:tcBorders>
              <w:top w:val="single" w:sz="4" w:space="0" w:color="000000"/>
              <w:left w:val="single" w:sz="4" w:space="0" w:color="000000"/>
              <w:bottom w:val="single" w:sz="4" w:space="0" w:color="000000"/>
              <w:right w:val="single" w:sz="4" w:space="0" w:color="000000"/>
            </w:tcBorders>
          </w:tcPr>
          <w:p w14:paraId="04CF0971" w14:textId="289161F0" w:rsidR="00495BF9" w:rsidRPr="00563D71" w:rsidRDefault="00495BF9" w:rsidP="006011EF">
            <w:pPr>
              <w:spacing w:after="14" w:line="234" w:lineRule="auto"/>
              <w:ind w:left="110" w:right="53" w:firstLine="0"/>
              <w:rPr>
                <w:sz w:val="20"/>
              </w:rPr>
            </w:pPr>
            <w:r w:rsidRPr="00563D71">
              <w:rPr>
                <w:sz w:val="20"/>
              </w:rPr>
              <w:t xml:space="preserve">The country has ratified the Basel Convention and </w:t>
            </w:r>
            <w:r w:rsidR="006011EF" w:rsidRPr="00563D71">
              <w:rPr>
                <w:sz w:val="20"/>
              </w:rPr>
              <w:t xml:space="preserve">passed </w:t>
            </w:r>
            <w:r w:rsidRPr="00563D71">
              <w:rPr>
                <w:sz w:val="20"/>
              </w:rPr>
              <w:t>its first regulation on hazardous waste management in 1994.</w:t>
            </w:r>
            <w:r w:rsidR="00AF2002" w:rsidRPr="00563D71">
              <w:rPr>
                <w:sz w:val="20"/>
              </w:rPr>
              <w:t xml:space="preserve"> In </w:t>
            </w:r>
            <w:r w:rsidRPr="00563D71">
              <w:rPr>
                <w:sz w:val="20"/>
              </w:rPr>
              <w:t>Law No. 32</w:t>
            </w:r>
            <w:r w:rsidR="00AF2002" w:rsidRPr="00563D71">
              <w:rPr>
                <w:sz w:val="20"/>
              </w:rPr>
              <w:t xml:space="preserve"> Year </w:t>
            </w:r>
            <w:r w:rsidRPr="00563D71">
              <w:rPr>
                <w:sz w:val="20"/>
              </w:rPr>
              <w:t>2009 on Environmental Protection and Management, Article 3 mentions that EMPs shall aim to protect Indonesia’s territory from environmental pollution and/or damages, control the natural resources usage</w:t>
            </w:r>
            <w:r w:rsidR="006011EF" w:rsidRPr="00563D71">
              <w:rPr>
                <w:sz w:val="20"/>
              </w:rPr>
              <w:t>,</w:t>
            </w:r>
            <w:r w:rsidRPr="00563D71">
              <w:rPr>
                <w:sz w:val="20"/>
              </w:rPr>
              <w:t xml:space="preserve"> and establish sustainable development. </w:t>
            </w:r>
          </w:p>
          <w:p w14:paraId="29213B16" w14:textId="7763EA51" w:rsidR="00495BF9" w:rsidRPr="00563D71" w:rsidRDefault="00495BF9" w:rsidP="006011EF">
            <w:pPr>
              <w:spacing w:after="14" w:line="234" w:lineRule="auto"/>
              <w:ind w:left="110" w:right="53" w:firstLine="0"/>
              <w:rPr>
                <w:sz w:val="20"/>
              </w:rPr>
            </w:pPr>
            <w:r w:rsidRPr="00563D71">
              <w:rPr>
                <w:sz w:val="20"/>
              </w:rPr>
              <w:t>Government Regulation No. 101</w:t>
            </w:r>
            <w:r w:rsidR="00AF2002" w:rsidRPr="00563D71">
              <w:rPr>
                <w:sz w:val="20"/>
              </w:rPr>
              <w:t xml:space="preserve"> Year </w:t>
            </w:r>
            <w:r w:rsidRPr="00563D71">
              <w:rPr>
                <w:sz w:val="20"/>
              </w:rPr>
              <w:t>2014 on Management of Toxic and Hazardous Waste details the procedures for proper management of hazardous waste</w:t>
            </w:r>
            <w:r w:rsidR="006011EF" w:rsidRPr="00563D71">
              <w:rPr>
                <w:sz w:val="20"/>
              </w:rPr>
              <w:t>.</w:t>
            </w:r>
            <w:r w:rsidRPr="00563D71">
              <w:rPr>
                <w:sz w:val="20"/>
              </w:rPr>
              <w:t xml:space="preserve"> </w:t>
            </w:r>
            <w:r w:rsidR="006011EF" w:rsidRPr="00563D71">
              <w:rPr>
                <w:sz w:val="20"/>
              </w:rPr>
              <w:t>I</w:t>
            </w:r>
            <w:r w:rsidRPr="00563D71">
              <w:rPr>
                <w:sz w:val="20"/>
              </w:rPr>
              <w:t>t adopts the principle of “cradle to grave” starting from identifying, reducing, storing, collecting, transporting, utilizing, processing</w:t>
            </w:r>
            <w:r w:rsidR="006011EF" w:rsidRPr="00563D71">
              <w:rPr>
                <w:sz w:val="20"/>
              </w:rPr>
              <w:t>,</w:t>
            </w:r>
            <w:r w:rsidRPr="00563D71">
              <w:rPr>
                <w:sz w:val="20"/>
              </w:rPr>
              <w:t xml:space="preserve"> to final disposal of hazardous wastes. </w:t>
            </w:r>
          </w:p>
          <w:p w14:paraId="1282773A" w14:textId="3EABA9E8" w:rsidR="00495BF9" w:rsidRPr="00563D71" w:rsidRDefault="00495BF9" w:rsidP="0031157B">
            <w:pPr>
              <w:spacing w:after="14" w:line="234" w:lineRule="auto"/>
              <w:ind w:left="110" w:right="53" w:firstLine="0"/>
              <w:rPr>
                <w:sz w:val="20"/>
              </w:rPr>
            </w:pPr>
            <w:r w:rsidRPr="00563D71">
              <w:rPr>
                <w:sz w:val="20"/>
              </w:rPr>
              <w:t xml:space="preserve">In addition to hazardous waste management, </w:t>
            </w:r>
            <w:r w:rsidR="00DC0DE8" w:rsidRPr="00563D71">
              <w:rPr>
                <w:sz w:val="20"/>
              </w:rPr>
              <w:t>Ministry of Environment (MOE) regulation (</w:t>
            </w:r>
            <w:r w:rsidR="0031157B" w:rsidRPr="00563D71">
              <w:rPr>
                <w:sz w:val="20"/>
              </w:rPr>
              <w:t>Permen</w:t>
            </w:r>
            <w:r w:rsidR="00D975C0" w:rsidRPr="00563D71">
              <w:rPr>
                <w:sz w:val="20"/>
              </w:rPr>
              <w:t>LH</w:t>
            </w:r>
            <w:r w:rsidR="00DC0DE8" w:rsidRPr="00563D71">
              <w:rPr>
                <w:sz w:val="20"/>
              </w:rPr>
              <w:t>)</w:t>
            </w:r>
            <w:r w:rsidR="0031157B" w:rsidRPr="00563D71">
              <w:rPr>
                <w:sz w:val="20"/>
              </w:rPr>
              <w:t xml:space="preserve"> </w:t>
            </w:r>
            <w:r w:rsidRPr="00563D71">
              <w:rPr>
                <w:sz w:val="20"/>
              </w:rPr>
              <w:t>No.16</w:t>
            </w:r>
            <w:r w:rsidR="00AF2002" w:rsidRPr="00563D71">
              <w:rPr>
                <w:sz w:val="20"/>
              </w:rPr>
              <w:t xml:space="preserve"> Year </w:t>
            </w:r>
            <w:r w:rsidRPr="00563D71">
              <w:rPr>
                <w:sz w:val="20"/>
              </w:rPr>
              <w:t>2012 stipulate</w:t>
            </w:r>
            <w:r w:rsidR="006011EF" w:rsidRPr="00563D71">
              <w:rPr>
                <w:sz w:val="20"/>
              </w:rPr>
              <w:t>s</w:t>
            </w:r>
            <w:r w:rsidRPr="00563D71">
              <w:rPr>
                <w:sz w:val="20"/>
              </w:rPr>
              <w:t xml:space="preserve"> that the principle of prevention of pollution and prevention of damage to the environment needs to be considered through environmental assessment and applied in the context of environmental management. </w:t>
            </w:r>
          </w:p>
        </w:tc>
        <w:tc>
          <w:tcPr>
            <w:tcW w:w="1458" w:type="pct"/>
            <w:tcBorders>
              <w:top w:val="single" w:sz="4" w:space="0" w:color="000000"/>
              <w:left w:val="single" w:sz="4" w:space="0" w:color="000000"/>
              <w:bottom w:val="single" w:sz="4" w:space="0" w:color="000000"/>
              <w:right w:val="single" w:sz="4" w:space="0" w:color="000000"/>
            </w:tcBorders>
          </w:tcPr>
          <w:p w14:paraId="3224A039" w14:textId="510B9443" w:rsidR="00495BF9" w:rsidRPr="00563D71" w:rsidRDefault="00495BF9">
            <w:pPr>
              <w:spacing w:line="259" w:lineRule="auto"/>
              <w:ind w:left="115" w:firstLine="0"/>
              <w:jc w:val="left"/>
              <w:rPr>
                <w:sz w:val="20"/>
              </w:rPr>
            </w:pPr>
            <w:r w:rsidRPr="00563D71">
              <w:rPr>
                <w:sz w:val="20"/>
              </w:rPr>
              <w:t>No significant gaps</w:t>
            </w:r>
          </w:p>
        </w:tc>
      </w:tr>
      <w:tr w:rsidR="00495BF9" w:rsidRPr="00563D71" w14:paraId="27C6A271" w14:textId="77777777" w:rsidTr="0032029F">
        <w:tblPrEx>
          <w:tblCellMar>
            <w:left w:w="0" w:type="dxa"/>
            <w:right w:w="94" w:type="dxa"/>
          </w:tblCellMar>
        </w:tblPrEx>
        <w:trPr>
          <w:trHeight w:val="2239"/>
        </w:trPr>
        <w:tc>
          <w:tcPr>
            <w:tcW w:w="1132" w:type="pct"/>
            <w:tcBorders>
              <w:top w:val="single" w:sz="4" w:space="0" w:color="000000"/>
              <w:left w:val="single" w:sz="4" w:space="0" w:color="auto"/>
              <w:bottom w:val="single" w:sz="4" w:space="0" w:color="000000"/>
              <w:right w:val="single" w:sz="4" w:space="0" w:color="000000"/>
            </w:tcBorders>
          </w:tcPr>
          <w:p w14:paraId="1B9C8B29" w14:textId="77777777" w:rsidR="00495BF9" w:rsidRPr="00563D71" w:rsidRDefault="00495BF9" w:rsidP="00686944">
            <w:pPr>
              <w:ind w:left="270" w:right="29" w:hanging="184"/>
              <w:jc w:val="left"/>
            </w:pPr>
            <w:r w:rsidRPr="00563D71">
              <w:rPr>
                <w:sz w:val="20"/>
              </w:rPr>
              <w:t xml:space="preserve">(c) Include adequate measures to avoid, minimize, or mitigate community, individual, and worker risks when the Program activities are located in areas prone to natural hazards such as floods, hurricanes, earthquakes, or other severe weather or climate events. </w:t>
            </w:r>
          </w:p>
        </w:tc>
        <w:tc>
          <w:tcPr>
            <w:tcW w:w="2410" w:type="pct"/>
            <w:gridSpan w:val="3"/>
            <w:tcBorders>
              <w:top w:val="single" w:sz="4" w:space="0" w:color="000000"/>
              <w:left w:val="single" w:sz="4" w:space="0" w:color="000000"/>
              <w:bottom w:val="single" w:sz="4" w:space="0" w:color="000000"/>
              <w:right w:val="single" w:sz="4" w:space="0" w:color="000000"/>
            </w:tcBorders>
          </w:tcPr>
          <w:p w14:paraId="6E488470" w14:textId="11E06AA6" w:rsidR="00495BF9" w:rsidRPr="00563D71" w:rsidRDefault="00DC0DE8" w:rsidP="00E75099">
            <w:pPr>
              <w:spacing w:after="1" w:line="235" w:lineRule="auto"/>
              <w:ind w:left="110" w:right="46" w:firstLine="0"/>
              <w:rPr>
                <w:sz w:val="20"/>
              </w:rPr>
            </w:pPr>
            <w:r w:rsidRPr="00563D71">
              <w:rPr>
                <w:iCs/>
                <w:sz w:val="20"/>
              </w:rPr>
              <w:t>Ministry of Environment (MOE) regulation (</w:t>
            </w:r>
            <w:r w:rsidR="0031157B" w:rsidRPr="00563D71">
              <w:rPr>
                <w:iCs/>
                <w:sz w:val="20"/>
              </w:rPr>
              <w:t>Permen</w:t>
            </w:r>
            <w:r w:rsidR="00D975C0" w:rsidRPr="00563D71">
              <w:rPr>
                <w:iCs/>
                <w:sz w:val="20"/>
              </w:rPr>
              <w:t>LH</w:t>
            </w:r>
            <w:r w:rsidRPr="00563D71">
              <w:rPr>
                <w:iCs/>
                <w:sz w:val="20"/>
              </w:rPr>
              <w:t>)</w:t>
            </w:r>
            <w:r w:rsidR="0031157B" w:rsidRPr="00563D71">
              <w:rPr>
                <w:sz w:val="20"/>
              </w:rPr>
              <w:t xml:space="preserve"> </w:t>
            </w:r>
            <w:r w:rsidR="00495BF9" w:rsidRPr="00563D71">
              <w:rPr>
                <w:sz w:val="20"/>
              </w:rPr>
              <w:t>No. 16</w:t>
            </w:r>
            <w:r w:rsidR="00AF2002" w:rsidRPr="00563D71">
              <w:rPr>
                <w:sz w:val="20"/>
              </w:rPr>
              <w:t xml:space="preserve"> Year </w:t>
            </w:r>
            <w:r w:rsidR="00495BF9" w:rsidRPr="00563D71">
              <w:rPr>
                <w:sz w:val="20"/>
              </w:rPr>
              <w:t>2012 also requires that areas prone to natural disasters be identified in AMDALs.</w:t>
            </w:r>
          </w:p>
          <w:p w14:paraId="261F75FD" w14:textId="77777777" w:rsidR="00495BF9" w:rsidRPr="00563D71" w:rsidRDefault="00495BF9" w:rsidP="00653C6C">
            <w:pPr>
              <w:spacing w:line="259" w:lineRule="auto"/>
              <w:ind w:left="110" w:firstLine="0"/>
              <w:jc w:val="left"/>
            </w:pPr>
          </w:p>
          <w:p w14:paraId="24A14FA7" w14:textId="46442996" w:rsidR="00495BF9" w:rsidRPr="00563D71" w:rsidRDefault="00495BF9" w:rsidP="00653C6C">
            <w:pPr>
              <w:spacing w:line="259" w:lineRule="auto"/>
              <w:ind w:left="110" w:firstLine="0"/>
              <w:jc w:val="left"/>
              <w:rPr>
                <w:b/>
              </w:rPr>
            </w:pPr>
          </w:p>
        </w:tc>
        <w:tc>
          <w:tcPr>
            <w:tcW w:w="1458" w:type="pct"/>
            <w:tcBorders>
              <w:top w:val="single" w:sz="4" w:space="0" w:color="000000"/>
              <w:left w:val="single" w:sz="4" w:space="0" w:color="000000"/>
              <w:bottom w:val="single" w:sz="4" w:space="0" w:color="000000"/>
              <w:right w:val="single" w:sz="4" w:space="0" w:color="000000"/>
            </w:tcBorders>
          </w:tcPr>
          <w:p w14:paraId="6108C050" w14:textId="019FE8C6" w:rsidR="00495BF9" w:rsidRPr="00563D71" w:rsidRDefault="00495BF9">
            <w:pPr>
              <w:spacing w:line="259" w:lineRule="auto"/>
              <w:ind w:left="115" w:firstLine="0"/>
              <w:jc w:val="left"/>
            </w:pPr>
          </w:p>
        </w:tc>
      </w:tr>
      <w:tr w:rsidR="00495BF9" w:rsidRPr="00563D71" w14:paraId="35F6F6D5" w14:textId="77777777" w:rsidTr="0032029F">
        <w:tblPrEx>
          <w:tblCellMar>
            <w:left w:w="0" w:type="dxa"/>
            <w:right w:w="94" w:type="dxa"/>
          </w:tblCellMar>
        </w:tblPrEx>
        <w:trPr>
          <w:trHeight w:val="616"/>
        </w:trPr>
        <w:tc>
          <w:tcPr>
            <w:tcW w:w="2165" w:type="pct"/>
            <w:gridSpan w:val="2"/>
            <w:tcBorders>
              <w:top w:val="single" w:sz="4" w:space="0" w:color="000000"/>
              <w:left w:val="single" w:sz="4" w:space="0" w:color="auto"/>
              <w:bottom w:val="single" w:sz="4" w:space="0" w:color="auto"/>
              <w:right w:val="single" w:sz="4" w:space="0" w:color="000000"/>
            </w:tcBorders>
            <w:shd w:val="clear" w:color="auto" w:fill="D9E2F3" w:themeFill="accent5" w:themeFillTint="33"/>
          </w:tcPr>
          <w:p w14:paraId="31955D46" w14:textId="09C8D413" w:rsidR="00495BF9" w:rsidRPr="00563D71" w:rsidRDefault="00495BF9" w:rsidP="006011EF">
            <w:pPr>
              <w:spacing w:line="259" w:lineRule="auto"/>
              <w:ind w:left="90" w:firstLine="0"/>
              <w:jc w:val="left"/>
              <w:rPr>
                <w:b/>
                <w:sz w:val="20"/>
                <w:szCs w:val="20"/>
              </w:rPr>
            </w:pPr>
            <w:r w:rsidRPr="00563D71">
              <w:rPr>
                <w:b/>
                <w:sz w:val="20"/>
                <w:szCs w:val="20"/>
              </w:rPr>
              <w:lastRenderedPageBreak/>
              <w:t>Actions and Opportunities</w:t>
            </w:r>
          </w:p>
        </w:tc>
        <w:tc>
          <w:tcPr>
            <w:tcW w:w="2835" w:type="pct"/>
            <w:gridSpan w:val="3"/>
            <w:tcBorders>
              <w:top w:val="single" w:sz="4" w:space="0" w:color="000000"/>
              <w:left w:val="nil"/>
              <w:bottom w:val="single" w:sz="4" w:space="0" w:color="000000"/>
              <w:right w:val="single" w:sz="4" w:space="0" w:color="000000"/>
            </w:tcBorders>
            <w:shd w:val="clear" w:color="auto" w:fill="D9E2F3" w:themeFill="accent5" w:themeFillTint="33"/>
          </w:tcPr>
          <w:p w14:paraId="2849E585" w14:textId="787C9578" w:rsidR="00495BF9" w:rsidRPr="00563D71" w:rsidRDefault="00495BF9">
            <w:pPr>
              <w:spacing w:line="259" w:lineRule="auto"/>
              <w:ind w:left="115" w:firstLine="0"/>
              <w:jc w:val="left"/>
              <w:rPr>
                <w:b/>
                <w:sz w:val="20"/>
                <w:szCs w:val="20"/>
              </w:rPr>
            </w:pPr>
            <w:r w:rsidRPr="00563D71">
              <w:rPr>
                <w:b/>
                <w:sz w:val="20"/>
                <w:szCs w:val="20"/>
              </w:rPr>
              <w:t>Risks</w:t>
            </w:r>
          </w:p>
        </w:tc>
      </w:tr>
      <w:tr w:rsidR="00495BF9" w:rsidRPr="00563D71" w14:paraId="531E87DC" w14:textId="77777777" w:rsidTr="0032029F">
        <w:tblPrEx>
          <w:tblCellMar>
            <w:left w:w="0" w:type="dxa"/>
            <w:right w:w="94" w:type="dxa"/>
          </w:tblCellMar>
        </w:tblPrEx>
        <w:trPr>
          <w:trHeight w:val="1247"/>
        </w:trPr>
        <w:tc>
          <w:tcPr>
            <w:tcW w:w="2165" w:type="pct"/>
            <w:gridSpan w:val="2"/>
            <w:tcBorders>
              <w:top w:val="single" w:sz="4" w:space="0" w:color="auto"/>
              <w:left w:val="single" w:sz="4" w:space="0" w:color="auto"/>
              <w:bottom w:val="single" w:sz="4" w:space="0" w:color="000000"/>
              <w:right w:val="single" w:sz="4" w:space="0" w:color="000000"/>
            </w:tcBorders>
          </w:tcPr>
          <w:p w14:paraId="75D6F2E4" w14:textId="29BD41C9" w:rsidR="00495BF9" w:rsidRPr="00563D71" w:rsidRDefault="00495BF9" w:rsidP="00854FB5">
            <w:pPr>
              <w:pStyle w:val="ListParagraph"/>
              <w:numPr>
                <w:ilvl w:val="0"/>
                <w:numId w:val="25"/>
              </w:numPr>
              <w:spacing w:after="0" w:line="240" w:lineRule="auto"/>
              <w:jc w:val="left"/>
              <w:rPr>
                <w:rFonts w:ascii="Times New Roman" w:hAnsi="Times New Roman" w:cs="Times New Roman"/>
              </w:rPr>
            </w:pPr>
            <w:r w:rsidRPr="00563D71">
              <w:rPr>
                <w:rFonts w:ascii="Times New Roman" w:hAnsi="Times New Roman" w:cs="Times New Roman"/>
                <w:sz w:val="20"/>
              </w:rPr>
              <w:t>Oversight of infrastructure construction by contracting agency will emphasize workplace and community health and safety.</w:t>
            </w:r>
          </w:p>
          <w:p w14:paraId="419DFF62" w14:textId="6FECF973" w:rsidR="00495BF9" w:rsidRPr="00563D71" w:rsidRDefault="00495BF9" w:rsidP="00854FB5">
            <w:pPr>
              <w:pStyle w:val="ListParagraph"/>
              <w:numPr>
                <w:ilvl w:val="0"/>
                <w:numId w:val="25"/>
              </w:numPr>
              <w:spacing w:after="0" w:line="240" w:lineRule="auto"/>
              <w:jc w:val="left"/>
              <w:rPr>
                <w:rFonts w:ascii="Times New Roman" w:hAnsi="Times New Roman" w:cs="Times New Roman"/>
              </w:rPr>
            </w:pPr>
            <w:r w:rsidRPr="00563D71">
              <w:rPr>
                <w:rFonts w:ascii="Times New Roman" w:hAnsi="Times New Roman" w:cs="Times New Roman"/>
                <w:sz w:val="20"/>
              </w:rPr>
              <w:t>Program Management Support Consultants Services (and/or additional qualified staff at MPWH) will provide support to contracting agencies.</w:t>
            </w:r>
          </w:p>
          <w:p w14:paraId="31E357DC" w14:textId="0C277AFA" w:rsidR="00495BF9" w:rsidRPr="00563D71" w:rsidRDefault="00495BF9" w:rsidP="00D340AC">
            <w:pPr>
              <w:pStyle w:val="ListParagraph"/>
              <w:numPr>
                <w:ilvl w:val="0"/>
                <w:numId w:val="25"/>
              </w:numPr>
              <w:spacing w:after="0" w:line="240" w:lineRule="auto"/>
              <w:jc w:val="left"/>
              <w:rPr>
                <w:rFonts w:ascii="Times New Roman" w:hAnsi="Times New Roman" w:cs="Times New Roman"/>
                <w:sz w:val="20"/>
              </w:rPr>
            </w:pPr>
            <w:r w:rsidRPr="00563D71">
              <w:rPr>
                <w:rFonts w:ascii="Times New Roman" w:hAnsi="Times New Roman" w:cs="Times New Roman"/>
                <w:sz w:val="20"/>
              </w:rPr>
              <w:t>Integrated Tourism Master Plans will avoid locating infrastructure in disaster-prone areas.</w:t>
            </w:r>
          </w:p>
        </w:tc>
        <w:tc>
          <w:tcPr>
            <w:tcW w:w="2835" w:type="pct"/>
            <w:gridSpan w:val="3"/>
            <w:tcBorders>
              <w:top w:val="single" w:sz="4" w:space="0" w:color="000000"/>
              <w:left w:val="nil"/>
              <w:bottom w:val="single" w:sz="4" w:space="0" w:color="000000"/>
              <w:right w:val="single" w:sz="4" w:space="0" w:color="000000"/>
            </w:tcBorders>
          </w:tcPr>
          <w:p w14:paraId="6289E1B7" w14:textId="77777777" w:rsidR="00495BF9" w:rsidRPr="00563D71" w:rsidRDefault="00495BF9" w:rsidP="003D2E29">
            <w:pPr>
              <w:pStyle w:val="ListParagraph"/>
              <w:numPr>
                <w:ilvl w:val="0"/>
                <w:numId w:val="20"/>
              </w:numPr>
              <w:spacing w:after="0" w:line="240" w:lineRule="auto"/>
              <w:ind w:left="331" w:hanging="288"/>
              <w:jc w:val="left"/>
              <w:rPr>
                <w:rFonts w:ascii="Times New Roman" w:hAnsi="Times New Roman" w:cs="Times New Roman"/>
                <w:sz w:val="20"/>
              </w:rPr>
            </w:pPr>
            <w:r w:rsidRPr="00563D71">
              <w:rPr>
                <w:rFonts w:ascii="Times New Roman" w:hAnsi="Times New Roman" w:cs="Times New Roman"/>
                <w:sz w:val="20"/>
              </w:rPr>
              <w:t>Disregard of workplace health and safety rules will lead to accidents.</w:t>
            </w:r>
          </w:p>
          <w:p w14:paraId="3F419C86" w14:textId="48F9DE07" w:rsidR="00495BF9" w:rsidRPr="00563D71" w:rsidRDefault="00495BF9" w:rsidP="003D2E29">
            <w:pPr>
              <w:pStyle w:val="ListParagraph"/>
              <w:numPr>
                <w:ilvl w:val="0"/>
                <w:numId w:val="20"/>
              </w:numPr>
              <w:spacing w:after="0" w:line="240" w:lineRule="auto"/>
              <w:ind w:left="331" w:hanging="288"/>
              <w:jc w:val="left"/>
            </w:pPr>
            <w:r w:rsidRPr="00563D71">
              <w:rPr>
                <w:rFonts w:ascii="Times New Roman" w:hAnsi="Times New Roman" w:cs="Times New Roman"/>
                <w:sz w:val="20"/>
              </w:rPr>
              <w:t>Activities such as movement of heavy equipment will cause personal injury or property damage in communities near work sites or transport corridors.</w:t>
            </w:r>
          </w:p>
        </w:tc>
      </w:tr>
    </w:tbl>
    <w:p w14:paraId="733FE556" w14:textId="5F57A6B6" w:rsidR="00245F03" w:rsidRPr="00563D71" w:rsidRDefault="00D04B10" w:rsidP="00781FF7">
      <w:pPr>
        <w:spacing w:after="213" w:line="259" w:lineRule="auto"/>
        <w:ind w:left="0" w:firstLine="0"/>
        <w:jc w:val="left"/>
      </w:pPr>
      <w:r w:rsidRPr="00563D71">
        <w:rPr>
          <w:sz w:val="20"/>
        </w:rPr>
        <w:t xml:space="preserve">  </w:t>
      </w:r>
      <w:r w:rsidRPr="00563D71">
        <w:rPr>
          <w:sz w:val="20"/>
        </w:rPr>
        <w:tab/>
        <w:t xml:space="preserve"> </w:t>
      </w:r>
    </w:p>
    <w:tbl>
      <w:tblPr>
        <w:tblStyle w:val="TableGrid"/>
        <w:tblW w:w="5000" w:type="pct"/>
        <w:tblInd w:w="0" w:type="dxa"/>
        <w:tblCellMar>
          <w:top w:w="2" w:type="dxa"/>
          <w:left w:w="90" w:type="dxa"/>
          <w:right w:w="153" w:type="dxa"/>
        </w:tblCellMar>
        <w:tblLook w:val="04A0" w:firstRow="1" w:lastRow="0" w:firstColumn="1" w:lastColumn="0" w:noHBand="0" w:noVBand="1"/>
      </w:tblPr>
      <w:tblGrid>
        <w:gridCol w:w="2858"/>
        <w:gridCol w:w="3395"/>
        <w:gridCol w:w="3667"/>
        <w:gridCol w:w="3030"/>
      </w:tblGrid>
      <w:tr w:rsidR="00245F03" w:rsidRPr="00563D71" w14:paraId="4C8D8C87" w14:textId="77777777" w:rsidTr="0032029F">
        <w:trPr>
          <w:trHeight w:val="53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BACC6"/>
          </w:tcPr>
          <w:p w14:paraId="754E011C" w14:textId="1A07E54E" w:rsidR="00245F03" w:rsidRPr="00563D71" w:rsidRDefault="00A20A82" w:rsidP="00D340AC">
            <w:pPr>
              <w:spacing w:before="0"/>
              <w:ind w:left="19" w:firstLine="0"/>
              <w:jc w:val="left"/>
            </w:pPr>
            <w:r w:rsidRPr="00563D71">
              <w:rPr>
                <w:b/>
                <w:sz w:val="20"/>
              </w:rPr>
              <w:t xml:space="preserve">Policy Element 4:  </w:t>
            </w:r>
            <w:r w:rsidR="00BB3FD2" w:rsidRPr="00563D71">
              <w:rPr>
                <w:b/>
                <w:sz w:val="20"/>
              </w:rPr>
              <w:t>Program systems manage land acquisition and loss of access to natural resources in a way that avoid</w:t>
            </w:r>
            <w:r w:rsidR="007E3F6B" w:rsidRPr="00563D71">
              <w:rPr>
                <w:b/>
                <w:sz w:val="20"/>
              </w:rPr>
              <w:t>s</w:t>
            </w:r>
            <w:r w:rsidR="00BB3FD2" w:rsidRPr="00563D71">
              <w:rPr>
                <w:b/>
                <w:sz w:val="20"/>
              </w:rPr>
              <w:t xml:space="preserve"> </w:t>
            </w:r>
            <w:r w:rsidR="007E3F6B" w:rsidRPr="00563D71">
              <w:rPr>
                <w:b/>
                <w:sz w:val="20"/>
              </w:rPr>
              <w:t xml:space="preserve">or </w:t>
            </w:r>
            <w:r w:rsidR="00BB3FD2" w:rsidRPr="00563D71">
              <w:rPr>
                <w:b/>
                <w:sz w:val="20"/>
              </w:rPr>
              <w:t>minimize</w:t>
            </w:r>
            <w:r w:rsidR="007E3F6B" w:rsidRPr="00563D71">
              <w:rPr>
                <w:b/>
                <w:sz w:val="20"/>
              </w:rPr>
              <w:t>s</w:t>
            </w:r>
            <w:r w:rsidR="00BB3FD2" w:rsidRPr="00563D71">
              <w:rPr>
                <w:b/>
                <w:sz w:val="20"/>
              </w:rPr>
              <w:t xml:space="preserve"> displacement, and assists the affected people in improving, or at the minimum restoring, their livelihood and living standard. </w:t>
            </w:r>
          </w:p>
        </w:tc>
      </w:tr>
      <w:tr w:rsidR="00245F03" w:rsidRPr="00563D71" w14:paraId="38025454" w14:textId="77777777" w:rsidTr="0032029F">
        <w:trPr>
          <w:trHeight w:val="326"/>
        </w:trPr>
        <w:tc>
          <w:tcPr>
            <w:tcW w:w="1103" w:type="pct"/>
            <w:tcBorders>
              <w:top w:val="single" w:sz="4" w:space="0" w:color="000000"/>
              <w:left w:val="single" w:sz="4" w:space="0" w:color="000000"/>
              <w:bottom w:val="single" w:sz="4" w:space="0" w:color="000000"/>
              <w:right w:val="single" w:sz="4" w:space="0" w:color="000000"/>
            </w:tcBorders>
            <w:shd w:val="clear" w:color="auto" w:fill="B8CCE4"/>
          </w:tcPr>
          <w:p w14:paraId="6D54EC89" w14:textId="77777777" w:rsidR="00245F03" w:rsidRPr="00563D71" w:rsidRDefault="00C8190F" w:rsidP="00D340AC">
            <w:pPr>
              <w:spacing w:before="0"/>
              <w:ind w:left="19" w:firstLine="0"/>
              <w:jc w:val="left"/>
            </w:pPr>
            <w:r w:rsidRPr="00563D71">
              <w:rPr>
                <w:b/>
                <w:sz w:val="20"/>
              </w:rPr>
              <w:t>Key Attributes</w:t>
            </w:r>
          </w:p>
        </w:tc>
        <w:tc>
          <w:tcPr>
            <w:tcW w:w="2727" w:type="pct"/>
            <w:gridSpan w:val="2"/>
            <w:tcBorders>
              <w:top w:val="single" w:sz="4" w:space="0" w:color="000000"/>
              <w:left w:val="single" w:sz="4" w:space="0" w:color="000000"/>
              <w:bottom w:val="single" w:sz="4" w:space="0" w:color="000000"/>
              <w:right w:val="single" w:sz="4" w:space="0" w:color="000000"/>
            </w:tcBorders>
            <w:shd w:val="clear" w:color="auto" w:fill="B8CCE4"/>
          </w:tcPr>
          <w:p w14:paraId="6E032746" w14:textId="77777777" w:rsidR="00245F03" w:rsidRPr="00563D71" w:rsidRDefault="00D04B10" w:rsidP="00D340AC">
            <w:pPr>
              <w:spacing w:before="0"/>
              <w:ind w:left="25" w:firstLine="0"/>
              <w:jc w:val="left"/>
            </w:pPr>
            <w:r w:rsidRPr="00563D71">
              <w:rPr>
                <w:b/>
                <w:sz w:val="20"/>
              </w:rPr>
              <w:t xml:space="preserve">Program System </w:t>
            </w:r>
          </w:p>
        </w:tc>
        <w:tc>
          <w:tcPr>
            <w:tcW w:w="1170" w:type="pct"/>
            <w:tcBorders>
              <w:top w:val="single" w:sz="4" w:space="0" w:color="000000"/>
              <w:left w:val="single" w:sz="4" w:space="0" w:color="000000"/>
              <w:bottom w:val="single" w:sz="4" w:space="0" w:color="000000"/>
              <w:right w:val="single" w:sz="4" w:space="0" w:color="000000"/>
            </w:tcBorders>
            <w:shd w:val="clear" w:color="auto" w:fill="B8CCE4"/>
          </w:tcPr>
          <w:p w14:paraId="0A068AAA" w14:textId="77777777" w:rsidR="00245F03" w:rsidRPr="00563D71" w:rsidRDefault="00D04B10" w:rsidP="00D340AC">
            <w:pPr>
              <w:spacing w:before="0"/>
              <w:ind w:left="25" w:firstLine="0"/>
              <w:jc w:val="left"/>
            </w:pPr>
            <w:r w:rsidRPr="00563D71">
              <w:rPr>
                <w:b/>
                <w:sz w:val="20"/>
              </w:rPr>
              <w:t xml:space="preserve">Gaps  </w:t>
            </w:r>
          </w:p>
        </w:tc>
      </w:tr>
      <w:tr w:rsidR="00427154" w:rsidRPr="00563D71" w14:paraId="2DC7B0BE" w14:textId="77777777" w:rsidTr="0032029F">
        <w:trPr>
          <w:trHeight w:val="1619"/>
        </w:trPr>
        <w:tc>
          <w:tcPr>
            <w:tcW w:w="1103" w:type="pct"/>
            <w:tcBorders>
              <w:top w:val="single" w:sz="4" w:space="0" w:color="000000"/>
              <w:left w:val="single" w:sz="4" w:space="0" w:color="000000"/>
              <w:bottom w:val="single" w:sz="4" w:space="0" w:color="000000"/>
              <w:right w:val="single" w:sz="4" w:space="0" w:color="000000"/>
            </w:tcBorders>
          </w:tcPr>
          <w:p w14:paraId="31BFBB80" w14:textId="2F4B94C5" w:rsidR="00427154" w:rsidRPr="00563D71" w:rsidRDefault="00427154" w:rsidP="00D340AC">
            <w:pPr>
              <w:spacing w:before="0"/>
              <w:ind w:left="374" w:hanging="288"/>
              <w:jc w:val="left"/>
              <w:rPr>
                <w:sz w:val="20"/>
              </w:rPr>
            </w:pPr>
            <w:r w:rsidRPr="00563D71">
              <w:rPr>
                <w:sz w:val="20"/>
                <w:szCs w:val="20"/>
              </w:rPr>
              <w:t>(a) Operate within an adequate legal and regulatory framework to guide land acquisition and loss of access to natural resources at the Program level</w:t>
            </w:r>
          </w:p>
        </w:tc>
        <w:tc>
          <w:tcPr>
            <w:tcW w:w="2727" w:type="pct"/>
            <w:gridSpan w:val="2"/>
            <w:tcBorders>
              <w:top w:val="single" w:sz="4" w:space="0" w:color="000000"/>
              <w:left w:val="single" w:sz="4" w:space="0" w:color="000000"/>
              <w:bottom w:val="single" w:sz="4" w:space="0" w:color="000000"/>
              <w:right w:val="single" w:sz="4" w:space="0" w:color="000000"/>
            </w:tcBorders>
          </w:tcPr>
          <w:p w14:paraId="47688E27" w14:textId="1C3DEDC2" w:rsidR="00427154" w:rsidRPr="00563D71" w:rsidRDefault="00427154" w:rsidP="003D2E29">
            <w:pPr>
              <w:pStyle w:val="ListParagraph"/>
              <w:spacing w:before="0" w:after="120" w:line="240" w:lineRule="auto"/>
              <w:ind w:left="0"/>
              <w:contextualSpacing w:val="0"/>
              <w:rPr>
                <w:rFonts w:ascii="Times New Roman" w:hAnsi="Times New Roman" w:cs="Times New Roman"/>
                <w:sz w:val="20"/>
                <w:szCs w:val="20"/>
              </w:rPr>
            </w:pPr>
            <w:r w:rsidRPr="00563D71">
              <w:rPr>
                <w:rFonts w:ascii="Times New Roman" w:hAnsi="Times New Roman" w:cs="Times New Roman"/>
                <w:sz w:val="20"/>
                <w:szCs w:val="20"/>
              </w:rPr>
              <w:t>Indonesia has enacted Law No. 2</w:t>
            </w:r>
            <w:r w:rsidR="000029F6" w:rsidRPr="00563D71">
              <w:rPr>
                <w:rFonts w:ascii="Times New Roman" w:hAnsi="Times New Roman" w:cs="Times New Roman"/>
                <w:sz w:val="20"/>
                <w:szCs w:val="20"/>
              </w:rPr>
              <w:t xml:space="preserve"> </w:t>
            </w:r>
            <w:r w:rsidR="00DA79DD" w:rsidRPr="00563D71">
              <w:rPr>
                <w:rFonts w:ascii="Times New Roman" w:hAnsi="Times New Roman" w:cs="Times New Roman"/>
                <w:sz w:val="20"/>
                <w:szCs w:val="20"/>
              </w:rPr>
              <w:t xml:space="preserve">Year </w:t>
            </w:r>
            <w:r w:rsidR="000029F6" w:rsidRPr="00563D71">
              <w:rPr>
                <w:rFonts w:ascii="Times New Roman" w:hAnsi="Times New Roman" w:cs="Times New Roman"/>
                <w:sz w:val="20"/>
                <w:szCs w:val="20"/>
              </w:rPr>
              <w:t>2</w:t>
            </w:r>
            <w:r w:rsidRPr="00563D71">
              <w:rPr>
                <w:rFonts w:ascii="Times New Roman" w:hAnsi="Times New Roman" w:cs="Times New Roman"/>
                <w:sz w:val="20"/>
                <w:szCs w:val="20"/>
              </w:rPr>
              <w:t>012 concerning land acquisition for public interest development purposes and its implementing regulatio</w:t>
            </w:r>
            <w:r w:rsidR="00A24C70" w:rsidRPr="00563D71">
              <w:rPr>
                <w:rFonts w:ascii="Times New Roman" w:hAnsi="Times New Roman" w:cs="Times New Roman"/>
                <w:sz w:val="20"/>
                <w:szCs w:val="20"/>
              </w:rPr>
              <w:t>ns.</w:t>
            </w:r>
            <w:r w:rsidRPr="00563D71">
              <w:rPr>
                <w:rStyle w:val="FootnoteReference"/>
                <w:rFonts w:ascii="Times New Roman" w:hAnsi="Times New Roman" w:cs="Times New Roman"/>
                <w:sz w:val="20"/>
                <w:szCs w:val="20"/>
              </w:rPr>
              <w:footnoteReference w:id="43"/>
            </w:r>
            <w:r w:rsidRPr="00563D71">
              <w:rPr>
                <w:rFonts w:ascii="Times New Roman" w:hAnsi="Times New Roman" w:cs="Times New Roman"/>
                <w:sz w:val="20"/>
                <w:szCs w:val="20"/>
              </w:rPr>
              <w:t xml:space="preserve"> The law and regulations replaced previous, long-used legislation. The Law No. 2</w:t>
            </w:r>
            <w:r w:rsidR="00DA79DD"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2012 is perceived as </w:t>
            </w:r>
            <w:r w:rsidRPr="00563D71">
              <w:rPr>
                <w:i/>
                <w:iCs/>
                <w:sz w:val="20"/>
                <w:szCs w:val="20"/>
              </w:rPr>
              <w:t>lex specialis</w:t>
            </w:r>
            <w:r w:rsidR="00A24C70" w:rsidRPr="00563D71">
              <w:rPr>
                <w:rStyle w:val="FootnoteReference"/>
                <w:rFonts w:ascii="Times New Roman" w:hAnsi="Times New Roman" w:cs="Times New Roman"/>
                <w:sz w:val="20"/>
                <w:szCs w:val="20"/>
              </w:rPr>
              <w:footnoteReference w:id="44"/>
            </w:r>
            <w:r w:rsidRPr="00563D71">
              <w:rPr>
                <w:rFonts w:ascii="Times New Roman" w:hAnsi="Times New Roman" w:cs="Times New Roman"/>
                <w:sz w:val="20"/>
                <w:szCs w:val="20"/>
              </w:rPr>
              <w:t xml:space="preserve">and has higher legitimation for government to ensure availability of land for public interest development purposes by </w:t>
            </w:r>
            <w:r w:rsidR="009C2533" w:rsidRPr="00563D71">
              <w:rPr>
                <w:rFonts w:ascii="Times New Roman" w:hAnsi="Times New Roman" w:cs="Times New Roman"/>
                <w:sz w:val="20"/>
                <w:szCs w:val="20"/>
              </w:rPr>
              <w:t>seizing</w:t>
            </w:r>
            <w:r w:rsidRPr="00563D71">
              <w:rPr>
                <w:rFonts w:ascii="Times New Roman" w:hAnsi="Times New Roman" w:cs="Times New Roman"/>
                <w:sz w:val="20"/>
                <w:szCs w:val="20"/>
              </w:rPr>
              <w:t xml:space="preserve"> land</w:t>
            </w:r>
            <w:r w:rsidR="009C2533" w:rsidRPr="00563D71">
              <w:rPr>
                <w:rFonts w:ascii="Times New Roman" w:hAnsi="Times New Roman" w:cs="Times New Roman"/>
                <w:sz w:val="20"/>
                <w:szCs w:val="20"/>
              </w:rPr>
              <w:t>,</w:t>
            </w:r>
            <w:r w:rsidRPr="00563D71">
              <w:rPr>
                <w:rFonts w:ascii="Times New Roman" w:hAnsi="Times New Roman" w:cs="Times New Roman"/>
                <w:sz w:val="20"/>
                <w:szCs w:val="20"/>
              </w:rPr>
              <w:t xml:space="preserve"> but also by acquiring land use or limit</w:t>
            </w:r>
            <w:r w:rsidR="009C2533" w:rsidRPr="00563D71">
              <w:rPr>
                <w:rFonts w:ascii="Times New Roman" w:hAnsi="Times New Roman" w:cs="Times New Roman"/>
                <w:sz w:val="20"/>
                <w:szCs w:val="20"/>
              </w:rPr>
              <w:t>ed</w:t>
            </w:r>
            <w:r w:rsidRPr="00563D71">
              <w:rPr>
                <w:rFonts w:ascii="Times New Roman" w:hAnsi="Times New Roman" w:cs="Times New Roman"/>
                <w:sz w:val="20"/>
                <w:szCs w:val="20"/>
              </w:rPr>
              <w:t xml:space="preserve"> access to land </w:t>
            </w:r>
            <w:r w:rsidR="009C2533" w:rsidRPr="00563D71">
              <w:rPr>
                <w:rFonts w:ascii="Times New Roman" w:hAnsi="Times New Roman" w:cs="Times New Roman"/>
                <w:sz w:val="20"/>
                <w:szCs w:val="20"/>
              </w:rPr>
              <w:t>short of</w:t>
            </w:r>
            <w:r w:rsidRPr="00563D71">
              <w:rPr>
                <w:rFonts w:ascii="Times New Roman" w:hAnsi="Times New Roman" w:cs="Times New Roman"/>
                <w:sz w:val="20"/>
                <w:szCs w:val="20"/>
              </w:rPr>
              <w:t xml:space="preserve"> land eviction</w:t>
            </w:r>
            <w:r w:rsidR="00A24C70" w:rsidRPr="00563D71">
              <w:rPr>
                <w:rFonts w:ascii="Times New Roman" w:hAnsi="Times New Roman" w:cs="Times New Roman"/>
                <w:sz w:val="20"/>
                <w:szCs w:val="20"/>
              </w:rPr>
              <w:t>.</w:t>
            </w:r>
            <w:r w:rsidR="00F87FBE" w:rsidRPr="00563D71">
              <w:rPr>
                <w:rStyle w:val="FootnoteReference"/>
                <w:rFonts w:ascii="Times New Roman" w:hAnsi="Times New Roman" w:cs="Times New Roman"/>
                <w:sz w:val="20"/>
                <w:szCs w:val="20"/>
              </w:rPr>
              <w:footnoteReference w:id="45"/>
            </w:r>
            <w:r w:rsidRPr="00563D71">
              <w:rPr>
                <w:rFonts w:ascii="Times New Roman" w:hAnsi="Times New Roman" w:cs="Times New Roman"/>
                <w:sz w:val="20"/>
                <w:szCs w:val="20"/>
              </w:rPr>
              <w:t xml:space="preserve"> The authority to use the law as stated is for government to undertake the public interest development that in cooperation with state owned enterprises or private enterprises. In regard to the scope of application, the Law No. 2</w:t>
            </w:r>
            <w:r w:rsidR="0006769B"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2012 applies to forestland acquired for public </w:t>
            </w:r>
            <w:r w:rsidRPr="00563D71">
              <w:rPr>
                <w:rFonts w:ascii="Times New Roman" w:hAnsi="Times New Roman" w:cs="Times New Roman"/>
                <w:sz w:val="20"/>
                <w:szCs w:val="20"/>
              </w:rPr>
              <w:lastRenderedPageBreak/>
              <w:t>use project</w:t>
            </w:r>
            <w:r w:rsidR="009C2533" w:rsidRPr="00563D71">
              <w:rPr>
                <w:rFonts w:ascii="Times New Roman" w:hAnsi="Times New Roman" w:cs="Times New Roman"/>
                <w:sz w:val="20"/>
                <w:szCs w:val="20"/>
              </w:rPr>
              <w:t>s</w:t>
            </w:r>
            <w:r w:rsidRPr="00563D71">
              <w:rPr>
                <w:rFonts w:ascii="Times New Roman" w:hAnsi="Times New Roman" w:cs="Times New Roman"/>
                <w:sz w:val="20"/>
                <w:szCs w:val="20"/>
              </w:rPr>
              <w:t xml:space="preserve"> without releasing forestland </w:t>
            </w:r>
            <w:r w:rsidR="00D975C0" w:rsidRPr="00563D71">
              <w:rPr>
                <w:rFonts w:ascii="Times New Roman" w:hAnsi="Times New Roman" w:cs="Times New Roman"/>
                <w:sz w:val="20"/>
                <w:szCs w:val="20"/>
              </w:rPr>
              <w:t>from forest area to other land use purpose</w:t>
            </w:r>
            <w:r w:rsidR="005A1D44" w:rsidRPr="00563D71">
              <w:rPr>
                <w:rFonts w:ascii="Times New Roman" w:hAnsi="Times New Roman" w:cs="Times New Roman"/>
                <w:sz w:val="20"/>
                <w:szCs w:val="20"/>
              </w:rPr>
              <w:t>s</w:t>
            </w:r>
            <w:r w:rsidR="00D975C0" w:rsidRPr="00563D71">
              <w:rPr>
                <w:rFonts w:ascii="Times New Roman" w:hAnsi="Times New Roman" w:cs="Times New Roman"/>
                <w:sz w:val="20"/>
                <w:szCs w:val="20"/>
              </w:rPr>
              <w:t xml:space="preserve"> </w:t>
            </w:r>
            <w:r w:rsidRPr="00563D71">
              <w:rPr>
                <w:rFonts w:ascii="Times New Roman" w:hAnsi="Times New Roman" w:cs="Times New Roman"/>
                <w:sz w:val="20"/>
                <w:szCs w:val="20"/>
              </w:rPr>
              <w:t xml:space="preserve">by </w:t>
            </w:r>
            <w:r w:rsidR="005C6798" w:rsidRPr="00563D71">
              <w:rPr>
                <w:rFonts w:ascii="Times New Roman" w:hAnsi="Times New Roman" w:cs="Times New Roman"/>
                <w:sz w:val="20"/>
                <w:szCs w:val="20"/>
              </w:rPr>
              <w:t>M</w:t>
            </w:r>
            <w:r w:rsidRPr="00563D71">
              <w:rPr>
                <w:rFonts w:ascii="Times New Roman" w:hAnsi="Times New Roman" w:cs="Times New Roman"/>
                <w:sz w:val="20"/>
                <w:szCs w:val="20"/>
              </w:rPr>
              <w:t>in</w:t>
            </w:r>
            <w:r w:rsidR="005C6798" w:rsidRPr="00563D71">
              <w:rPr>
                <w:rFonts w:ascii="Times New Roman" w:hAnsi="Times New Roman" w:cs="Times New Roman"/>
                <w:sz w:val="20"/>
                <w:szCs w:val="20"/>
              </w:rPr>
              <w:t>i</w:t>
            </w:r>
            <w:r w:rsidRPr="00563D71">
              <w:rPr>
                <w:rFonts w:ascii="Times New Roman" w:hAnsi="Times New Roman" w:cs="Times New Roman"/>
                <w:sz w:val="20"/>
                <w:szCs w:val="20"/>
              </w:rPr>
              <w:t xml:space="preserve">stry of </w:t>
            </w:r>
            <w:r w:rsidR="009C2533" w:rsidRPr="00563D71">
              <w:rPr>
                <w:rFonts w:ascii="Times New Roman" w:hAnsi="Times New Roman" w:cs="Times New Roman"/>
                <w:sz w:val="20"/>
                <w:szCs w:val="20"/>
              </w:rPr>
              <w:t>F</w:t>
            </w:r>
            <w:r w:rsidRPr="00563D71">
              <w:rPr>
                <w:rFonts w:ascii="Times New Roman" w:hAnsi="Times New Roman" w:cs="Times New Roman"/>
                <w:sz w:val="20"/>
                <w:szCs w:val="20"/>
              </w:rPr>
              <w:t xml:space="preserve">orestry and also to other government owned/controlled land. </w:t>
            </w:r>
          </w:p>
          <w:p w14:paraId="6CF90C1A" w14:textId="06D46614" w:rsidR="00427154" w:rsidRPr="00563D71" w:rsidRDefault="00427154" w:rsidP="003D2E29">
            <w:pPr>
              <w:pStyle w:val="ListParagraph"/>
              <w:spacing w:before="0" w:after="120" w:line="240" w:lineRule="auto"/>
              <w:ind w:left="0"/>
              <w:contextualSpacing w:val="0"/>
              <w:rPr>
                <w:rFonts w:ascii="Times New Roman" w:hAnsi="Times New Roman" w:cs="Times New Roman"/>
                <w:sz w:val="20"/>
                <w:szCs w:val="20"/>
              </w:rPr>
            </w:pPr>
            <w:r w:rsidRPr="00563D71">
              <w:rPr>
                <w:rFonts w:ascii="Times New Roman" w:hAnsi="Times New Roman" w:cs="Times New Roman"/>
                <w:sz w:val="20"/>
                <w:szCs w:val="20"/>
              </w:rPr>
              <w:t xml:space="preserve">Concerning loss of access to natural resources when the loss </w:t>
            </w:r>
            <w:r w:rsidR="009C2533" w:rsidRPr="00563D71">
              <w:rPr>
                <w:rFonts w:ascii="Times New Roman" w:hAnsi="Times New Roman" w:cs="Times New Roman"/>
                <w:sz w:val="20"/>
                <w:szCs w:val="20"/>
              </w:rPr>
              <w:t xml:space="preserve">affects </w:t>
            </w:r>
            <w:r w:rsidRPr="00563D71">
              <w:rPr>
                <w:rFonts w:ascii="Times New Roman" w:hAnsi="Times New Roman" w:cs="Times New Roman"/>
                <w:sz w:val="20"/>
                <w:szCs w:val="20"/>
              </w:rPr>
              <w:t>customary rights/land (</w:t>
            </w:r>
            <w:r w:rsidRPr="00563D71">
              <w:rPr>
                <w:rFonts w:ascii="Times New Roman" w:hAnsi="Times New Roman" w:cs="Times New Roman"/>
                <w:i/>
                <w:sz w:val="20"/>
                <w:szCs w:val="20"/>
              </w:rPr>
              <w:t>Hak Ulayat/Adat</w:t>
            </w:r>
            <w:r w:rsidRPr="00563D71">
              <w:rPr>
                <w:rFonts w:ascii="Times New Roman" w:hAnsi="Times New Roman" w:cs="Times New Roman"/>
                <w:sz w:val="20"/>
                <w:szCs w:val="20"/>
              </w:rPr>
              <w:t xml:space="preserve">), </w:t>
            </w:r>
            <w:r w:rsidRPr="00563D71">
              <w:rPr>
                <w:rFonts w:ascii="Times New Roman" w:hAnsi="Times New Roman" w:cs="Times New Roman"/>
                <w:bCs/>
                <w:sz w:val="20"/>
                <w:szCs w:val="20"/>
              </w:rPr>
              <w:t xml:space="preserve">Law </w:t>
            </w:r>
            <w:r w:rsidR="009C2533" w:rsidRPr="00563D71">
              <w:rPr>
                <w:rFonts w:ascii="Times New Roman" w:hAnsi="Times New Roman" w:cs="Times New Roman"/>
                <w:bCs/>
                <w:sz w:val="20"/>
                <w:szCs w:val="20"/>
              </w:rPr>
              <w:t xml:space="preserve">No. </w:t>
            </w:r>
            <w:r w:rsidRPr="00563D71">
              <w:rPr>
                <w:rFonts w:ascii="Times New Roman" w:hAnsi="Times New Roman" w:cs="Times New Roman"/>
                <w:bCs/>
                <w:sz w:val="20"/>
                <w:szCs w:val="20"/>
              </w:rPr>
              <w:t>2</w:t>
            </w:r>
            <w:r w:rsidR="00DA79DD" w:rsidRPr="00563D71">
              <w:rPr>
                <w:rFonts w:ascii="Times New Roman" w:hAnsi="Times New Roman" w:cs="Times New Roman"/>
                <w:bCs/>
                <w:sz w:val="20"/>
                <w:szCs w:val="20"/>
              </w:rPr>
              <w:t xml:space="preserve"> Year </w:t>
            </w:r>
            <w:r w:rsidRPr="00563D71">
              <w:rPr>
                <w:rFonts w:ascii="Times New Roman" w:hAnsi="Times New Roman" w:cs="Times New Roman"/>
                <w:bCs/>
                <w:sz w:val="20"/>
                <w:szCs w:val="20"/>
              </w:rPr>
              <w:t xml:space="preserve">2012 accommodates the customary issues in a provision that says compensation for indigenous land shall be given in the form of substitute land, resettlements, or other forms as agreed upon by the relevant </w:t>
            </w:r>
            <w:r w:rsidR="009C2533" w:rsidRPr="00563D71">
              <w:rPr>
                <w:rFonts w:ascii="Times New Roman" w:hAnsi="Times New Roman" w:cs="Times New Roman"/>
                <w:bCs/>
                <w:sz w:val="20"/>
                <w:szCs w:val="20"/>
              </w:rPr>
              <w:t>I</w:t>
            </w:r>
            <w:r w:rsidRPr="00563D71">
              <w:rPr>
                <w:rFonts w:ascii="Times New Roman" w:hAnsi="Times New Roman" w:cs="Times New Roman"/>
                <w:bCs/>
                <w:sz w:val="20"/>
                <w:szCs w:val="20"/>
              </w:rPr>
              <w:t>ndigenous</w:t>
            </w:r>
            <w:r w:rsidR="009C2533" w:rsidRPr="00563D71">
              <w:rPr>
                <w:rFonts w:ascii="Times New Roman" w:hAnsi="Times New Roman" w:cs="Times New Roman"/>
                <w:bCs/>
                <w:sz w:val="20"/>
                <w:szCs w:val="20"/>
              </w:rPr>
              <w:t xml:space="preserve"> P</w:t>
            </w:r>
            <w:r w:rsidRPr="00563D71">
              <w:rPr>
                <w:rFonts w:ascii="Times New Roman" w:hAnsi="Times New Roman" w:cs="Times New Roman"/>
                <w:bCs/>
                <w:sz w:val="20"/>
                <w:szCs w:val="20"/>
              </w:rPr>
              <w:t>eople</w:t>
            </w:r>
            <w:r w:rsidR="009C2533" w:rsidRPr="00563D71">
              <w:rPr>
                <w:rFonts w:ascii="Times New Roman" w:hAnsi="Times New Roman" w:cs="Times New Roman"/>
                <w:bCs/>
                <w:sz w:val="20"/>
                <w:szCs w:val="20"/>
              </w:rPr>
              <w:t>s</w:t>
            </w:r>
            <w:r w:rsidR="00DA79DD" w:rsidRPr="00563D71">
              <w:rPr>
                <w:rFonts w:ascii="Times New Roman" w:hAnsi="Times New Roman" w:cs="Times New Roman"/>
                <w:bCs/>
                <w:sz w:val="20"/>
                <w:szCs w:val="20"/>
              </w:rPr>
              <w:t xml:space="preserve">. </w:t>
            </w:r>
            <w:r w:rsidRPr="00563D71">
              <w:rPr>
                <w:rFonts w:ascii="Times New Roman" w:hAnsi="Times New Roman" w:cs="Times New Roman"/>
                <w:bCs/>
                <w:sz w:val="20"/>
                <w:szCs w:val="20"/>
              </w:rPr>
              <w:t>In principle, if land acquisition goes through area</w:t>
            </w:r>
            <w:r w:rsidR="009C2533" w:rsidRPr="00563D71">
              <w:rPr>
                <w:rFonts w:ascii="Times New Roman" w:hAnsi="Times New Roman" w:cs="Times New Roman"/>
                <w:bCs/>
                <w:sz w:val="20"/>
                <w:szCs w:val="20"/>
              </w:rPr>
              <w:t>s</w:t>
            </w:r>
            <w:r w:rsidRPr="00563D71">
              <w:rPr>
                <w:rFonts w:ascii="Times New Roman" w:hAnsi="Times New Roman" w:cs="Times New Roman"/>
                <w:bCs/>
                <w:sz w:val="20"/>
                <w:szCs w:val="20"/>
              </w:rPr>
              <w:t xml:space="preserve"> claimed by customary people, they must be respected and Government has to come and ask for permission if customary land involved in any of land acquisition project.</w:t>
            </w:r>
            <w:r w:rsidRPr="00563D71">
              <w:rPr>
                <w:rFonts w:ascii="Times New Roman" w:hAnsi="Times New Roman" w:cs="Times New Roman"/>
                <w:sz w:val="20"/>
                <w:szCs w:val="20"/>
              </w:rPr>
              <w:t xml:space="preserve"> The customary land claimed</w:t>
            </w:r>
            <w:r w:rsidR="009C2533" w:rsidRPr="00563D71">
              <w:rPr>
                <w:rFonts w:ascii="Times New Roman" w:hAnsi="Times New Roman" w:cs="Times New Roman"/>
                <w:sz w:val="20"/>
                <w:szCs w:val="20"/>
              </w:rPr>
              <w:t>,</w:t>
            </w:r>
            <w:r w:rsidRPr="00563D71">
              <w:rPr>
                <w:rFonts w:ascii="Times New Roman" w:hAnsi="Times New Roman" w:cs="Times New Roman"/>
                <w:sz w:val="20"/>
                <w:szCs w:val="20"/>
              </w:rPr>
              <w:t xml:space="preserve"> however</w:t>
            </w:r>
            <w:r w:rsidR="009C2533" w:rsidRPr="00563D71">
              <w:rPr>
                <w:rFonts w:ascii="Times New Roman" w:hAnsi="Times New Roman" w:cs="Times New Roman"/>
                <w:sz w:val="20"/>
                <w:szCs w:val="20"/>
              </w:rPr>
              <w:t>,</w:t>
            </w:r>
            <w:r w:rsidRPr="00563D71">
              <w:rPr>
                <w:rFonts w:ascii="Times New Roman" w:hAnsi="Times New Roman" w:cs="Times New Roman"/>
                <w:sz w:val="20"/>
                <w:szCs w:val="20"/>
              </w:rPr>
              <w:t xml:space="preserve"> </w:t>
            </w:r>
            <w:r w:rsidR="009C2533" w:rsidRPr="00563D71">
              <w:rPr>
                <w:rFonts w:ascii="Times New Roman" w:hAnsi="Times New Roman" w:cs="Times New Roman"/>
                <w:sz w:val="20"/>
                <w:szCs w:val="20"/>
              </w:rPr>
              <w:t>must be recognized as such by the government</w:t>
            </w:r>
            <w:r w:rsidR="00DA6641" w:rsidRPr="00563D71">
              <w:rPr>
                <w:rFonts w:ascii="Times New Roman" w:hAnsi="Times New Roman" w:cs="Times New Roman"/>
                <w:sz w:val="20"/>
                <w:szCs w:val="20"/>
              </w:rPr>
              <w:t xml:space="preserve"> prior to acquisition.</w:t>
            </w:r>
            <w:r w:rsidRPr="00563D71">
              <w:rPr>
                <w:rFonts w:ascii="Times New Roman" w:hAnsi="Times New Roman" w:cs="Times New Roman"/>
                <w:sz w:val="20"/>
                <w:szCs w:val="20"/>
              </w:rPr>
              <w:t xml:space="preserve"> Joint Regulation No. 79</w:t>
            </w:r>
            <w:r w:rsidR="00DA79DD"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2014 on Protocols on Conflict Resolution in Forest Areas, Agrarian Ministerial Regulation No. 9</w:t>
            </w:r>
            <w:r w:rsidR="00DA79DD"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2015 on Protocols on Communal Land Rights for Customary Law Communities and Local Communities in Forest Areas, and Ministerial Regulation No. 32</w:t>
            </w:r>
            <w:r w:rsidR="00BF6A99" w:rsidRPr="00563D71">
              <w:rPr>
                <w:rFonts w:ascii="Times New Roman" w:hAnsi="Times New Roman" w:cs="Times New Roman"/>
                <w:sz w:val="20"/>
                <w:szCs w:val="20"/>
              </w:rPr>
              <w:t xml:space="preserve"> Year </w:t>
            </w:r>
            <w:r w:rsidRPr="00563D71">
              <w:rPr>
                <w:rFonts w:ascii="Times New Roman" w:hAnsi="Times New Roman" w:cs="Times New Roman"/>
                <w:sz w:val="20"/>
                <w:szCs w:val="20"/>
              </w:rPr>
              <w:t xml:space="preserve">2015 on Property Forests provides the procedure for the recognition process. </w:t>
            </w:r>
          </w:p>
          <w:p w14:paraId="1FDC3111" w14:textId="3F90C1B7" w:rsidR="00D96D8E" w:rsidRPr="00563D71" w:rsidRDefault="00427154" w:rsidP="009039A6">
            <w:pPr>
              <w:pStyle w:val="ListParagraph"/>
              <w:spacing w:before="0" w:after="0" w:line="240" w:lineRule="auto"/>
              <w:ind w:left="0"/>
              <w:contextualSpacing w:val="0"/>
              <w:rPr>
                <w:rFonts w:ascii="Times New Roman" w:hAnsi="Times New Roman" w:cs="Times New Roman"/>
                <w:sz w:val="20"/>
                <w:szCs w:val="20"/>
              </w:rPr>
            </w:pPr>
            <w:r w:rsidRPr="00563D71">
              <w:rPr>
                <w:rFonts w:ascii="Times New Roman" w:hAnsi="Times New Roman" w:cs="Times New Roman"/>
                <w:sz w:val="20"/>
                <w:szCs w:val="20"/>
              </w:rPr>
              <w:t xml:space="preserve">Loss of access </w:t>
            </w:r>
            <w:r w:rsidR="00B65966" w:rsidRPr="00563D71">
              <w:rPr>
                <w:rFonts w:ascii="Times New Roman" w:hAnsi="Times New Roman" w:cs="Times New Roman"/>
                <w:sz w:val="20"/>
                <w:szCs w:val="20"/>
              </w:rPr>
              <w:t>to</w:t>
            </w:r>
            <w:r w:rsidR="004E363F" w:rsidRPr="00563D71">
              <w:rPr>
                <w:rFonts w:ascii="Times New Roman" w:hAnsi="Times New Roman" w:cs="Times New Roman"/>
                <w:sz w:val="20"/>
                <w:szCs w:val="20"/>
              </w:rPr>
              <w:t xml:space="preserve"> </w:t>
            </w:r>
            <w:r w:rsidR="00D96D8E" w:rsidRPr="00563D71">
              <w:rPr>
                <w:rFonts w:ascii="Times New Roman" w:hAnsi="Times New Roman" w:cs="Times New Roman"/>
                <w:sz w:val="20"/>
                <w:szCs w:val="20"/>
              </w:rPr>
              <w:t xml:space="preserve">idle land being </w:t>
            </w:r>
            <w:r w:rsidR="000E3C0D" w:rsidRPr="00563D71">
              <w:rPr>
                <w:rFonts w:ascii="Times New Roman" w:hAnsi="Times New Roman" w:cs="Times New Roman"/>
                <w:sz w:val="20"/>
                <w:szCs w:val="20"/>
              </w:rPr>
              <w:t xml:space="preserve">previously </w:t>
            </w:r>
            <w:r w:rsidR="00D96D8E" w:rsidRPr="00563D71">
              <w:rPr>
                <w:rFonts w:ascii="Times New Roman" w:hAnsi="Times New Roman" w:cs="Times New Roman"/>
                <w:sz w:val="20"/>
                <w:szCs w:val="20"/>
              </w:rPr>
              <w:t xml:space="preserve">occupied by illegal settlers </w:t>
            </w:r>
            <w:r w:rsidR="00B65966" w:rsidRPr="00563D71">
              <w:rPr>
                <w:rFonts w:ascii="Times New Roman" w:hAnsi="Times New Roman" w:cs="Times New Roman"/>
                <w:sz w:val="20"/>
                <w:szCs w:val="20"/>
              </w:rPr>
              <w:t>or land grabber when</w:t>
            </w:r>
            <w:r w:rsidR="000E3C0D" w:rsidRPr="00563D71">
              <w:rPr>
                <w:rFonts w:ascii="Times New Roman" w:hAnsi="Times New Roman" w:cs="Times New Roman"/>
                <w:sz w:val="20"/>
                <w:szCs w:val="20"/>
              </w:rPr>
              <w:t xml:space="preserve"> the right-to-</w:t>
            </w:r>
            <w:r w:rsidR="00D96D8E" w:rsidRPr="00563D71">
              <w:rPr>
                <w:rFonts w:ascii="Times New Roman" w:hAnsi="Times New Roman" w:cs="Times New Roman"/>
                <w:sz w:val="20"/>
                <w:szCs w:val="20"/>
              </w:rPr>
              <w:t xml:space="preserve">use (HPL) holder is going to develop the land and requiring a clean land. This situation </w:t>
            </w:r>
            <w:r w:rsidR="00B65966" w:rsidRPr="00563D71">
              <w:rPr>
                <w:rFonts w:ascii="Times New Roman" w:hAnsi="Times New Roman" w:cs="Times New Roman"/>
                <w:sz w:val="20"/>
                <w:szCs w:val="20"/>
              </w:rPr>
              <w:t xml:space="preserve">is </w:t>
            </w:r>
            <w:r w:rsidR="00D96D8E" w:rsidRPr="00563D71">
              <w:rPr>
                <w:rFonts w:ascii="Times New Roman" w:hAnsi="Times New Roman" w:cs="Times New Roman"/>
                <w:sz w:val="20"/>
                <w:szCs w:val="20"/>
              </w:rPr>
              <w:t xml:space="preserve">normally found in prospective tourism areas. The HPL holder </w:t>
            </w:r>
            <w:r w:rsidR="00874F66" w:rsidRPr="00563D71">
              <w:rPr>
                <w:rFonts w:ascii="Times New Roman" w:hAnsi="Times New Roman" w:cs="Times New Roman"/>
                <w:sz w:val="20"/>
                <w:szCs w:val="20"/>
              </w:rPr>
              <w:t>faces</w:t>
            </w:r>
            <w:r w:rsidR="00D96D8E" w:rsidRPr="00563D71">
              <w:rPr>
                <w:rFonts w:ascii="Times New Roman" w:hAnsi="Times New Roman" w:cs="Times New Roman"/>
                <w:sz w:val="20"/>
                <w:szCs w:val="20"/>
              </w:rPr>
              <w:t xml:space="preserve"> a reality where the land area has been preoccupied and used by returning settlers or land grabbers</w:t>
            </w:r>
            <w:r w:rsidR="00874F66" w:rsidRPr="00563D71">
              <w:rPr>
                <w:rFonts w:ascii="Times New Roman" w:hAnsi="Times New Roman" w:cs="Times New Roman"/>
                <w:sz w:val="20"/>
                <w:szCs w:val="20"/>
              </w:rPr>
              <w:t>,</w:t>
            </w:r>
            <w:r w:rsidR="00D96D8E" w:rsidRPr="00563D71">
              <w:rPr>
                <w:rFonts w:ascii="Times New Roman" w:hAnsi="Times New Roman" w:cs="Times New Roman"/>
                <w:sz w:val="20"/>
                <w:szCs w:val="20"/>
              </w:rPr>
              <w:t xml:space="preserve"> </w:t>
            </w:r>
            <w:r w:rsidR="00874F66" w:rsidRPr="00563D71">
              <w:rPr>
                <w:rFonts w:ascii="Times New Roman" w:hAnsi="Times New Roman" w:cs="Times New Roman"/>
                <w:sz w:val="20"/>
                <w:szCs w:val="20"/>
              </w:rPr>
              <w:t xml:space="preserve">which </w:t>
            </w:r>
            <w:r w:rsidR="009039A6" w:rsidRPr="00563D71">
              <w:rPr>
                <w:rFonts w:ascii="Times New Roman" w:hAnsi="Times New Roman" w:cs="Times New Roman"/>
                <w:sz w:val="20"/>
                <w:szCs w:val="20"/>
              </w:rPr>
              <w:t>leads to</w:t>
            </w:r>
            <w:r w:rsidR="00874F66" w:rsidRPr="00563D71">
              <w:rPr>
                <w:rFonts w:ascii="Times New Roman" w:hAnsi="Times New Roman" w:cs="Times New Roman"/>
                <w:sz w:val="20"/>
                <w:szCs w:val="20"/>
              </w:rPr>
              <w:t xml:space="preserve"> a land dispute</w:t>
            </w:r>
            <w:r w:rsidR="00D96D8E" w:rsidRPr="00563D71">
              <w:rPr>
                <w:rFonts w:ascii="Times New Roman" w:hAnsi="Times New Roman" w:cs="Times New Roman"/>
                <w:sz w:val="20"/>
                <w:szCs w:val="20"/>
              </w:rPr>
              <w:t xml:space="preserve"> over land use and ownership.  Government Regulation No. 11 Year 2010 on Idle Land Management </w:t>
            </w:r>
            <w:r w:rsidR="009039A6" w:rsidRPr="00563D71">
              <w:rPr>
                <w:rFonts w:ascii="Times New Roman" w:hAnsi="Times New Roman" w:cs="Times New Roman"/>
                <w:sz w:val="20"/>
                <w:szCs w:val="20"/>
              </w:rPr>
              <w:t>has been used to cope with this</w:t>
            </w:r>
            <w:r w:rsidR="00D96D8E" w:rsidRPr="00563D71">
              <w:rPr>
                <w:rFonts w:ascii="Times New Roman" w:hAnsi="Times New Roman" w:cs="Times New Roman"/>
                <w:sz w:val="20"/>
                <w:szCs w:val="20"/>
              </w:rPr>
              <w:t xml:space="preserve"> situation. </w:t>
            </w:r>
            <w:r w:rsidR="009039A6" w:rsidRPr="00563D71">
              <w:rPr>
                <w:rFonts w:ascii="Times New Roman" w:hAnsi="Times New Roman" w:cs="Times New Roman"/>
                <w:sz w:val="20"/>
                <w:szCs w:val="20"/>
              </w:rPr>
              <w:t xml:space="preserve">In addition, </w:t>
            </w:r>
            <w:r w:rsidR="00D96D8E" w:rsidRPr="00563D71">
              <w:rPr>
                <w:rFonts w:ascii="Times New Roman" w:hAnsi="Times New Roman" w:cs="Times New Roman"/>
                <w:sz w:val="20"/>
                <w:szCs w:val="20"/>
              </w:rPr>
              <w:t xml:space="preserve">Head of Land Agency Regulation No. 4 Year 2010 has been used for administering idle land. </w:t>
            </w:r>
          </w:p>
          <w:p w14:paraId="2388EE0D" w14:textId="5DE7B871" w:rsidR="00427154" w:rsidRPr="00563D71" w:rsidRDefault="00427154" w:rsidP="000C0475">
            <w:pPr>
              <w:pStyle w:val="ListParagraph"/>
              <w:spacing w:before="0" w:after="0" w:line="240" w:lineRule="auto"/>
              <w:ind w:left="0"/>
              <w:contextualSpacing w:val="0"/>
              <w:rPr>
                <w:rFonts w:ascii="Times New Roman" w:hAnsi="Times New Roman" w:cs="Times New Roman"/>
                <w:sz w:val="20"/>
                <w:szCs w:val="20"/>
              </w:rPr>
            </w:pPr>
          </w:p>
        </w:tc>
        <w:tc>
          <w:tcPr>
            <w:tcW w:w="1170" w:type="pct"/>
            <w:tcBorders>
              <w:top w:val="single" w:sz="4" w:space="0" w:color="000000"/>
              <w:left w:val="single" w:sz="4" w:space="0" w:color="000000"/>
              <w:bottom w:val="single" w:sz="4" w:space="0" w:color="000000"/>
              <w:right w:val="single" w:sz="4" w:space="0" w:color="000000"/>
            </w:tcBorders>
          </w:tcPr>
          <w:p w14:paraId="57212650" w14:textId="18B35FA9" w:rsidR="00427154" w:rsidRPr="00563D71" w:rsidRDefault="00427154" w:rsidP="00D340AC">
            <w:pPr>
              <w:spacing w:before="0"/>
              <w:ind w:left="25" w:firstLine="0"/>
              <w:rPr>
                <w:sz w:val="20"/>
                <w:szCs w:val="20"/>
              </w:rPr>
            </w:pPr>
            <w:r w:rsidRPr="00563D71">
              <w:rPr>
                <w:sz w:val="20"/>
                <w:szCs w:val="20"/>
              </w:rPr>
              <w:lastRenderedPageBreak/>
              <w:t>No significant gap.</w:t>
            </w:r>
          </w:p>
        </w:tc>
      </w:tr>
      <w:tr w:rsidR="00245F03" w:rsidRPr="00563D71" w14:paraId="3BA12531" w14:textId="77777777" w:rsidTr="0032029F">
        <w:trPr>
          <w:trHeight w:val="657"/>
        </w:trPr>
        <w:tc>
          <w:tcPr>
            <w:tcW w:w="1103" w:type="pct"/>
            <w:tcBorders>
              <w:top w:val="single" w:sz="4" w:space="0" w:color="000000"/>
              <w:left w:val="single" w:sz="4" w:space="0" w:color="000000"/>
              <w:bottom w:val="single" w:sz="4" w:space="0" w:color="000000"/>
              <w:right w:val="single" w:sz="4" w:space="0" w:color="000000"/>
            </w:tcBorders>
          </w:tcPr>
          <w:p w14:paraId="4C69F9AD" w14:textId="5D531F02" w:rsidR="00245F03" w:rsidRPr="00563D71" w:rsidRDefault="00427154" w:rsidP="00D340AC">
            <w:pPr>
              <w:spacing w:before="0"/>
              <w:ind w:left="374" w:hanging="288"/>
              <w:jc w:val="left"/>
              <w:rPr>
                <w:sz w:val="20"/>
                <w:szCs w:val="20"/>
              </w:rPr>
            </w:pPr>
            <w:r w:rsidRPr="00563D71">
              <w:rPr>
                <w:sz w:val="20"/>
                <w:szCs w:val="20"/>
              </w:rPr>
              <w:t>(b</w:t>
            </w:r>
            <w:r w:rsidR="00C8190F" w:rsidRPr="00563D71">
              <w:rPr>
                <w:sz w:val="20"/>
                <w:szCs w:val="20"/>
              </w:rPr>
              <w:t xml:space="preserve">) </w:t>
            </w:r>
            <w:r w:rsidRPr="00563D71">
              <w:rPr>
                <w:sz w:val="20"/>
                <w:szCs w:val="20"/>
              </w:rPr>
              <w:t>A</w:t>
            </w:r>
            <w:r w:rsidR="00C8190F" w:rsidRPr="00563D71">
              <w:rPr>
                <w:sz w:val="20"/>
                <w:szCs w:val="20"/>
              </w:rPr>
              <w:t xml:space="preserve">void or minimize land acquisition and related </w:t>
            </w:r>
            <w:r w:rsidR="00D04B10" w:rsidRPr="00563D71">
              <w:rPr>
                <w:sz w:val="20"/>
                <w:szCs w:val="20"/>
              </w:rPr>
              <w:t>adverse impacts.</w:t>
            </w:r>
          </w:p>
          <w:p w14:paraId="189C2F8D" w14:textId="77777777" w:rsidR="00245F03" w:rsidRPr="00563D71" w:rsidRDefault="00245F03" w:rsidP="00D340AC">
            <w:pPr>
              <w:spacing w:before="0"/>
              <w:ind w:left="360" w:firstLine="45"/>
              <w:jc w:val="center"/>
            </w:pPr>
          </w:p>
        </w:tc>
        <w:tc>
          <w:tcPr>
            <w:tcW w:w="2727" w:type="pct"/>
            <w:gridSpan w:val="2"/>
            <w:tcBorders>
              <w:top w:val="single" w:sz="4" w:space="0" w:color="000000"/>
              <w:left w:val="single" w:sz="4" w:space="0" w:color="000000"/>
              <w:bottom w:val="single" w:sz="4" w:space="0" w:color="000000"/>
              <w:right w:val="single" w:sz="4" w:space="0" w:color="000000"/>
            </w:tcBorders>
          </w:tcPr>
          <w:p w14:paraId="11A33F39" w14:textId="5DC87493" w:rsidR="00427154" w:rsidRPr="00563D71" w:rsidRDefault="00427154" w:rsidP="003D2E29">
            <w:pPr>
              <w:spacing w:before="0" w:after="120"/>
              <w:rPr>
                <w:bCs/>
                <w:sz w:val="20"/>
                <w:szCs w:val="20"/>
              </w:rPr>
            </w:pPr>
            <w:r w:rsidRPr="00563D71">
              <w:rPr>
                <w:sz w:val="20"/>
                <w:szCs w:val="20"/>
              </w:rPr>
              <w:t>The Law No. 2</w:t>
            </w:r>
            <w:r w:rsidR="000029F6" w:rsidRPr="00563D71">
              <w:rPr>
                <w:sz w:val="20"/>
                <w:szCs w:val="20"/>
              </w:rPr>
              <w:t xml:space="preserve"> </w:t>
            </w:r>
            <w:r w:rsidR="0006769B" w:rsidRPr="00563D71">
              <w:rPr>
                <w:sz w:val="20"/>
                <w:szCs w:val="20"/>
              </w:rPr>
              <w:t>Year</w:t>
            </w:r>
            <w:r w:rsidR="000029F6" w:rsidRPr="00563D71">
              <w:rPr>
                <w:sz w:val="20"/>
                <w:szCs w:val="20"/>
              </w:rPr>
              <w:t xml:space="preserve"> </w:t>
            </w:r>
            <w:r w:rsidRPr="00563D71">
              <w:rPr>
                <w:sz w:val="20"/>
                <w:szCs w:val="20"/>
              </w:rPr>
              <w:t xml:space="preserve">2012 </w:t>
            </w:r>
            <w:r w:rsidR="00EE6AD5" w:rsidRPr="00563D71">
              <w:rPr>
                <w:sz w:val="20"/>
                <w:szCs w:val="20"/>
              </w:rPr>
              <w:t>en</w:t>
            </w:r>
            <w:r w:rsidRPr="00563D71">
              <w:rPr>
                <w:sz w:val="20"/>
                <w:szCs w:val="20"/>
              </w:rPr>
              <w:t>sures</w:t>
            </w:r>
            <w:r w:rsidR="00EE6AD5" w:rsidRPr="00563D71">
              <w:rPr>
                <w:sz w:val="20"/>
                <w:szCs w:val="20"/>
              </w:rPr>
              <w:t xml:space="preserve"> that</w:t>
            </w:r>
            <w:r w:rsidRPr="00563D71">
              <w:rPr>
                <w:sz w:val="20"/>
                <w:szCs w:val="20"/>
              </w:rPr>
              <w:t xml:space="preserve"> land acquisition is undertaken through planning by involving all concerned stakeholders and taking into account the interests of development and community. </w:t>
            </w:r>
            <w:r w:rsidRPr="00563D71">
              <w:rPr>
                <w:bCs/>
                <w:sz w:val="20"/>
                <w:szCs w:val="20"/>
              </w:rPr>
              <w:t>Screening or initial data inventory of objects and subjects of land acquisition, socialization</w:t>
            </w:r>
            <w:r w:rsidR="00EE6AD5" w:rsidRPr="00563D71">
              <w:rPr>
                <w:bCs/>
                <w:sz w:val="20"/>
                <w:szCs w:val="20"/>
              </w:rPr>
              <w:t>,</w:t>
            </w:r>
            <w:r w:rsidRPr="00563D71">
              <w:rPr>
                <w:bCs/>
                <w:sz w:val="20"/>
                <w:szCs w:val="20"/>
              </w:rPr>
              <w:t xml:space="preserve"> and public consultation are required to </w:t>
            </w:r>
            <w:r w:rsidR="00EE6AD5" w:rsidRPr="00563D71">
              <w:rPr>
                <w:bCs/>
                <w:sz w:val="20"/>
                <w:szCs w:val="20"/>
              </w:rPr>
              <w:t xml:space="preserve">involve </w:t>
            </w:r>
            <w:r w:rsidRPr="00563D71">
              <w:rPr>
                <w:bCs/>
                <w:sz w:val="20"/>
                <w:szCs w:val="20"/>
              </w:rPr>
              <w:t xml:space="preserve">the affected community. </w:t>
            </w:r>
            <w:r w:rsidR="004E5511" w:rsidRPr="00563D71">
              <w:rPr>
                <w:sz w:val="20"/>
                <w:szCs w:val="20"/>
              </w:rPr>
              <w:t>Furthermore,</w:t>
            </w:r>
            <w:r w:rsidRPr="00563D71">
              <w:rPr>
                <w:sz w:val="20"/>
                <w:szCs w:val="20"/>
              </w:rPr>
              <w:t xml:space="preserve"> project</w:t>
            </w:r>
            <w:r w:rsidR="00EE6AD5" w:rsidRPr="00563D71">
              <w:rPr>
                <w:sz w:val="20"/>
                <w:szCs w:val="20"/>
              </w:rPr>
              <w:t>-</w:t>
            </w:r>
            <w:r w:rsidRPr="00563D71">
              <w:rPr>
                <w:sz w:val="20"/>
                <w:szCs w:val="20"/>
              </w:rPr>
              <w:t>af</w:t>
            </w:r>
            <w:r w:rsidRPr="00563D71">
              <w:rPr>
                <w:bCs/>
                <w:sz w:val="20"/>
                <w:szCs w:val="20"/>
              </w:rPr>
              <w:t xml:space="preserve">fected people have a better opportunity to challenge the decision on the project location. </w:t>
            </w:r>
            <w:r w:rsidR="00E44845" w:rsidRPr="00563D71">
              <w:rPr>
                <w:bCs/>
                <w:sz w:val="20"/>
                <w:szCs w:val="20"/>
              </w:rPr>
              <w:t xml:space="preserve">Agreement </w:t>
            </w:r>
            <w:r w:rsidRPr="00563D71">
              <w:rPr>
                <w:bCs/>
                <w:sz w:val="20"/>
                <w:szCs w:val="20"/>
              </w:rPr>
              <w:t>from project</w:t>
            </w:r>
            <w:r w:rsidR="00EE6AD5" w:rsidRPr="00563D71">
              <w:rPr>
                <w:bCs/>
                <w:sz w:val="20"/>
                <w:szCs w:val="20"/>
              </w:rPr>
              <w:t>-</w:t>
            </w:r>
            <w:r w:rsidRPr="00563D71">
              <w:rPr>
                <w:bCs/>
                <w:sz w:val="20"/>
                <w:szCs w:val="20"/>
              </w:rPr>
              <w:t xml:space="preserve">affected people is very important for </w:t>
            </w:r>
            <w:r w:rsidR="00EE6AD5" w:rsidRPr="00563D71">
              <w:rPr>
                <w:bCs/>
                <w:sz w:val="20"/>
                <w:szCs w:val="20"/>
              </w:rPr>
              <w:t xml:space="preserve">determining </w:t>
            </w:r>
            <w:r w:rsidRPr="00563D71">
              <w:rPr>
                <w:bCs/>
                <w:sz w:val="20"/>
                <w:szCs w:val="20"/>
              </w:rPr>
              <w:t xml:space="preserve">whether </w:t>
            </w:r>
            <w:r w:rsidR="00EE6AD5" w:rsidRPr="00563D71">
              <w:rPr>
                <w:bCs/>
                <w:sz w:val="20"/>
                <w:szCs w:val="20"/>
              </w:rPr>
              <w:t xml:space="preserve">the project </w:t>
            </w:r>
            <w:r w:rsidRPr="00563D71">
              <w:rPr>
                <w:bCs/>
                <w:sz w:val="20"/>
                <w:szCs w:val="20"/>
              </w:rPr>
              <w:t>will be continued to the next step of acquisition or be stopped. Prior to issuance of</w:t>
            </w:r>
            <w:r w:rsidR="000F1D75" w:rsidRPr="00563D71">
              <w:rPr>
                <w:bCs/>
                <w:sz w:val="20"/>
                <w:szCs w:val="20"/>
              </w:rPr>
              <w:t xml:space="preserve"> a</w:t>
            </w:r>
            <w:r w:rsidRPr="00563D71">
              <w:rPr>
                <w:bCs/>
                <w:sz w:val="20"/>
                <w:szCs w:val="20"/>
              </w:rPr>
              <w:t xml:space="preserve"> project location determination letter from </w:t>
            </w:r>
            <w:r w:rsidR="000F1D75" w:rsidRPr="00563D71">
              <w:rPr>
                <w:bCs/>
                <w:sz w:val="20"/>
                <w:szCs w:val="20"/>
              </w:rPr>
              <w:t xml:space="preserve">the </w:t>
            </w:r>
            <w:r w:rsidRPr="00563D71">
              <w:rPr>
                <w:bCs/>
                <w:sz w:val="20"/>
                <w:szCs w:val="20"/>
              </w:rPr>
              <w:t xml:space="preserve">Governor, the preparation team led by </w:t>
            </w:r>
            <w:r w:rsidR="000F1D75" w:rsidRPr="00563D71">
              <w:rPr>
                <w:bCs/>
                <w:sz w:val="20"/>
                <w:szCs w:val="20"/>
              </w:rPr>
              <w:t xml:space="preserve">the </w:t>
            </w:r>
            <w:r w:rsidRPr="00563D71">
              <w:rPr>
                <w:bCs/>
                <w:sz w:val="20"/>
                <w:szCs w:val="20"/>
              </w:rPr>
              <w:t xml:space="preserve">Governor will carry </w:t>
            </w:r>
            <w:r w:rsidR="000F1D75" w:rsidRPr="00563D71">
              <w:rPr>
                <w:bCs/>
                <w:sz w:val="20"/>
                <w:szCs w:val="20"/>
              </w:rPr>
              <w:t xml:space="preserve">out </w:t>
            </w:r>
            <w:r w:rsidRPr="00563D71">
              <w:rPr>
                <w:bCs/>
                <w:sz w:val="20"/>
                <w:szCs w:val="20"/>
              </w:rPr>
              <w:t>a public consultation. If there are affected parties who still oppose the location, Governor shall respond</w:t>
            </w:r>
            <w:r w:rsidR="000F1D75" w:rsidRPr="00563D71">
              <w:rPr>
                <w:bCs/>
                <w:sz w:val="20"/>
                <w:szCs w:val="20"/>
              </w:rPr>
              <w:t xml:space="preserve"> to</w:t>
            </w:r>
            <w:r w:rsidRPr="00563D71">
              <w:rPr>
                <w:bCs/>
                <w:sz w:val="20"/>
                <w:szCs w:val="20"/>
              </w:rPr>
              <w:t xml:space="preserve"> it by forming the independent review team to study the location and concern.</w:t>
            </w:r>
          </w:p>
          <w:p w14:paraId="4CC9563F" w14:textId="2F64590E" w:rsidR="00427154" w:rsidRPr="00563D71" w:rsidRDefault="00427154" w:rsidP="003D2E29">
            <w:pPr>
              <w:spacing w:before="0" w:after="120"/>
              <w:rPr>
                <w:bCs/>
                <w:sz w:val="20"/>
                <w:szCs w:val="20"/>
              </w:rPr>
            </w:pPr>
            <w:r w:rsidRPr="00563D71">
              <w:rPr>
                <w:bCs/>
                <w:sz w:val="20"/>
                <w:szCs w:val="20"/>
              </w:rPr>
              <w:t>Even if Governor has issued</w:t>
            </w:r>
            <w:r w:rsidR="00B54598" w:rsidRPr="00563D71">
              <w:rPr>
                <w:bCs/>
                <w:sz w:val="20"/>
                <w:szCs w:val="20"/>
              </w:rPr>
              <w:t xml:space="preserve"> a</w:t>
            </w:r>
            <w:r w:rsidRPr="00563D71">
              <w:rPr>
                <w:bCs/>
                <w:sz w:val="20"/>
                <w:szCs w:val="20"/>
              </w:rPr>
              <w:t xml:space="preserve"> location determination letter, </w:t>
            </w:r>
            <w:r w:rsidR="00B54598" w:rsidRPr="00563D71">
              <w:rPr>
                <w:bCs/>
                <w:sz w:val="20"/>
                <w:szCs w:val="20"/>
              </w:rPr>
              <w:t xml:space="preserve">up to </w:t>
            </w:r>
            <w:r w:rsidRPr="00563D71">
              <w:rPr>
                <w:bCs/>
                <w:sz w:val="20"/>
                <w:szCs w:val="20"/>
              </w:rPr>
              <w:t>14 days</w:t>
            </w:r>
            <w:r w:rsidR="00B54598" w:rsidRPr="00563D71">
              <w:rPr>
                <w:bCs/>
                <w:sz w:val="20"/>
                <w:szCs w:val="20"/>
              </w:rPr>
              <w:t xml:space="preserve"> after issuance</w:t>
            </w:r>
            <w:r w:rsidRPr="00563D71">
              <w:rPr>
                <w:bCs/>
                <w:sz w:val="20"/>
                <w:szCs w:val="20"/>
              </w:rPr>
              <w:t xml:space="preserve"> the affected people who still disagree with the location could challenge </w:t>
            </w:r>
            <w:r w:rsidR="00B54598" w:rsidRPr="00563D71">
              <w:rPr>
                <w:bCs/>
                <w:sz w:val="20"/>
                <w:szCs w:val="20"/>
              </w:rPr>
              <w:t>it</w:t>
            </w:r>
            <w:r w:rsidR="009039A6" w:rsidRPr="00563D71">
              <w:rPr>
                <w:bCs/>
                <w:sz w:val="20"/>
                <w:szCs w:val="20"/>
              </w:rPr>
              <w:t xml:space="preserve"> </w:t>
            </w:r>
            <w:r w:rsidRPr="00563D71">
              <w:rPr>
                <w:bCs/>
                <w:sz w:val="20"/>
                <w:szCs w:val="20"/>
              </w:rPr>
              <w:lastRenderedPageBreak/>
              <w:t>through the Administrative Court</w:t>
            </w:r>
            <w:r w:rsidR="00B54598" w:rsidRPr="00563D71">
              <w:rPr>
                <w:bCs/>
                <w:sz w:val="20"/>
                <w:szCs w:val="20"/>
              </w:rPr>
              <w:t>,</w:t>
            </w:r>
            <w:r w:rsidRPr="00563D71">
              <w:rPr>
                <w:bCs/>
                <w:sz w:val="20"/>
                <w:szCs w:val="20"/>
              </w:rPr>
              <w:t xml:space="preserve"> </w:t>
            </w:r>
            <w:r w:rsidR="00B54598" w:rsidRPr="00563D71">
              <w:rPr>
                <w:bCs/>
                <w:sz w:val="20"/>
                <w:szCs w:val="20"/>
              </w:rPr>
              <w:t xml:space="preserve">with </w:t>
            </w:r>
            <w:r w:rsidRPr="00563D71">
              <w:rPr>
                <w:bCs/>
                <w:sz w:val="20"/>
                <w:szCs w:val="20"/>
              </w:rPr>
              <w:t>an opportunity to file a petition to the decision of the Administrative Court at the Supreme Court as the last opportunity</w:t>
            </w:r>
            <w:r w:rsidR="00B54598" w:rsidRPr="00563D71">
              <w:rPr>
                <w:bCs/>
                <w:sz w:val="20"/>
                <w:szCs w:val="20"/>
              </w:rPr>
              <w:t>.</w:t>
            </w:r>
            <w:r w:rsidRPr="00563D71">
              <w:rPr>
                <w:bCs/>
                <w:sz w:val="20"/>
                <w:szCs w:val="20"/>
                <w:vertAlign w:val="superscript"/>
              </w:rPr>
              <w:footnoteReference w:id="46"/>
            </w:r>
          </w:p>
          <w:p w14:paraId="3AD8F590" w14:textId="76B215B0" w:rsidR="00F073DC" w:rsidRPr="00563D71" w:rsidRDefault="00427154" w:rsidP="00B54598">
            <w:pPr>
              <w:spacing w:before="0"/>
              <w:ind w:left="10"/>
            </w:pPr>
            <w:r w:rsidRPr="00563D71">
              <w:rPr>
                <w:sz w:val="20"/>
                <w:szCs w:val="20"/>
              </w:rPr>
              <w:t xml:space="preserve">Presidential Regulation No. 71 </w:t>
            </w:r>
            <w:r w:rsidR="00BF6A99" w:rsidRPr="00563D71">
              <w:rPr>
                <w:sz w:val="20"/>
                <w:szCs w:val="20"/>
              </w:rPr>
              <w:t>Year</w:t>
            </w:r>
            <w:r w:rsidRPr="00563D71">
              <w:rPr>
                <w:sz w:val="20"/>
                <w:szCs w:val="20"/>
              </w:rPr>
              <w:t xml:space="preserve"> 2012 emphasizes screening in spatial planning designation </w:t>
            </w:r>
            <w:r w:rsidR="00B54598" w:rsidRPr="00563D71">
              <w:rPr>
                <w:sz w:val="20"/>
                <w:szCs w:val="20"/>
              </w:rPr>
              <w:t xml:space="preserve">to ensure </w:t>
            </w:r>
            <w:r w:rsidRPr="00563D71">
              <w:rPr>
                <w:sz w:val="20"/>
                <w:szCs w:val="20"/>
              </w:rPr>
              <w:t xml:space="preserve">conformity and development priority. </w:t>
            </w:r>
            <w:r w:rsidR="00B54598" w:rsidRPr="00563D71">
              <w:rPr>
                <w:sz w:val="20"/>
                <w:szCs w:val="20"/>
              </w:rPr>
              <w:t xml:space="preserve">At a </w:t>
            </w:r>
            <w:r w:rsidRPr="00563D71">
              <w:rPr>
                <w:sz w:val="20"/>
                <w:szCs w:val="20"/>
              </w:rPr>
              <w:t>project level, these planning and assessment documents will be prepared (Land Acquisition Plan based on Feasibility Study, Environmental and Social Impact Assessment</w:t>
            </w:r>
            <w:r w:rsidR="00B54598" w:rsidRPr="00563D71">
              <w:rPr>
                <w:sz w:val="20"/>
                <w:szCs w:val="20"/>
              </w:rPr>
              <w:t>,</w:t>
            </w:r>
            <w:r w:rsidRPr="00563D71">
              <w:rPr>
                <w:sz w:val="20"/>
                <w:szCs w:val="20"/>
              </w:rPr>
              <w:t xml:space="preserve"> and other studies). </w:t>
            </w:r>
          </w:p>
        </w:tc>
        <w:tc>
          <w:tcPr>
            <w:tcW w:w="1170" w:type="pct"/>
            <w:tcBorders>
              <w:top w:val="single" w:sz="4" w:space="0" w:color="000000"/>
              <w:left w:val="single" w:sz="4" w:space="0" w:color="000000"/>
              <w:bottom w:val="single" w:sz="4" w:space="0" w:color="000000"/>
              <w:right w:val="single" w:sz="4" w:space="0" w:color="000000"/>
            </w:tcBorders>
          </w:tcPr>
          <w:p w14:paraId="4A55B203" w14:textId="5E419B32" w:rsidR="00675B91" w:rsidRPr="00563D71" w:rsidRDefault="00F073DC" w:rsidP="00D340AC">
            <w:pPr>
              <w:spacing w:before="0"/>
              <w:ind w:left="10"/>
              <w:rPr>
                <w:sz w:val="20"/>
                <w:szCs w:val="20"/>
              </w:rPr>
            </w:pPr>
            <w:r w:rsidRPr="00563D71">
              <w:rPr>
                <w:sz w:val="20"/>
                <w:szCs w:val="20"/>
              </w:rPr>
              <w:lastRenderedPageBreak/>
              <w:t xml:space="preserve">No significant gap </w:t>
            </w:r>
          </w:p>
          <w:p w14:paraId="305157C6" w14:textId="24E97297" w:rsidR="00245F03" w:rsidRPr="00563D71" w:rsidRDefault="00245F03" w:rsidP="00D340AC">
            <w:pPr>
              <w:spacing w:before="0"/>
              <w:ind w:left="10"/>
            </w:pPr>
          </w:p>
        </w:tc>
      </w:tr>
      <w:tr w:rsidR="00245F03" w:rsidRPr="00563D71" w14:paraId="1D40F54E" w14:textId="77777777" w:rsidTr="0032029F">
        <w:trPr>
          <w:trHeight w:val="1518"/>
        </w:trPr>
        <w:tc>
          <w:tcPr>
            <w:tcW w:w="1103" w:type="pct"/>
            <w:tcBorders>
              <w:top w:val="single" w:sz="4" w:space="0" w:color="000000"/>
              <w:left w:val="single" w:sz="4" w:space="0" w:color="000000"/>
              <w:bottom w:val="single" w:sz="4" w:space="0" w:color="000000"/>
              <w:right w:val="single" w:sz="4" w:space="0" w:color="000000"/>
            </w:tcBorders>
          </w:tcPr>
          <w:p w14:paraId="301C8F9C" w14:textId="0518B89A" w:rsidR="00245F03" w:rsidRPr="00563D71" w:rsidRDefault="00427154" w:rsidP="00D340AC">
            <w:pPr>
              <w:spacing w:before="0"/>
              <w:ind w:left="374" w:hanging="288"/>
              <w:jc w:val="left"/>
              <w:rPr>
                <w:sz w:val="20"/>
                <w:szCs w:val="20"/>
              </w:rPr>
            </w:pPr>
            <w:r w:rsidRPr="00563D71">
              <w:rPr>
                <w:sz w:val="20"/>
                <w:szCs w:val="20"/>
              </w:rPr>
              <w:t>(c</w:t>
            </w:r>
            <w:r w:rsidR="00C8190F" w:rsidRPr="00563D71">
              <w:rPr>
                <w:sz w:val="20"/>
                <w:szCs w:val="20"/>
              </w:rPr>
              <w:t>) Identify and address</w:t>
            </w:r>
            <w:r w:rsidR="00D04B10" w:rsidRPr="00563D71">
              <w:rPr>
                <w:sz w:val="20"/>
                <w:szCs w:val="20"/>
              </w:rPr>
              <w:t xml:space="preserve"> economic and social impacts caused by land acquisition</w:t>
            </w:r>
            <w:r w:rsidR="00C8190F" w:rsidRPr="00563D71">
              <w:rPr>
                <w:sz w:val="20"/>
                <w:szCs w:val="20"/>
              </w:rPr>
              <w:t xml:space="preserve"> or loss of access to natural resources</w:t>
            </w:r>
            <w:r w:rsidR="00D04B10" w:rsidRPr="00563D71">
              <w:rPr>
                <w:sz w:val="20"/>
                <w:szCs w:val="20"/>
              </w:rPr>
              <w:t xml:space="preserve">, including those affecting people </w:t>
            </w:r>
            <w:r w:rsidR="00C8190F" w:rsidRPr="00563D71">
              <w:rPr>
                <w:sz w:val="20"/>
                <w:szCs w:val="20"/>
              </w:rPr>
              <w:t>lacking</w:t>
            </w:r>
            <w:r w:rsidR="00D04B10" w:rsidRPr="00563D71">
              <w:rPr>
                <w:sz w:val="20"/>
                <w:szCs w:val="20"/>
              </w:rPr>
              <w:t xml:space="preserve"> full legal rights resources they use or occupy.</w:t>
            </w:r>
          </w:p>
        </w:tc>
        <w:tc>
          <w:tcPr>
            <w:tcW w:w="2727" w:type="pct"/>
            <w:gridSpan w:val="2"/>
            <w:tcBorders>
              <w:top w:val="single" w:sz="4" w:space="0" w:color="000000"/>
              <w:left w:val="single" w:sz="4" w:space="0" w:color="000000"/>
              <w:bottom w:val="single" w:sz="4" w:space="0" w:color="000000"/>
              <w:right w:val="single" w:sz="4" w:space="0" w:color="000000"/>
            </w:tcBorders>
          </w:tcPr>
          <w:p w14:paraId="78FFFA05" w14:textId="6E2D0B29" w:rsidR="00675B91" w:rsidRPr="00563D71" w:rsidRDefault="00675B91" w:rsidP="003D2E29">
            <w:pPr>
              <w:pStyle w:val="ListParagraph"/>
              <w:spacing w:before="0" w:after="120" w:line="240" w:lineRule="auto"/>
              <w:ind w:left="0"/>
              <w:contextualSpacing w:val="0"/>
              <w:rPr>
                <w:rFonts w:ascii="Times New Roman" w:hAnsi="Times New Roman" w:cs="Times New Roman"/>
                <w:bCs/>
                <w:sz w:val="20"/>
                <w:szCs w:val="20"/>
              </w:rPr>
            </w:pPr>
            <w:r w:rsidRPr="00563D71">
              <w:rPr>
                <w:rFonts w:ascii="Times New Roman" w:hAnsi="Times New Roman" w:cs="Times New Roman"/>
                <w:bCs/>
                <w:sz w:val="20"/>
                <w:szCs w:val="20"/>
              </w:rPr>
              <w:t>The Law No.</w:t>
            </w:r>
            <w:r w:rsidR="00BF6A99" w:rsidRPr="00563D71">
              <w:rPr>
                <w:rFonts w:ascii="Times New Roman" w:hAnsi="Times New Roman" w:cs="Times New Roman"/>
                <w:bCs/>
                <w:sz w:val="20"/>
                <w:szCs w:val="20"/>
              </w:rPr>
              <w:t xml:space="preserve"> </w:t>
            </w:r>
            <w:r w:rsidRPr="00563D71">
              <w:rPr>
                <w:rFonts w:ascii="Times New Roman" w:hAnsi="Times New Roman" w:cs="Times New Roman"/>
                <w:bCs/>
                <w:sz w:val="20"/>
                <w:szCs w:val="20"/>
              </w:rPr>
              <w:t>2</w:t>
            </w:r>
            <w:r w:rsidR="000029F6" w:rsidRPr="00563D71">
              <w:rPr>
                <w:rFonts w:ascii="Times New Roman" w:hAnsi="Times New Roman" w:cs="Times New Roman"/>
                <w:bCs/>
                <w:sz w:val="20"/>
                <w:szCs w:val="20"/>
              </w:rPr>
              <w:t xml:space="preserve"> </w:t>
            </w:r>
            <w:r w:rsidR="00BF6A99" w:rsidRPr="00563D71">
              <w:rPr>
                <w:rFonts w:ascii="Times New Roman" w:hAnsi="Times New Roman" w:cs="Times New Roman"/>
                <w:bCs/>
                <w:sz w:val="20"/>
                <w:szCs w:val="20"/>
              </w:rPr>
              <w:t>Year</w:t>
            </w:r>
            <w:r w:rsidR="000029F6" w:rsidRPr="00563D71">
              <w:rPr>
                <w:rFonts w:ascii="Times New Roman" w:hAnsi="Times New Roman" w:cs="Times New Roman"/>
                <w:bCs/>
                <w:sz w:val="20"/>
                <w:szCs w:val="20"/>
              </w:rPr>
              <w:t xml:space="preserve"> </w:t>
            </w:r>
            <w:r w:rsidRPr="00563D71">
              <w:rPr>
                <w:rFonts w:ascii="Times New Roman" w:hAnsi="Times New Roman" w:cs="Times New Roman"/>
                <w:bCs/>
                <w:sz w:val="20"/>
                <w:szCs w:val="20"/>
              </w:rPr>
              <w:t>2012 provides broader</w:t>
            </w:r>
            <w:r w:rsidR="008E14F3" w:rsidRPr="00563D71">
              <w:rPr>
                <w:rFonts w:ascii="Times New Roman" w:hAnsi="Times New Roman" w:cs="Times New Roman"/>
                <w:bCs/>
                <w:sz w:val="20"/>
                <w:szCs w:val="20"/>
              </w:rPr>
              <w:t xml:space="preserve"> scope in terms of subjects and ob</w:t>
            </w:r>
            <w:r w:rsidR="004525E3" w:rsidRPr="00563D71">
              <w:rPr>
                <w:rFonts w:ascii="Times New Roman" w:hAnsi="Times New Roman" w:cs="Times New Roman"/>
                <w:bCs/>
                <w:sz w:val="20"/>
                <w:szCs w:val="20"/>
              </w:rPr>
              <w:t>ject</w:t>
            </w:r>
            <w:r w:rsidR="008E14F3" w:rsidRPr="00563D71">
              <w:rPr>
                <w:rFonts w:ascii="Times New Roman" w:hAnsi="Times New Roman" w:cs="Times New Roman"/>
                <w:bCs/>
                <w:sz w:val="20"/>
                <w:szCs w:val="20"/>
              </w:rPr>
              <w:t>s</w:t>
            </w:r>
            <w:r w:rsidR="004525E3" w:rsidRPr="00563D71">
              <w:rPr>
                <w:rFonts w:ascii="Times New Roman" w:hAnsi="Times New Roman" w:cs="Times New Roman"/>
                <w:bCs/>
                <w:sz w:val="20"/>
                <w:szCs w:val="20"/>
              </w:rPr>
              <w:t xml:space="preserve"> o</w:t>
            </w:r>
            <w:r w:rsidR="008E14F3" w:rsidRPr="00563D71">
              <w:rPr>
                <w:rFonts w:ascii="Times New Roman" w:hAnsi="Times New Roman" w:cs="Times New Roman"/>
                <w:bCs/>
                <w:sz w:val="20"/>
                <w:szCs w:val="20"/>
              </w:rPr>
              <w:t>f</w:t>
            </w:r>
            <w:r w:rsidRPr="00563D71">
              <w:rPr>
                <w:rFonts w:ascii="Times New Roman" w:hAnsi="Times New Roman" w:cs="Times New Roman"/>
                <w:bCs/>
                <w:sz w:val="20"/>
                <w:szCs w:val="20"/>
              </w:rPr>
              <w:t xml:space="preserve"> land acquisition for public use. Objects of compensation include land, objects on land, plants, subsurface, space above land/over ground, loss of access, negative impact of the acquisition towards people’s property, other appraisable loss</w:t>
            </w:r>
            <w:r w:rsidR="00B54598" w:rsidRPr="00563D71">
              <w:rPr>
                <w:rFonts w:ascii="Times New Roman" w:hAnsi="Times New Roman" w:cs="Times New Roman"/>
                <w:bCs/>
                <w:sz w:val="20"/>
                <w:szCs w:val="20"/>
              </w:rPr>
              <w:t xml:space="preserve">, </w:t>
            </w:r>
            <w:r w:rsidR="00E530AC" w:rsidRPr="00563D71">
              <w:rPr>
                <w:rFonts w:ascii="Times New Roman" w:hAnsi="Times New Roman" w:cs="Times New Roman"/>
                <w:bCs/>
                <w:sz w:val="20"/>
                <w:szCs w:val="20"/>
              </w:rPr>
              <w:t>etc.</w:t>
            </w:r>
            <w:r w:rsidR="00B54598" w:rsidRPr="00563D71">
              <w:rPr>
                <w:rStyle w:val="FootnoteReference"/>
                <w:rFonts w:ascii="Times New Roman" w:hAnsi="Times New Roman" w:cs="Times New Roman"/>
                <w:bCs/>
                <w:sz w:val="20"/>
                <w:szCs w:val="20"/>
              </w:rPr>
              <w:t xml:space="preserve"> </w:t>
            </w:r>
            <w:r w:rsidR="00B54598" w:rsidRPr="00563D71">
              <w:rPr>
                <w:rFonts w:ascii="Times New Roman" w:hAnsi="Times New Roman" w:cs="Times New Roman"/>
                <w:bCs/>
                <w:sz w:val="20"/>
                <w:szCs w:val="20"/>
              </w:rPr>
              <w:t>.</w:t>
            </w:r>
            <w:r w:rsidRPr="00563D71">
              <w:rPr>
                <w:rStyle w:val="FootnoteReference"/>
                <w:rFonts w:ascii="Times New Roman" w:hAnsi="Times New Roman" w:cs="Times New Roman"/>
                <w:bCs/>
                <w:sz w:val="20"/>
                <w:szCs w:val="20"/>
              </w:rPr>
              <w:footnoteReference w:id="47"/>
            </w:r>
          </w:p>
          <w:p w14:paraId="7AC0AB14" w14:textId="68245135" w:rsidR="00675B91" w:rsidRPr="00563D71" w:rsidRDefault="008A2BEE" w:rsidP="003D2E29">
            <w:pPr>
              <w:pStyle w:val="ListParagraph"/>
              <w:spacing w:before="0" w:after="120" w:line="240" w:lineRule="auto"/>
              <w:ind w:left="0"/>
              <w:contextualSpacing w:val="0"/>
              <w:rPr>
                <w:rFonts w:ascii="Times New Roman" w:hAnsi="Times New Roman" w:cs="Times New Roman"/>
                <w:bCs/>
                <w:sz w:val="20"/>
                <w:szCs w:val="20"/>
              </w:rPr>
            </w:pPr>
            <w:r w:rsidRPr="00563D71">
              <w:rPr>
                <w:rFonts w:ascii="Times New Roman" w:hAnsi="Times New Roman" w:cs="Times New Roman"/>
                <w:bCs/>
                <w:sz w:val="20"/>
                <w:szCs w:val="20"/>
              </w:rPr>
              <w:t>Regarding s</w:t>
            </w:r>
            <w:r w:rsidR="00675B91" w:rsidRPr="00563D71">
              <w:rPr>
                <w:rFonts w:ascii="Times New Roman" w:hAnsi="Times New Roman" w:cs="Times New Roman"/>
                <w:bCs/>
                <w:sz w:val="20"/>
                <w:szCs w:val="20"/>
              </w:rPr>
              <w:t xml:space="preserve">ocial and economic impacts due to loss or limited access to land/natural </w:t>
            </w:r>
            <w:r w:rsidR="004E5511" w:rsidRPr="00563D71">
              <w:rPr>
                <w:rFonts w:ascii="Times New Roman" w:hAnsi="Times New Roman" w:cs="Times New Roman"/>
                <w:bCs/>
                <w:sz w:val="20"/>
                <w:szCs w:val="20"/>
              </w:rPr>
              <w:t>resources</w:t>
            </w:r>
            <w:r w:rsidR="00675B91" w:rsidRPr="00563D71">
              <w:rPr>
                <w:rFonts w:ascii="Times New Roman" w:hAnsi="Times New Roman" w:cs="Times New Roman"/>
                <w:bCs/>
                <w:sz w:val="20"/>
                <w:szCs w:val="20"/>
              </w:rPr>
              <w:t xml:space="preserve">, </w:t>
            </w:r>
            <w:r w:rsidR="00675B91" w:rsidRPr="00563D71">
              <w:rPr>
                <w:rFonts w:ascii="Times New Roman" w:hAnsi="Times New Roman" w:cs="Times New Roman"/>
                <w:sz w:val="20"/>
                <w:szCs w:val="20"/>
              </w:rPr>
              <w:t>for example, Ministry Energy and Mineral Resources Regulation No. 38</w:t>
            </w:r>
            <w:r w:rsidR="00BF6A99" w:rsidRPr="00563D71">
              <w:rPr>
                <w:rFonts w:ascii="Times New Roman" w:hAnsi="Times New Roman" w:cs="Times New Roman"/>
                <w:sz w:val="20"/>
                <w:szCs w:val="20"/>
              </w:rPr>
              <w:t xml:space="preserve"> Year </w:t>
            </w:r>
            <w:r w:rsidR="00675B91" w:rsidRPr="00563D71">
              <w:rPr>
                <w:rFonts w:ascii="Times New Roman" w:hAnsi="Times New Roman" w:cs="Times New Roman"/>
                <w:sz w:val="20"/>
                <w:szCs w:val="20"/>
              </w:rPr>
              <w:t xml:space="preserve">2013 has regulated compensation for </w:t>
            </w:r>
            <w:r w:rsidRPr="00563D71">
              <w:rPr>
                <w:rFonts w:ascii="Times New Roman" w:hAnsi="Times New Roman" w:cs="Times New Roman"/>
                <w:sz w:val="20"/>
                <w:szCs w:val="20"/>
              </w:rPr>
              <w:t xml:space="preserve">restriction of </w:t>
            </w:r>
            <w:r w:rsidR="00675B91" w:rsidRPr="00563D71">
              <w:rPr>
                <w:rFonts w:ascii="Times New Roman" w:hAnsi="Times New Roman" w:cs="Times New Roman"/>
                <w:sz w:val="20"/>
                <w:szCs w:val="20"/>
              </w:rPr>
              <w:t>access to land use and other asset</w:t>
            </w:r>
            <w:r w:rsidRPr="00563D71">
              <w:rPr>
                <w:rFonts w:ascii="Times New Roman" w:hAnsi="Times New Roman" w:cs="Times New Roman"/>
                <w:sz w:val="20"/>
                <w:szCs w:val="20"/>
              </w:rPr>
              <w:t>s</w:t>
            </w:r>
            <w:r w:rsidR="00675B91" w:rsidRPr="00563D71">
              <w:rPr>
                <w:rFonts w:ascii="Times New Roman" w:hAnsi="Times New Roman" w:cs="Times New Roman"/>
                <w:sz w:val="20"/>
                <w:szCs w:val="20"/>
              </w:rPr>
              <w:t xml:space="preserve"> located under transmission line</w:t>
            </w:r>
            <w:r w:rsidRPr="00563D71">
              <w:rPr>
                <w:rFonts w:ascii="Times New Roman" w:hAnsi="Times New Roman" w:cs="Times New Roman"/>
                <w:sz w:val="20"/>
                <w:szCs w:val="20"/>
              </w:rPr>
              <w:t>s,</w:t>
            </w:r>
            <w:r w:rsidR="00675B91" w:rsidRPr="00563D71">
              <w:rPr>
                <w:rFonts w:ascii="Times New Roman" w:hAnsi="Times New Roman" w:cs="Times New Roman"/>
                <w:sz w:val="20"/>
                <w:szCs w:val="20"/>
              </w:rPr>
              <w:t xml:space="preserve"> and set a threshold for the compensation.</w:t>
            </w:r>
          </w:p>
          <w:p w14:paraId="376B7D96" w14:textId="5BCB5F5F" w:rsidR="00694204" w:rsidRPr="00563D71" w:rsidRDefault="00675B91" w:rsidP="003D2E29">
            <w:pPr>
              <w:spacing w:before="0" w:after="120"/>
              <w:ind w:left="25" w:firstLine="0"/>
              <w:rPr>
                <w:bCs/>
                <w:sz w:val="20"/>
                <w:szCs w:val="20"/>
              </w:rPr>
            </w:pPr>
            <w:r w:rsidRPr="00563D71">
              <w:rPr>
                <w:bCs/>
                <w:sz w:val="20"/>
                <w:szCs w:val="20"/>
              </w:rPr>
              <w:t xml:space="preserve">In terms of people lacking full legal rights to resources, the </w:t>
            </w:r>
            <w:r w:rsidR="00BF6A99" w:rsidRPr="00563D71">
              <w:rPr>
                <w:bCs/>
                <w:sz w:val="20"/>
                <w:szCs w:val="20"/>
              </w:rPr>
              <w:t>L</w:t>
            </w:r>
            <w:r w:rsidRPr="00563D71">
              <w:rPr>
                <w:bCs/>
                <w:sz w:val="20"/>
                <w:szCs w:val="20"/>
              </w:rPr>
              <w:t>aw</w:t>
            </w:r>
            <w:r w:rsidR="00BF6A99" w:rsidRPr="00563D71">
              <w:rPr>
                <w:bCs/>
                <w:sz w:val="20"/>
                <w:szCs w:val="20"/>
              </w:rPr>
              <w:t xml:space="preserve"> No.</w:t>
            </w:r>
            <w:r w:rsidRPr="00563D71">
              <w:rPr>
                <w:bCs/>
                <w:sz w:val="20"/>
                <w:szCs w:val="20"/>
              </w:rPr>
              <w:t xml:space="preserve"> 2</w:t>
            </w:r>
            <w:r w:rsidR="00BF6A99" w:rsidRPr="00563D71">
              <w:rPr>
                <w:bCs/>
                <w:sz w:val="20"/>
                <w:szCs w:val="20"/>
              </w:rPr>
              <w:t xml:space="preserve"> Year </w:t>
            </w:r>
            <w:r w:rsidRPr="00563D71">
              <w:rPr>
                <w:bCs/>
                <w:sz w:val="20"/>
                <w:szCs w:val="20"/>
              </w:rPr>
              <w:t xml:space="preserve">2012 </w:t>
            </w:r>
            <w:r w:rsidR="00694204" w:rsidRPr="00563D71">
              <w:rPr>
                <w:bCs/>
                <w:sz w:val="20"/>
                <w:szCs w:val="20"/>
              </w:rPr>
              <w:t>addresses informal users by acknowledging their rights over private property (private belonging/ownership/possession) of such as buildings, plants, or other objects related to land. Taking any private property (private belonging/ownership/possession) for pu</w:t>
            </w:r>
            <w:r w:rsidR="00D340AC" w:rsidRPr="00563D71">
              <w:rPr>
                <w:bCs/>
                <w:sz w:val="20"/>
                <w:szCs w:val="20"/>
              </w:rPr>
              <w:t xml:space="preserve">blic use must be compensated. </w:t>
            </w:r>
          </w:p>
          <w:p w14:paraId="582EEAE0" w14:textId="788C7934" w:rsidR="00694204" w:rsidRPr="00563D71" w:rsidRDefault="00694204" w:rsidP="003D2E29">
            <w:pPr>
              <w:spacing w:before="0" w:after="120"/>
              <w:ind w:left="25" w:firstLine="0"/>
              <w:rPr>
                <w:bCs/>
                <w:sz w:val="20"/>
                <w:szCs w:val="20"/>
              </w:rPr>
            </w:pPr>
            <w:r w:rsidRPr="00563D71">
              <w:rPr>
                <w:bCs/>
                <w:sz w:val="20"/>
                <w:szCs w:val="20"/>
              </w:rPr>
              <w:t>However, the Law also differentiate</w:t>
            </w:r>
            <w:r w:rsidR="008A2BEE" w:rsidRPr="00563D71">
              <w:rPr>
                <w:bCs/>
                <w:sz w:val="20"/>
                <w:szCs w:val="20"/>
              </w:rPr>
              <w:t>s between types</w:t>
            </w:r>
            <w:r w:rsidRPr="00563D71">
              <w:rPr>
                <w:bCs/>
                <w:sz w:val="20"/>
                <w:szCs w:val="20"/>
              </w:rPr>
              <w:t xml:space="preserve"> of illegal occupants (good faith</w:t>
            </w:r>
            <w:r w:rsidR="00135326" w:rsidRPr="00563D71">
              <w:rPr>
                <w:rStyle w:val="FootnoteReference"/>
                <w:bCs/>
                <w:sz w:val="20"/>
                <w:szCs w:val="20"/>
              </w:rPr>
              <w:footnoteReference w:id="48"/>
            </w:r>
            <w:r w:rsidRPr="00563D71">
              <w:rPr>
                <w:bCs/>
                <w:sz w:val="20"/>
                <w:szCs w:val="20"/>
              </w:rPr>
              <w:t xml:space="preserve"> and non-good faith). Therefore, the Law</w:t>
            </w:r>
            <w:r w:rsidR="00BF6A99" w:rsidRPr="00563D71">
              <w:rPr>
                <w:bCs/>
                <w:sz w:val="20"/>
                <w:szCs w:val="20"/>
              </w:rPr>
              <w:t xml:space="preserve"> No.</w:t>
            </w:r>
            <w:r w:rsidRPr="00563D71">
              <w:rPr>
                <w:bCs/>
                <w:sz w:val="20"/>
                <w:szCs w:val="20"/>
              </w:rPr>
              <w:t xml:space="preserve"> 2</w:t>
            </w:r>
            <w:r w:rsidR="00BF6A99" w:rsidRPr="00563D71">
              <w:rPr>
                <w:bCs/>
                <w:sz w:val="20"/>
                <w:szCs w:val="20"/>
              </w:rPr>
              <w:t xml:space="preserve"> Year </w:t>
            </w:r>
            <w:r w:rsidRPr="00563D71">
              <w:rPr>
                <w:bCs/>
                <w:sz w:val="20"/>
                <w:szCs w:val="20"/>
              </w:rPr>
              <w:t xml:space="preserve">2012 </w:t>
            </w:r>
            <w:r w:rsidRPr="00563D71">
              <w:rPr>
                <w:sz w:val="20"/>
                <w:szCs w:val="20"/>
              </w:rPr>
              <w:t>does not apply to land eviction situation</w:t>
            </w:r>
            <w:r w:rsidR="00A0239C" w:rsidRPr="00563D71">
              <w:rPr>
                <w:sz w:val="20"/>
                <w:szCs w:val="20"/>
              </w:rPr>
              <w:t>s</w:t>
            </w:r>
            <w:r w:rsidRPr="00563D71">
              <w:rPr>
                <w:sz w:val="20"/>
                <w:szCs w:val="20"/>
              </w:rPr>
              <w:t xml:space="preserve"> in which non-good faith illegal occupant</w:t>
            </w:r>
            <w:r w:rsidR="008B22F4" w:rsidRPr="00563D71">
              <w:rPr>
                <w:sz w:val="20"/>
                <w:szCs w:val="20"/>
              </w:rPr>
              <w:t>s</w:t>
            </w:r>
            <w:r w:rsidRPr="00563D71">
              <w:rPr>
                <w:sz w:val="20"/>
                <w:szCs w:val="20"/>
              </w:rPr>
              <w:t>/squatter</w:t>
            </w:r>
            <w:r w:rsidR="008B22F4" w:rsidRPr="00563D71">
              <w:rPr>
                <w:sz w:val="20"/>
                <w:szCs w:val="20"/>
              </w:rPr>
              <w:t>s have</w:t>
            </w:r>
            <w:r w:rsidRPr="00563D71">
              <w:rPr>
                <w:sz w:val="20"/>
                <w:szCs w:val="20"/>
              </w:rPr>
              <w:t xml:space="preserve"> resided/occupied on land owned by government. Land eviction is regulated under the Law No. 51</w:t>
            </w:r>
            <w:r w:rsidR="00BF6A99" w:rsidRPr="00563D71">
              <w:rPr>
                <w:sz w:val="20"/>
                <w:szCs w:val="20"/>
              </w:rPr>
              <w:t xml:space="preserve"> Year </w:t>
            </w:r>
            <w:r w:rsidRPr="00563D71">
              <w:rPr>
                <w:sz w:val="20"/>
                <w:szCs w:val="20"/>
              </w:rPr>
              <w:t>1960</w:t>
            </w:r>
            <w:r w:rsidR="00BF6A99" w:rsidRPr="00563D71">
              <w:rPr>
                <w:sz w:val="20"/>
                <w:szCs w:val="20"/>
              </w:rPr>
              <w:t>.</w:t>
            </w:r>
          </w:p>
          <w:p w14:paraId="1AF57EE6" w14:textId="71A5E0FD" w:rsidR="00694204" w:rsidRPr="00563D71" w:rsidRDefault="00694204" w:rsidP="003D2E29">
            <w:pPr>
              <w:spacing w:before="0" w:after="120"/>
              <w:ind w:left="25" w:firstLine="0"/>
              <w:rPr>
                <w:bCs/>
                <w:sz w:val="20"/>
                <w:szCs w:val="20"/>
              </w:rPr>
            </w:pPr>
            <w:r w:rsidRPr="00563D71">
              <w:rPr>
                <w:bCs/>
                <w:sz w:val="20"/>
                <w:szCs w:val="20"/>
              </w:rPr>
              <w:lastRenderedPageBreak/>
              <w:t xml:space="preserve">Article 6 of Law 51 stipulates that illegal occupants (non-good faith) could be charged with "criminal offense." As such, all "illegal occupants" are not entitled any assistance, transitional support, and other assistance. </w:t>
            </w:r>
          </w:p>
          <w:p w14:paraId="6A1B8640" w14:textId="3D2B9379" w:rsidR="00694204" w:rsidRPr="00563D71" w:rsidRDefault="008B22F4" w:rsidP="003D2E29">
            <w:pPr>
              <w:spacing w:before="0" w:after="120"/>
              <w:ind w:left="25" w:firstLine="0"/>
              <w:rPr>
                <w:sz w:val="20"/>
                <w:szCs w:val="20"/>
              </w:rPr>
            </w:pPr>
            <w:r w:rsidRPr="00563D71">
              <w:rPr>
                <w:sz w:val="20"/>
                <w:szCs w:val="20"/>
              </w:rPr>
              <w:t>In the case of s</w:t>
            </w:r>
            <w:r w:rsidR="00694204" w:rsidRPr="00563D71">
              <w:rPr>
                <w:sz w:val="20"/>
                <w:szCs w:val="20"/>
              </w:rPr>
              <w:t>ocial and economic impacts result</w:t>
            </w:r>
            <w:r w:rsidRPr="00563D71">
              <w:rPr>
                <w:sz w:val="20"/>
                <w:szCs w:val="20"/>
              </w:rPr>
              <w:t>ing</w:t>
            </w:r>
            <w:r w:rsidR="00694204" w:rsidRPr="00563D71">
              <w:rPr>
                <w:sz w:val="20"/>
                <w:szCs w:val="20"/>
              </w:rPr>
              <w:t xml:space="preserve"> from land acquisition or loss of access to natural resources, the responsibility for the mitigation is delegated to local government as indicated in the government regulation (PP) No. 38</w:t>
            </w:r>
            <w:r w:rsidR="00BF6A99" w:rsidRPr="00563D71">
              <w:rPr>
                <w:sz w:val="20"/>
                <w:szCs w:val="20"/>
              </w:rPr>
              <w:t xml:space="preserve"> Year </w:t>
            </w:r>
            <w:r w:rsidR="00694204" w:rsidRPr="00563D71">
              <w:rPr>
                <w:sz w:val="20"/>
                <w:szCs w:val="20"/>
              </w:rPr>
              <w:t>2007 and President</w:t>
            </w:r>
            <w:r w:rsidR="00C061AD" w:rsidRPr="00563D71">
              <w:rPr>
                <w:sz w:val="20"/>
                <w:szCs w:val="20"/>
              </w:rPr>
              <w:t>ial</w:t>
            </w:r>
            <w:r w:rsidR="00694204" w:rsidRPr="00563D71">
              <w:rPr>
                <w:sz w:val="20"/>
                <w:szCs w:val="20"/>
              </w:rPr>
              <w:t xml:space="preserve"> Decree (Kep</w:t>
            </w:r>
            <w:r w:rsidR="007E5244" w:rsidRPr="00563D71">
              <w:rPr>
                <w:sz w:val="20"/>
                <w:szCs w:val="20"/>
              </w:rPr>
              <w:t>p</w:t>
            </w:r>
            <w:r w:rsidR="00694204" w:rsidRPr="00563D71">
              <w:rPr>
                <w:sz w:val="20"/>
                <w:szCs w:val="20"/>
              </w:rPr>
              <w:t>res) No. 34</w:t>
            </w:r>
            <w:r w:rsidR="00BF6A99" w:rsidRPr="00563D71">
              <w:rPr>
                <w:sz w:val="20"/>
                <w:szCs w:val="20"/>
              </w:rPr>
              <w:t xml:space="preserve"> Year </w:t>
            </w:r>
            <w:r w:rsidR="00694204" w:rsidRPr="00563D71">
              <w:rPr>
                <w:sz w:val="20"/>
                <w:szCs w:val="20"/>
              </w:rPr>
              <w:t>2003.</w:t>
            </w:r>
          </w:p>
          <w:p w14:paraId="52BE2019" w14:textId="0D2F9CAE" w:rsidR="00EB7BA6" w:rsidRPr="00563D71" w:rsidRDefault="00694204" w:rsidP="003D2E29">
            <w:pPr>
              <w:spacing w:before="0" w:after="120"/>
              <w:ind w:left="25" w:firstLine="0"/>
              <w:rPr>
                <w:bCs/>
                <w:sz w:val="20"/>
                <w:szCs w:val="20"/>
              </w:rPr>
            </w:pPr>
            <w:r w:rsidRPr="00563D71">
              <w:rPr>
                <w:sz w:val="20"/>
                <w:szCs w:val="20"/>
              </w:rPr>
              <w:t>Presidential Regulation No. 2</w:t>
            </w:r>
            <w:r w:rsidR="00BF6A99" w:rsidRPr="00563D71">
              <w:rPr>
                <w:sz w:val="20"/>
                <w:szCs w:val="20"/>
              </w:rPr>
              <w:t xml:space="preserve"> Year </w:t>
            </w:r>
            <w:r w:rsidRPr="00563D71">
              <w:rPr>
                <w:sz w:val="20"/>
                <w:szCs w:val="20"/>
              </w:rPr>
              <w:t xml:space="preserve">2015 </w:t>
            </w:r>
            <w:r w:rsidR="00C061AD" w:rsidRPr="00563D71">
              <w:rPr>
                <w:sz w:val="20"/>
                <w:szCs w:val="20"/>
              </w:rPr>
              <w:t>o</w:t>
            </w:r>
            <w:r w:rsidRPr="00563D71">
              <w:rPr>
                <w:sz w:val="20"/>
                <w:szCs w:val="20"/>
              </w:rPr>
              <w:t>n National Mid</w:t>
            </w:r>
            <w:r w:rsidR="00C061AD" w:rsidRPr="00563D71">
              <w:rPr>
                <w:sz w:val="20"/>
                <w:szCs w:val="20"/>
              </w:rPr>
              <w:t>-</w:t>
            </w:r>
            <w:r w:rsidRPr="00563D71">
              <w:rPr>
                <w:sz w:val="20"/>
                <w:szCs w:val="20"/>
              </w:rPr>
              <w:t>Term Development Plan (RPJMN) 2015-2019 contains gender mainstreaming issues in Book II sub-chapter 1.1.3 of the regulation’s appendix that states “gender perspective</w:t>
            </w:r>
            <w:r w:rsidR="00C061AD" w:rsidRPr="00563D71">
              <w:rPr>
                <w:sz w:val="20"/>
                <w:szCs w:val="20"/>
              </w:rPr>
              <w:t>s</w:t>
            </w:r>
            <w:r w:rsidRPr="00563D71">
              <w:rPr>
                <w:sz w:val="20"/>
                <w:szCs w:val="20"/>
              </w:rPr>
              <w:t xml:space="preserve"> must be integrated in every policy, program</w:t>
            </w:r>
            <w:r w:rsidR="0073114C" w:rsidRPr="00563D71">
              <w:rPr>
                <w:sz w:val="20"/>
                <w:szCs w:val="20"/>
              </w:rPr>
              <w:t>,</w:t>
            </w:r>
            <w:r w:rsidRPr="00563D71">
              <w:rPr>
                <w:sz w:val="20"/>
                <w:szCs w:val="20"/>
              </w:rPr>
              <w:t xml:space="preserve"> and development </w:t>
            </w:r>
            <w:r w:rsidR="0073114C" w:rsidRPr="00563D71">
              <w:rPr>
                <w:sz w:val="20"/>
                <w:szCs w:val="20"/>
              </w:rPr>
              <w:t>activity</w:t>
            </w:r>
            <w:r w:rsidRPr="00563D71">
              <w:rPr>
                <w:sz w:val="20"/>
                <w:szCs w:val="20"/>
              </w:rPr>
              <w:t>.</w:t>
            </w:r>
            <w:r w:rsidR="0073114C" w:rsidRPr="00563D71">
              <w:rPr>
                <w:sz w:val="20"/>
                <w:szCs w:val="20"/>
              </w:rPr>
              <w:t>”</w:t>
            </w:r>
          </w:p>
        </w:tc>
        <w:tc>
          <w:tcPr>
            <w:tcW w:w="1170" w:type="pct"/>
            <w:tcBorders>
              <w:top w:val="single" w:sz="4" w:space="0" w:color="000000"/>
              <w:left w:val="single" w:sz="4" w:space="0" w:color="000000"/>
              <w:bottom w:val="single" w:sz="4" w:space="0" w:color="000000"/>
              <w:right w:val="single" w:sz="4" w:space="0" w:color="000000"/>
            </w:tcBorders>
          </w:tcPr>
          <w:p w14:paraId="44C1F048" w14:textId="67D065B3" w:rsidR="00675B91" w:rsidRPr="00563D71" w:rsidRDefault="00694204" w:rsidP="00D340AC">
            <w:pPr>
              <w:spacing w:before="0"/>
              <w:ind w:left="10"/>
              <w:rPr>
                <w:sz w:val="20"/>
                <w:szCs w:val="20"/>
              </w:rPr>
            </w:pPr>
            <w:r w:rsidRPr="00563D71">
              <w:rPr>
                <w:sz w:val="20"/>
                <w:szCs w:val="20"/>
              </w:rPr>
              <w:lastRenderedPageBreak/>
              <w:t xml:space="preserve">No </w:t>
            </w:r>
            <w:r w:rsidR="004E5511" w:rsidRPr="00563D71">
              <w:rPr>
                <w:sz w:val="20"/>
                <w:szCs w:val="20"/>
              </w:rPr>
              <w:t xml:space="preserve">significant </w:t>
            </w:r>
            <w:r w:rsidRPr="00563D71">
              <w:rPr>
                <w:sz w:val="20"/>
                <w:szCs w:val="20"/>
              </w:rPr>
              <w:t>gap.</w:t>
            </w:r>
            <w:r w:rsidR="00675B91" w:rsidRPr="00563D71">
              <w:rPr>
                <w:sz w:val="20"/>
                <w:szCs w:val="20"/>
              </w:rPr>
              <w:t xml:space="preserve"> </w:t>
            </w:r>
            <w:r w:rsidR="007E5244" w:rsidRPr="00563D71">
              <w:rPr>
                <w:sz w:val="20"/>
                <w:szCs w:val="20"/>
              </w:rPr>
              <w:t xml:space="preserve">Attention should be given </w:t>
            </w:r>
            <w:r w:rsidR="00574CE1" w:rsidRPr="00563D71">
              <w:rPr>
                <w:sz w:val="20"/>
                <w:szCs w:val="20"/>
              </w:rPr>
              <w:t xml:space="preserve">to </w:t>
            </w:r>
            <w:r w:rsidR="007E5244" w:rsidRPr="00563D71">
              <w:rPr>
                <w:sz w:val="20"/>
                <w:szCs w:val="20"/>
              </w:rPr>
              <w:t xml:space="preserve">squatters and vulnerable </w:t>
            </w:r>
            <w:r w:rsidR="00574CE1" w:rsidRPr="00563D71">
              <w:rPr>
                <w:sz w:val="20"/>
                <w:szCs w:val="20"/>
              </w:rPr>
              <w:t xml:space="preserve">groups </w:t>
            </w:r>
            <w:r w:rsidR="007E5244" w:rsidRPr="00563D71">
              <w:rPr>
                <w:sz w:val="20"/>
                <w:szCs w:val="20"/>
              </w:rPr>
              <w:t>for assistance and livelihood restoration</w:t>
            </w:r>
            <w:r w:rsidR="00FD76E5" w:rsidRPr="00563D71">
              <w:rPr>
                <w:sz w:val="20"/>
                <w:szCs w:val="20"/>
              </w:rPr>
              <w:t>.</w:t>
            </w:r>
          </w:p>
          <w:p w14:paraId="62E24369" w14:textId="09D9A647" w:rsidR="00245F03" w:rsidRPr="00563D71" w:rsidRDefault="00245F03" w:rsidP="00D340AC">
            <w:pPr>
              <w:spacing w:before="0"/>
              <w:ind w:left="0" w:firstLine="0"/>
            </w:pPr>
          </w:p>
        </w:tc>
      </w:tr>
      <w:tr w:rsidR="00245F03" w:rsidRPr="00563D71" w14:paraId="3EEC8E64" w14:textId="77777777" w:rsidTr="0032029F">
        <w:trPr>
          <w:trHeight w:val="1571"/>
        </w:trPr>
        <w:tc>
          <w:tcPr>
            <w:tcW w:w="1103" w:type="pct"/>
            <w:tcBorders>
              <w:top w:val="single" w:sz="4" w:space="0" w:color="000000"/>
              <w:left w:val="single" w:sz="4" w:space="0" w:color="000000"/>
              <w:bottom w:val="single" w:sz="4" w:space="0" w:color="000000"/>
              <w:right w:val="single" w:sz="4" w:space="0" w:color="000000"/>
            </w:tcBorders>
          </w:tcPr>
          <w:p w14:paraId="600F62DD" w14:textId="7399121F" w:rsidR="00245F03" w:rsidRPr="00563D71" w:rsidRDefault="00675B91" w:rsidP="00D340AC">
            <w:pPr>
              <w:spacing w:before="0"/>
              <w:ind w:left="374" w:hanging="288"/>
              <w:jc w:val="left"/>
              <w:rPr>
                <w:sz w:val="20"/>
                <w:szCs w:val="20"/>
              </w:rPr>
            </w:pPr>
            <w:r w:rsidRPr="00563D71">
              <w:rPr>
                <w:sz w:val="20"/>
                <w:szCs w:val="20"/>
              </w:rPr>
              <w:t>(d</w:t>
            </w:r>
            <w:r w:rsidR="00C8190F" w:rsidRPr="00563D71">
              <w:rPr>
                <w:sz w:val="20"/>
                <w:szCs w:val="20"/>
              </w:rPr>
              <w:t>) provide</w:t>
            </w:r>
            <w:r w:rsidR="00D04B10" w:rsidRPr="00563D71">
              <w:rPr>
                <w:sz w:val="20"/>
                <w:szCs w:val="20"/>
              </w:rPr>
              <w:t xml:space="preserve"> compensation sufficient to purchase replacement assets of equivalent value and to meet any necessary transitional expenses, paid </w:t>
            </w:r>
            <w:r w:rsidR="00C8190F" w:rsidRPr="00563D71">
              <w:rPr>
                <w:sz w:val="20"/>
                <w:szCs w:val="20"/>
              </w:rPr>
              <w:t xml:space="preserve">before taking </w:t>
            </w:r>
            <w:r w:rsidR="00D04B10" w:rsidRPr="00563D71">
              <w:rPr>
                <w:sz w:val="20"/>
                <w:szCs w:val="20"/>
              </w:rPr>
              <w:t>land</w:t>
            </w:r>
            <w:r w:rsidR="00C8190F" w:rsidRPr="00563D71">
              <w:rPr>
                <w:sz w:val="20"/>
                <w:szCs w:val="20"/>
              </w:rPr>
              <w:t xml:space="preserve"> or restricting access</w:t>
            </w:r>
            <w:r w:rsidR="00D04B10" w:rsidRPr="00563D71">
              <w:rPr>
                <w:sz w:val="20"/>
                <w:szCs w:val="20"/>
              </w:rPr>
              <w:t>.</w:t>
            </w:r>
          </w:p>
        </w:tc>
        <w:tc>
          <w:tcPr>
            <w:tcW w:w="2727" w:type="pct"/>
            <w:gridSpan w:val="2"/>
            <w:tcBorders>
              <w:top w:val="single" w:sz="4" w:space="0" w:color="000000"/>
              <w:left w:val="single" w:sz="4" w:space="0" w:color="000000"/>
              <w:bottom w:val="single" w:sz="4" w:space="0" w:color="000000"/>
              <w:right w:val="single" w:sz="4" w:space="0" w:color="000000"/>
            </w:tcBorders>
          </w:tcPr>
          <w:p w14:paraId="5C73ED2C" w14:textId="1C94939C" w:rsidR="00675B91" w:rsidRPr="00563D71" w:rsidRDefault="00675B91" w:rsidP="003D2E29">
            <w:pPr>
              <w:spacing w:before="0" w:after="120"/>
              <w:ind w:right="-115"/>
              <w:rPr>
                <w:sz w:val="20"/>
                <w:szCs w:val="20"/>
              </w:rPr>
            </w:pPr>
            <w:r w:rsidRPr="00563D71">
              <w:rPr>
                <w:sz w:val="20"/>
                <w:szCs w:val="20"/>
              </w:rPr>
              <w:t>Law No. 2</w:t>
            </w:r>
            <w:r w:rsidR="00225DEA" w:rsidRPr="00563D71">
              <w:rPr>
                <w:sz w:val="20"/>
                <w:szCs w:val="20"/>
              </w:rPr>
              <w:t xml:space="preserve"> </w:t>
            </w:r>
            <w:r w:rsidR="00BF6A99" w:rsidRPr="00563D71">
              <w:rPr>
                <w:sz w:val="20"/>
                <w:szCs w:val="20"/>
              </w:rPr>
              <w:t>Year</w:t>
            </w:r>
            <w:r w:rsidR="004E5511" w:rsidRPr="00563D71">
              <w:rPr>
                <w:sz w:val="20"/>
                <w:szCs w:val="20"/>
              </w:rPr>
              <w:t xml:space="preserve"> </w:t>
            </w:r>
            <w:r w:rsidRPr="00563D71">
              <w:rPr>
                <w:sz w:val="20"/>
                <w:szCs w:val="20"/>
              </w:rPr>
              <w:t>2012 states that Acquisition of Land in the Public Interest should be implemented under the principles of justice, benefit, and welfare. Compensation at full replacement cost ensures displaced peoples will not be worse off.  Types of losses should be specified to be valued by</w:t>
            </w:r>
            <w:r w:rsidR="00210366" w:rsidRPr="00563D71">
              <w:rPr>
                <w:sz w:val="20"/>
                <w:szCs w:val="20"/>
              </w:rPr>
              <w:t xml:space="preserve"> an</w:t>
            </w:r>
            <w:r w:rsidRPr="00563D71">
              <w:rPr>
                <w:sz w:val="20"/>
                <w:szCs w:val="20"/>
              </w:rPr>
              <w:t xml:space="preserve"> appointed appraiser. The compensation can be given in the form of money, substitute land, resettlement, shareholding, or other forms as agreed upon by both parties.</w:t>
            </w:r>
          </w:p>
          <w:p w14:paraId="559B9FD4" w14:textId="3E0BAB0A" w:rsidR="00675B91" w:rsidRPr="00563D71" w:rsidRDefault="00675B91" w:rsidP="003D2E29">
            <w:pPr>
              <w:spacing w:before="0" w:after="120"/>
              <w:ind w:right="-115"/>
              <w:rPr>
                <w:sz w:val="20"/>
                <w:szCs w:val="20"/>
              </w:rPr>
            </w:pPr>
            <w:r w:rsidRPr="00563D71">
              <w:rPr>
                <w:sz w:val="20"/>
                <w:szCs w:val="20"/>
              </w:rPr>
              <w:t>Appraisal of the amount of compensation by appraiser shall be made on a parcel-by-parcel</w:t>
            </w:r>
            <w:r w:rsidR="0001423C" w:rsidRPr="00563D71">
              <w:rPr>
                <w:sz w:val="20"/>
                <w:szCs w:val="20"/>
              </w:rPr>
              <w:t xml:space="preserve"> basis, including land, above-</w:t>
            </w:r>
            <w:r w:rsidRPr="00563D71">
              <w:rPr>
                <w:sz w:val="20"/>
                <w:szCs w:val="20"/>
              </w:rPr>
              <w:t>ground and underground space, buildings, plants, objects related to land</w:t>
            </w:r>
            <w:r w:rsidR="00210366" w:rsidRPr="00563D71">
              <w:rPr>
                <w:sz w:val="20"/>
                <w:szCs w:val="20"/>
              </w:rPr>
              <w:t>,</w:t>
            </w:r>
            <w:r w:rsidRPr="00563D71">
              <w:rPr>
                <w:sz w:val="20"/>
                <w:szCs w:val="20"/>
              </w:rPr>
              <w:t xml:space="preserve"> and/or other appraisable loss.</w:t>
            </w:r>
          </w:p>
          <w:p w14:paraId="49509499" w14:textId="2D974679" w:rsidR="00245F03" w:rsidRPr="00563D71" w:rsidRDefault="00675B91" w:rsidP="00210366">
            <w:pPr>
              <w:spacing w:before="0"/>
              <w:ind w:left="10" w:right="-108"/>
              <w:rPr>
                <w:sz w:val="20"/>
                <w:szCs w:val="20"/>
              </w:rPr>
            </w:pPr>
            <w:r w:rsidRPr="00563D71">
              <w:rPr>
                <w:sz w:val="20"/>
                <w:szCs w:val="20"/>
              </w:rPr>
              <w:t>Presidential Regulation No. 71</w:t>
            </w:r>
            <w:r w:rsidR="00BF6A99" w:rsidRPr="00563D71">
              <w:rPr>
                <w:sz w:val="20"/>
                <w:szCs w:val="20"/>
              </w:rPr>
              <w:t xml:space="preserve"> Year </w:t>
            </w:r>
            <w:r w:rsidRPr="00563D71">
              <w:rPr>
                <w:sz w:val="20"/>
                <w:szCs w:val="20"/>
              </w:rPr>
              <w:t xml:space="preserve">2012 ensures prompt compensation in </w:t>
            </w:r>
            <w:r w:rsidR="00210366" w:rsidRPr="00563D71">
              <w:rPr>
                <w:sz w:val="20"/>
                <w:szCs w:val="20"/>
              </w:rPr>
              <w:t>a</w:t>
            </w:r>
            <w:r w:rsidRPr="00563D71">
              <w:rPr>
                <w:sz w:val="20"/>
                <w:szCs w:val="20"/>
              </w:rPr>
              <w:t>rt</w:t>
            </w:r>
            <w:r w:rsidR="00210366" w:rsidRPr="00563D71">
              <w:rPr>
                <w:sz w:val="20"/>
                <w:szCs w:val="20"/>
              </w:rPr>
              <w:t>icle</w:t>
            </w:r>
            <w:r w:rsidRPr="00563D71">
              <w:rPr>
                <w:sz w:val="20"/>
                <w:szCs w:val="20"/>
              </w:rPr>
              <w:t xml:space="preserve"> 70 sec</w:t>
            </w:r>
            <w:r w:rsidR="00210366" w:rsidRPr="00563D71">
              <w:rPr>
                <w:sz w:val="20"/>
                <w:szCs w:val="20"/>
              </w:rPr>
              <w:t>tion</w:t>
            </w:r>
            <w:r w:rsidRPr="00563D71">
              <w:rPr>
                <w:sz w:val="20"/>
                <w:szCs w:val="20"/>
              </w:rPr>
              <w:t xml:space="preserve"> (3): Distribution of compensation must be carried out at the same time as the Entitled</w:t>
            </w:r>
            <w:r w:rsidR="00D340AC" w:rsidRPr="00563D71">
              <w:rPr>
                <w:sz w:val="20"/>
                <w:szCs w:val="20"/>
              </w:rPr>
              <w:t xml:space="preserve"> Party relinquishes its rights.</w:t>
            </w:r>
          </w:p>
        </w:tc>
        <w:tc>
          <w:tcPr>
            <w:tcW w:w="1170" w:type="pct"/>
            <w:tcBorders>
              <w:top w:val="single" w:sz="4" w:space="0" w:color="000000"/>
              <w:left w:val="single" w:sz="4" w:space="0" w:color="000000"/>
              <w:bottom w:val="single" w:sz="4" w:space="0" w:color="000000"/>
              <w:right w:val="single" w:sz="4" w:space="0" w:color="000000"/>
            </w:tcBorders>
          </w:tcPr>
          <w:p w14:paraId="33618308" w14:textId="42186A8C" w:rsidR="00245F03" w:rsidRPr="00563D71" w:rsidRDefault="00BC55F2" w:rsidP="00D340AC">
            <w:pPr>
              <w:spacing w:before="0"/>
              <w:ind w:left="25" w:firstLine="0"/>
              <w:rPr>
                <w:sz w:val="20"/>
                <w:szCs w:val="20"/>
              </w:rPr>
            </w:pPr>
            <w:r w:rsidRPr="00563D71">
              <w:rPr>
                <w:sz w:val="20"/>
                <w:szCs w:val="20"/>
              </w:rPr>
              <w:t>No</w:t>
            </w:r>
            <w:r w:rsidR="00F073DC" w:rsidRPr="00563D71">
              <w:rPr>
                <w:sz w:val="20"/>
                <w:szCs w:val="20"/>
              </w:rPr>
              <w:t xml:space="preserve"> </w:t>
            </w:r>
            <w:r w:rsidRPr="00563D71">
              <w:rPr>
                <w:sz w:val="20"/>
                <w:szCs w:val="20"/>
              </w:rPr>
              <w:t>gaps</w:t>
            </w:r>
          </w:p>
        </w:tc>
      </w:tr>
      <w:tr w:rsidR="00245F03" w:rsidRPr="00563D71" w14:paraId="13B81278" w14:textId="77777777" w:rsidTr="0032029F">
        <w:trPr>
          <w:trHeight w:val="618"/>
        </w:trPr>
        <w:tc>
          <w:tcPr>
            <w:tcW w:w="1103" w:type="pct"/>
            <w:tcBorders>
              <w:top w:val="single" w:sz="4" w:space="0" w:color="000000"/>
              <w:left w:val="single" w:sz="4" w:space="0" w:color="000000"/>
              <w:bottom w:val="single" w:sz="4" w:space="0" w:color="000000"/>
              <w:right w:val="single" w:sz="4" w:space="0" w:color="000000"/>
            </w:tcBorders>
          </w:tcPr>
          <w:p w14:paraId="141F6CEB" w14:textId="7FE9A1CB" w:rsidR="00245F03" w:rsidRPr="00563D71" w:rsidRDefault="00675B91" w:rsidP="00D340AC">
            <w:pPr>
              <w:spacing w:before="0"/>
              <w:ind w:left="374" w:hanging="288"/>
              <w:jc w:val="left"/>
              <w:rPr>
                <w:sz w:val="20"/>
                <w:szCs w:val="20"/>
              </w:rPr>
            </w:pPr>
            <w:r w:rsidRPr="00563D71">
              <w:rPr>
                <w:sz w:val="20"/>
                <w:szCs w:val="20"/>
              </w:rPr>
              <w:t>(e</w:t>
            </w:r>
            <w:r w:rsidR="00C8190F" w:rsidRPr="00563D71">
              <w:rPr>
                <w:sz w:val="20"/>
                <w:szCs w:val="20"/>
              </w:rPr>
              <w:t>) Provide</w:t>
            </w:r>
            <w:r w:rsidR="00D04B10" w:rsidRPr="00563D71">
              <w:rPr>
                <w:sz w:val="20"/>
                <w:szCs w:val="20"/>
              </w:rPr>
              <w:t xml:space="preserve"> supplemental livelihood improvement or restoration measures if taking of land causes loss of income-generating opportunity</w:t>
            </w:r>
            <w:r w:rsidR="00C8190F" w:rsidRPr="00563D71">
              <w:rPr>
                <w:sz w:val="20"/>
                <w:szCs w:val="20"/>
              </w:rPr>
              <w:t xml:space="preserve"> (e.g., loss o</w:t>
            </w:r>
            <w:r w:rsidR="00E81CEC" w:rsidRPr="00563D71">
              <w:rPr>
                <w:sz w:val="20"/>
                <w:szCs w:val="20"/>
              </w:rPr>
              <w:t>f</w:t>
            </w:r>
            <w:r w:rsidR="00C8190F" w:rsidRPr="00563D71">
              <w:rPr>
                <w:sz w:val="20"/>
                <w:szCs w:val="20"/>
              </w:rPr>
              <w:t xml:space="preserve"> crop production or employment)</w:t>
            </w:r>
          </w:p>
        </w:tc>
        <w:tc>
          <w:tcPr>
            <w:tcW w:w="2727" w:type="pct"/>
            <w:gridSpan w:val="2"/>
            <w:tcBorders>
              <w:top w:val="single" w:sz="4" w:space="0" w:color="000000"/>
              <w:left w:val="single" w:sz="4" w:space="0" w:color="000000"/>
              <w:bottom w:val="single" w:sz="4" w:space="0" w:color="000000"/>
              <w:right w:val="single" w:sz="4" w:space="0" w:color="000000"/>
            </w:tcBorders>
          </w:tcPr>
          <w:p w14:paraId="529171B7" w14:textId="15E24D38" w:rsidR="00BC55F2" w:rsidRPr="00563D71" w:rsidRDefault="00BC55F2" w:rsidP="009F0E3D">
            <w:pPr>
              <w:spacing w:before="0" w:after="120"/>
              <w:ind w:left="0" w:right="-115" w:firstLine="0"/>
              <w:rPr>
                <w:sz w:val="20"/>
                <w:szCs w:val="20"/>
              </w:rPr>
            </w:pPr>
            <w:r w:rsidRPr="00563D71">
              <w:rPr>
                <w:sz w:val="20"/>
                <w:szCs w:val="20"/>
                <w:lang w:bidi="ta-IN"/>
              </w:rPr>
              <w:t>Law</w:t>
            </w:r>
            <w:r w:rsidR="00EB7BA6" w:rsidRPr="00563D71">
              <w:rPr>
                <w:sz w:val="20"/>
                <w:szCs w:val="20"/>
                <w:lang w:bidi="ta-IN"/>
              </w:rPr>
              <w:t xml:space="preserve"> No. </w:t>
            </w:r>
            <w:r w:rsidRPr="00563D71">
              <w:rPr>
                <w:sz w:val="20"/>
                <w:szCs w:val="20"/>
                <w:lang w:bidi="ta-IN"/>
              </w:rPr>
              <w:t xml:space="preserve">2 </w:t>
            </w:r>
            <w:r w:rsidR="00BF6A99" w:rsidRPr="00563D71">
              <w:rPr>
                <w:sz w:val="20"/>
                <w:szCs w:val="20"/>
                <w:lang w:bidi="ta-IN"/>
              </w:rPr>
              <w:t>Year</w:t>
            </w:r>
            <w:r w:rsidRPr="00563D71">
              <w:rPr>
                <w:sz w:val="20"/>
                <w:szCs w:val="20"/>
                <w:lang w:bidi="ta-IN"/>
              </w:rPr>
              <w:t xml:space="preserve"> 2012 focus</w:t>
            </w:r>
            <w:r w:rsidR="00E81CEC" w:rsidRPr="00563D71">
              <w:rPr>
                <w:sz w:val="20"/>
                <w:szCs w:val="20"/>
                <w:lang w:bidi="ta-IN"/>
              </w:rPr>
              <w:t>es</w:t>
            </w:r>
            <w:r w:rsidRPr="00563D71">
              <w:rPr>
                <w:sz w:val="20"/>
                <w:szCs w:val="20"/>
                <w:lang w:bidi="ta-IN"/>
              </w:rPr>
              <w:t xml:space="preserve"> on physical displacement rather than other displacements </w:t>
            </w:r>
            <w:r w:rsidR="00E81CEC" w:rsidRPr="00563D71">
              <w:rPr>
                <w:sz w:val="20"/>
                <w:szCs w:val="20"/>
                <w:lang w:bidi="ta-IN"/>
              </w:rPr>
              <w:t xml:space="preserve">such as </w:t>
            </w:r>
            <w:r w:rsidRPr="00563D71">
              <w:rPr>
                <w:sz w:val="20"/>
                <w:szCs w:val="20"/>
                <w:lang w:bidi="ta-IN"/>
              </w:rPr>
              <w:t>economic displacement. This is clearly indicated in the Article 1:</w:t>
            </w:r>
            <w:r w:rsidRPr="00563D71">
              <w:rPr>
                <w:sz w:val="20"/>
                <w:szCs w:val="20"/>
              </w:rPr>
              <w:t xml:space="preserve"> </w:t>
            </w:r>
            <w:r w:rsidR="00E81CEC" w:rsidRPr="00563D71">
              <w:rPr>
                <w:sz w:val="20"/>
                <w:szCs w:val="20"/>
              </w:rPr>
              <w:t>“</w:t>
            </w:r>
            <w:r w:rsidR="00A04A2B" w:rsidRPr="00563D71">
              <w:rPr>
                <w:sz w:val="20"/>
                <w:szCs w:val="20"/>
              </w:rPr>
              <w:t>‘</w:t>
            </w:r>
            <w:r w:rsidRPr="00563D71">
              <w:rPr>
                <w:sz w:val="20"/>
                <w:szCs w:val="20"/>
              </w:rPr>
              <w:t>Acquisition of Land</w:t>
            </w:r>
            <w:r w:rsidR="00E81CEC" w:rsidRPr="00563D71">
              <w:rPr>
                <w:sz w:val="20"/>
                <w:szCs w:val="20"/>
              </w:rPr>
              <w:t>’</w:t>
            </w:r>
            <w:r w:rsidRPr="00563D71">
              <w:rPr>
                <w:sz w:val="20"/>
                <w:szCs w:val="20"/>
              </w:rPr>
              <w:t xml:space="preserve"> means any activity to make land available by giving reasonable and fair compensation to the Land Rights Holders</w:t>
            </w:r>
            <w:r w:rsidR="009F0E3D" w:rsidRPr="00563D71">
              <w:rPr>
                <w:sz w:val="20"/>
                <w:szCs w:val="20"/>
              </w:rPr>
              <w:t>.</w:t>
            </w:r>
            <w:r w:rsidR="001452F8" w:rsidRPr="00563D71">
              <w:rPr>
                <w:sz w:val="20"/>
                <w:szCs w:val="20"/>
              </w:rPr>
              <w:t>”</w:t>
            </w:r>
            <w:r w:rsidR="009F0E3D" w:rsidRPr="00563D71">
              <w:rPr>
                <w:sz w:val="20"/>
                <w:szCs w:val="20"/>
              </w:rPr>
              <w:t xml:space="preserve"> </w:t>
            </w:r>
            <w:r w:rsidRPr="00563D71">
              <w:rPr>
                <w:sz w:val="20"/>
                <w:szCs w:val="20"/>
              </w:rPr>
              <w:t>Land Rights Holders</w:t>
            </w:r>
            <w:r w:rsidR="009F0E3D" w:rsidRPr="00563D71">
              <w:rPr>
                <w:sz w:val="20"/>
                <w:szCs w:val="20"/>
              </w:rPr>
              <w:t xml:space="preserve"> </w:t>
            </w:r>
            <w:r w:rsidRPr="00563D71">
              <w:rPr>
                <w:sz w:val="20"/>
                <w:szCs w:val="20"/>
              </w:rPr>
              <w:t>means any party by whom objects of the acquired land are possessed (controlled) or owned.</w:t>
            </w:r>
            <w:r w:rsidRPr="00563D71">
              <w:rPr>
                <w:sz w:val="20"/>
                <w:szCs w:val="20"/>
                <w:lang w:bidi="ta-IN"/>
              </w:rPr>
              <w:t xml:space="preserve"> </w:t>
            </w:r>
            <w:r w:rsidR="00E81CEC" w:rsidRPr="00563D71">
              <w:rPr>
                <w:sz w:val="20"/>
                <w:szCs w:val="20"/>
              </w:rPr>
              <w:t>‘</w:t>
            </w:r>
            <w:r w:rsidRPr="00563D71">
              <w:rPr>
                <w:sz w:val="20"/>
                <w:szCs w:val="20"/>
              </w:rPr>
              <w:t>Object of the Acquired Land</w:t>
            </w:r>
            <w:r w:rsidR="00002D14" w:rsidRPr="00563D71">
              <w:rPr>
                <w:sz w:val="20"/>
                <w:szCs w:val="20"/>
              </w:rPr>
              <w:t>’</w:t>
            </w:r>
            <w:r w:rsidRPr="00563D71">
              <w:rPr>
                <w:sz w:val="20"/>
                <w:szCs w:val="20"/>
              </w:rPr>
              <w:t xml:space="preserve"> means land, above the surface and below the surface of the land, buildings, plants, objects related to land, or others appraisable objects.</w:t>
            </w:r>
            <w:r w:rsidR="009F0E3D" w:rsidRPr="00563D71" w:rsidDel="009F0E3D">
              <w:rPr>
                <w:sz w:val="20"/>
                <w:szCs w:val="20"/>
              </w:rPr>
              <w:t xml:space="preserve"> </w:t>
            </w:r>
          </w:p>
          <w:p w14:paraId="14A23E01" w14:textId="30044B6B" w:rsidR="00245F03" w:rsidRPr="00563D71" w:rsidRDefault="00694204" w:rsidP="003D2E29">
            <w:pPr>
              <w:spacing w:before="0" w:after="120"/>
              <w:ind w:left="0" w:right="-115" w:firstLine="0"/>
              <w:rPr>
                <w:sz w:val="20"/>
                <w:szCs w:val="20"/>
              </w:rPr>
            </w:pPr>
            <w:r w:rsidRPr="00563D71">
              <w:rPr>
                <w:sz w:val="20"/>
                <w:szCs w:val="20"/>
              </w:rPr>
              <w:t xml:space="preserve">In terms of supplemental livelihood improvement or restoration measures, the Law No. 2 </w:t>
            </w:r>
            <w:r w:rsidR="00BF6A99" w:rsidRPr="00563D71">
              <w:rPr>
                <w:sz w:val="20"/>
                <w:szCs w:val="20"/>
              </w:rPr>
              <w:t>Year</w:t>
            </w:r>
            <w:r w:rsidRPr="00563D71">
              <w:rPr>
                <w:sz w:val="20"/>
                <w:szCs w:val="20"/>
              </w:rPr>
              <w:t xml:space="preserve"> 2012 does not specif</w:t>
            </w:r>
            <w:r w:rsidR="00002D14" w:rsidRPr="00563D71">
              <w:rPr>
                <w:sz w:val="20"/>
                <w:szCs w:val="20"/>
              </w:rPr>
              <w:t>y</w:t>
            </w:r>
            <w:r w:rsidRPr="00563D71">
              <w:rPr>
                <w:sz w:val="20"/>
                <w:szCs w:val="20"/>
              </w:rPr>
              <w:t xml:space="preserve"> </w:t>
            </w:r>
            <w:r w:rsidR="00002D14" w:rsidRPr="00563D71">
              <w:rPr>
                <w:sz w:val="20"/>
                <w:szCs w:val="20"/>
              </w:rPr>
              <w:t>any</w:t>
            </w:r>
            <w:r w:rsidRPr="00563D71">
              <w:rPr>
                <w:sz w:val="20"/>
                <w:szCs w:val="20"/>
              </w:rPr>
              <w:t>. However</w:t>
            </w:r>
            <w:r w:rsidR="00002D14" w:rsidRPr="00563D71">
              <w:rPr>
                <w:sz w:val="20"/>
                <w:szCs w:val="20"/>
              </w:rPr>
              <w:t>,</w:t>
            </w:r>
            <w:r w:rsidRPr="00563D71">
              <w:rPr>
                <w:sz w:val="20"/>
                <w:szCs w:val="20"/>
              </w:rPr>
              <w:t xml:space="preserve"> Perpres </w:t>
            </w:r>
            <w:r w:rsidR="0006769B" w:rsidRPr="00563D71">
              <w:rPr>
                <w:sz w:val="20"/>
                <w:szCs w:val="20"/>
              </w:rPr>
              <w:t xml:space="preserve">No. </w:t>
            </w:r>
            <w:r w:rsidRPr="00563D71">
              <w:rPr>
                <w:sz w:val="20"/>
                <w:szCs w:val="20"/>
              </w:rPr>
              <w:t>71</w:t>
            </w:r>
            <w:r w:rsidR="0006769B" w:rsidRPr="00563D71">
              <w:rPr>
                <w:sz w:val="20"/>
                <w:szCs w:val="20"/>
              </w:rPr>
              <w:t xml:space="preserve"> Year</w:t>
            </w:r>
            <w:r w:rsidRPr="00563D71">
              <w:rPr>
                <w:sz w:val="20"/>
                <w:szCs w:val="20"/>
              </w:rPr>
              <w:t xml:space="preserve"> 2012 Article 36 indicates the task of appraiser to carry out the appraisal of the amount of compensation parcel by parcel, which includes:  a. Land; b. Space above and below the surface of the land; c. Buildings; d. Plants; e. Objects related to the land; and/or f. Other losses that can be appraised.  </w:t>
            </w:r>
            <w:r w:rsidR="008C6BE4" w:rsidRPr="00563D71">
              <w:rPr>
                <w:sz w:val="20"/>
                <w:szCs w:val="20"/>
              </w:rPr>
              <w:t>The elucidation of Article 36 then indicates</w:t>
            </w:r>
            <w:r w:rsidRPr="00563D71">
              <w:rPr>
                <w:i/>
                <w:iCs/>
                <w:sz w:val="20"/>
                <w:szCs w:val="20"/>
              </w:rPr>
              <w:t>:</w:t>
            </w:r>
            <w:r w:rsidR="008C6BE4" w:rsidRPr="00563D71">
              <w:rPr>
                <w:sz w:val="20"/>
                <w:szCs w:val="20"/>
              </w:rPr>
              <w:t xml:space="preserve"> “‘</w:t>
            </w:r>
            <w:r w:rsidRPr="00563D71">
              <w:rPr>
                <w:sz w:val="20"/>
                <w:szCs w:val="20"/>
              </w:rPr>
              <w:t>Other appraisable loss</w:t>
            </w:r>
            <w:r w:rsidR="008C6BE4" w:rsidRPr="00563D71">
              <w:rPr>
                <w:sz w:val="20"/>
                <w:szCs w:val="20"/>
              </w:rPr>
              <w:t>’</w:t>
            </w:r>
            <w:r w:rsidRPr="00563D71">
              <w:rPr>
                <w:sz w:val="20"/>
                <w:szCs w:val="20"/>
              </w:rPr>
              <w:t xml:space="preserve"> </w:t>
            </w:r>
            <w:r w:rsidRPr="00563D71">
              <w:rPr>
                <w:sz w:val="20"/>
                <w:szCs w:val="20"/>
              </w:rPr>
              <w:lastRenderedPageBreak/>
              <w:t>means nonphysical loss equivalent to money value, for example, loss due to loss of business or job, cost of change of location, cost of change of profession, and loss of value of the remaining property.</w:t>
            </w:r>
            <w:r w:rsidR="008C6BE4" w:rsidRPr="00563D71">
              <w:rPr>
                <w:sz w:val="20"/>
                <w:szCs w:val="20"/>
              </w:rPr>
              <w:t>”</w:t>
            </w:r>
          </w:p>
        </w:tc>
        <w:tc>
          <w:tcPr>
            <w:tcW w:w="1170" w:type="pct"/>
            <w:tcBorders>
              <w:top w:val="single" w:sz="4" w:space="0" w:color="000000"/>
              <w:left w:val="single" w:sz="4" w:space="0" w:color="000000"/>
              <w:bottom w:val="single" w:sz="4" w:space="0" w:color="000000"/>
              <w:right w:val="single" w:sz="4" w:space="0" w:color="000000"/>
            </w:tcBorders>
          </w:tcPr>
          <w:p w14:paraId="2FDEAAA9" w14:textId="25B90EE0" w:rsidR="005C6798" w:rsidRPr="00563D71" w:rsidRDefault="00EC425F" w:rsidP="00D340AC">
            <w:pPr>
              <w:spacing w:before="0"/>
              <w:ind w:left="10"/>
              <w:rPr>
                <w:sz w:val="20"/>
                <w:szCs w:val="20"/>
              </w:rPr>
            </w:pPr>
            <w:r w:rsidRPr="00563D71">
              <w:rPr>
                <w:sz w:val="20"/>
                <w:szCs w:val="20"/>
              </w:rPr>
              <w:lastRenderedPageBreak/>
              <w:t xml:space="preserve">No </w:t>
            </w:r>
            <w:r w:rsidR="00225DEA" w:rsidRPr="00563D71">
              <w:rPr>
                <w:sz w:val="20"/>
                <w:szCs w:val="20"/>
              </w:rPr>
              <w:t xml:space="preserve">significant </w:t>
            </w:r>
            <w:r w:rsidRPr="00563D71">
              <w:rPr>
                <w:sz w:val="20"/>
                <w:szCs w:val="20"/>
              </w:rPr>
              <w:t>gap</w:t>
            </w:r>
            <w:r w:rsidR="007E5244" w:rsidRPr="00563D71">
              <w:rPr>
                <w:sz w:val="20"/>
                <w:szCs w:val="20"/>
              </w:rPr>
              <w:t>; although non-physical loss (including loss of business or job, cost of change of location, cost of change of profession and loss of value of the remaining property) are included in the appraisal for compensation, facilitation for livelihood restoration might be needed</w:t>
            </w:r>
            <w:r w:rsidR="00F77801" w:rsidRPr="00563D71">
              <w:rPr>
                <w:sz w:val="20"/>
                <w:szCs w:val="20"/>
              </w:rPr>
              <w:t>,</w:t>
            </w:r>
            <w:r w:rsidR="007E5244" w:rsidRPr="00563D71">
              <w:rPr>
                <w:sz w:val="20"/>
                <w:szCs w:val="20"/>
              </w:rPr>
              <w:t xml:space="preserve"> such as training, assistance to access credit, etc.</w:t>
            </w:r>
          </w:p>
          <w:p w14:paraId="3B2D1CD6" w14:textId="77777777" w:rsidR="00BC55F2" w:rsidRPr="00563D71" w:rsidRDefault="00BC55F2" w:rsidP="00D340AC">
            <w:pPr>
              <w:spacing w:before="0"/>
              <w:ind w:right="-33"/>
              <w:jc w:val="center"/>
            </w:pPr>
          </w:p>
          <w:p w14:paraId="2F315C8B" w14:textId="77777777" w:rsidR="00245F03" w:rsidRPr="00563D71" w:rsidRDefault="00245F03" w:rsidP="00D340AC">
            <w:pPr>
              <w:spacing w:before="0"/>
              <w:ind w:left="25" w:firstLine="0"/>
              <w:jc w:val="center"/>
            </w:pPr>
          </w:p>
        </w:tc>
      </w:tr>
      <w:tr w:rsidR="00245F03" w:rsidRPr="00563D71" w14:paraId="1A02132B" w14:textId="77777777" w:rsidTr="0032029F">
        <w:trPr>
          <w:trHeight w:val="1042"/>
        </w:trPr>
        <w:tc>
          <w:tcPr>
            <w:tcW w:w="1103" w:type="pct"/>
            <w:tcBorders>
              <w:top w:val="single" w:sz="4" w:space="0" w:color="000000"/>
              <w:left w:val="single" w:sz="4" w:space="0" w:color="000000"/>
              <w:bottom w:val="single" w:sz="4" w:space="0" w:color="000000"/>
              <w:right w:val="single" w:sz="4" w:space="0" w:color="000000"/>
            </w:tcBorders>
          </w:tcPr>
          <w:p w14:paraId="17A9547F" w14:textId="6F2861CF" w:rsidR="00245F03" w:rsidRPr="00563D71" w:rsidRDefault="00675B91" w:rsidP="00D340AC">
            <w:pPr>
              <w:spacing w:before="0"/>
              <w:ind w:left="374" w:hanging="288"/>
              <w:jc w:val="left"/>
              <w:rPr>
                <w:sz w:val="20"/>
                <w:szCs w:val="20"/>
              </w:rPr>
            </w:pPr>
            <w:r w:rsidRPr="00563D71">
              <w:rPr>
                <w:sz w:val="20"/>
                <w:szCs w:val="20"/>
              </w:rPr>
              <w:t>(f</w:t>
            </w:r>
            <w:r w:rsidR="00C8190F" w:rsidRPr="00563D71">
              <w:rPr>
                <w:sz w:val="20"/>
                <w:szCs w:val="20"/>
              </w:rPr>
              <w:t>) Restore or replace</w:t>
            </w:r>
            <w:r w:rsidR="00D04B10" w:rsidRPr="00563D71">
              <w:rPr>
                <w:sz w:val="20"/>
                <w:szCs w:val="20"/>
              </w:rPr>
              <w:t xml:space="preserve"> public infrastructure and community services </w:t>
            </w:r>
            <w:r w:rsidR="00C8190F" w:rsidRPr="00563D71">
              <w:rPr>
                <w:sz w:val="20"/>
                <w:szCs w:val="20"/>
              </w:rPr>
              <w:t xml:space="preserve">that may be </w:t>
            </w:r>
            <w:r w:rsidR="00D04B10" w:rsidRPr="00563D71">
              <w:rPr>
                <w:sz w:val="20"/>
                <w:szCs w:val="20"/>
              </w:rPr>
              <w:t>adversely affected</w:t>
            </w:r>
            <w:r w:rsidR="00C8190F" w:rsidRPr="00563D71">
              <w:rPr>
                <w:sz w:val="20"/>
                <w:szCs w:val="20"/>
              </w:rPr>
              <w:t xml:space="preserve"> by the </w:t>
            </w:r>
            <w:r w:rsidR="0073114C" w:rsidRPr="00563D71">
              <w:rPr>
                <w:sz w:val="20"/>
                <w:szCs w:val="20"/>
              </w:rPr>
              <w:t>P</w:t>
            </w:r>
            <w:r w:rsidR="00C8190F" w:rsidRPr="00563D71">
              <w:rPr>
                <w:sz w:val="20"/>
                <w:szCs w:val="20"/>
              </w:rPr>
              <w:t>rogram</w:t>
            </w:r>
            <w:r w:rsidR="00D04B10" w:rsidRPr="00563D71">
              <w:rPr>
                <w:sz w:val="20"/>
                <w:szCs w:val="20"/>
              </w:rPr>
              <w:t>.</w:t>
            </w:r>
          </w:p>
        </w:tc>
        <w:tc>
          <w:tcPr>
            <w:tcW w:w="2727" w:type="pct"/>
            <w:gridSpan w:val="2"/>
            <w:tcBorders>
              <w:top w:val="single" w:sz="4" w:space="0" w:color="000000"/>
              <w:left w:val="single" w:sz="4" w:space="0" w:color="000000"/>
              <w:bottom w:val="single" w:sz="4" w:space="0" w:color="000000"/>
              <w:right w:val="single" w:sz="4" w:space="0" w:color="000000"/>
            </w:tcBorders>
          </w:tcPr>
          <w:p w14:paraId="561B49E0" w14:textId="7FBAB62E" w:rsidR="00787E53" w:rsidRPr="00563D71" w:rsidRDefault="00BC55F2" w:rsidP="00E51260">
            <w:pPr>
              <w:widowControl w:val="0"/>
              <w:autoSpaceDE w:val="0"/>
              <w:autoSpaceDN w:val="0"/>
              <w:adjustRightInd w:val="0"/>
              <w:spacing w:before="0"/>
              <w:ind w:left="10"/>
              <w:rPr>
                <w:sz w:val="20"/>
                <w:szCs w:val="20"/>
              </w:rPr>
            </w:pPr>
            <w:r w:rsidRPr="00563D71">
              <w:rPr>
                <w:sz w:val="20"/>
                <w:szCs w:val="20"/>
              </w:rPr>
              <w:t>The Law No. 2</w:t>
            </w:r>
            <w:r w:rsidR="000029F6" w:rsidRPr="00563D71">
              <w:rPr>
                <w:sz w:val="20"/>
                <w:szCs w:val="20"/>
              </w:rPr>
              <w:t xml:space="preserve"> </w:t>
            </w:r>
            <w:r w:rsidR="00BF6A99" w:rsidRPr="00563D71">
              <w:rPr>
                <w:sz w:val="20"/>
                <w:szCs w:val="20"/>
              </w:rPr>
              <w:t xml:space="preserve">Year </w:t>
            </w:r>
            <w:r w:rsidRPr="00563D71">
              <w:rPr>
                <w:sz w:val="20"/>
                <w:szCs w:val="20"/>
              </w:rPr>
              <w:t>2012 and Presidential Regulation No. 71 Year 2012 do not specify compensation for public infrastructure and community services that may be adversely affected. However</w:t>
            </w:r>
            <w:r w:rsidR="00BF6A99" w:rsidRPr="00563D71">
              <w:rPr>
                <w:sz w:val="20"/>
                <w:szCs w:val="20"/>
              </w:rPr>
              <w:t>,</w:t>
            </w:r>
            <w:r w:rsidRPr="00563D71">
              <w:rPr>
                <w:sz w:val="20"/>
                <w:szCs w:val="20"/>
              </w:rPr>
              <w:t xml:space="preserve"> it is included when it is found or identified during the parcel-by-parcel basis appraisal as indicated. The appraisal includ</w:t>
            </w:r>
            <w:r w:rsidR="00E51260" w:rsidRPr="00563D71">
              <w:rPr>
                <w:sz w:val="20"/>
                <w:szCs w:val="20"/>
              </w:rPr>
              <w:t>es</w:t>
            </w:r>
            <w:r w:rsidRPr="00563D71">
              <w:rPr>
                <w:sz w:val="20"/>
                <w:szCs w:val="20"/>
              </w:rPr>
              <w:t xml:space="preserve"> land, </w:t>
            </w:r>
            <w:r w:rsidR="00BF6A99" w:rsidRPr="00563D71">
              <w:rPr>
                <w:sz w:val="20"/>
                <w:szCs w:val="20"/>
              </w:rPr>
              <w:t>above-</w:t>
            </w:r>
            <w:r w:rsidRPr="00563D71">
              <w:rPr>
                <w:sz w:val="20"/>
                <w:szCs w:val="20"/>
              </w:rPr>
              <w:t>ground and underground space, buildings, plants, objects related to land and/or other appraisable loss. Provision/restoration should be made to community and public resources of civic infrastructure and community services impacted/lost.</w:t>
            </w:r>
          </w:p>
        </w:tc>
        <w:tc>
          <w:tcPr>
            <w:tcW w:w="1170" w:type="pct"/>
            <w:tcBorders>
              <w:top w:val="single" w:sz="4" w:space="0" w:color="000000"/>
              <w:left w:val="single" w:sz="4" w:space="0" w:color="000000"/>
              <w:bottom w:val="single" w:sz="4" w:space="0" w:color="000000"/>
              <w:right w:val="single" w:sz="4" w:space="0" w:color="000000"/>
            </w:tcBorders>
          </w:tcPr>
          <w:p w14:paraId="6FEE09FD" w14:textId="0BCACEE5" w:rsidR="00245F03" w:rsidRPr="00563D71" w:rsidRDefault="00BC55F2" w:rsidP="00D340AC">
            <w:pPr>
              <w:spacing w:before="0"/>
              <w:ind w:left="25" w:firstLine="0"/>
              <w:rPr>
                <w:sz w:val="20"/>
                <w:szCs w:val="20"/>
              </w:rPr>
            </w:pPr>
            <w:r w:rsidRPr="00563D71">
              <w:rPr>
                <w:sz w:val="20"/>
                <w:szCs w:val="20"/>
              </w:rPr>
              <w:t>No gap</w:t>
            </w:r>
          </w:p>
        </w:tc>
      </w:tr>
      <w:tr w:rsidR="00C133CC" w:rsidRPr="00563D71" w14:paraId="5572D2D6" w14:textId="77777777" w:rsidTr="0032029F">
        <w:trPr>
          <w:trHeight w:val="578"/>
        </w:trPr>
        <w:tc>
          <w:tcPr>
            <w:tcW w:w="2414"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76DCEA5" w14:textId="2A9D7193" w:rsidR="00C133CC" w:rsidRPr="00563D71" w:rsidRDefault="00C133CC" w:rsidP="00D340AC">
            <w:pPr>
              <w:spacing w:before="0"/>
              <w:ind w:left="25" w:firstLine="0"/>
              <w:jc w:val="center"/>
              <w:rPr>
                <w:b/>
                <w:sz w:val="20"/>
                <w:szCs w:val="20"/>
              </w:rPr>
            </w:pPr>
            <w:r w:rsidRPr="00563D71">
              <w:rPr>
                <w:b/>
                <w:sz w:val="20"/>
                <w:szCs w:val="20"/>
              </w:rPr>
              <w:t>Actions and Opportunities</w:t>
            </w:r>
          </w:p>
        </w:tc>
        <w:tc>
          <w:tcPr>
            <w:tcW w:w="2586"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2788AD5" w14:textId="751AE1E0" w:rsidR="00C133CC" w:rsidRPr="00563D71" w:rsidRDefault="00C133CC" w:rsidP="00D340AC">
            <w:pPr>
              <w:spacing w:before="0"/>
              <w:ind w:left="25" w:firstLine="0"/>
              <w:jc w:val="center"/>
              <w:rPr>
                <w:b/>
                <w:sz w:val="20"/>
                <w:szCs w:val="20"/>
              </w:rPr>
            </w:pPr>
            <w:r w:rsidRPr="00563D71">
              <w:rPr>
                <w:b/>
                <w:sz w:val="20"/>
                <w:szCs w:val="20"/>
              </w:rPr>
              <w:t>Risks</w:t>
            </w:r>
          </w:p>
        </w:tc>
      </w:tr>
      <w:tr w:rsidR="00C133CC" w:rsidRPr="00563D71" w14:paraId="51EB84E8" w14:textId="77777777" w:rsidTr="0032029F">
        <w:trPr>
          <w:trHeight w:val="577"/>
        </w:trPr>
        <w:tc>
          <w:tcPr>
            <w:tcW w:w="2414" w:type="pct"/>
            <w:gridSpan w:val="2"/>
            <w:tcBorders>
              <w:top w:val="single" w:sz="4" w:space="0" w:color="000000"/>
              <w:left w:val="single" w:sz="4" w:space="0" w:color="000000"/>
              <w:bottom w:val="single" w:sz="4" w:space="0" w:color="000000"/>
              <w:right w:val="single" w:sz="4" w:space="0" w:color="000000"/>
            </w:tcBorders>
          </w:tcPr>
          <w:p w14:paraId="386FC3FA" w14:textId="6FAB76ED" w:rsidR="00E96253" w:rsidRPr="00563D71" w:rsidRDefault="0009095D" w:rsidP="00D340AC">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1. When a proposed investment involve</w:t>
            </w:r>
            <w:r w:rsidR="00574CE1" w:rsidRPr="00563D71">
              <w:rPr>
                <w:rFonts w:ascii="Times New Roman" w:hAnsi="Times New Roman" w:cs="Times New Roman"/>
                <w:sz w:val="20"/>
                <w:szCs w:val="20"/>
              </w:rPr>
              <w:t>s</w:t>
            </w:r>
            <w:r w:rsidRPr="00563D71">
              <w:rPr>
                <w:rFonts w:ascii="Times New Roman" w:hAnsi="Times New Roman" w:cs="Times New Roman"/>
                <w:sz w:val="20"/>
                <w:szCs w:val="20"/>
              </w:rPr>
              <w:t xml:space="preserve"> the acquisition of land or other assets, or restriction of access to customarily-used </w:t>
            </w:r>
            <w:r w:rsidR="00574CE1" w:rsidRPr="00563D71">
              <w:rPr>
                <w:rFonts w:ascii="Times New Roman" w:hAnsi="Times New Roman" w:cs="Times New Roman"/>
                <w:sz w:val="20"/>
                <w:szCs w:val="20"/>
              </w:rPr>
              <w:t xml:space="preserve">land </w:t>
            </w:r>
            <w:r w:rsidR="00627698" w:rsidRPr="00563D71">
              <w:rPr>
                <w:rFonts w:ascii="Times New Roman" w:hAnsi="Times New Roman" w:cs="Times New Roman"/>
                <w:sz w:val="20"/>
                <w:szCs w:val="20"/>
              </w:rPr>
              <w:t xml:space="preserve">that will </w:t>
            </w:r>
            <w:r w:rsidRPr="00563D71">
              <w:rPr>
                <w:rFonts w:ascii="Times New Roman" w:hAnsi="Times New Roman" w:cs="Times New Roman"/>
                <w:sz w:val="20"/>
                <w:szCs w:val="20"/>
              </w:rPr>
              <w:t xml:space="preserve">cause loss of income-generating or subsistence opportunity, </w:t>
            </w:r>
            <w:r w:rsidR="009556D3" w:rsidRPr="00563D71">
              <w:rPr>
                <w:rFonts w:ascii="Times New Roman" w:hAnsi="Times New Roman" w:cs="Times New Roman"/>
                <w:sz w:val="20"/>
                <w:szCs w:val="20"/>
              </w:rPr>
              <w:t xml:space="preserve">the </w:t>
            </w:r>
            <w:r w:rsidR="00741BD7" w:rsidRPr="00563D71">
              <w:rPr>
                <w:rFonts w:ascii="Times New Roman" w:hAnsi="Times New Roman" w:cs="Times New Roman"/>
                <w:sz w:val="20"/>
                <w:szCs w:val="20"/>
              </w:rPr>
              <w:t xml:space="preserve">Program will </w:t>
            </w:r>
            <w:r w:rsidR="00E96253" w:rsidRPr="00563D71">
              <w:rPr>
                <w:rFonts w:ascii="Times New Roman" w:hAnsi="Times New Roman" w:cs="Times New Roman"/>
                <w:sz w:val="20"/>
                <w:szCs w:val="20"/>
              </w:rPr>
              <w:t>support:</w:t>
            </w:r>
            <w:r w:rsidR="00741BD7" w:rsidRPr="00563D71">
              <w:rPr>
                <w:rFonts w:ascii="Times New Roman" w:hAnsi="Times New Roman" w:cs="Times New Roman"/>
                <w:sz w:val="20"/>
                <w:szCs w:val="20"/>
              </w:rPr>
              <w:t xml:space="preserve"> </w:t>
            </w:r>
          </w:p>
          <w:p w14:paraId="3999701F" w14:textId="1D51C1D4" w:rsidR="00627698" w:rsidRPr="00563D71" w:rsidRDefault="00627698" w:rsidP="00D340AC">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 xml:space="preserve">      a</w:t>
            </w:r>
            <w:r w:rsidR="00E96253" w:rsidRPr="00563D71">
              <w:rPr>
                <w:rFonts w:ascii="Times New Roman" w:hAnsi="Times New Roman" w:cs="Times New Roman"/>
                <w:sz w:val="20"/>
                <w:szCs w:val="20"/>
              </w:rPr>
              <w:t xml:space="preserve">.  training </w:t>
            </w:r>
            <w:r w:rsidRPr="00563D71">
              <w:rPr>
                <w:rFonts w:ascii="Times New Roman" w:hAnsi="Times New Roman" w:cs="Times New Roman"/>
                <w:sz w:val="20"/>
                <w:szCs w:val="20"/>
              </w:rPr>
              <w:t xml:space="preserve">and assistance </w:t>
            </w:r>
            <w:r w:rsidR="00E96253" w:rsidRPr="00563D71">
              <w:rPr>
                <w:rFonts w:ascii="Times New Roman" w:hAnsi="Times New Roman" w:cs="Times New Roman"/>
                <w:sz w:val="20"/>
                <w:szCs w:val="20"/>
              </w:rPr>
              <w:t xml:space="preserve">for the </w:t>
            </w:r>
            <w:r w:rsidRPr="00563D71">
              <w:rPr>
                <w:rFonts w:ascii="Times New Roman" w:hAnsi="Times New Roman" w:cs="Times New Roman"/>
                <w:sz w:val="20"/>
                <w:szCs w:val="20"/>
              </w:rPr>
              <w:t>agencies implementing the investment</w:t>
            </w:r>
            <w:r w:rsidR="00E96253" w:rsidRPr="00563D71">
              <w:rPr>
                <w:rFonts w:ascii="Times New Roman" w:hAnsi="Times New Roman" w:cs="Times New Roman"/>
                <w:sz w:val="20"/>
                <w:szCs w:val="20"/>
              </w:rPr>
              <w:t xml:space="preserve"> to </w:t>
            </w:r>
            <w:r w:rsidRPr="00563D71">
              <w:rPr>
                <w:rFonts w:ascii="Times New Roman" w:hAnsi="Times New Roman" w:cs="Times New Roman"/>
                <w:sz w:val="20"/>
                <w:szCs w:val="20"/>
              </w:rPr>
              <w:t xml:space="preserve">prepare </w:t>
            </w:r>
            <w:r w:rsidR="002E12DC" w:rsidRPr="00563D71">
              <w:rPr>
                <w:rFonts w:ascii="Times New Roman" w:hAnsi="Times New Roman" w:cs="Times New Roman"/>
                <w:sz w:val="20"/>
                <w:szCs w:val="20"/>
              </w:rPr>
              <w:t xml:space="preserve">and implement </w:t>
            </w:r>
            <w:r w:rsidRPr="00563D71">
              <w:rPr>
                <w:rFonts w:ascii="Times New Roman" w:hAnsi="Times New Roman" w:cs="Times New Roman"/>
                <w:sz w:val="20"/>
                <w:szCs w:val="20"/>
              </w:rPr>
              <w:t>a</w:t>
            </w:r>
            <w:r w:rsidR="00741BD7" w:rsidRPr="00563D71">
              <w:rPr>
                <w:rFonts w:ascii="Times New Roman" w:hAnsi="Times New Roman" w:cs="Times New Roman"/>
                <w:sz w:val="20"/>
                <w:szCs w:val="20"/>
              </w:rPr>
              <w:t xml:space="preserve"> Land Acquisition Plan (as required by Law 2/2012) </w:t>
            </w:r>
            <w:r w:rsidRPr="00563D71">
              <w:rPr>
                <w:rFonts w:ascii="Times New Roman" w:hAnsi="Times New Roman" w:cs="Times New Roman"/>
                <w:sz w:val="20"/>
                <w:szCs w:val="20"/>
              </w:rPr>
              <w:t xml:space="preserve">that </w:t>
            </w:r>
            <w:r w:rsidR="00741BD7" w:rsidRPr="00563D71">
              <w:rPr>
                <w:rFonts w:ascii="Times New Roman" w:hAnsi="Times New Roman" w:cs="Times New Roman"/>
                <w:sz w:val="20"/>
                <w:szCs w:val="20"/>
              </w:rPr>
              <w:t>include</w:t>
            </w:r>
            <w:r w:rsidR="00574CE1" w:rsidRPr="00563D71">
              <w:rPr>
                <w:rFonts w:ascii="Times New Roman" w:hAnsi="Times New Roman" w:cs="Times New Roman"/>
                <w:sz w:val="20"/>
                <w:szCs w:val="20"/>
              </w:rPr>
              <w:t>s</w:t>
            </w:r>
            <w:r w:rsidR="00741BD7" w:rsidRPr="00563D71">
              <w:rPr>
                <w:rFonts w:ascii="Times New Roman" w:hAnsi="Times New Roman" w:cs="Times New Roman"/>
                <w:sz w:val="20"/>
                <w:szCs w:val="20"/>
              </w:rPr>
              <w:t xml:space="preserve"> </w:t>
            </w:r>
            <w:r w:rsidRPr="00563D71">
              <w:rPr>
                <w:rFonts w:ascii="Times New Roman" w:hAnsi="Times New Roman" w:cs="Times New Roman"/>
                <w:sz w:val="20"/>
                <w:szCs w:val="20"/>
              </w:rPr>
              <w:t xml:space="preserve">assistance and/or </w:t>
            </w:r>
            <w:r w:rsidR="00574CE1" w:rsidRPr="00563D71">
              <w:rPr>
                <w:rFonts w:ascii="Times New Roman" w:hAnsi="Times New Roman" w:cs="Times New Roman"/>
                <w:sz w:val="20"/>
                <w:szCs w:val="20"/>
              </w:rPr>
              <w:t xml:space="preserve">a </w:t>
            </w:r>
            <w:r w:rsidRPr="00563D71">
              <w:rPr>
                <w:rFonts w:ascii="Times New Roman" w:hAnsi="Times New Roman" w:cs="Times New Roman"/>
                <w:sz w:val="20"/>
                <w:szCs w:val="20"/>
              </w:rPr>
              <w:t>livelihood restoration program</w:t>
            </w:r>
            <w:r w:rsidR="00741BD7" w:rsidRPr="00563D71">
              <w:rPr>
                <w:rFonts w:ascii="Times New Roman" w:hAnsi="Times New Roman" w:cs="Times New Roman"/>
                <w:sz w:val="20"/>
                <w:szCs w:val="20"/>
              </w:rPr>
              <w:t xml:space="preserve"> </w:t>
            </w:r>
            <w:r w:rsidR="0041759D" w:rsidRPr="00563D71">
              <w:rPr>
                <w:rFonts w:ascii="Times New Roman" w:hAnsi="Times New Roman" w:cs="Times New Roman"/>
                <w:sz w:val="20"/>
                <w:szCs w:val="20"/>
              </w:rPr>
              <w:t xml:space="preserve">especially </w:t>
            </w:r>
            <w:r w:rsidR="009E48CE" w:rsidRPr="00563D71">
              <w:rPr>
                <w:rFonts w:ascii="Times New Roman" w:hAnsi="Times New Roman" w:cs="Times New Roman"/>
                <w:sz w:val="20"/>
                <w:szCs w:val="20"/>
              </w:rPr>
              <w:t xml:space="preserve">for squatters and the vulnerable, </w:t>
            </w:r>
            <w:r w:rsidR="0053415F" w:rsidRPr="00563D71">
              <w:rPr>
                <w:rFonts w:ascii="Times New Roman" w:hAnsi="Times New Roman" w:cs="Times New Roman"/>
                <w:sz w:val="20"/>
                <w:szCs w:val="20"/>
              </w:rPr>
              <w:t>with</w:t>
            </w:r>
            <w:r w:rsidR="00F77801" w:rsidRPr="00563D71">
              <w:rPr>
                <w:rFonts w:ascii="Times New Roman" w:hAnsi="Times New Roman" w:cs="Times New Roman"/>
                <w:sz w:val="20"/>
                <w:szCs w:val="20"/>
              </w:rPr>
              <w:t xml:space="preserve"> the</w:t>
            </w:r>
            <w:r w:rsidR="0053415F" w:rsidRPr="00563D71">
              <w:rPr>
                <w:rFonts w:ascii="Times New Roman" w:hAnsi="Times New Roman" w:cs="Times New Roman"/>
                <w:sz w:val="20"/>
                <w:szCs w:val="20"/>
              </w:rPr>
              <w:t xml:space="preserve"> </w:t>
            </w:r>
            <w:r w:rsidRPr="00563D71">
              <w:rPr>
                <w:rFonts w:ascii="Times New Roman" w:hAnsi="Times New Roman" w:cs="Times New Roman"/>
                <w:sz w:val="20"/>
                <w:szCs w:val="20"/>
              </w:rPr>
              <w:t>procedures, requirements</w:t>
            </w:r>
            <w:r w:rsidR="00F77801" w:rsidRPr="00563D71">
              <w:rPr>
                <w:rFonts w:ascii="Times New Roman" w:hAnsi="Times New Roman" w:cs="Times New Roman"/>
                <w:sz w:val="20"/>
                <w:szCs w:val="20"/>
              </w:rPr>
              <w:t>,</w:t>
            </w:r>
            <w:r w:rsidRPr="00563D71">
              <w:rPr>
                <w:rFonts w:ascii="Times New Roman" w:hAnsi="Times New Roman" w:cs="Times New Roman"/>
                <w:sz w:val="20"/>
                <w:szCs w:val="20"/>
              </w:rPr>
              <w:t xml:space="preserve"> and </w:t>
            </w:r>
            <w:r w:rsidR="0053415F" w:rsidRPr="00563D71">
              <w:rPr>
                <w:rFonts w:ascii="Times New Roman" w:hAnsi="Times New Roman" w:cs="Times New Roman"/>
                <w:sz w:val="20"/>
                <w:szCs w:val="20"/>
              </w:rPr>
              <w:t>format of an a</w:t>
            </w:r>
            <w:r w:rsidR="00773EF4" w:rsidRPr="00563D71">
              <w:rPr>
                <w:rFonts w:ascii="Times New Roman" w:hAnsi="Times New Roman" w:cs="Times New Roman"/>
                <w:sz w:val="20"/>
                <w:szCs w:val="20"/>
              </w:rPr>
              <w:t xml:space="preserve">bbreviated </w:t>
            </w:r>
            <w:r w:rsidR="009556D3" w:rsidRPr="00563D71">
              <w:rPr>
                <w:rFonts w:ascii="Times New Roman" w:hAnsi="Times New Roman" w:cs="Times New Roman"/>
                <w:sz w:val="20"/>
                <w:szCs w:val="20"/>
              </w:rPr>
              <w:t>LARAP</w:t>
            </w:r>
            <w:r w:rsidRPr="00563D71">
              <w:rPr>
                <w:rFonts w:ascii="Times New Roman" w:hAnsi="Times New Roman" w:cs="Times New Roman"/>
                <w:sz w:val="20"/>
                <w:szCs w:val="20"/>
              </w:rPr>
              <w:t>.</w:t>
            </w:r>
            <w:r w:rsidR="009556D3" w:rsidRPr="00563D71">
              <w:rPr>
                <w:rFonts w:ascii="Times New Roman" w:hAnsi="Times New Roman" w:cs="Times New Roman"/>
                <w:sz w:val="20"/>
                <w:szCs w:val="20"/>
              </w:rPr>
              <w:t xml:space="preserve"> </w:t>
            </w:r>
            <w:r w:rsidR="00590B8A" w:rsidRPr="00563D71">
              <w:rPr>
                <w:rFonts w:ascii="Times New Roman" w:hAnsi="Times New Roman" w:cs="Times New Roman"/>
                <w:sz w:val="20"/>
                <w:szCs w:val="20"/>
              </w:rPr>
              <w:t>The training also includes how</w:t>
            </w:r>
            <w:r w:rsidR="002E12DC" w:rsidRPr="00563D71">
              <w:rPr>
                <w:rFonts w:ascii="Times New Roman" w:hAnsi="Times New Roman" w:cs="Times New Roman"/>
                <w:sz w:val="20"/>
                <w:szCs w:val="20"/>
              </w:rPr>
              <w:t xml:space="preserve"> </w:t>
            </w:r>
            <w:r w:rsidR="00B344F2" w:rsidRPr="00563D71">
              <w:rPr>
                <w:rFonts w:ascii="Times New Roman" w:hAnsi="Times New Roman" w:cs="Times New Roman"/>
                <w:sz w:val="20"/>
                <w:szCs w:val="20"/>
              </w:rPr>
              <w:t xml:space="preserve">to </w:t>
            </w:r>
            <w:r w:rsidR="002E12DC" w:rsidRPr="00563D71">
              <w:rPr>
                <w:rFonts w:ascii="Times New Roman" w:hAnsi="Times New Roman" w:cs="Times New Roman"/>
                <w:sz w:val="20"/>
                <w:szCs w:val="20"/>
              </w:rPr>
              <w:t>prepare documentation of the abbreviated LARAP’s implementation.</w:t>
            </w:r>
          </w:p>
          <w:p w14:paraId="13E05CD4" w14:textId="1DC02848" w:rsidR="00627698" w:rsidRPr="00563D71" w:rsidRDefault="00627698" w:rsidP="00D340AC">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 xml:space="preserve">      b.  training and assistance for the agencies implementing the investment to prepare</w:t>
            </w:r>
            <w:r w:rsidR="002E12DC" w:rsidRPr="00563D71">
              <w:rPr>
                <w:rFonts w:ascii="Times New Roman" w:hAnsi="Times New Roman" w:cs="Times New Roman"/>
                <w:sz w:val="20"/>
                <w:szCs w:val="20"/>
              </w:rPr>
              <w:t xml:space="preserve"> and implement</w:t>
            </w:r>
            <w:r w:rsidRPr="00563D71">
              <w:rPr>
                <w:rFonts w:ascii="Times New Roman" w:hAnsi="Times New Roman" w:cs="Times New Roman"/>
                <w:sz w:val="20"/>
                <w:szCs w:val="20"/>
              </w:rPr>
              <w:t xml:space="preserve"> a Plan for Action for the affected persons </w:t>
            </w:r>
            <w:r w:rsidR="00C77996" w:rsidRPr="00563D71">
              <w:rPr>
                <w:rFonts w:ascii="Times New Roman" w:hAnsi="Times New Roman" w:cs="Times New Roman"/>
                <w:sz w:val="20"/>
                <w:szCs w:val="20"/>
              </w:rPr>
              <w:t xml:space="preserve">due to access restriction </w:t>
            </w:r>
            <w:r w:rsidRPr="00563D71">
              <w:rPr>
                <w:rFonts w:ascii="Times New Roman" w:hAnsi="Times New Roman" w:cs="Times New Roman"/>
                <w:sz w:val="20"/>
                <w:szCs w:val="20"/>
              </w:rPr>
              <w:t xml:space="preserve">to have alternative livelihood scheme and/or benefit from the Program with procedures, requirements and format of  </w:t>
            </w:r>
            <w:r w:rsidR="0053415F" w:rsidRPr="00563D71">
              <w:rPr>
                <w:rFonts w:ascii="Times New Roman" w:hAnsi="Times New Roman" w:cs="Times New Roman"/>
                <w:sz w:val="20"/>
                <w:szCs w:val="20"/>
              </w:rPr>
              <w:t>a Plan for Action</w:t>
            </w:r>
            <w:r w:rsidRPr="00563D71">
              <w:rPr>
                <w:rFonts w:ascii="Times New Roman" w:hAnsi="Times New Roman" w:cs="Times New Roman"/>
                <w:sz w:val="20"/>
                <w:szCs w:val="20"/>
              </w:rPr>
              <w:t xml:space="preserve">. </w:t>
            </w:r>
            <w:r w:rsidR="00590B8A" w:rsidRPr="00563D71">
              <w:rPr>
                <w:rFonts w:ascii="Times New Roman" w:hAnsi="Times New Roman" w:cs="Times New Roman"/>
                <w:sz w:val="20"/>
                <w:szCs w:val="20"/>
              </w:rPr>
              <w:t xml:space="preserve">The training also includes how </w:t>
            </w:r>
            <w:r w:rsidR="002E12DC" w:rsidRPr="00563D71">
              <w:rPr>
                <w:rFonts w:ascii="Times New Roman" w:hAnsi="Times New Roman" w:cs="Times New Roman"/>
                <w:sz w:val="20"/>
                <w:szCs w:val="20"/>
              </w:rPr>
              <w:t>to prepare documentation of the implementation of the Plan of Action.</w:t>
            </w:r>
          </w:p>
          <w:p w14:paraId="4CF448E9" w14:textId="4B57378F" w:rsidR="0009095D" w:rsidRPr="00563D71" w:rsidRDefault="00627698" w:rsidP="00D340AC">
            <w:pPr>
              <w:pStyle w:val="ListParagraph"/>
              <w:spacing w:before="0" w:after="0" w:line="240" w:lineRule="auto"/>
              <w:ind w:left="288" w:hanging="288"/>
              <w:rPr>
                <w:rFonts w:ascii="Times New Roman" w:hAnsi="Times New Roman"/>
                <w:sz w:val="18"/>
              </w:rPr>
            </w:pPr>
            <w:r w:rsidRPr="00563D71">
              <w:rPr>
                <w:rFonts w:ascii="Times New Roman" w:hAnsi="Times New Roman" w:cs="Times New Roman"/>
                <w:sz w:val="20"/>
                <w:szCs w:val="20"/>
              </w:rPr>
              <w:t xml:space="preserve">2. </w:t>
            </w:r>
            <w:r w:rsidR="00A85724" w:rsidRPr="00563D71">
              <w:rPr>
                <w:rFonts w:ascii="Times New Roman" w:hAnsi="Times New Roman" w:cs="Times New Roman"/>
                <w:sz w:val="20"/>
                <w:szCs w:val="20"/>
              </w:rPr>
              <w:t>The</w:t>
            </w:r>
            <w:r w:rsidR="00135C34" w:rsidRPr="00563D71">
              <w:rPr>
                <w:rFonts w:ascii="Times New Roman" w:hAnsi="Times New Roman" w:cs="Times New Roman"/>
                <w:sz w:val="20"/>
                <w:szCs w:val="20"/>
              </w:rPr>
              <w:t xml:space="preserve"> MPWH (</w:t>
            </w:r>
            <w:r w:rsidR="0053415F" w:rsidRPr="00563D71">
              <w:rPr>
                <w:rFonts w:ascii="Times New Roman" w:hAnsi="Times New Roman" w:cs="Times New Roman"/>
                <w:sz w:val="20"/>
                <w:szCs w:val="20"/>
              </w:rPr>
              <w:t>RIDA</w:t>
            </w:r>
            <w:r w:rsidR="00135C34" w:rsidRPr="00563D71">
              <w:rPr>
                <w:rFonts w:ascii="Times New Roman" w:hAnsi="Times New Roman" w:cs="Times New Roman"/>
                <w:sz w:val="20"/>
                <w:szCs w:val="20"/>
              </w:rPr>
              <w:t>)</w:t>
            </w:r>
            <w:r w:rsidR="0053415F" w:rsidRPr="00563D71">
              <w:rPr>
                <w:rFonts w:ascii="Times New Roman" w:hAnsi="Times New Roman" w:cs="Times New Roman"/>
                <w:sz w:val="20"/>
                <w:szCs w:val="20"/>
              </w:rPr>
              <w:t xml:space="preserve"> with the assistance of the </w:t>
            </w:r>
            <w:r w:rsidR="00A85724" w:rsidRPr="00563D71">
              <w:rPr>
                <w:rFonts w:ascii="Times New Roman" w:hAnsi="Times New Roman" w:cs="Times New Roman"/>
                <w:sz w:val="20"/>
                <w:szCs w:val="20"/>
              </w:rPr>
              <w:t xml:space="preserve">Program </w:t>
            </w:r>
            <w:r w:rsidR="009556D3" w:rsidRPr="00563D71">
              <w:rPr>
                <w:rFonts w:ascii="Times New Roman" w:hAnsi="Times New Roman" w:cs="Times New Roman"/>
                <w:sz w:val="20"/>
                <w:szCs w:val="20"/>
              </w:rPr>
              <w:t xml:space="preserve">Management </w:t>
            </w:r>
            <w:r w:rsidR="00A85724" w:rsidRPr="00563D71">
              <w:rPr>
                <w:rFonts w:ascii="Times New Roman" w:hAnsi="Times New Roman" w:cs="Times New Roman"/>
                <w:sz w:val="20"/>
                <w:szCs w:val="20"/>
              </w:rPr>
              <w:t xml:space="preserve">Support (through Program Management Support Consultants’ Services </w:t>
            </w:r>
            <w:r w:rsidR="00C77996" w:rsidRPr="00563D71">
              <w:rPr>
                <w:rFonts w:ascii="Times New Roman" w:hAnsi="Times New Roman" w:cs="Times New Roman"/>
                <w:sz w:val="20"/>
                <w:szCs w:val="20"/>
              </w:rPr>
              <w:t xml:space="preserve">with social development specialist </w:t>
            </w:r>
            <w:r w:rsidR="00925002" w:rsidRPr="00563D71">
              <w:rPr>
                <w:rFonts w:ascii="Times New Roman" w:hAnsi="Times New Roman" w:cs="Times New Roman"/>
                <w:sz w:val="20"/>
                <w:szCs w:val="20"/>
              </w:rPr>
              <w:t xml:space="preserve">financed under the IPF, </w:t>
            </w:r>
            <w:r w:rsidR="00292CCB" w:rsidRPr="00563D71">
              <w:rPr>
                <w:rFonts w:ascii="Times New Roman" w:hAnsi="Times New Roman" w:cs="Times New Roman"/>
                <w:sz w:val="20"/>
                <w:szCs w:val="20"/>
              </w:rPr>
              <w:t>and/</w:t>
            </w:r>
            <w:r w:rsidR="00A85724" w:rsidRPr="00563D71">
              <w:rPr>
                <w:rFonts w:ascii="Times New Roman" w:hAnsi="Times New Roman" w:cs="Times New Roman"/>
                <w:sz w:val="20"/>
                <w:szCs w:val="20"/>
              </w:rPr>
              <w:t xml:space="preserve">or additional qualified </w:t>
            </w:r>
            <w:r w:rsidR="00BC0EFD" w:rsidRPr="00563D71">
              <w:rPr>
                <w:rFonts w:ascii="Times New Roman" w:hAnsi="Times New Roman" w:cs="Times New Roman"/>
                <w:sz w:val="20"/>
                <w:szCs w:val="20"/>
              </w:rPr>
              <w:t xml:space="preserve">MPWH </w:t>
            </w:r>
            <w:r w:rsidR="00A85724" w:rsidRPr="00563D71">
              <w:rPr>
                <w:rFonts w:ascii="Times New Roman" w:hAnsi="Times New Roman" w:cs="Times New Roman"/>
                <w:sz w:val="20"/>
                <w:szCs w:val="20"/>
              </w:rPr>
              <w:t xml:space="preserve">staff) </w:t>
            </w:r>
            <w:r w:rsidR="009556D3" w:rsidRPr="00563D71">
              <w:rPr>
                <w:rFonts w:ascii="Times New Roman" w:hAnsi="Times New Roman" w:cs="Times New Roman"/>
                <w:sz w:val="20"/>
                <w:szCs w:val="20"/>
              </w:rPr>
              <w:t xml:space="preserve">will review </w:t>
            </w:r>
            <w:r w:rsidR="00773EF4" w:rsidRPr="00563D71">
              <w:rPr>
                <w:rFonts w:ascii="Times New Roman" w:hAnsi="Times New Roman" w:cs="Times New Roman"/>
                <w:sz w:val="20"/>
                <w:szCs w:val="20"/>
              </w:rPr>
              <w:t xml:space="preserve">the Abbreviated </w:t>
            </w:r>
            <w:r w:rsidR="009556D3" w:rsidRPr="00563D71">
              <w:rPr>
                <w:rFonts w:ascii="Times New Roman" w:hAnsi="Times New Roman" w:cs="Times New Roman"/>
                <w:sz w:val="20"/>
                <w:szCs w:val="20"/>
              </w:rPr>
              <w:t>LARAPs</w:t>
            </w:r>
            <w:r w:rsidR="0053415F" w:rsidRPr="00563D71">
              <w:rPr>
                <w:rFonts w:ascii="Times New Roman" w:hAnsi="Times New Roman" w:cs="Times New Roman"/>
                <w:sz w:val="20"/>
                <w:szCs w:val="20"/>
              </w:rPr>
              <w:t xml:space="preserve"> or the Plan of Action</w:t>
            </w:r>
            <w:r w:rsidR="00C77996" w:rsidRPr="00563D71">
              <w:rPr>
                <w:rFonts w:ascii="Times New Roman" w:hAnsi="Times New Roman" w:cs="Times New Roman"/>
                <w:sz w:val="20"/>
                <w:szCs w:val="20"/>
              </w:rPr>
              <w:t>, provide assistance to involved agencies implementing the investment,</w:t>
            </w:r>
            <w:r w:rsidR="009556D3" w:rsidRPr="00563D71">
              <w:rPr>
                <w:rFonts w:ascii="Times New Roman" w:hAnsi="Times New Roman" w:cs="Times New Roman"/>
                <w:sz w:val="20"/>
                <w:szCs w:val="20"/>
              </w:rPr>
              <w:t xml:space="preserve"> </w:t>
            </w:r>
            <w:r w:rsidR="00B04E23" w:rsidRPr="00563D71">
              <w:rPr>
                <w:rFonts w:ascii="Times New Roman" w:hAnsi="Times New Roman" w:cs="Times New Roman"/>
                <w:sz w:val="20"/>
                <w:szCs w:val="20"/>
              </w:rPr>
              <w:t xml:space="preserve">and </w:t>
            </w:r>
            <w:r w:rsidR="00773EF4" w:rsidRPr="00563D71">
              <w:rPr>
                <w:rFonts w:ascii="Times New Roman" w:hAnsi="Times New Roman" w:cs="Times New Roman"/>
                <w:sz w:val="20"/>
                <w:szCs w:val="20"/>
              </w:rPr>
              <w:t xml:space="preserve">monitor </w:t>
            </w:r>
            <w:r w:rsidR="0053415F" w:rsidRPr="00563D71">
              <w:rPr>
                <w:rFonts w:ascii="Times New Roman" w:hAnsi="Times New Roman" w:cs="Times New Roman"/>
                <w:sz w:val="20"/>
                <w:szCs w:val="20"/>
              </w:rPr>
              <w:t xml:space="preserve">the </w:t>
            </w:r>
            <w:r w:rsidR="00B04E23" w:rsidRPr="00563D71">
              <w:rPr>
                <w:rFonts w:ascii="Times New Roman" w:hAnsi="Times New Roman" w:cs="Times New Roman"/>
                <w:sz w:val="20"/>
                <w:szCs w:val="20"/>
              </w:rPr>
              <w:t>implementation</w:t>
            </w:r>
            <w:r w:rsidR="009D323E" w:rsidRPr="00563D71">
              <w:rPr>
                <w:rFonts w:ascii="Times New Roman" w:hAnsi="Times New Roman" w:cs="Times New Roman"/>
                <w:sz w:val="20"/>
                <w:szCs w:val="20"/>
              </w:rPr>
              <w:t xml:space="preserve"> of</w:t>
            </w:r>
            <w:r w:rsidR="00B04E23" w:rsidRPr="00563D71">
              <w:rPr>
                <w:rFonts w:ascii="Times New Roman" w:hAnsi="Times New Roman" w:cs="Times New Roman"/>
                <w:sz w:val="20"/>
                <w:szCs w:val="20"/>
              </w:rPr>
              <w:t xml:space="preserve"> </w:t>
            </w:r>
            <w:r w:rsidR="0053415F" w:rsidRPr="00563D71">
              <w:rPr>
                <w:rFonts w:ascii="Times New Roman" w:hAnsi="Times New Roman" w:cs="Times New Roman"/>
                <w:sz w:val="20"/>
                <w:szCs w:val="20"/>
              </w:rPr>
              <w:t xml:space="preserve">these planning documents </w:t>
            </w:r>
            <w:r w:rsidR="00FD76E5" w:rsidRPr="00563D71">
              <w:rPr>
                <w:rFonts w:ascii="Times New Roman" w:hAnsi="Times New Roman" w:cs="Times New Roman"/>
                <w:sz w:val="20"/>
                <w:szCs w:val="20"/>
              </w:rPr>
              <w:t>ensuring that</w:t>
            </w:r>
            <w:r w:rsidR="0053415F" w:rsidRPr="00563D71">
              <w:rPr>
                <w:rFonts w:ascii="Times New Roman" w:hAnsi="Times New Roman" w:cs="Times New Roman"/>
                <w:sz w:val="20"/>
                <w:szCs w:val="20"/>
              </w:rPr>
              <w:t xml:space="preserve"> the intended objectives</w:t>
            </w:r>
            <w:r w:rsidR="00FD76E5" w:rsidRPr="00563D71">
              <w:rPr>
                <w:rFonts w:ascii="Times New Roman" w:hAnsi="Times New Roman" w:cs="Times New Roman"/>
                <w:sz w:val="20"/>
                <w:szCs w:val="20"/>
              </w:rPr>
              <w:t xml:space="preserve"> are achieved</w:t>
            </w:r>
            <w:r w:rsidR="0053415F" w:rsidRPr="00563D71">
              <w:rPr>
                <w:rFonts w:ascii="Times New Roman" w:hAnsi="Times New Roman" w:cs="Times New Roman"/>
                <w:sz w:val="20"/>
                <w:szCs w:val="20"/>
              </w:rPr>
              <w:t xml:space="preserve">. </w:t>
            </w:r>
          </w:p>
          <w:p w14:paraId="4997DB71" w14:textId="7DBCD1D5" w:rsidR="00114AE8" w:rsidRPr="00563D71" w:rsidRDefault="00C77996" w:rsidP="00D340AC">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3</w:t>
            </w:r>
            <w:r w:rsidR="0009095D" w:rsidRPr="00563D71">
              <w:rPr>
                <w:rFonts w:ascii="Times New Roman" w:hAnsi="Times New Roman" w:cs="Times New Roman"/>
                <w:sz w:val="20"/>
                <w:szCs w:val="20"/>
              </w:rPr>
              <w:t xml:space="preserve">. Stakeholder agencies involved in such investments ensure that </w:t>
            </w:r>
            <w:r w:rsidR="0053415F" w:rsidRPr="00563D71">
              <w:rPr>
                <w:rFonts w:ascii="Times New Roman" w:hAnsi="Times New Roman" w:cs="Times New Roman"/>
                <w:sz w:val="20"/>
                <w:szCs w:val="20"/>
              </w:rPr>
              <w:t xml:space="preserve">sufficient qualified staff/consultants and </w:t>
            </w:r>
            <w:r w:rsidR="0009095D" w:rsidRPr="00563D71">
              <w:rPr>
                <w:rFonts w:ascii="Times New Roman" w:hAnsi="Times New Roman" w:cs="Times New Roman"/>
                <w:sz w:val="20"/>
                <w:szCs w:val="20"/>
              </w:rPr>
              <w:t xml:space="preserve">budgets are allocated for </w:t>
            </w:r>
            <w:r w:rsidR="0053415F" w:rsidRPr="00563D71">
              <w:rPr>
                <w:rFonts w:ascii="Times New Roman" w:hAnsi="Times New Roman" w:cs="Times New Roman"/>
                <w:sz w:val="20"/>
                <w:szCs w:val="20"/>
              </w:rPr>
              <w:t xml:space="preserve">the preparation </w:t>
            </w:r>
            <w:r w:rsidR="002E12DC" w:rsidRPr="00563D71">
              <w:rPr>
                <w:rFonts w:ascii="Times New Roman" w:hAnsi="Times New Roman" w:cs="Times New Roman"/>
                <w:sz w:val="20"/>
                <w:szCs w:val="20"/>
              </w:rPr>
              <w:lastRenderedPageBreak/>
              <w:t xml:space="preserve">and implementation </w:t>
            </w:r>
            <w:r w:rsidR="0053415F" w:rsidRPr="00563D71">
              <w:rPr>
                <w:rFonts w:ascii="Times New Roman" w:hAnsi="Times New Roman" w:cs="Times New Roman"/>
                <w:sz w:val="20"/>
                <w:szCs w:val="20"/>
              </w:rPr>
              <w:t>of an abbreviated LARAP that includes</w:t>
            </w:r>
            <w:r w:rsidR="002E12DC" w:rsidRPr="00563D71">
              <w:rPr>
                <w:rFonts w:ascii="Times New Roman" w:hAnsi="Times New Roman" w:cs="Times New Roman"/>
                <w:sz w:val="20"/>
                <w:szCs w:val="20"/>
              </w:rPr>
              <w:t xml:space="preserve"> assistance and/or</w:t>
            </w:r>
            <w:r w:rsidR="0053415F" w:rsidRPr="00563D71">
              <w:rPr>
                <w:rFonts w:ascii="Times New Roman" w:hAnsi="Times New Roman" w:cs="Times New Roman"/>
                <w:sz w:val="20"/>
                <w:szCs w:val="20"/>
              </w:rPr>
              <w:t xml:space="preserve"> </w:t>
            </w:r>
            <w:r w:rsidR="009556D3" w:rsidRPr="00563D71">
              <w:rPr>
                <w:rFonts w:ascii="Times New Roman" w:hAnsi="Times New Roman" w:cs="Times New Roman"/>
                <w:sz w:val="20"/>
                <w:szCs w:val="20"/>
              </w:rPr>
              <w:t xml:space="preserve">livelihood </w:t>
            </w:r>
            <w:r w:rsidR="0009095D" w:rsidRPr="00563D71">
              <w:rPr>
                <w:rFonts w:ascii="Times New Roman" w:hAnsi="Times New Roman" w:cs="Times New Roman"/>
                <w:sz w:val="20"/>
                <w:szCs w:val="20"/>
              </w:rPr>
              <w:t>restoration</w:t>
            </w:r>
            <w:r w:rsidR="0053415F" w:rsidRPr="00563D71">
              <w:rPr>
                <w:rFonts w:ascii="Times New Roman" w:hAnsi="Times New Roman" w:cs="Times New Roman"/>
                <w:sz w:val="20"/>
                <w:szCs w:val="20"/>
              </w:rPr>
              <w:t xml:space="preserve"> plan or Plan of Action</w:t>
            </w:r>
            <w:r w:rsidR="0009095D" w:rsidRPr="00563D71">
              <w:rPr>
                <w:rFonts w:ascii="Times New Roman" w:hAnsi="Times New Roman" w:cs="Times New Roman"/>
                <w:sz w:val="20"/>
                <w:szCs w:val="20"/>
              </w:rPr>
              <w:t xml:space="preserve"> </w:t>
            </w:r>
            <w:r w:rsidR="0053415F" w:rsidRPr="00563D71">
              <w:rPr>
                <w:rFonts w:ascii="Times New Roman" w:hAnsi="Times New Roman" w:cs="Times New Roman"/>
                <w:sz w:val="20"/>
                <w:szCs w:val="20"/>
              </w:rPr>
              <w:t>that includes alternative livelihood scheme and/or benefit sharing from the Program</w:t>
            </w:r>
            <w:r w:rsidR="00DA5FC7" w:rsidRPr="00563D71">
              <w:rPr>
                <w:rFonts w:ascii="Times New Roman" w:hAnsi="Times New Roman" w:cs="Times New Roman"/>
                <w:sz w:val="20"/>
                <w:szCs w:val="20"/>
              </w:rPr>
              <w:t>.</w:t>
            </w:r>
          </w:p>
          <w:p w14:paraId="6B8317EB" w14:textId="4FCADB6E" w:rsidR="004B5E46" w:rsidRPr="00563D71" w:rsidRDefault="004B5E46" w:rsidP="00B45A18">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4</w:t>
            </w:r>
            <w:r w:rsidR="00114AE8" w:rsidRPr="00563D71">
              <w:rPr>
                <w:rFonts w:ascii="Times New Roman" w:hAnsi="Times New Roman" w:cs="Times New Roman"/>
                <w:sz w:val="20"/>
                <w:szCs w:val="20"/>
              </w:rPr>
              <w:t xml:space="preserve">. </w:t>
            </w:r>
            <w:r w:rsidR="00B45A18" w:rsidRPr="00563D71">
              <w:rPr>
                <w:rFonts w:ascii="Times New Roman" w:hAnsi="Times New Roman" w:cs="Times New Roman"/>
                <w:sz w:val="20"/>
                <w:szCs w:val="20"/>
              </w:rPr>
              <w:t>Awareness and capacity strengthening of the involved agencies at the national, provincial</w:t>
            </w:r>
            <w:r w:rsidR="004479B5" w:rsidRPr="00563D71">
              <w:rPr>
                <w:rFonts w:ascii="Times New Roman" w:hAnsi="Times New Roman" w:cs="Times New Roman"/>
                <w:sz w:val="20"/>
                <w:szCs w:val="20"/>
              </w:rPr>
              <w:t>,</w:t>
            </w:r>
            <w:r w:rsidR="00B45A18" w:rsidRPr="00563D71">
              <w:rPr>
                <w:rFonts w:ascii="Times New Roman" w:hAnsi="Times New Roman" w:cs="Times New Roman"/>
                <w:sz w:val="20"/>
                <w:szCs w:val="20"/>
              </w:rPr>
              <w:t xml:space="preserve"> and district/city levels at the destination areas on the</w:t>
            </w:r>
            <w:r w:rsidR="004479B5" w:rsidRPr="00563D71">
              <w:rPr>
                <w:rFonts w:ascii="Times New Roman" w:hAnsi="Times New Roman" w:cs="Times New Roman"/>
                <w:sz w:val="20"/>
                <w:szCs w:val="20"/>
              </w:rPr>
              <w:t xml:space="preserve"> necessary</w:t>
            </w:r>
            <w:r w:rsidR="00B45A18" w:rsidRPr="00563D71">
              <w:rPr>
                <w:rFonts w:ascii="Times New Roman" w:hAnsi="Times New Roman" w:cs="Times New Roman"/>
                <w:sz w:val="20"/>
                <w:szCs w:val="20"/>
              </w:rPr>
              <w:t xml:space="preserve"> </w:t>
            </w:r>
            <w:r w:rsidR="00C77996" w:rsidRPr="00563D71">
              <w:rPr>
                <w:rFonts w:ascii="Times New Roman" w:hAnsi="Times New Roman" w:cs="Times New Roman"/>
                <w:sz w:val="20"/>
                <w:szCs w:val="20"/>
              </w:rPr>
              <w:t xml:space="preserve">assistance and livelihood restorations, </w:t>
            </w:r>
            <w:r w:rsidRPr="00563D71">
              <w:rPr>
                <w:rFonts w:ascii="Times New Roman" w:hAnsi="Times New Roman" w:cs="Times New Roman"/>
                <w:sz w:val="20"/>
                <w:szCs w:val="20"/>
              </w:rPr>
              <w:t>alternative livelihood scheme</w:t>
            </w:r>
            <w:r w:rsidR="004479B5" w:rsidRPr="00563D71">
              <w:rPr>
                <w:rFonts w:ascii="Times New Roman" w:hAnsi="Times New Roman" w:cs="Times New Roman"/>
                <w:sz w:val="20"/>
                <w:szCs w:val="20"/>
              </w:rPr>
              <w:t>s</w:t>
            </w:r>
            <w:r w:rsidRPr="00563D71">
              <w:rPr>
                <w:rFonts w:ascii="Times New Roman" w:hAnsi="Times New Roman" w:cs="Times New Roman"/>
                <w:sz w:val="20"/>
                <w:szCs w:val="20"/>
              </w:rPr>
              <w:t xml:space="preserve"> due to access restriction and benefit sharing;</w:t>
            </w:r>
          </w:p>
          <w:p w14:paraId="07CBD0BD" w14:textId="03019261" w:rsidR="00C133CC" w:rsidRPr="00563D71" w:rsidRDefault="004B5E46" w:rsidP="00590B8A">
            <w:pPr>
              <w:pStyle w:val="ListParagraph"/>
              <w:spacing w:before="0" w:after="0" w:line="240" w:lineRule="auto"/>
              <w:ind w:left="288" w:hanging="288"/>
              <w:rPr>
                <w:rFonts w:ascii="Times New Roman" w:hAnsi="Times New Roman" w:cs="Times New Roman"/>
                <w:sz w:val="20"/>
                <w:szCs w:val="20"/>
              </w:rPr>
            </w:pPr>
            <w:r w:rsidRPr="00563D71">
              <w:rPr>
                <w:rFonts w:ascii="Times New Roman" w:hAnsi="Times New Roman" w:cs="Times New Roman"/>
                <w:sz w:val="20"/>
                <w:szCs w:val="20"/>
              </w:rPr>
              <w:t xml:space="preserve">5.  Assistance and facilitation </w:t>
            </w:r>
            <w:r w:rsidR="00B45A18" w:rsidRPr="00563D71">
              <w:rPr>
                <w:rFonts w:ascii="Times New Roman" w:hAnsi="Times New Roman" w:cs="Times New Roman"/>
                <w:sz w:val="20"/>
                <w:szCs w:val="20"/>
              </w:rPr>
              <w:t xml:space="preserve">on the collaborative work </w:t>
            </w:r>
            <w:r w:rsidRPr="00563D71">
              <w:rPr>
                <w:rFonts w:ascii="Times New Roman" w:hAnsi="Times New Roman" w:cs="Times New Roman"/>
                <w:sz w:val="20"/>
                <w:szCs w:val="20"/>
              </w:rPr>
              <w:t xml:space="preserve">among involved agencies </w:t>
            </w:r>
            <w:r w:rsidR="00B45A18" w:rsidRPr="00563D71">
              <w:rPr>
                <w:rFonts w:ascii="Times New Roman" w:hAnsi="Times New Roman" w:cs="Times New Roman"/>
                <w:sz w:val="20"/>
                <w:szCs w:val="20"/>
              </w:rPr>
              <w:t xml:space="preserve">to effectively prepare and implement the abbreviated LARAP and Plan of Action. </w:t>
            </w:r>
          </w:p>
        </w:tc>
        <w:tc>
          <w:tcPr>
            <w:tcW w:w="2586" w:type="pct"/>
            <w:gridSpan w:val="2"/>
            <w:tcBorders>
              <w:top w:val="single" w:sz="4" w:space="0" w:color="000000"/>
              <w:left w:val="single" w:sz="4" w:space="0" w:color="000000"/>
              <w:bottom w:val="single" w:sz="4" w:space="0" w:color="000000"/>
              <w:right w:val="single" w:sz="4" w:space="0" w:color="000000"/>
            </w:tcBorders>
          </w:tcPr>
          <w:p w14:paraId="1AB30038" w14:textId="71CF8E18" w:rsidR="0009095D" w:rsidRPr="00563D71" w:rsidRDefault="0009095D" w:rsidP="00F77801">
            <w:pPr>
              <w:pStyle w:val="ListParagraph"/>
              <w:spacing w:before="0" w:after="0" w:line="240" w:lineRule="auto"/>
              <w:ind w:left="0"/>
              <w:jc w:val="left"/>
              <w:rPr>
                <w:rFonts w:ascii="Times New Roman" w:hAnsi="Times New Roman" w:cs="Times New Roman"/>
                <w:sz w:val="20"/>
                <w:szCs w:val="20"/>
              </w:rPr>
            </w:pPr>
            <w:r w:rsidRPr="00563D71">
              <w:rPr>
                <w:rFonts w:ascii="Times New Roman" w:hAnsi="Times New Roman" w:cs="Times New Roman"/>
                <w:sz w:val="20"/>
                <w:szCs w:val="20"/>
              </w:rPr>
              <w:lastRenderedPageBreak/>
              <w:t>Displaced and other project</w:t>
            </w:r>
            <w:r w:rsidR="0071552F" w:rsidRPr="00563D71">
              <w:rPr>
                <w:rFonts w:ascii="Times New Roman" w:hAnsi="Times New Roman" w:cs="Times New Roman"/>
                <w:sz w:val="20"/>
                <w:szCs w:val="20"/>
              </w:rPr>
              <w:t>-</w:t>
            </w:r>
            <w:r w:rsidRPr="00563D71">
              <w:rPr>
                <w:rFonts w:ascii="Times New Roman" w:hAnsi="Times New Roman" w:cs="Times New Roman"/>
                <w:sz w:val="20"/>
                <w:szCs w:val="20"/>
              </w:rPr>
              <w:t>affected people may require more systematic/holistic approach</w:t>
            </w:r>
            <w:r w:rsidR="0071552F" w:rsidRPr="00563D71">
              <w:rPr>
                <w:rFonts w:ascii="Times New Roman" w:hAnsi="Times New Roman" w:cs="Times New Roman"/>
                <w:sz w:val="20"/>
                <w:szCs w:val="20"/>
              </w:rPr>
              <w:t>es</w:t>
            </w:r>
            <w:r w:rsidRPr="00563D71">
              <w:rPr>
                <w:rFonts w:ascii="Times New Roman" w:hAnsi="Times New Roman" w:cs="Times New Roman"/>
                <w:sz w:val="20"/>
                <w:szCs w:val="20"/>
              </w:rPr>
              <w:t xml:space="preserve"> to restore and improve livelihoods</w:t>
            </w:r>
            <w:r w:rsidR="00F77801" w:rsidRPr="00563D71">
              <w:rPr>
                <w:rFonts w:ascii="Times New Roman" w:hAnsi="Times New Roman" w:cs="Times New Roman"/>
                <w:sz w:val="20"/>
                <w:szCs w:val="20"/>
              </w:rPr>
              <w:t>,</w:t>
            </w:r>
            <w:r w:rsidR="00B45A18" w:rsidRPr="00563D71">
              <w:rPr>
                <w:rFonts w:ascii="Times New Roman" w:hAnsi="Times New Roman" w:cs="Times New Roman"/>
                <w:sz w:val="20"/>
                <w:szCs w:val="20"/>
              </w:rPr>
              <w:t xml:space="preserve"> as well as to </w:t>
            </w:r>
            <w:r w:rsidR="00F77801" w:rsidRPr="00563D71">
              <w:rPr>
                <w:rFonts w:ascii="Times New Roman" w:hAnsi="Times New Roman" w:cs="Times New Roman"/>
                <w:sz w:val="20"/>
                <w:szCs w:val="20"/>
              </w:rPr>
              <w:t>achieve</w:t>
            </w:r>
            <w:r w:rsidR="00B45A18" w:rsidRPr="00563D71">
              <w:rPr>
                <w:rFonts w:ascii="Times New Roman" w:hAnsi="Times New Roman" w:cs="Times New Roman"/>
                <w:sz w:val="20"/>
                <w:szCs w:val="20"/>
              </w:rPr>
              <w:t xml:space="preserve"> alternative livelihood scheme</w:t>
            </w:r>
            <w:r w:rsidR="00F77801" w:rsidRPr="00563D71">
              <w:rPr>
                <w:rFonts w:ascii="Times New Roman" w:hAnsi="Times New Roman" w:cs="Times New Roman"/>
                <w:sz w:val="20"/>
                <w:szCs w:val="20"/>
              </w:rPr>
              <w:t>s</w:t>
            </w:r>
            <w:r w:rsidR="00B45A18" w:rsidRPr="00563D71">
              <w:rPr>
                <w:rFonts w:ascii="Times New Roman" w:hAnsi="Times New Roman" w:cs="Times New Roman"/>
                <w:sz w:val="20"/>
                <w:szCs w:val="20"/>
              </w:rPr>
              <w:t xml:space="preserve"> and benefit sharing</w:t>
            </w:r>
            <w:r w:rsidR="00F77801" w:rsidRPr="00563D71">
              <w:rPr>
                <w:rFonts w:ascii="Times New Roman" w:hAnsi="Times New Roman" w:cs="Times New Roman"/>
                <w:sz w:val="20"/>
                <w:szCs w:val="20"/>
              </w:rPr>
              <w:t>,</w:t>
            </w:r>
            <w:r w:rsidRPr="00563D71">
              <w:rPr>
                <w:rFonts w:ascii="Times New Roman" w:hAnsi="Times New Roman" w:cs="Times New Roman"/>
                <w:sz w:val="20"/>
                <w:szCs w:val="20"/>
              </w:rPr>
              <w:t xml:space="preserve"> The scope and capacity of agencies needing to manage livelihood </w:t>
            </w:r>
            <w:r w:rsidR="00F00BCF" w:rsidRPr="00563D71">
              <w:rPr>
                <w:rFonts w:ascii="Times New Roman" w:hAnsi="Times New Roman" w:cs="Times New Roman"/>
                <w:sz w:val="20"/>
                <w:szCs w:val="20"/>
              </w:rPr>
              <w:t>restoration</w:t>
            </w:r>
            <w:r w:rsidRPr="00563D71">
              <w:rPr>
                <w:rFonts w:ascii="Times New Roman" w:hAnsi="Times New Roman" w:cs="Times New Roman"/>
                <w:sz w:val="20"/>
                <w:szCs w:val="20"/>
              </w:rPr>
              <w:t xml:space="preserve"> and/or resettlement may </w:t>
            </w:r>
            <w:r w:rsidR="00B04E23" w:rsidRPr="00563D71">
              <w:rPr>
                <w:rFonts w:ascii="Times New Roman" w:hAnsi="Times New Roman" w:cs="Times New Roman"/>
                <w:sz w:val="20"/>
                <w:szCs w:val="20"/>
              </w:rPr>
              <w:t>be</w:t>
            </w:r>
            <w:r w:rsidRPr="00563D71">
              <w:rPr>
                <w:rFonts w:ascii="Times New Roman" w:hAnsi="Times New Roman" w:cs="Times New Roman"/>
                <w:sz w:val="20"/>
                <w:szCs w:val="20"/>
              </w:rPr>
              <w:t xml:space="preserve"> limited</w:t>
            </w:r>
            <w:r w:rsidR="00B04E23" w:rsidRPr="00563D71">
              <w:rPr>
                <w:rFonts w:ascii="Times New Roman" w:hAnsi="Times New Roman" w:cs="Times New Roman"/>
                <w:sz w:val="20"/>
                <w:szCs w:val="20"/>
              </w:rPr>
              <w:t xml:space="preserve"> by sectoral focus; l</w:t>
            </w:r>
            <w:r w:rsidRPr="00563D71">
              <w:rPr>
                <w:rFonts w:ascii="Times New Roman" w:hAnsi="Times New Roman" w:cs="Times New Roman"/>
                <w:sz w:val="20"/>
                <w:szCs w:val="20"/>
              </w:rPr>
              <w:t xml:space="preserve">ivelihood restoration requires joint efforts and collaboration with other agencies and local government for </w:t>
            </w:r>
            <w:r w:rsidR="0071552F" w:rsidRPr="00563D71">
              <w:rPr>
                <w:rFonts w:ascii="Times New Roman" w:hAnsi="Times New Roman" w:cs="Times New Roman"/>
                <w:sz w:val="20"/>
                <w:szCs w:val="20"/>
              </w:rPr>
              <w:t xml:space="preserve">the Program to be </w:t>
            </w:r>
            <w:r w:rsidRPr="00563D71">
              <w:rPr>
                <w:rFonts w:ascii="Times New Roman" w:hAnsi="Times New Roman" w:cs="Times New Roman"/>
                <w:sz w:val="20"/>
                <w:szCs w:val="20"/>
              </w:rPr>
              <w:t>successful. Otherwise, physically or economically displaced peoples may be exposed directly to negative impacts of tourism development.</w:t>
            </w:r>
          </w:p>
          <w:p w14:paraId="0CCA8F63" w14:textId="5EB2AE0B" w:rsidR="00C133CC" w:rsidRPr="00563D71" w:rsidRDefault="00C133CC" w:rsidP="00D340AC">
            <w:pPr>
              <w:spacing w:before="0"/>
              <w:ind w:left="25" w:firstLine="0"/>
            </w:pPr>
          </w:p>
        </w:tc>
      </w:tr>
    </w:tbl>
    <w:p w14:paraId="5CA60D98" w14:textId="77777777" w:rsidR="00245F03" w:rsidRPr="00563D71" w:rsidRDefault="00245F03" w:rsidP="00BC55F2">
      <w:pPr>
        <w:spacing w:line="259" w:lineRule="auto"/>
        <w:ind w:left="-1440" w:right="376" w:firstLine="0"/>
        <w:jc w:val="center"/>
      </w:pPr>
    </w:p>
    <w:tbl>
      <w:tblPr>
        <w:tblStyle w:val="TableGrid"/>
        <w:tblW w:w="5000" w:type="pct"/>
        <w:tblInd w:w="0" w:type="dxa"/>
        <w:tblCellMar>
          <w:top w:w="3" w:type="dxa"/>
          <w:left w:w="91" w:type="dxa"/>
          <w:right w:w="97" w:type="dxa"/>
        </w:tblCellMar>
        <w:tblLook w:val="04A0" w:firstRow="1" w:lastRow="0" w:firstColumn="1" w:lastColumn="0" w:noHBand="0" w:noVBand="1"/>
      </w:tblPr>
      <w:tblGrid>
        <w:gridCol w:w="2838"/>
        <w:gridCol w:w="3370"/>
        <w:gridCol w:w="3556"/>
        <w:gridCol w:w="3186"/>
      </w:tblGrid>
      <w:tr w:rsidR="00245F03" w:rsidRPr="00563D71" w14:paraId="4C49C751" w14:textId="77777777" w:rsidTr="0032029F">
        <w:trPr>
          <w:trHeight w:val="86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DADC7"/>
          </w:tcPr>
          <w:p w14:paraId="69646A2A" w14:textId="167EB8F6" w:rsidR="00245F03" w:rsidRPr="00563D71" w:rsidRDefault="00C8190F" w:rsidP="00BC55F2">
            <w:pPr>
              <w:spacing w:before="240" w:line="259" w:lineRule="auto"/>
              <w:ind w:left="19" w:firstLine="0"/>
              <w:jc w:val="center"/>
            </w:pPr>
            <w:r w:rsidRPr="00563D71">
              <w:rPr>
                <w:b/>
                <w:sz w:val="20"/>
              </w:rPr>
              <w:t>Policy Element 5:</w:t>
            </w:r>
            <w:r w:rsidR="00D04B10" w:rsidRPr="00563D71">
              <w:rPr>
                <w:b/>
                <w:sz w:val="20"/>
              </w:rPr>
              <w:t xml:space="preserve"> </w:t>
            </w:r>
            <w:r w:rsidRPr="00563D71">
              <w:rPr>
                <w:b/>
                <w:sz w:val="20"/>
              </w:rPr>
              <w:t xml:space="preserve"> Program systems give d</w:t>
            </w:r>
            <w:r w:rsidR="00D04B10" w:rsidRPr="00563D71">
              <w:rPr>
                <w:b/>
                <w:sz w:val="20"/>
              </w:rPr>
              <w:t xml:space="preserve">ue consideration to cultural appropriateness of, and equitable access to, </w:t>
            </w:r>
            <w:r w:rsidRPr="00563D71">
              <w:rPr>
                <w:b/>
                <w:sz w:val="20"/>
              </w:rPr>
              <w:t>P</w:t>
            </w:r>
            <w:r w:rsidR="00D04B10" w:rsidRPr="00563D71">
              <w:rPr>
                <w:b/>
                <w:sz w:val="20"/>
              </w:rPr>
              <w:t>rogram benefits</w:t>
            </w:r>
            <w:r w:rsidRPr="00563D71">
              <w:rPr>
                <w:b/>
                <w:sz w:val="20"/>
              </w:rPr>
              <w:t>,</w:t>
            </w:r>
            <w:r w:rsidR="00D04B10" w:rsidRPr="00563D71">
              <w:rPr>
                <w:b/>
                <w:sz w:val="20"/>
              </w:rPr>
              <w:t xml:space="preserve"> giving special attention to rights and interests of Indigenous Peoples and to the needs or concerns of vulnerable groups.</w:t>
            </w:r>
          </w:p>
        </w:tc>
      </w:tr>
      <w:tr w:rsidR="00245F03" w:rsidRPr="00563D71" w14:paraId="747A89EC" w14:textId="77777777" w:rsidTr="0032029F">
        <w:trPr>
          <w:trHeight w:val="82"/>
        </w:trPr>
        <w:tc>
          <w:tcPr>
            <w:tcW w:w="1096" w:type="pct"/>
            <w:tcBorders>
              <w:top w:val="single" w:sz="4" w:space="0" w:color="000000"/>
              <w:left w:val="single" w:sz="4" w:space="0" w:color="000000"/>
              <w:bottom w:val="single" w:sz="4" w:space="0" w:color="000000"/>
              <w:right w:val="single" w:sz="4" w:space="0" w:color="000000"/>
            </w:tcBorders>
            <w:shd w:val="clear" w:color="auto" w:fill="B8CCE4"/>
          </w:tcPr>
          <w:p w14:paraId="45704425" w14:textId="168A7C67" w:rsidR="00245F03" w:rsidRPr="00563D71" w:rsidRDefault="00D04B10" w:rsidP="00BC55F2">
            <w:pPr>
              <w:spacing w:line="259" w:lineRule="auto"/>
              <w:ind w:left="19" w:firstLine="0"/>
              <w:jc w:val="center"/>
            </w:pPr>
            <w:r w:rsidRPr="00563D71">
              <w:rPr>
                <w:b/>
                <w:sz w:val="20"/>
              </w:rPr>
              <w:t>Key Elements</w:t>
            </w:r>
          </w:p>
        </w:tc>
        <w:tc>
          <w:tcPr>
            <w:tcW w:w="2674" w:type="pct"/>
            <w:gridSpan w:val="2"/>
            <w:tcBorders>
              <w:top w:val="single" w:sz="4" w:space="0" w:color="000000"/>
              <w:left w:val="single" w:sz="4" w:space="0" w:color="000000"/>
              <w:bottom w:val="single" w:sz="4" w:space="0" w:color="000000"/>
              <w:right w:val="single" w:sz="4" w:space="0" w:color="000000"/>
            </w:tcBorders>
            <w:shd w:val="clear" w:color="auto" w:fill="B8CCE4"/>
          </w:tcPr>
          <w:p w14:paraId="7EF3117C" w14:textId="59D33663" w:rsidR="00245F03" w:rsidRPr="00563D71" w:rsidRDefault="00D04B10" w:rsidP="00BC55F2">
            <w:pPr>
              <w:spacing w:line="259" w:lineRule="auto"/>
              <w:ind w:left="22" w:firstLine="0"/>
              <w:jc w:val="center"/>
            </w:pPr>
            <w:r w:rsidRPr="00563D71">
              <w:rPr>
                <w:b/>
                <w:sz w:val="20"/>
              </w:rPr>
              <w:t>Program System</w:t>
            </w:r>
          </w:p>
        </w:tc>
        <w:tc>
          <w:tcPr>
            <w:tcW w:w="1230" w:type="pct"/>
            <w:tcBorders>
              <w:top w:val="single" w:sz="4" w:space="0" w:color="000000"/>
              <w:left w:val="single" w:sz="4" w:space="0" w:color="000000"/>
              <w:bottom w:val="single" w:sz="4" w:space="0" w:color="000000"/>
              <w:right w:val="single" w:sz="4" w:space="0" w:color="000000"/>
            </w:tcBorders>
            <w:shd w:val="clear" w:color="auto" w:fill="B8CCE4"/>
          </w:tcPr>
          <w:p w14:paraId="4DF2BE47" w14:textId="16DA4BEF" w:rsidR="00245F03" w:rsidRPr="00563D71" w:rsidRDefault="00D04B10" w:rsidP="00BC55F2">
            <w:pPr>
              <w:spacing w:line="259" w:lineRule="auto"/>
              <w:ind w:left="22" w:firstLine="0"/>
              <w:jc w:val="center"/>
            </w:pPr>
            <w:r w:rsidRPr="00563D71">
              <w:rPr>
                <w:b/>
                <w:sz w:val="20"/>
              </w:rPr>
              <w:t>Gaps</w:t>
            </w:r>
          </w:p>
        </w:tc>
      </w:tr>
      <w:tr w:rsidR="00245F03" w:rsidRPr="00563D71" w14:paraId="01E372BD" w14:textId="77777777" w:rsidTr="0032029F">
        <w:trPr>
          <w:trHeight w:val="1634"/>
        </w:trPr>
        <w:tc>
          <w:tcPr>
            <w:tcW w:w="1096" w:type="pct"/>
            <w:tcBorders>
              <w:top w:val="single" w:sz="4" w:space="0" w:color="000000"/>
              <w:left w:val="single" w:sz="8" w:space="0" w:color="4BACC6"/>
              <w:bottom w:val="single" w:sz="4" w:space="0" w:color="000000"/>
              <w:right w:val="single" w:sz="4" w:space="0" w:color="000000"/>
            </w:tcBorders>
          </w:tcPr>
          <w:p w14:paraId="1C0A24AA" w14:textId="1FC8DC7F" w:rsidR="00245F03" w:rsidRPr="00563D71" w:rsidRDefault="00C8190F" w:rsidP="008137CA">
            <w:pPr>
              <w:ind w:left="288" w:hanging="288"/>
              <w:jc w:val="left"/>
            </w:pPr>
            <w:r w:rsidRPr="00563D71">
              <w:t>(</w:t>
            </w:r>
            <w:r w:rsidRPr="00563D71">
              <w:rPr>
                <w:sz w:val="20"/>
                <w:szCs w:val="20"/>
              </w:rPr>
              <w:t>a) undertake free, prior, and informed consultations if Indigenous Peoples are potentially affected (positively or negatively), to determine whether there is broad community support for the Program activities.</w:t>
            </w:r>
          </w:p>
        </w:tc>
        <w:tc>
          <w:tcPr>
            <w:tcW w:w="2674" w:type="pct"/>
            <w:gridSpan w:val="2"/>
            <w:tcBorders>
              <w:top w:val="single" w:sz="4" w:space="0" w:color="000000"/>
              <w:left w:val="single" w:sz="4" w:space="0" w:color="000000"/>
              <w:bottom w:val="single" w:sz="4" w:space="0" w:color="000000"/>
              <w:right w:val="single" w:sz="4" w:space="0" w:color="000000"/>
            </w:tcBorders>
          </w:tcPr>
          <w:p w14:paraId="4B46ECC0" w14:textId="6BD56B48" w:rsidR="00C55C8A" w:rsidRPr="00563D71" w:rsidRDefault="00C55C8A" w:rsidP="004B4C0E">
            <w:pPr>
              <w:ind w:left="95"/>
              <w:rPr>
                <w:sz w:val="20"/>
                <w:szCs w:val="20"/>
              </w:rPr>
            </w:pPr>
            <w:r w:rsidRPr="00563D71">
              <w:rPr>
                <w:sz w:val="20"/>
                <w:szCs w:val="20"/>
              </w:rPr>
              <w:t>Indonesia has national and sector</w:t>
            </w:r>
            <w:r w:rsidR="008137CA" w:rsidRPr="00563D71">
              <w:rPr>
                <w:sz w:val="20"/>
                <w:szCs w:val="20"/>
              </w:rPr>
              <w:t>al</w:t>
            </w:r>
            <w:r w:rsidRPr="00563D71">
              <w:rPr>
                <w:sz w:val="20"/>
                <w:szCs w:val="20"/>
              </w:rPr>
              <w:t xml:space="preserve"> laws and regulations that are relevant to and recognize and respect “</w:t>
            </w:r>
            <w:r w:rsidRPr="00563D71">
              <w:rPr>
                <w:i/>
                <w:sz w:val="20"/>
                <w:szCs w:val="20"/>
              </w:rPr>
              <w:t>Masyarakat Adat</w:t>
            </w:r>
            <w:r w:rsidRPr="00563D71">
              <w:rPr>
                <w:sz w:val="20"/>
                <w:szCs w:val="20"/>
              </w:rPr>
              <w:t>” (</w:t>
            </w:r>
            <w:r w:rsidRPr="00563D71">
              <w:rPr>
                <w:i/>
                <w:sz w:val="20"/>
                <w:szCs w:val="20"/>
              </w:rPr>
              <w:t>MA</w:t>
            </w:r>
            <w:r w:rsidRPr="00563D71">
              <w:rPr>
                <w:sz w:val="20"/>
                <w:szCs w:val="20"/>
              </w:rPr>
              <w:t>)</w:t>
            </w:r>
            <w:r w:rsidR="008137CA" w:rsidRPr="00563D71">
              <w:rPr>
                <w:sz w:val="20"/>
                <w:szCs w:val="20"/>
              </w:rPr>
              <w:t>,</w:t>
            </w:r>
            <w:r w:rsidRPr="00563D71">
              <w:rPr>
                <w:sz w:val="20"/>
                <w:szCs w:val="20"/>
              </w:rPr>
              <w:t xml:space="preserve"> or </w:t>
            </w:r>
            <w:r w:rsidRPr="00563D71">
              <w:rPr>
                <w:i/>
                <w:sz w:val="20"/>
                <w:szCs w:val="20"/>
              </w:rPr>
              <w:t>Masyarakat Hukum Adat</w:t>
            </w:r>
            <w:r w:rsidRPr="00563D71">
              <w:rPr>
                <w:sz w:val="20"/>
                <w:szCs w:val="20"/>
              </w:rPr>
              <w:t>” (</w:t>
            </w:r>
            <w:r w:rsidRPr="00563D71">
              <w:rPr>
                <w:i/>
                <w:sz w:val="20"/>
                <w:szCs w:val="20"/>
              </w:rPr>
              <w:t>MHA</w:t>
            </w:r>
            <w:r w:rsidRPr="00563D71">
              <w:rPr>
                <w:sz w:val="20"/>
                <w:szCs w:val="20"/>
              </w:rPr>
              <w:t>)</w:t>
            </w:r>
            <w:r w:rsidR="008137CA" w:rsidRPr="00563D71">
              <w:rPr>
                <w:sz w:val="20"/>
                <w:szCs w:val="20"/>
              </w:rPr>
              <w:t>,</w:t>
            </w:r>
            <w:r w:rsidRPr="00563D71">
              <w:rPr>
                <w:sz w:val="20"/>
                <w:szCs w:val="20"/>
              </w:rPr>
              <w:t xml:space="preserve"> or “</w:t>
            </w:r>
            <w:r w:rsidRPr="00563D71">
              <w:rPr>
                <w:i/>
                <w:sz w:val="20"/>
                <w:szCs w:val="20"/>
              </w:rPr>
              <w:t>Masyarakat Tradisional</w:t>
            </w:r>
            <w:r w:rsidRPr="00563D71">
              <w:rPr>
                <w:sz w:val="20"/>
                <w:szCs w:val="20"/>
              </w:rPr>
              <w:t>” who are Indigenous Peoples as per criteria used in the OP 4.10 on Indigenous Peoples (IPs).</w:t>
            </w:r>
          </w:p>
          <w:p w14:paraId="318E041D" w14:textId="6198E34E" w:rsidR="00C55C8A" w:rsidRPr="00563D71" w:rsidRDefault="00C55C8A" w:rsidP="004B4C0E">
            <w:pPr>
              <w:ind w:left="95"/>
              <w:rPr>
                <w:sz w:val="20"/>
                <w:szCs w:val="20"/>
              </w:rPr>
            </w:pPr>
            <w:r w:rsidRPr="00563D71">
              <w:rPr>
                <w:sz w:val="20"/>
                <w:szCs w:val="20"/>
              </w:rPr>
              <w:t>Both the amendment of the Constitution 1945 and the Basic Agrarian Law (BAL No.5</w:t>
            </w:r>
            <w:r w:rsidR="00BF6A99" w:rsidRPr="00563D71">
              <w:rPr>
                <w:sz w:val="20"/>
                <w:szCs w:val="20"/>
              </w:rPr>
              <w:t xml:space="preserve"> Year </w:t>
            </w:r>
            <w:r w:rsidRPr="00563D71">
              <w:rPr>
                <w:sz w:val="20"/>
                <w:szCs w:val="20"/>
              </w:rPr>
              <w:t>1960) stipulate that the State recognizes and respects MHA and its traditional rights provided that they are still exist and in accordance with the development of the society and the State unity as regulated in the laws; cultural identity and rights of traditional community are respected in accordance with the development of civilization. With these provisions, the BAL recognizes “</w:t>
            </w:r>
            <w:r w:rsidRPr="00563D71">
              <w:rPr>
                <w:i/>
                <w:sz w:val="20"/>
                <w:szCs w:val="20"/>
              </w:rPr>
              <w:t>hak ulayat</w:t>
            </w:r>
            <w:r w:rsidRPr="00563D71">
              <w:rPr>
                <w:sz w:val="20"/>
                <w:szCs w:val="20"/>
              </w:rPr>
              <w:t xml:space="preserve">” (customary rights) of </w:t>
            </w:r>
            <w:r w:rsidRPr="00563D71">
              <w:rPr>
                <w:i/>
                <w:sz w:val="20"/>
                <w:szCs w:val="20"/>
              </w:rPr>
              <w:t>MHA</w:t>
            </w:r>
            <w:r w:rsidRPr="00563D71">
              <w:rPr>
                <w:sz w:val="20"/>
                <w:szCs w:val="20"/>
              </w:rPr>
              <w:t>.</w:t>
            </w:r>
          </w:p>
          <w:p w14:paraId="3C0A793C" w14:textId="1BBD8940" w:rsidR="00C55C8A" w:rsidRPr="00563D71" w:rsidRDefault="00C55C8A" w:rsidP="00E11DCA">
            <w:pPr>
              <w:tabs>
                <w:tab w:val="left" w:pos="2075"/>
              </w:tabs>
              <w:autoSpaceDE w:val="0"/>
              <w:autoSpaceDN w:val="0"/>
              <w:adjustRightInd w:val="0"/>
              <w:ind w:left="95"/>
              <w:rPr>
                <w:sz w:val="20"/>
                <w:szCs w:val="20"/>
              </w:rPr>
            </w:pPr>
            <w:r w:rsidRPr="00563D71">
              <w:rPr>
                <w:sz w:val="20"/>
                <w:szCs w:val="20"/>
              </w:rPr>
              <w:t>Sector laws on the environment and natural resources (i.e. Law No. 41</w:t>
            </w:r>
            <w:r w:rsidR="00BF6A99" w:rsidRPr="00563D71">
              <w:rPr>
                <w:sz w:val="20"/>
                <w:szCs w:val="20"/>
              </w:rPr>
              <w:t xml:space="preserve"> Year </w:t>
            </w:r>
            <w:r w:rsidRPr="00563D71">
              <w:rPr>
                <w:sz w:val="20"/>
                <w:szCs w:val="20"/>
              </w:rPr>
              <w:t>1999 on Forestry with some changes by the Constitutional Decree No. 35</w:t>
            </w:r>
            <w:r w:rsidR="00BF6A99" w:rsidRPr="00563D71">
              <w:rPr>
                <w:sz w:val="20"/>
                <w:szCs w:val="20"/>
              </w:rPr>
              <w:t xml:space="preserve"> Year </w:t>
            </w:r>
            <w:r w:rsidRPr="00563D71">
              <w:rPr>
                <w:sz w:val="20"/>
                <w:szCs w:val="20"/>
              </w:rPr>
              <w:t>2012; Law No. 22</w:t>
            </w:r>
            <w:r w:rsidR="00BF6A99" w:rsidRPr="00563D71">
              <w:rPr>
                <w:sz w:val="20"/>
                <w:szCs w:val="20"/>
              </w:rPr>
              <w:t xml:space="preserve"> Year </w:t>
            </w:r>
            <w:r w:rsidRPr="00563D71">
              <w:rPr>
                <w:sz w:val="20"/>
                <w:szCs w:val="20"/>
              </w:rPr>
              <w:t>2001 on Fishery and amended by Law 4</w:t>
            </w:r>
            <w:r w:rsidR="00BF6A99" w:rsidRPr="00563D71">
              <w:rPr>
                <w:sz w:val="20"/>
                <w:szCs w:val="20"/>
              </w:rPr>
              <w:t xml:space="preserve">5 Year </w:t>
            </w:r>
            <w:r w:rsidRPr="00563D71">
              <w:rPr>
                <w:sz w:val="20"/>
                <w:szCs w:val="20"/>
              </w:rPr>
              <w:t>2009; Law No. 27</w:t>
            </w:r>
            <w:r w:rsidR="00BF6A99" w:rsidRPr="00563D71">
              <w:rPr>
                <w:sz w:val="20"/>
                <w:szCs w:val="20"/>
              </w:rPr>
              <w:t xml:space="preserve"> Year </w:t>
            </w:r>
            <w:r w:rsidRPr="00563D71">
              <w:rPr>
                <w:sz w:val="20"/>
                <w:szCs w:val="20"/>
              </w:rPr>
              <w:t>2007 on Coastal Zone and Small Island Management and amended through Law</w:t>
            </w:r>
            <w:r w:rsidR="00BF6A99" w:rsidRPr="00563D71">
              <w:rPr>
                <w:sz w:val="20"/>
                <w:szCs w:val="20"/>
              </w:rPr>
              <w:t xml:space="preserve"> No</w:t>
            </w:r>
            <w:r w:rsidRPr="00563D71">
              <w:rPr>
                <w:sz w:val="20"/>
                <w:szCs w:val="20"/>
              </w:rPr>
              <w:t>. 1</w:t>
            </w:r>
            <w:r w:rsidR="00BF6A99" w:rsidRPr="00563D71">
              <w:rPr>
                <w:sz w:val="20"/>
                <w:szCs w:val="20"/>
              </w:rPr>
              <w:t xml:space="preserve"> Year </w:t>
            </w:r>
            <w:r w:rsidRPr="00563D71">
              <w:rPr>
                <w:sz w:val="20"/>
                <w:szCs w:val="20"/>
              </w:rPr>
              <w:t xml:space="preserve">2014; Law </w:t>
            </w:r>
            <w:r w:rsidR="00BF6A99" w:rsidRPr="00563D71">
              <w:rPr>
                <w:sz w:val="20"/>
                <w:szCs w:val="20"/>
              </w:rPr>
              <w:t>N</w:t>
            </w:r>
            <w:r w:rsidRPr="00563D71">
              <w:rPr>
                <w:sz w:val="20"/>
                <w:szCs w:val="20"/>
              </w:rPr>
              <w:t>o. 32</w:t>
            </w:r>
            <w:r w:rsidR="00BF6A99" w:rsidRPr="00563D71">
              <w:rPr>
                <w:sz w:val="20"/>
                <w:szCs w:val="20"/>
              </w:rPr>
              <w:t xml:space="preserve"> Year </w:t>
            </w:r>
            <w:r w:rsidRPr="00563D71">
              <w:rPr>
                <w:sz w:val="20"/>
                <w:szCs w:val="20"/>
              </w:rPr>
              <w:t>2009 on the Protection and Management of the Environment and Law No. 18</w:t>
            </w:r>
            <w:r w:rsidR="00BF6A99" w:rsidRPr="00563D71">
              <w:rPr>
                <w:sz w:val="20"/>
                <w:szCs w:val="20"/>
              </w:rPr>
              <w:t xml:space="preserve"> Year </w:t>
            </w:r>
            <w:r w:rsidRPr="00563D71">
              <w:rPr>
                <w:sz w:val="20"/>
                <w:szCs w:val="20"/>
              </w:rPr>
              <w:t>2013 on the Prevention and Eradication of Forest Distraction; Regulation No. 28</w:t>
            </w:r>
            <w:r w:rsidR="00BF6A99" w:rsidRPr="00563D71">
              <w:rPr>
                <w:sz w:val="20"/>
                <w:szCs w:val="20"/>
              </w:rPr>
              <w:t xml:space="preserve"> Year </w:t>
            </w:r>
            <w:r w:rsidRPr="00563D71">
              <w:rPr>
                <w:sz w:val="20"/>
                <w:szCs w:val="20"/>
              </w:rPr>
              <w:t>2011 on Preservation Area and Natural Conservation Area and its amendment in the regulation No. 108</w:t>
            </w:r>
            <w:r w:rsidR="00BF6A99" w:rsidRPr="00563D71">
              <w:rPr>
                <w:sz w:val="20"/>
                <w:szCs w:val="20"/>
              </w:rPr>
              <w:t xml:space="preserve"> Year </w:t>
            </w:r>
            <w:r w:rsidRPr="00563D71">
              <w:rPr>
                <w:sz w:val="20"/>
                <w:szCs w:val="20"/>
              </w:rPr>
              <w:t xml:space="preserve">2015) </w:t>
            </w:r>
            <w:r w:rsidR="00E11DCA" w:rsidRPr="00563D71">
              <w:rPr>
                <w:sz w:val="20"/>
                <w:szCs w:val="20"/>
              </w:rPr>
              <w:t xml:space="preserve">contain </w:t>
            </w:r>
            <w:r w:rsidRPr="00563D71">
              <w:rPr>
                <w:sz w:val="20"/>
                <w:szCs w:val="20"/>
              </w:rPr>
              <w:t xml:space="preserve">provisions on IPs to a varying degree. The abovementioned laws contain provisions </w:t>
            </w:r>
            <w:r w:rsidRPr="00563D71">
              <w:rPr>
                <w:sz w:val="20"/>
                <w:szCs w:val="20"/>
              </w:rPr>
              <w:lastRenderedPageBreak/>
              <w:t>that the state respects the customary rights of IPs over land and natural resources as well as their traditional knowledge and wisdom related to the environment.</w:t>
            </w:r>
          </w:p>
          <w:p w14:paraId="78D9D660" w14:textId="065411FE" w:rsidR="00C55C8A" w:rsidRPr="00563D71" w:rsidRDefault="00C55C8A" w:rsidP="008A4D92">
            <w:pPr>
              <w:ind w:left="95"/>
              <w:rPr>
                <w:sz w:val="20"/>
                <w:szCs w:val="20"/>
              </w:rPr>
            </w:pPr>
            <w:r w:rsidRPr="00563D71">
              <w:rPr>
                <w:sz w:val="20"/>
                <w:szCs w:val="20"/>
              </w:rPr>
              <w:t>Other laws and regulations pertaining regional local governments and development planning also have provisions on IPs. Law 23</w:t>
            </w:r>
            <w:r w:rsidR="00BF6A99" w:rsidRPr="00563D71">
              <w:rPr>
                <w:sz w:val="20"/>
                <w:szCs w:val="20"/>
              </w:rPr>
              <w:t xml:space="preserve"> Year </w:t>
            </w:r>
            <w:r w:rsidRPr="00563D71">
              <w:rPr>
                <w:sz w:val="20"/>
                <w:szCs w:val="20"/>
              </w:rPr>
              <w:t>2014 on Local Government; Law No. 6</w:t>
            </w:r>
            <w:r w:rsidR="00BF6A99" w:rsidRPr="00563D71">
              <w:rPr>
                <w:sz w:val="20"/>
                <w:szCs w:val="20"/>
              </w:rPr>
              <w:t xml:space="preserve"> Year </w:t>
            </w:r>
            <w:r w:rsidRPr="00563D71">
              <w:rPr>
                <w:sz w:val="20"/>
                <w:szCs w:val="20"/>
              </w:rPr>
              <w:t>2014 on Village; Law No. 26</w:t>
            </w:r>
            <w:r w:rsidR="00BF6A99" w:rsidRPr="00563D71">
              <w:rPr>
                <w:sz w:val="20"/>
                <w:szCs w:val="20"/>
              </w:rPr>
              <w:t xml:space="preserve"> Year </w:t>
            </w:r>
            <w:r w:rsidRPr="00563D71">
              <w:rPr>
                <w:sz w:val="20"/>
                <w:szCs w:val="20"/>
              </w:rPr>
              <w:t>2007 on Spatial Planning; Law No. 39</w:t>
            </w:r>
            <w:r w:rsidR="00BF6A99" w:rsidRPr="00563D71">
              <w:rPr>
                <w:sz w:val="20"/>
                <w:szCs w:val="20"/>
              </w:rPr>
              <w:t xml:space="preserve"> Year </w:t>
            </w:r>
            <w:r w:rsidRPr="00563D71">
              <w:rPr>
                <w:sz w:val="20"/>
                <w:szCs w:val="20"/>
              </w:rPr>
              <w:t>1999 on Human Rights; Law No. 28</w:t>
            </w:r>
            <w:r w:rsidR="00BF6A99" w:rsidRPr="00563D71">
              <w:rPr>
                <w:sz w:val="20"/>
                <w:szCs w:val="20"/>
              </w:rPr>
              <w:t xml:space="preserve"> Year </w:t>
            </w:r>
            <w:r w:rsidRPr="00563D71">
              <w:rPr>
                <w:sz w:val="20"/>
                <w:szCs w:val="20"/>
              </w:rPr>
              <w:t>2014 on Copyrights; Law No. 23</w:t>
            </w:r>
            <w:r w:rsidR="00BF6A99" w:rsidRPr="00563D71">
              <w:rPr>
                <w:sz w:val="20"/>
                <w:szCs w:val="20"/>
              </w:rPr>
              <w:t xml:space="preserve"> Year </w:t>
            </w:r>
            <w:r w:rsidRPr="00563D71">
              <w:rPr>
                <w:sz w:val="20"/>
                <w:szCs w:val="20"/>
              </w:rPr>
              <w:t>2003 on Constitutional Court and Law No. 20</w:t>
            </w:r>
            <w:r w:rsidR="00BF6A99" w:rsidRPr="00563D71">
              <w:rPr>
                <w:sz w:val="20"/>
                <w:szCs w:val="20"/>
              </w:rPr>
              <w:t xml:space="preserve"> Year </w:t>
            </w:r>
            <w:r w:rsidRPr="00563D71">
              <w:rPr>
                <w:sz w:val="20"/>
                <w:szCs w:val="20"/>
              </w:rPr>
              <w:t>2003 on the National Education System, as well as Law No. 7</w:t>
            </w:r>
            <w:r w:rsidR="00BF6A99" w:rsidRPr="00563D71">
              <w:rPr>
                <w:sz w:val="20"/>
                <w:szCs w:val="20"/>
              </w:rPr>
              <w:t xml:space="preserve"> Year </w:t>
            </w:r>
            <w:r w:rsidRPr="00563D71">
              <w:rPr>
                <w:sz w:val="20"/>
                <w:szCs w:val="20"/>
              </w:rPr>
              <w:t xml:space="preserve">2012 on Social Conflict Management have provisions on the recognition,  respects the rights of and empowerment of the participation of </w:t>
            </w:r>
            <w:r w:rsidRPr="00563D71">
              <w:rPr>
                <w:i/>
                <w:sz w:val="20"/>
                <w:szCs w:val="20"/>
              </w:rPr>
              <w:t>MA</w:t>
            </w:r>
            <w:r w:rsidRPr="00563D71">
              <w:rPr>
                <w:sz w:val="20"/>
                <w:szCs w:val="20"/>
              </w:rPr>
              <w:t xml:space="preserve">, or </w:t>
            </w:r>
            <w:r w:rsidRPr="00563D71">
              <w:rPr>
                <w:i/>
                <w:sz w:val="20"/>
                <w:szCs w:val="20"/>
              </w:rPr>
              <w:t>MHA</w:t>
            </w:r>
            <w:r w:rsidR="008A4D92" w:rsidRPr="00563D71">
              <w:rPr>
                <w:i/>
                <w:sz w:val="20"/>
                <w:szCs w:val="20"/>
              </w:rPr>
              <w:t>,</w:t>
            </w:r>
            <w:r w:rsidRPr="00563D71">
              <w:rPr>
                <w:sz w:val="20"/>
                <w:szCs w:val="20"/>
              </w:rPr>
              <w:t xml:space="preserve"> or traditional communit</w:t>
            </w:r>
            <w:r w:rsidR="008A4D92" w:rsidRPr="00563D71">
              <w:rPr>
                <w:sz w:val="20"/>
                <w:szCs w:val="20"/>
              </w:rPr>
              <w:t>ies</w:t>
            </w:r>
            <w:r w:rsidRPr="00563D71">
              <w:rPr>
                <w:sz w:val="20"/>
                <w:szCs w:val="20"/>
              </w:rPr>
              <w:t xml:space="preserve"> in planning, local development, </w:t>
            </w:r>
            <w:r w:rsidR="008A4D92" w:rsidRPr="00563D71">
              <w:rPr>
                <w:sz w:val="20"/>
                <w:szCs w:val="20"/>
              </w:rPr>
              <w:t xml:space="preserve">and </w:t>
            </w:r>
            <w:r w:rsidRPr="00563D71">
              <w:rPr>
                <w:sz w:val="20"/>
                <w:szCs w:val="20"/>
              </w:rPr>
              <w:t>customary-based public administration</w:t>
            </w:r>
            <w:r w:rsidR="008A4D92" w:rsidRPr="00563D71">
              <w:rPr>
                <w:sz w:val="20"/>
                <w:szCs w:val="20"/>
              </w:rPr>
              <w:t>,</w:t>
            </w:r>
            <w:r w:rsidRPr="00563D71">
              <w:rPr>
                <w:sz w:val="20"/>
                <w:szCs w:val="20"/>
              </w:rPr>
              <w:t xml:space="preserve"> and honor the ownership and management authority of their cultural heritage; and acknowledge the </w:t>
            </w:r>
            <w:r w:rsidR="008A4D92" w:rsidRPr="00563D71">
              <w:rPr>
                <w:sz w:val="20"/>
                <w:szCs w:val="20"/>
              </w:rPr>
              <w:t xml:space="preserve">resolution </w:t>
            </w:r>
            <w:r w:rsidRPr="00563D71">
              <w:rPr>
                <w:sz w:val="20"/>
                <w:szCs w:val="20"/>
              </w:rPr>
              <w:t xml:space="preserve">of social conflicts on the </w:t>
            </w:r>
            <w:r w:rsidR="008A4D92" w:rsidRPr="00563D71">
              <w:rPr>
                <w:sz w:val="20"/>
                <w:szCs w:val="20"/>
              </w:rPr>
              <w:t xml:space="preserve">basis </w:t>
            </w:r>
            <w:r w:rsidRPr="00563D71">
              <w:rPr>
                <w:sz w:val="20"/>
                <w:szCs w:val="20"/>
              </w:rPr>
              <w:t>of the “</w:t>
            </w:r>
            <w:r w:rsidRPr="00563D71">
              <w:rPr>
                <w:i/>
                <w:sz w:val="20"/>
                <w:szCs w:val="20"/>
              </w:rPr>
              <w:t>adat</w:t>
            </w:r>
            <w:r w:rsidRPr="00563D71">
              <w:rPr>
                <w:sz w:val="20"/>
                <w:szCs w:val="20"/>
              </w:rPr>
              <w:t>” and “</w:t>
            </w:r>
            <w:r w:rsidRPr="00563D71">
              <w:rPr>
                <w:i/>
                <w:sz w:val="20"/>
                <w:szCs w:val="20"/>
              </w:rPr>
              <w:t>adat</w:t>
            </w:r>
            <w:r w:rsidRPr="00563D71">
              <w:rPr>
                <w:sz w:val="20"/>
                <w:szCs w:val="20"/>
              </w:rPr>
              <w:t xml:space="preserve">” law; and the right </w:t>
            </w:r>
            <w:r w:rsidR="008A4D92" w:rsidRPr="00563D71">
              <w:rPr>
                <w:sz w:val="20"/>
                <w:szCs w:val="20"/>
              </w:rPr>
              <w:t xml:space="preserve">of </w:t>
            </w:r>
            <w:r w:rsidRPr="00563D71">
              <w:rPr>
                <w:sz w:val="20"/>
                <w:szCs w:val="20"/>
              </w:rPr>
              <w:t xml:space="preserve">IPs to </w:t>
            </w:r>
            <w:r w:rsidR="008A4D92" w:rsidRPr="00563D71">
              <w:rPr>
                <w:sz w:val="20"/>
                <w:szCs w:val="20"/>
              </w:rPr>
              <w:t xml:space="preserve">receive high </w:t>
            </w:r>
            <w:r w:rsidRPr="00563D71">
              <w:rPr>
                <w:sz w:val="20"/>
                <w:szCs w:val="20"/>
              </w:rPr>
              <w:t xml:space="preserve">quality education, with special educational services for those </w:t>
            </w:r>
            <w:r w:rsidR="008A4D92" w:rsidRPr="00563D71">
              <w:rPr>
                <w:sz w:val="20"/>
                <w:szCs w:val="20"/>
              </w:rPr>
              <w:t xml:space="preserve">living </w:t>
            </w:r>
            <w:r w:rsidRPr="00563D71">
              <w:rPr>
                <w:sz w:val="20"/>
                <w:szCs w:val="20"/>
              </w:rPr>
              <w:t>in remote areas.</w:t>
            </w:r>
          </w:p>
          <w:p w14:paraId="4C2D4009" w14:textId="51916F3F" w:rsidR="00245F03" w:rsidRPr="00563D71" w:rsidRDefault="00C55C8A" w:rsidP="008C1E77">
            <w:pPr>
              <w:autoSpaceDE w:val="0"/>
              <w:autoSpaceDN w:val="0"/>
              <w:adjustRightInd w:val="0"/>
              <w:ind w:left="95"/>
            </w:pPr>
            <w:r w:rsidRPr="00563D71">
              <w:rPr>
                <w:sz w:val="20"/>
                <w:szCs w:val="20"/>
              </w:rPr>
              <w:t xml:space="preserve">However, these regulations point out that IPs’ rights would be recognized and respected as long as the IPs concerned have fulfilled the determined conditions of the constitutional recognition, such as existence, </w:t>
            </w:r>
            <w:bookmarkStart w:id="76" w:name="OLE_LINK68"/>
            <w:bookmarkStart w:id="77" w:name="OLE_LINK69"/>
            <w:r w:rsidRPr="00563D71">
              <w:rPr>
                <w:sz w:val="20"/>
                <w:szCs w:val="20"/>
              </w:rPr>
              <w:t>conformity to national development visions and civilization,</w:t>
            </w:r>
            <w:bookmarkEnd w:id="76"/>
            <w:bookmarkEnd w:id="77"/>
            <w:r w:rsidRPr="00563D71">
              <w:rPr>
                <w:sz w:val="20"/>
                <w:szCs w:val="20"/>
              </w:rPr>
              <w:t xml:space="preserve"> to </w:t>
            </w:r>
            <w:r w:rsidR="008A4D92" w:rsidRPr="00563D71">
              <w:rPr>
                <w:sz w:val="20"/>
                <w:szCs w:val="20"/>
              </w:rPr>
              <w:t xml:space="preserve">the </w:t>
            </w:r>
            <w:r w:rsidRPr="00563D71">
              <w:rPr>
                <w:sz w:val="20"/>
                <w:szCs w:val="20"/>
              </w:rPr>
              <w:t>national interest</w:t>
            </w:r>
            <w:r w:rsidR="008A4D92" w:rsidRPr="00563D71">
              <w:rPr>
                <w:sz w:val="20"/>
                <w:szCs w:val="20"/>
              </w:rPr>
              <w:t>,</w:t>
            </w:r>
            <w:r w:rsidRPr="00563D71">
              <w:rPr>
                <w:sz w:val="20"/>
                <w:szCs w:val="20"/>
              </w:rPr>
              <w:t xml:space="preserve"> and the principles of the unitary state. Such conditionality is further translated into criteria such as the existence or presence of in-group feeling, traditional territory, </w:t>
            </w:r>
            <w:r w:rsidRPr="00563D71">
              <w:rPr>
                <w:i/>
                <w:sz w:val="20"/>
                <w:szCs w:val="20"/>
              </w:rPr>
              <w:t>adat</w:t>
            </w:r>
            <w:r w:rsidRPr="00563D71">
              <w:rPr>
                <w:sz w:val="20"/>
                <w:szCs w:val="20"/>
              </w:rPr>
              <w:t xml:space="preserve"> rules and organization in order to obtain legal recognition from respective district/provincial governments.</w:t>
            </w:r>
          </w:p>
        </w:tc>
        <w:tc>
          <w:tcPr>
            <w:tcW w:w="1230" w:type="pct"/>
            <w:tcBorders>
              <w:top w:val="single" w:sz="4" w:space="0" w:color="000000"/>
              <w:left w:val="single" w:sz="4" w:space="0" w:color="000000"/>
              <w:bottom w:val="single" w:sz="4" w:space="0" w:color="000000"/>
              <w:right w:val="single" w:sz="8" w:space="0" w:color="4BACC6"/>
            </w:tcBorders>
          </w:tcPr>
          <w:p w14:paraId="518D33CC" w14:textId="4A5891A5" w:rsidR="00C55C8A" w:rsidRPr="00563D71" w:rsidRDefault="00C55C8A" w:rsidP="008137CA">
            <w:pPr>
              <w:ind w:left="88"/>
              <w:rPr>
                <w:sz w:val="20"/>
                <w:szCs w:val="20"/>
              </w:rPr>
            </w:pPr>
            <w:r w:rsidRPr="00563D71">
              <w:rPr>
                <w:sz w:val="20"/>
                <w:szCs w:val="20"/>
              </w:rPr>
              <w:lastRenderedPageBreak/>
              <w:t xml:space="preserve">No significant gaps </w:t>
            </w:r>
            <w:r w:rsidR="008137CA" w:rsidRPr="00563D71">
              <w:rPr>
                <w:sz w:val="20"/>
                <w:szCs w:val="20"/>
              </w:rPr>
              <w:t>inso</w:t>
            </w:r>
            <w:r w:rsidRPr="00563D71">
              <w:rPr>
                <w:sz w:val="20"/>
                <w:szCs w:val="20"/>
              </w:rPr>
              <w:t>far as IPs concerned are legally recognized. However, the processes to obtain legal recognition is cumbersome, bureaucratic</w:t>
            </w:r>
            <w:r w:rsidR="008137CA" w:rsidRPr="00563D71">
              <w:rPr>
                <w:sz w:val="20"/>
                <w:szCs w:val="20"/>
              </w:rPr>
              <w:t>,</w:t>
            </w:r>
            <w:r w:rsidRPr="00563D71">
              <w:rPr>
                <w:sz w:val="20"/>
                <w:szCs w:val="20"/>
              </w:rPr>
              <w:t xml:space="preserve"> and in some cases, political.</w:t>
            </w:r>
          </w:p>
          <w:p w14:paraId="3108EB75" w14:textId="77777777" w:rsidR="00C55C8A" w:rsidRPr="00563D71" w:rsidRDefault="00C55C8A" w:rsidP="00BC55F2">
            <w:pPr>
              <w:jc w:val="center"/>
              <w:rPr>
                <w:sz w:val="20"/>
                <w:szCs w:val="20"/>
              </w:rPr>
            </w:pPr>
          </w:p>
          <w:p w14:paraId="11DCAE67" w14:textId="537CE900" w:rsidR="00245F03" w:rsidRPr="00563D71" w:rsidRDefault="00C55C8A" w:rsidP="004B4C0E">
            <w:pPr>
              <w:ind w:left="22" w:firstLine="0"/>
              <w:rPr>
                <w:sz w:val="20"/>
                <w:szCs w:val="20"/>
              </w:rPr>
            </w:pPr>
            <w:r w:rsidRPr="00563D71">
              <w:rPr>
                <w:sz w:val="20"/>
                <w:szCs w:val="20"/>
              </w:rPr>
              <w:t xml:space="preserve">The extent of such conditionality for recognition of IP’s existence (cumulative or optional) and forms of legal recognition vary across regulations. </w:t>
            </w:r>
          </w:p>
          <w:p w14:paraId="5A1B591E" w14:textId="77777777" w:rsidR="004B4C0E" w:rsidRPr="00563D71" w:rsidRDefault="004B4C0E" w:rsidP="004B4C0E">
            <w:pPr>
              <w:ind w:left="22" w:firstLine="0"/>
              <w:rPr>
                <w:sz w:val="20"/>
                <w:szCs w:val="20"/>
              </w:rPr>
            </w:pPr>
          </w:p>
          <w:p w14:paraId="7EFE6E89" w14:textId="6636BA79" w:rsidR="004B4C0E" w:rsidRPr="00563D71" w:rsidRDefault="004B4C0E" w:rsidP="004B4C0E">
            <w:pPr>
              <w:ind w:left="22" w:firstLine="0"/>
            </w:pPr>
            <w:r w:rsidRPr="00563D71">
              <w:rPr>
                <w:sz w:val="20"/>
                <w:szCs w:val="20"/>
              </w:rPr>
              <w:t>Screening does not specify gender analysis however it provides an opportunity for gender analysis if necessary as indicated in the scope or area that can be covered in other studies if required.</w:t>
            </w:r>
          </w:p>
        </w:tc>
      </w:tr>
      <w:tr w:rsidR="00245F03" w:rsidRPr="00563D71" w14:paraId="6ADDED22" w14:textId="77777777" w:rsidTr="0032029F">
        <w:trPr>
          <w:trHeight w:val="1455"/>
        </w:trPr>
        <w:tc>
          <w:tcPr>
            <w:tcW w:w="1096" w:type="pct"/>
            <w:tcBorders>
              <w:top w:val="single" w:sz="4" w:space="0" w:color="000000"/>
              <w:left w:val="single" w:sz="4" w:space="0" w:color="000000"/>
              <w:bottom w:val="single" w:sz="4" w:space="0" w:color="000000"/>
              <w:right w:val="single" w:sz="4" w:space="0" w:color="000000"/>
            </w:tcBorders>
          </w:tcPr>
          <w:p w14:paraId="0DB55E9B" w14:textId="428B1033" w:rsidR="00245F03" w:rsidRPr="00563D71" w:rsidRDefault="00C8190F" w:rsidP="00E44845">
            <w:pPr>
              <w:spacing w:line="259" w:lineRule="auto"/>
              <w:ind w:left="365" w:right="9" w:hanging="360"/>
              <w:jc w:val="left"/>
            </w:pPr>
            <w:r w:rsidRPr="00563D71">
              <w:rPr>
                <w:sz w:val="20"/>
              </w:rPr>
              <w:t>(b) ensure that the</w:t>
            </w:r>
            <w:r w:rsidR="00D04B10" w:rsidRPr="00563D71">
              <w:rPr>
                <w:sz w:val="20"/>
              </w:rPr>
              <w:t xml:space="preserve"> </w:t>
            </w:r>
            <w:r w:rsidRPr="00563D71">
              <w:rPr>
                <w:sz w:val="20"/>
              </w:rPr>
              <w:t>Indigenous Peoples can participate in devising opportunities to benefit from exploitation of customary resources or indigenous knowledge, the latter (indigenous knowledge) to include the</w:t>
            </w:r>
            <w:r w:rsidR="00E44845" w:rsidRPr="00563D71">
              <w:rPr>
                <w:sz w:val="20"/>
              </w:rPr>
              <w:t xml:space="preserve"> agreement</w:t>
            </w:r>
            <w:r w:rsidRPr="00563D71">
              <w:rPr>
                <w:sz w:val="20"/>
              </w:rPr>
              <w:t xml:space="preserve"> of the Indigenous Peoples</w:t>
            </w:r>
            <w:r w:rsidR="00D04B10" w:rsidRPr="00563D71">
              <w:rPr>
                <w:sz w:val="20"/>
              </w:rPr>
              <w:t xml:space="preserve"> </w:t>
            </w:r>
          </w:p>
        </w:tc>
        <w:tc>
          <w:tcPr>
            <w:tcW w:w="2674" w:type="pct"/>
            <w:gridSpan w:val="2"/>
            <w:tcBorders>
              <w:top w:val="single" w:sz="4" w:space="0" w:color="000000"/>
              <w:left w:val="single" w:sz="4" w:space="0" w:color="000000"/>
              <w:bottom w:val="single" w:sz="4" w:space="0" w:color="000000"/>
              <w:right w:val="single" w:sz="4" w:space="0" w:color="000000"/>
            </w:tcBorders>
          </w:tcPr>
          <w:p w14:paraId="16752669" w14:textId="0CCDF749" w:rsidR="00C55C8A" w:rsidRPr="00563D71" w:rsidRDefault="00C55C8A" w:rsidP="007D449B">
            <w:pPr>
              <w:ind w:left="5"/>
              <w:rPr>
                <w:sz w:val="20"/>
                <w:szCs w:val="20"/>
              </w:rPr>
            </w:pPr>
            <w:r w:rsidRPr="00563D71">
              <w:rPr>
                <w:sz w:val="20"/>
                <w:szCs w:val="20"/>
              </w:rPr>
              <w:t>Law</w:t>
            </w:r>
            <w:r w:rsidR="00BF6A99" w:rsidRPr="00563D71">
              <w:rPr>
                <w:sz w:val="20"/>
                <w:szCs w:val="20"/>
              </w:rPr>
              <w:t xml:space="preserve"> No.</w:t>
            </w:r>
            <w:r w:rsidRPr="00563D71">
              <w:rPr>
                <w:sz w:val="20"/>
                <w:szCs w:val="20"/>
              </w:rPr>
              <w:t xml:space="preserve"> 27</w:t>
            </w:r>
            <w:r w:rsidR="00BF6A99" w:rsidRPr="00563D71">
              <w:rPr>
                <w:sz w:val="20"/>
                <w:szCs w:val="20"/>
              </w:rPr>
              <w:t xml:space="preserve"> Year </w:t>
            </w:r>
            <w:r w:rsidRPr="00563D71">
              <w:rPr>
                <w:sz w:val="20"/>
                <w:szCs w:val="20"/>
              </w:rPr>
              <w:t>2007 on Costal Zone and Small Island Management stipulates specific provisions on public consultations for the development of coastal management plans. Such consultations stress the needs for accuracy, transparency</w:t>
            </w:r>
            <w:r w:rsidR="007D449B" w:rsidRPr="00563D71">
              <w:rPr>
                <w:sz w:val="20"/>
                <w:szCs w:val="20"/>
              </w:rPr>
              <w:t>,</w:t>
            </w:r>
            <w:r w:rsidRPr="00563D71">
              <w:rPr>
                <w:sz w:val="20"/>
                <w:szCs w:val="20"/>
              </w:rPr>
              <w:t xml:space="preserve"> and access to information. Conflict resolution can be handled through customary ways. </w:t>
            </w:r>
          </w:p>
          <w:p w14:paraId="3C074AB1" w14:textId="0C1B6526" w:rsidR="00C55C8A" w:rsidRPr="00563D71" w:rsidRDefault="00BF6A99" w:rsidP="001F51E1">
            <w:pPr>
              <w:ind w:left="5"/>
              <w:rPr>
                <w:sz w:val="20"/>
                <w:szCs w:val="20"/>
              </w:rPr>
            </w:pPr>
            <w:r w:rsidRPr="00563D71">
              <w:rPr>
                <w:sz w:val="20"/>
                <w:szCs w:val="20"/>
              </w:rPr>
              <w:t>Law No.</w:t>
            </w:r>
            <w:r w:rsidR="00C55C8A" w:rsidRPr="00563D71">
              <w:rPr>
                <w:sz w:val="20"/>
                <w:szCs w:val="20"/>
              </w:rPr>
              <w:t xml:space="preserve"> 2</w:t>
            </w:r>
            <w:r w:rsidRPr="00563D71">
              <w:rPr>
                <w:sz w:val="20"/>
                <w:szCs w:val="20"/>
              </w:rPr>
              <w:t xml:space="preserve"> Year </w:t>
            </w:r>
            <w:r w:rsidR="00C55C8A" w:rsidRPr="00563D71">
              <w:rPr>
                <w:sz w:val="20"/>
                <w:szCs w:val="20"/>
              </w:rPr>
              <w:t>2012 on Land Acquisition for Public Interest requires 60 working days for public consultations (although not explicitly mentioned but this provision includes IPs if they are the PAPs). An additional window of 30 working days is allocated for extended consultations in the event of stalemate. The Grievance Redress Process is managed by directly by the Governor, based on the request of projects’ proponents. A team consisting of relevant government representatives and academics will be established to investigate and make recommendations on grievance handling. Based on the recommendations, decisions whether or not to pursue land acquisition will be made</w:t>
            </w:r>
            <w:r w:rsidR="001F51E1" w:rsidRPr="00563D71">
              <w:rPr>
                <w:sz w:val="20"/>
                <w:szCs w:val="20"/>
              </w:rPr>
              <w:t xml:space="preserve"> by the Governor. </w:t>
            </w:r>
          </w:p>
          <w:p w14:paraId="01FB1EA8" w14:textId="448F8608" w:rsidR="00245F03" w:rsidRPr="00563D71" w:rsidRDefault="00C55C8A" w:rsidP="00C55C8A">
            <w:pPr>
              <w:ind w:left="22" w:firstLine="0"/>
              <w:jc w:val="left"/>
            </w:pPr>
            <w:r w:rsidRPr="00563D71">
              <w:rPr>
                <w:sz w:val="20"/>
                <w:szCs w:val="20"/>
              </w:rPr>
              <w:lastRenderedPageBreak/>
              <w:t xml:space="preserve">In the forestry sector, provisions of </w:t>
            </w:r>
            <w:r w:rsidR="0087625D" w:rsidRPr="00563D71">
              <w:rPr>
                <w:sz w:val="20"/>
                <w:szCs w:val="20"/>
              </w:rPr>
              <w:t>free, prior</w:t>
            </w:r>
            <w:r w:rsidR="00F33278" w:rsidRPr="00563D71">
              <w:rPr>
                <w:sz w:val="20"/>
                <w:szCs w:val="20"/>
              </w:rPr>
              <w:t>,</w:t>
            </w:r>
            <w:r w:rsidR="0087625D" w:rsidRPr="00563D71">
              <w:rPr>
                <w:sz w:val="20"/>
                <w:szCs w:val="20"/>
              </w:rPr>
              <w:t xml:space="preserve"> and informed consultations </w:t>
            </w:r>
            <w:r w:rsidRPr="00563D71">
              <w:rPr>
                <w:sz w:val="20"/>
                <w:szCs w:val="20"/>
              </w:rPr>
              <w:t>are not specified in the Law</w:t>
            </w:r>
            <w:r w:rsidR="00BF6A99" w:rsidRPr="00563D71">
              <w:rPr>
                <w:sz w:val="20"/>
                <w:szCs w:val="20"/>
              </w:rPr>
              <w:t xml:space="preserve"> No.</w:t>
            </w:r>
            <w:r w:rsidRPr="00563D71">
              <w:rPr>
                <w:sz w:val="20"/>
                <w:szCs w:val="20"/>
              </w:rPr>
              <w:t xml:space="preserve"> 41</w:t>
            </w:r>
            <w:r w:rsidR="00BF6A99" w:rsidRPr="00563D71">
              <w:rPr>
                <w:sz w:val="20"/>
                <w:szCs w:val="20"/>
              </w:rPr>
              <w:t xml:space="preserve"> Year </w:t>
            </w:r>
            <w:r w:rsidRPr="00563D71">
              <w:rPr>
                <w:sz w:val="20"/>
                <w:szCs w:val="20"/>
              </w:rPr>
              <w:t>1999 on Forestry and its guiding ministerial regulations. Standards for such consultations are available in the General Director of Forestry Business Units’ Directive No. P.14/VI-BPPHH/2014 on Standards and Guidelines for Performance Assessment in Sustainable Production Forest Management and Timber Legal Verification. The standards outline indicators and verification criteria for free, prior, informed consultations</w:t>
            </w:r>
            <w:r w:rsidR="00F33278" w:rsidRPr="00563D71">
              <w:rPr>
                <w:sz w:val="20"/>
                <w:szCs w:val="20"/>
              </w:rPr>
              <w:t>;</w:t>
            </w:r>
            <w:r w:rsidRPr="00563D71">
              <w:rPr>
                <w:sz w:val="20"/>
                <w:szCs w:val="20"/>
              </w:rPr>
              <w:t xml:space="preserve"> however, no specific protocols for such consultations are incorporated.</w:t>
            </w:r>
          </w:p>
        </w:tc>
        <w:tc>
          <w:tcPr>
            <w:tcW w:w="1230" w:type="pct"/>
            <w:tcBorders>
              <w:top w:val="single" w:sz="4" w:space="0" w:color="000000"/>
              <w:left w:val="single" w:sz="4" w:space="0" w:color="000000"/>
              <w:bottom w:val="single" w:sz="4" w:space="0" w:color="000000"/>
              <w:right w:val="single" w:sz="4" w:space="0" w:color="000000"/>
            </w:tcBorders>
          </w:tcPr>
          <w:p w14:paraId="162490DF" w14:textId="21C5A01C" w:rsidR="00C55C8A" w:rsidRPr="00563D71" w:rsidRDefault="00C55C8A" w:rsidP="00C55C8A">
            <w:pPr>
              <w:ind w:left="5"/>
              <w:rPr>
                <w:sz w:val="20"/>
                <w:szCs w:val="20"/>
              </w:rPr>
            </w:pPr>
            <w:r w:rsidRPr="00563D71">
              <w:rPr>
                <w:sz w:val="20"/>
                <w:szCs w:val="20"/>
              </w:rPr>
              <w:lastRenderedPageBreak/>
              <w:t>Although most regulations contain provisions for free, prior</w:t>
            </w:r>
            <w:r w:rsidR="007D449B" w:rsidRPr="00563D71">
              <w:rPr>
                <w:sz w:val="20"/>
                <w:szCs w:val="20"/>
              </w:rPr>
              <w:t>,</w:t>
            </w:r>
            <w:r w:rsidRPr="00563D71">
              <w:rPr>
                <w:sz w:val="20"/>
                <w:szCs w:val="20"/>
              </w:rPr>
              <w:t xml:space="preserve"> and informed consultations with IPs, specific guidelines for such consultations have not been developed and therefore their implementation is subject to multiple interpretations. </w:t>
            </w:r>
          </w:p>
          <w:p w14:paraId="13D66952" w14:textId="77777777" w:rsidR="00C55C8A" w:rsidRPr="00563D71" w:rsidRDefault="00C55C8A" w:rsidP="00C55C8A">
            <w:pPr>
              <w:ind w:left="5"/>
              <w:rPr>
                <w:sz w:val="20"/>
                <w:szCs w:val="20"/>
              </w:rPr>
            </w:pPr>
          </w:p>
          <w:p w14:paraId="19D3BBF2" w14:textId="46A74832" w:rsidR="00245F03" w:rsidRPr="00563D71" w:rsidRDefault="00C55C8A" w:rsidP="00EF0971">
            <w:pPr>
              <w:ind w:left="5"/>
            </w:pPr>
            <w:r w:rsidRPr="00563D71">
              <w:rPr>
                <w:sz w:val="20"/>
                <w:szCs w:val="20"/>
              </w:rPr>
              <w:t>In the forestry sector for instance, standards and guidelines for free, prior</w:t>
            </w:r>
            <w:r w:rsidR="007D449B" w:rsidRPr="00563D71">
              <w:rPr>
                <w:sz w:val="20"/>
                <w:szCs w:val="20"/>
              </w:rPr>
              <w:t>,</w:t>
            </w:r>
            <w:r w:rsidRPr="00563D71">
              <w:rPr>
                <w:sz w:val="20"/>
                <w:szCs w:val="20"/>
              </w:rPr>
              <w:t xml:space="preserve"> and informed consultations are usually available for donor-funded projects such as REDD+ and </w:t>
            </w:r>
            <w:r w:rsidRPr="00563D71">
              <w:rPr>
                <w:sz w:val="20"/>
                <w:szCs w:val="20"/>
              </w:rPr>
              <w:lastRenderedPageBreak/>
              <w:t xml:space="preserve">therefore their implementation is not binding across government-funded projects. In the Directorate General of </w:t>
            </w:r>
            <w:r w:rsidR="00EF0971" w:rsidRPr="00563D71">
              <w:rPr>
                <w:sz w:val="20"/>
                <w:szCs w:val="20"/>
              </w:rPr>
              <w:t xml:space="preserve">Sustainable Production </w:t>
            </w:r>
            <w:r w:rsidRPr="00563D71">
              <w:rPr>
                <w:sz w:val="20"/>
                <w:szCs w:val="20"/>
              </w:rPr>
              <w:t xml:space="preserve">Forest </w:t>
            </w:r>
            <w:r w:rsidR="00EF0971" w:rsidRPr="00563D71">
              <w:rPr>
                <w:sz w:val="20"/>
                <w:szCs w:val="20"/>
              </w:rPr>
              <w:t>Management</w:t>
            </w:r>
            <w:r w:rsidRPr="00563D71">
              <w:rPr>
                <w:sz w:val="20"/>
                <w:szCs w:val="20"/>
              </w:rPr>
              <w:t xml:space="preserve"> of Ministry of Environment and Forestry, such standards are applicable at the Directorate General Level and may not necessarily be enforceable across the Ministry. </w:t>
            </w:r>
          </w:p>
        </w:tc>
      </w:tr>
      <w:tr w:rsidR="00C8190F" w:rsidRPr="00563D71" w14:paraId="3D05F1B0" w14:textId="77777777" w:rsidTr="0032029F">
        <w:trPr>
          <w:trHeight w:val="1455"/>
        </w:trPr>
        <w:tc>
          <w:tcPr>
            <w:tcW w:w="1096" w:type="pct"/>
            <w:tcBorders>
              <w:top w:val="single" w:sz="4" w:space="0" w:color="000000"/>
              <w:left w:val="single" w:sz="4" w:space="0" w:color="000000"/>
              <w:bottom w:val="single" w:sz="4" w:space="0" w:color="000000"/>
              <w:right w:val="single" w:sz="4" w:space="0" w:color="000000"/>
            </w:tcBorders>
          </w:tcPr>
          <w:p w14:paraId="5EDF275D" w14:textId="77777777" w:rsidR="00C8190F" w:rsidRPr="00563D71" w:rsidRDefault="00C8190F" w:rsidP="00C8190F">
            <w:pPr>
              <w:spacing w:line="259" w:lineRule="auto"/>
              <w:ind w:left="365" w:right="9" w:hanging="360"/>
              <w:jc w:val="left"/>
              <w:rPr>
                <w:sz w:val="20"/>
              </w:rPr>
            </w:pPr>
            <w:r w:rsidRPr="00563D71">
              <w:rPr>
                <w:sz w:val="20"/>
              </w:rPr>
              <w:lastRenderedPageBreak/>
              <w:t xml:space="preserve">(c) give attention to groups vulnerable to hardship or disadvantage, including as relevant the poor, the disabled, women and children, the elderly, or marginalized ethnic groups; and, if necessary, take special measures to promote equitable access to the Program benefits.  </w:t>
            </w:r>
          </w:p>
        </w:tc>
        <w:tc>
          <w:tcPr>
            <w:tcW w:w="2674" w:type="pct"/>
            <w:gridSpan w:val="2"/>
            <w:tcBorders>
              <w:top w:val="single" w:sz="4" w:space="0" w:color="000000"/>
              <w:left w:val="single" w:sz="4" w:space="0" w:color="000000"/>
              <w:bottom w:val="single" w:sz="4" w:space="0" w:color="000000"/>
              <w:right w:val="single" w:sz="4" w:space="0" w:color="000000"/>
            </w:tcBorders>
          </w:tcPr>
          <w:p w14:paraId="6D633BFB" w14:textId="5FD14F21" w:rsidR="00C55C8A" w:rsidRPr="00563D71" w:rsidRDefault="00C55C8A" w:rsidP="00F33278">
            <w:pPr>
              <w:ind w:left="22" w:firstLine="0"/>
              <w:jc w:val="left"/>
              <w:rPr>
                <w:sz w:val="20"/>
                <w:szCs w:val="20"/>
              </w:rPr>
            </w:pPr>
            <w:r w:rsidRPr="00563D71">
              <w:rPr>
                <w:sz w:val="20"/>
                <w:szCs w:val="20"/>
              </w:rPr>
              <w:t>Ministerial Regulation 39</w:t>
            </w:r>
            <w:r w:rsidR="00BF6A99" w:rsidRPr="00563D71">
              <w:rPr>
                <w:sz w:val="20"/>
                <w:szCs w:val="20"/>
              </w:rPr>
              <w:t xml:space="preserve"> Year </w:t>
            </w:r>
            <w:r w:rsidRPr="00563D71">
              <w:rPr>
                <w:sz w:val="20"/>
                <w:szCs w:val="20"/>
              </w:rPr>
              <w:t>2013 on community partnership in the forestry sector requires forest concession holders to engage in partnership with communities based on the principles of mutual agreement, participation, transparency, and trust. Such benefit sharing schemes may include smallholder plantations, livelihood activities, training, facilitation, etc. However, for these communities to be able to engage in the schemes, they need to prov</w:t>
            </w:r>
            <w:r w:rsidR="00F33278" w:rsidRPr="00563D71">
              <w:rPr>
                <w:sz w:val="20"/>
                <w:szCs w:val="20"/>
              </w:rPr>
              <w:t>ide</w:t>
            </w:r>
            <w:r w:rsidRPr="00563D71">
              <w:rPr>
                <w:sz w:val="20"/>
                <w:szCs w:val="20"/>
              </w:rPr>
              <w:t xml:space="preserve"> valid proof of identification (ID card, or reference letter from the village head) and reside within the concession areas, demonstrate reliance on natural resources</w:t>
            </w:r>
            <w:r w:rsidR="00F33278" w:rsidRPr="00563D71">
              <w:rPr>
                <w:sz w:val="20"/>
                <w:szCs w:val="20"/>
              </w:rPr>
              <w:t>,</w:t>
            </w:r>
            <w:r w:rsidRPr="00563D71">
              <w:rPr>
                <w:sz w:val="20"/>
                <w:szCs w:val="20"/>
              </w:rPr>
              <w:t xml:space="preserve"> and have capacity to engage in productive</w:t>
            </w:r>
            <w:r w:rsidR="00F33278" w:rsidRPr="00563D71">
              <w:rPr>
                <w:sz w:val="20"/>
                <w:szCs w:val="20"/>
              </w:rPr>
              <w:t xml:space="preserve"> and sustainable</w:t>
            </w:r>
            <w:r w:rsidRPr="00563D71">
              <w:rPr>
                <w:sz w:val="20"/>
                <w:szCs w:val="20"/>
              </w:rPr>
              <w:t xml:space="preserve"> activities. In limited cases, such requirements may be difficult to be implemented for MHAs who are not recognized or who are nomadic.</w:t>
            </w:r>
          </w:p>
          <w:p w14:paraId="256B3B95" w14:textId="3AB85341" w:rsidR="00C55C8A" w:rsidRPr="00563D71" w:rsidRDefault="00C55C8A" w:rsidP="00C55C8A">
            <w:pPr>
              <w:ind w:left="22" w:firstLine="0"/>
              <w:jc w:val="left"/>
              <w:rPr>
                <w:sz w:val="20"/>
                <w:szCs w:val="20"/>
              </w:rPr>
            </w:pPr>
            <w:r w:rsidRPr="00563D71">
              <w:rPr>
                <w:sz w:val="20"/>
                <w:szCs w:val="20"/>
              </w:rPr>
              <w:t>IPs need to be legally recognized to be able to claim their land rights (Joint Regulation No. 79</w:t>
            </w:r>
            <w:r w:rsidR="00BF6A99" w:rsidRPr="00563D71">
              <w:rPr>
                <w:sz w:val="20"/>
                <w:szCs w:val="20"/>
              </w:rPr>
              <w:t xml:space="preserve"> Year </w:t>
            </w:r>
            <w:r w:rsidRPr="00563D71">
              <w:rPr>
                <w:sz w:val="20"/>
                <w:szCs w:val="20"/>
              </w:rPr>
              <w:t>2014 on Protocols on Conflict Resolution in Forest Areas, Agrarian Ministerial Regulation No. 9</w:t>
            </w:r>
            <w:r w:rsidR="00BF6A99" w:rsidRPr="00563D71">
              <w:rPr>
                <w:sz w:val="20"/>
                <w:szCs w:val="20"/>
              </w:rPr>
              <w:t xml:space="preserve"> Year </w:t>
            </w:r>
            <w:r w:rsidRPr="00563D71">
              <w:rPr>
                <w:sz w:val="20"/>
                <w:szCs w:val="20"/>
              </w:rPr>
              <w:t>2015 on Protocols on Communal Land Rights for Customary Law Communities and Local Communities in Forest Areas, and Ministerial Regulation No. 32</w:t>
            </w:r>
            <w:r w:rsidR="00BF6A99" w:rsidRPr="00563D71">
              <w:rPr>
                <w:sz w:val="20"/>
                <w:szCs w:val="20"/>
              </w:rPr>
              <w:t xml:space="preserve"> Year </w:t>
            </w:r>
            <w:r w:rsidRPr="00563D71">
              <w:rPr>
                <w:sz w:val="20"/>
                <w:szCs w:val="20"/>
              </w:rPr>
              <w:t xml:space="preserve">2015 on Property Forests). Once the existence of these communities </w:t>
            </w:r>
            <w:r w:rsidR="00F33278" w:rsidRPr="00563D71">
              <w:rPr>
                <w:sz w:val="20"/>
                <w:szCs w:val="20"/>
              </w:rPr>
              <w:t>is</w:t>
            </w:r>
            <w:r w:rsidRPr="00563D71">
              <w:rPr>
                <w:sz w:val="20"/>
                <w:szCs w:val="20"/>
              </w:rPr>
              <w:t xml:space="preserve"> legally recognized, recognition of land rights and rights to avail (</w:t>
            </w:r>
            <w:r w:rsidRPr="00563D71">
              <w:rPr>
                <w:i/>
                <w:sz w:val="20"/>
                <w:szCs w:val="20"/>
              </w:rPr>
              <w:t>hak ulayat</w:t>
            </w:r>
            <w:r w:rsidRPr="00563D71">
              <w:rPr>
                <w:sz w:val="20"/>
                <w:szCs w:val="20"/>
              </w:rPr>
              <w:t xml:space="preserve">) requires a decree issued by the MOEF and Land Agency, with </w:t>
            </w:r>
            <w:r w:rsidR="003C2C50" w:rsidRPr="00563D71">
              <w:rPr>
                <w:i/>
                <w:iCs/>
                <w:sz w:val="20"/>
                <w:szCs w:val="20"/>
              </w:rPr>
              <w:t>a</w:t>
            </w:r>
            <w:r w:rsidRPr="00563D71">
              <w:rPr>
                <w:i/>
                <w:iCs/>
                <w:sz w:val="20"/>
                <w:szCs w:val="20"/>
              </w:rPr>
              <w:t>dat</w:t>
            </w:r>
            <w:r w:rsidRPr="00563D71">
              <w:rPr>
                <w:sz w:val="20"/>
                <w:szCs w:val="20"/>
              </w:rPr>
              <w:t xml:space="preserve"> forest scheme</w:t>
            </w:r>
            <w:r w:rsidR="003C2C50" w:rsidRPr="00563D71">
              <w:rPr>
                <w:sz w:val="20"/>
                <w:szCs w:val="20"/>
              </w:rPr>
              <w:t>s</w:t>
            </w:r>
            <w:r w:rsidRPr="00563D71">
              <w:rPr>
                <w:sz w:val="20"/>
                <w:szCs w:val="20"/>
              </w:rPr>
              <w:t xml:space="preserve"> for the former and communal property titles for the latter. </w:t>
            </w:r>
          </w:p>
          <w:p w14:paraId="3DF7E3D4" w14:textId="22FF4362" w:rsidR="00C55C8A" w:rsidRPr="00563D71" w:rsidRDefault="00C55C8A" w:rsidP="00C55C8A">
            <w:pPr>
              <w:ind w:left="22" w:firstLine="0"/>
              <w:jc w:val="left"/>
              <w:rPr>
                <w:sz w:val="20"/>
                <w:szCs w:val="20"/>
              </w:rPr>
            </w:pPr>
            <w:r w:rsidRPr="00563D71">
              <w:rPr>
                <w:sz w:val="20"/>
                <w:szCs w:val="20"/>
              </w:rPr>
              <w:t>There is an exception in the Law No. 1</w:t>
            </w:r>
            <w:r w:rsidR="00BF6A99" w:rsidRPr="00563D71">
              <w:rPr>
                <w:sz w:val="20"/>
                <w:szCs w:val="20"/>
              </w:rPr>
              <w:t xml:space="preserve"> Year </w:t>
            </w:r>
            <w:r w:rsidRPr="00563D71">
              <w:rPr>
                <w:sz w:val="20"/>
                <w:szCs w:val="20"/>
              </w:rPr>
              <w:t>2014 on the rights to coastal and small island resources. In this regulation, MHA are not necessarily required to have "legal recognition" issued by the governments as a precondition for the communities to access natural resources in their territory.</w:t>
            </w:r>
          </w:p>
          <w:p w14:paraId="31F5F7EC" w14:textId="2A291021" w:rsidR="00C8190F" w:rsidRPr="00563D71" w:rsidRDefault="00C55C8A" w:rsidP="003C2C50">
            <w:pPr>
              <w:ind w:left="22" w:firstLine="0"/>
              <w:jc w:val="left"/>
              <w:rPr>
                <w:sz w:val="20"/>
              </w:rPr>
            </w:pPr>
            <w:r w:rsidRPr="00563D71">
              <w:rPr>
                <w:sz w:val="20"/>
                <w:szCs w:val="20"/>
              </w:rPr>
              <w:t>Law No. 6</w:t>
            </w:r>
            <w:r w:rsidR="00BF6A99" w:rsidRPr="00563D71">
              <w:rPr>
                <w:sz w:val="20"/>
                <w:szCs w:val="20"/>
              </w:rPr>
              <w:t xml:space="preserve"> Year </w:t>
            </w:r>
            <w:r w:rsidRPr="00563D71">
              <w:rPr>
                <w:sz w:val="20"/>
                <w:szCs w:val="20"/>
              </w:rPr>
              <w:t xml:space="preserve">2014 on Villages provides greater space for indigenous peoples to be recognized for their existence, including through the creation or existence of </w:t>
            </w:r>
            <w:r w:rsidR="003C2C50" w:rsidRPr="00563D71">
              <w:rPr>
                <w:i/>
                <w:iCs/>
                <w:sz w:val="20"/>
                <w:szCs w:val="20"/>
              </w:rPr>
              <w:t>a</w:t>
            </w:r>
            <w:r w:rsidRPr="00563D71">
              <w:rPr>
                <w:i/>
                <w:iCs/>
                <w:sz w:val="20"/>
                <w:szCs w:val="20"/>
              </w:rPr>
              <w:t>dat</w:t>
            </w:r>
            <w:r w:rsidRPr="00563D71">
              <w:rPr>
                <w:sz w:val="20"/>
                <w:szCs w:val="20"/>
              </w:rPr>
              <w:t xml:space="preserve"> village</w:t>
            </w:r>
            <w:r w:rsidR="003C2C50" w:rsidRPr="00563D71">
              <w:rPr>
                <w:sz w:val="20"/>
                <w:szCs w:val="20"/>
              </w:rPr>
              <w:t>s</w:t>
            </w:r>
            <w:r w:rsidRPr="00563D71">
              <w:rPr>
                <w:sz w:val="20"/>
                <w:szCs w:val="20"/>
              </w:rPr>
              <w:t xml:space="preserve">. More than just providing space for recognition of existence, the Law also provides space to generate plurality because it states that the </w:t>
            </w:r>
            <w:r w:rsidR="003C2C50" w:rsidRPr="00563D71">
              <w:rPr>
                <w:i/>
                <w:iCs/>
                <w:sz w:val="20"/>
                <w:szCs w:val="20"/>
              </w:rPr>
              <w:t>adat</w:t>
            </w:r>
            <w:r w:rsidR="003C2C50" w:rsidRPr="00563D71">
              <w:rPr>
                <w:sz w:val="20"/>
                <w:szCs w:val="20"/>
              </w:rPr>
              <w:t xml:space="preserve"> </w:t>
            </w:r>
            <w:r w:rsidRPr="00563D71">
              <w:rPr>
                <w:sz w:val="20"/>
                <w:szCs w:val="20"/>
              </w:rPr>
              <w:t xml:space="preserve">village is </w:t>
            </w:r>
            <w:r w:rsidRPr="00563D71">
              <w:rPr>
                <w:sz w:val="20"/>
                <w:szCs w:val="20"/>
              </w:rPr>
              <w:lastRenderedPageBreak/>
              <w:t xml:space="preserve">based on indigenous local structures and rights. The Law grants </w:t>
            </w:r>
            <w:r w:rsidRPr="00563D71">
              <w:rPr>
                <w:i/>
                <w:iCs/>
                <w:sz w:val="20"/>
                <w:szCs w:val="20"/>
              </w:rPr>
              <w:t>adat</w:t>
            </w:r>
            <w:r w:rsidR="003C2C50" w:rsidRPr="00563D71">
              <w:rPr>
                <w:sz w:val="20"/>
                <w:szCs w:val="20"/>
              </w:rPr>
              <w:t xml:space="preserve"> villages</w:t>
            </w:r>
            <w:r w:rsidRPr="00563D71">
              <w:rPr>
                <w:sz w:val="20"/>
                <w:szCs w:val="20"/>
              </w:rPr>
              <w:t xml:space="preserve"> the authority to conduct </w:t>
            </w:r>
            <w:r w:rsidR="003C2C50" w:rsidRPr="00563D71">
              <w:rPr>
                <w:i/>
                <w:iCs/>
                <w:sz w:val="20"/>
                <w:szCs w:val="20"/>
              </w:rPr>
              <w:t>a</w:t>
            </w:r>
            <w:r w:rsidRPr="00563D71">
              <w:rPr>
                <w:i/>
                <w:iCs/>
                <w:sz w:val="20"/>
                <w:szCs w:val="20"/>
              </w:rPr>
              <w:t>dat</w:t>
            </w:r>
            <w:r w:rsidRPr="00563D71">
              <w:rPr>
                <w:sz w:val="20"/>
                <w:szCs w:val="20"/>
              </w:rPr>
              <w:t xml:space="preserve">-based public administration.  </w:t>
            </w:r>
          </w:p>
        </w:tc>
        <w:tc>
          <w:tcPr>
            <w:tcW w:w="1230" w:type="pct"/>
            <w:tcBorders>
              <w:top w:val="single" w:sz="4" w:space="0" w:color="000000"/>
              <w:left w:val="single" w:sz="4" w:space="0" w:color="000000"/>
              <w:bottom w:val="single" w:sz="4" w:space="0" w:color="000000"/>
              <w:right w:val="single" w:sz="4" w:space="0" w:color="000000"/>
            </w:tcBorders>
          </w:tcPr>
          <w:p w14:paraId="0790466B" w14:textId="77777777" w:rsidR="00C55C8A" w:rsidRPr="00563D71" w:rsidRDefault="00C55C8A" w:rsidP="00C55C8A">
            <w:pPr>
              <w:ind w:left="22" w:firstLine="0"/>
              <w:jc w:val="left"/>
              <w:rPr>
                <w:sz w:val="20"/>
                <w:szCs w:val="20"/>
              </w:rPr>
            </w:pPr>
            <w:r w:rsidRPr="00563D71">
              <w:rPr>
                <w:sz w:val="20"/>
                <w:szCs w:val="20"/>
              </w:rPr>
              <w:lastRenderedPageBreak/>
              <w:t>Forestry partnership is not mandatory and is usually contingent upon concession holders’ community engagement strategies. In the plantation sector, land acquisition is often conducted through willing-buyer and willing-seller scheme. In some instances, community elites act on behalf of the community to negotiate and transact with concession holders in a non-participatory manner. Conflicts due to land claims and unfair compensation are well documented.</w:t>
            </w:r>
          </w:p>
          <w:p w14:paraId="68E58D4B" w14:textId="1F72CB38" w:rsidR="00C55C8A" w:rsidRPr="00563D71" w:rsidRDefault="00C55C8A" w:rsidP="00C55C8A">
            <w:pPr>
              <w:ind w:left="22" w:firstLine="0"/>
              <w:jc w:val="left"/>
              <w:rPr>
                <w:sz w:val="20"/>
                <w:szCs w:val="20"/>
              </w:rPr>
            </w:pPr>
            <w:r w:rsidRPr="00563D71">
              <w:rPr>
                <w:sz w:val="20"/>
                <w:szCs w:val="20"/>
              </w:rPr>
              <w:t>In general, to various extents all regulations provide rights to IPs and local community to benefit from the natural resources and cultural heritage. Law No. 27</w:t>
            </w:r>
            <w:r w:rsidR="00BF6A99" w:rsidRPr="00563D71">
              <w:rPr>
                <w:sz w:val="20"/>
                <w:szCs w:val="20"/>
              </w:rPr>
              <w:t xml:space="preserve"> Year </w:t>
            </w:r>
            <w:r w:rsidRPr="00563D71">
              <w:rPr>
                <w:sz w:val="20"/>
                <w:szCs w:val="20"/>
              </w:rPr>
              <w:t>2007 on Coastal Zone and Small Island Management and Law No. 11</w:t>
            </w:r>
            <w:r w:rsidR="00BF6A99" w:rsidRPr="00563D71">
              <w:rPr>
                <w:sz w:val="20"/>
                <w:szCs w:val="20"/>
              </w:rPr>
              <w:t xml:space="preserve"> Year </w:t>
            </w:r>
            <w:r w:rsidRPr="00563D71">
              <w:rPr>
                <w:sz w:val="20"/>
                <w:szCs w:val="20"/>
              </w:rPr>
              <w:t>2010 on Cultural Heritage and Regulation No. 28</w:t>
            </w:r>
            <w:r w:rsidR="00BF6A99" w:rsidRPr="00563D71">
              <w:rPr>
                <w:sz w:val="20"/>
                <w:szCs w:val="20"/>
              </w:rPr>
              <w:t xml:space="preserve"> Year </w:t>
            </w:r>
            <w:r w:rsidRPr="00563D71">
              <w:rPr>
                <w:sz w:val="20"/>
                <w:szCs w:val="20"/>
              </w:rPr>
              <w:t>2011 on Preservation Area</w:t>
            </w:r>
            <w:r w:rsidR="003C2C50" w:rsidRPr="00563D71">
              <w:rPr>
                <w:sz w:val="20"/>
                <w:szCs w:val="20"/>
              </w:rPr>
              <w:t>s</w:t>
            </w:r>
            <w:r w:rsidRPr="00563D71">
              <w:rPr>
                <w:sz w:val="20"/>
                <w:szCs w:val="20"/>
              </w:rPr>
              <w:t xml:space="preserve"> and Natural Conservation Area</w:t>
            </w:r>
            <w:r w:rsidR="003C2C50" w:rsidRPr="00563D71">
              <w:rPr>
                <w:sz w:val="20"/>
                <w:szCs w:val="20"/>
              </w:rPr>
              <w:t>s</w:t>
            </w:r>
            <w:r w:rsidRPr="00563D71">
              <w:rPr>
                <w:sz w:val="20"/>
                <w:szCs w:val="20"/>
              </w:rPr>
              <w:t xml:space="preserve"> for instance promote IPs and local community to utilize and manage natural resources and cultural heritage. There is also encouragement to partnership in </w:t>
            </w:r>
            <w:r w:rsidRPr="00563D71">
              <w:rPr>
                <w:sz w:val="20"/>
                <w:szCs w:val="20"/>
              </w:rPr>
              <w:lastRenderedPageBreak/>
              <w:t xml:space="preserve">managing and utilization of natural resources with local government and/or with the concessionaires who hold the permit.  </w:t>
            </w:r>
          </w:p>
          <w:p w14:paraId="4434EA1B" w14:textId="581C21B9" w:rsidR="00C8190F" w:rsidRPr="00563D71" w:rsidRDefault="00C55C8A" w:rsidP="00EF0971">
            <w:pPr>
              <w:ind w:left="22" w:firstLine="0"/>
              <w:jc w:val="left"/>
              <w:rPr>
                <w:sz w:val="20"/>
              </w:rPr>
            </w:pPr>
            <w:r w:rsidRPr="00563D71">
              <w:rPr>
                <w:sz w:val="20"/>
                <w:szCs w:val="20"/>
              </w:rPr>
              <w:t>Although IPs</w:t>
            </w:r>
            <w:r w:rsidR="001B5961" w:rsidRPr="00563D71">
              <w:rPr>
                <w:sz w:val="20"/>
                <w:szCs w:val="20"/>
              </w:rPr>
              <w:t>’</w:t>
            </w:r>
            <w:r w:rsidRPr="00563D71">
              <w:rPr>
                <w:sz w:val="20"/>
                <w:szCs w:val="20"/>
              </w:rPr>
              <w:t xml:space="preserve"> and local communit</w:t>
            </w:r>
            <w:r w:rsidR="001B5961" w:rsidRPr="00563D71">
              <w:rPr>
                <w:sz w:val="20"/>
                <w:szCs w:val="20"/>
              </w:rPr>
              <w:t>ie</w:t>
            </w:r>
            <w:r w:rsidRPr="00563D71">
              <w:rPr>
                <w:sz w:val="20"/>
                <w:szCs w:val="20"/>
              </w:rPr>
              <w:t>s</w:t>
            </w:r>
            <w:r w:rsidR="001B5961" w:rsidRPr="00563D71">
              <w:rPr>
                <w:sz w:val="20"/>
                <w:szCs w:val="20"/>
              </w:rPr>
              <w:t>’</w:t>
            </w:r>
            <w:r w:rsidRPr="00563D71">
              <w:rPr>
                <w:sz w:val="20"/>
                <w:szCs w:val="20"/>
              </w:rPr>
              <w:t xml:space="preserve"> rights to benefit </w:t>
            </w:r>
            <w:r w:rsidR="001B5961" w:rsidRPr="00563D71">
              <w:rPr>
                <w:sz w:val="20"/>
                <w:szCs w:val="20"/>
              </w:rPr>
              <w:t xml:space="preserve">from </w:t>
            </w:r>
            <w:r w:rsidRPr="00563D71">
              <w:rPr>
                <w:sz w:val="20"/>
                <w:szCs w:val="20"/>
              </w:rPr>
              <w:t xml:space="preserve">and utilize the natural resources are enshrined at the higher regulatory level (i.e. </w:t>
            </w:r>
            <w:r w:rsidRPr="00563D71">
              <w:rPr>
                <w:i/>
                <w:sz w:val="20"/>
                <w:szCs w:val="20"/>
              </w:rPr>
              <w:t>Undang-</w:t>
            </w:r>
            <w:r w:rsidR="00EF0971" w:rsidRPr="00563D71">
              <w:rPr>
                <w:i/>
                <w:sz w:val="20"/>
                <w:szCs w:val="20"/>
              </w:rPr>
              <w:t>u</w:t>
            </w:r>
            <w:r w:rsidRPr="00563D71">
              <w:rPr>
                <w:i/>
                <w:sz w:val="20"/>
                <w:szCs w:val="20"/>
              </w:rPr>
              <w:t>ndang</w:t>
            </w:r>
            <w:r w:rsidRPr="00563D71">
              <w:rPr>
                <w:sz w:val="20"/>
                <w:szCs w:val="20"/>
              </w:rPr>
              <w:t>/Law), laws around IPs often lack guiding regulations and such regulations often suffer from weak enforcement. Further specific guidelines for implementing the rights of the IPs and local community in harnessing, benefitting and managing natural resources and cultural heritage are not in place.</w:t>
            </w:r>
          </w:p>
        </w:tc>
      </w:tr>
      <w:tr w:rsidR="00C55C8A" w:rsidRPr="00563D71" w14:paraId="30C40E4E" w14:textId="77777777" w:rsidTr="0032029F">
        <w:trPr>
          <w:trHeight w:val="1455"/>
        </w:trPr>
        <w:tc>
          <w:tcPr>
            <w:tcW w:w="1096" w:type="pct"/>
            <w:tcBorders>
              <w:top w:val="single" w:sz="4" w:space="0" w:color="000000"/>
              <w:left w:val="single" w:sz="4" w:space="0" w:color="000000"/>
              <w:bottom w:val="single" w:sz="4" w:space="0" w:color="000000"/>
              <w:right w:val="single" w:sz="4" w:space="0" w:color="000000"/>
            </w:tcBorders>
          </w:tcPr>
          <w:p w14:paraId="5BC82BAC" w14:textId="36BAB13C" w:rsidR="00C55C8A" w:rsidRPr="00563D71" w:rsidRDefault="00C55C8A" w:rsidP="00C55C8A">
            <w:pPr>
              <w:ind w:left="365" w:right="9" w:hanging="360"/>
              <w:jc w:val="left"/>
              <w:rPr>
                <w:sz w:val="20"/>
              </w:rPr>
            </w:pPr>
            <w:r w:rsidRPr="00563D71">
              <w:lastRenderedPageBreak/>
              <w:t>(</w:t>
            </w:r>
            <w:r w:rsidRPr="00563D71">
              <w:rPr>
                <w:sz w:val="20"/>
                <w:szCs w:val="20"/>
              </w:rPr>
              <w:t>d) Give attention to groups vulnerable to hardship or disadvantage, including as relevant the poor, the disabled, women and children, the elderly, or marginalized ethnic groups; and, if necessary, take special measures to promote equitable access to the Program benefits</w:t>
            </w:r>
          </w:p>
        </w:tc>
        <w:tc>
          <w:tcPr>
            <w:tcW w:w="2674" w:type="pct"/>
            <w:gridSpan w:val="2"/>
            <w:tcBorders>
              <w:top w:val="single" w:sz="4" w:space="0" w:color="000000"/>
              <w:left w:val="single" w:sz="4" w:space="0" w:color="000000"/>
              <w:bottom w:val="single" w:sz="4" w:space="0" w:color="000000"/>
              <w:right w:val="single" w:sz="4" w:space="0" w:color="000000"/>
            </w:tcBorders>
          </w:tcPr>
          <w:p w14:paraId="3E71E031" w14:textId="337C02DF" w:rsidR="00C55C8A" w:rsidRPr="00563D71" w:rsidRDefault="00C55C8A" w:rsidP="00C55C8A">
            <w:pPr>
              <w:ind w:left="22" w:firstLine="0"/>
              <w:jc w:val="left"/>
              <w:rPr>
                <w:sz w:val="20"/>
                <w:szCs w:val="20"/>
              </w:rPr>
            </w:pPr>
            <w:bookmarkStart w:id="78" w:name="OLE_LINK70"/>
            <w:r w:rsidRPr="00563D71">
              <w:rPr>
                <w:sz w:val="20"/>
                <w:szCs w:val="20"/>
              </w:rPr>
              <w:t>Education Ministerial Regulation No. 27</w:t>
            </w:r>
            <w:r w:rsidR="00BF6A99" w:rsidRPr="00563D71">
              <w:rPr>
                <w:sz w:val="20"/>
                <w:szCs w:val="20"/>
              </w:rPr>
              <w:t xml:space="preserve"> Year </w:t>
            </w:r>
            <w:r w:rsidRPr="00563D71">
              <w:rPr>
                <w:sz w:val="20"/>
                <w:szCs w:val="20"/>
              </w:rPr>
              <w:t xml:space="preserve">2016 on Education Services for Faiths to God Almighty </w:t>
            </w:r>
            <w:bookmarkEnd w:id="78"/>
            <w:r w:rsidRPr="00563D71">
              <w:rPr>
                <w:sz w:val="20"/>
                <w:szCs w:val="20"/>
              </w:rPr>
              <w:t>provides a greater space for IPs to accommodate local faiths and religions in the mainstream education system. A new Directorate General on Indigenous Faiths is now embedded in the current structure of the Ministry of Education, which is a transfer from the Ministry of Tourism.</w:t>
            </w:r>
          </w:p>
          <w:p w14:paraId="31B28BCC" w14:textId="77777777" w:rsidR="00C55C8A" w:rsidRPr="00563D71" w:rsidRDefault="00C55C8A" w:rsidP="00C55C8A"/>
          <w:p w14:paraId="29A9DC57" w14:textId="0FCCB980" w:rsidR="00C55C8A" w:rsidRPr="00563D71" w:rsidRDefault="00C55C8A" w:rsidP="00C55C8A">
            <w:pPr>
              <w:ind w:left="22" w:firstLine="0"/>
              <w:jc w:val="left"/>
              <w:rPr>
                <w:sz w:val="20"/>
                <w:szCs w:val="20"/>
              </w:rPr>
            </w:pPr>
            <w:r w:rsidRPr="00563D71">
              <w:rPr>
                <w:sz w:val="20"/>
                <w:szCs w:val="20"/>
              </w:rPr>
              <w:t>Presidential Instruction No. 186</w:t>
            </w:r>
            <w:r w:rsidR="00BF6A99" w:rsidRPr="00563D71">
              <w:rPr>
                <w:sz w:val="20"/>
                <w:szCs w:val="20"/>
              </w:rPr>
              <w:t xml:space="preserve"> Year </w:t>
            </w:r>
            <w:r w:rsidRPr="00563D71">
              <w:rPr>
                <w:sz w:val="20"/>
                <w:szCs w:val="20"/>
              </w:rPr>
              <w:t>2014 and Ministerial Regulation No. 12</w:t>
            </w:r>
            <w:r w:rsidR="00BF6A99" w:rsidRPr="00563D71">
              <w:rPr>
                <w:sz w:val="20"/>
                <w:szCs w:val="20"/>
              </w:rPr>
              <w:t xml:space="preserve"> Year </w:t>
            </w:r>
            <w:r w:rsidRPr="00563D71">
              <w:rPr>
                <w:sz w:val="20"/>
                <w:szCs w:val="20"/>
              </w:rPr>
              <w:t>2015 on the guideline of empowerment for Isolated Customary Communities set out development measures for this subset group of IPs (IPs in remote areas) in the area of basic services, i.e. housing, employment, health, education, and welfare. A Directorate within the Ministry of Social Affairs was established to implement and oversee programs related to isolated IPs empowerment. Such programs are often aimed to mainstream IPs communities to be able to integrate with the general populations.</w:t>
            </w:r>
          </w:p>
          <w:p w14:paraId="294053B5" w14:textId="77777777" w:rsidR="00C55C8A" w:rsidRPr="00563D71" w:rsidRDefault="00C55C8A" w:rsidP="00C55C8A">
            <w:pPr>
              <w:ind w:left="22" w:firstLine="0"/>
              <w:jc w:val="left"/>
              <w:rPr>
                <w:sz w:val="20"/>
                <w:szCs w:val="20"/>
              </w:rPr>
            </w:pPr>
          </w:p>
        </w:tc>
        <w:tc>
          <w:tcPr>
            <w:tcW w:w="1230" w:type="pct"/>
            <w:tcBorders>
              <w:top w:val="single" w:sz="4" w:space="0" w:color="000000"/>
              <w:left w:val="single" w:sz="4" w:space="0" w:color="000000"/>
              <w:bottom w:val="single" w:sz="4" w:space="0" w:color="000000"/>
              <w:right w:val="single" w:sz="4" w:space="0" w:color="000000"/>
            </w:tcBorders>
          </w:tcPr>
          <w:p w14:paraId="37C42CD5" w14:textId="77777777" w:rsidR="00C55C8A" w:rsidRPr="00563D71" w:rsidRDefault="00C55C8A" w:rsidP="00C55C8A">
            <w:pPr>
              <w:ind w:left="22" w:firstLine="0"/>
              <w:jc w:val="left"/>
              <w:rPr>
                <w:sz w:val="20"/>
                <w:szCs w:val="20"/>
              </w:rPr>
            </w:pPr>
            <w:r w:rsidRPr="00563D71">
              <w:rPr>
                <w:sz w:val="20"/>
                <w:szCs w:val="20"/>
              </w:rPr>
              <w:t>To implement provisions in the current regulations i.e. education for IPs and other basic services, government agencies often suffer from resource constrains and lack of qualified personnel to deliver tailored services for IPs.</w:t>
            </w:r>
          </w:p>
          <w:p w14:paraId="0D1A010F" w14:textId="77777777" w:rsidR="00C55C8A" w:rsidRPr="00563D71" w:rsidRDefault="00C55C8A" w:rsidP="00C55C8A">
            <w:pPr>
              <w:ind w:left="22" w:firstLine="0"/>
              <w:jc w:val="left"/>
              <w:rPr>
                <w:sz w:val="20"/>
                <w:szCs w:val="20"/>
              </w:rPr>
            </w:pPr>
            <w:r w:rsidRPr="00563D71">
              <w:rPr>
                <w:sz w:val="20"/>
                <w:szCs w:val="20"/>
              </w:rPr>
              <w:t>To access government assistance, IPs are often required to obtain a legal personality (e.g. legally recognized groups, cooperatives, etc.) before their rights can be legally conferred. In addition, access to basic services is often constrained by the requirements for legal identification such as ID cards and birth certificates, which many IPs groups are not formally registered.</w:t>
            </w:r>
          </w:p>
          <w:p w14:paraId="39A758EB" w14:textId="77777777" w:rsidR="00C55C8A" w:rsidRPr="00563D71" w:rsidRDefault="00C55C8A" w:rsidP="00C55C8A">
            <w:pPr>
              <w:ind w:left="22" w:firstLine="0"/>
              <w:jc w:val="left"/>
              <w:rPr>
                <w:sz w:val="20"/>
                <w:szCs w:val="20"/>
              </w:rPr>
            </w:pPr>
          </w:p>
          <w:p w14:paraId="23D801A6" w14:textId="360925AE" w:rsidR="00C55C8A" w:rsidRPr="00563D71" w:rsidRDefault="00C55C8A" w:rsidP="00C55C8A">
            <w:pPr>
              <w:ind w:left="22" w:firstLine="0"/>
              <w:jc w:val="left"/>
              <w:rPr>
                <w:sz w:val="20"/>
                <w:szCs w:val="20"/>
              </w:rPr>
            </w:pPr>
            <w:r w:rsidRPr="00563D71">
              <w:rPr>
                <w:sz w:val="20"/>
                <w:szCs w:val="20"/>
              </w:rPr>
              <w:lastRenderedPageBreak/>
              <w:t>Measures introduced to empower IPs often lack the provisions for free, prior</w:t>
            </w:r>
            <w:r w:rsidR="002D54A7" w:rsidRPr="00563D71">
              <w:rPr>
                <w:sz w:val="20"/>
                <w:szCs w:val="20"/>
              </w:rPr>
              <w:t>,</w:t>
            </w:r>
            <w:r w:rsidRPr="00563D71">
              <w:rPr>
                <w:sz w:val="20"/>
                <w:szCs w:val="20"/>
              </w:rPr>
              <w:t xml:space="preserve"> and informed consultations and often hinge on the premise that IPs are primitive and backward and therefore need to be mainstreamed in the general populations. There is also lack of specific guidelines on FPIC. This has resulted in poor programming strategies and targeting.</w:t>
            </w:r>
          </w:p>
        </w:tc>
      </w:tr>
      <w:tr w:rsidR="00C133CC" w:rsidRPr="00563D71" w14:paraId="32EA3AB8" w14:textId="77777777" w:rsidTr="0032029F">
        <w:trPr>
          <w:trHeight w:val="490"/>
        </w:trPr>
        <w:tc>
          <w:tcPr>
            <w:tcW w:w="2397"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49E1304" w14:textId="5A11A952" w:rsidR="00C133CC" w:rsidRPr="00563D71" w:rsidRDefault="00C133CC">
            <w:pPr>
              <w:spacing w:line="259" w:lineRule="auto"/>
              <w:ind w:left="22" w:firstLine="0"/>
              <w:jc w:val="left"/>
              <w:rPr>
                <w:b/>
                <w:sz w:val="20"/>
              </w:rPr>
            </w:pPr>
            <w:r w:rsidRPr="00563D71">
              <w:rPr>
                <w:b/>
                <w:sz w:val="20"/>
              </w:rPr>
              <w:lastRenderedPageBreak/>
              <w:t>Actions and Opportunities</w:t>
            </w:r>
          </w:p>
        </w:tc>
        <w:tc>
          <w:tcPr>
            <w:tcW w:w="2603" w:type="pct"/>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4EF144B" w14:textId="729984CE" w:rsidR="00C133CC" w:rsidRPr="00563D71" w:rsidRDefault="00C133CC">
            <w:pPr>
              <w:spacing w:line="259" w:lineRule="auto"/>
              <w:ind w:left="22" w:firstLine="0"/>
              <w:jc w:val="left"/>
              <w:rPr>
                <w:b/>
                <w:sz w:val="20"/>
              </w:rPr>
            </w:pPr>
            <w:r w:rsidRPr="00563D71">
              <w:rPr>
                <w:b/>
                <w:sz w:val="20"/>
              </w:rPr>
              <w:t>Risks</w:t>
            </w:r>
          </w:p>
        </w:tc>
      </w:tr>
      <w:tr w:rsidR="00C133CC" w:rsidRPr="00563D71" w14:paraId="4A27C7E7" w14:textId="77777777" w:rsidTr="0032029F">
        <w:trPr>
          <w:trHeight w:val="93"/>
        </w:trPr>
        <w:tc>
          <w:tcPr>
            <w:tcW w:w="2397" w:type="pct"/>
            <w:gridSpan w:val="2"/>
            <w:tcBorders>
              <w:top w:val="single" w:sz="4" w:space="0" w:color="000000"/>
              <w:left w:val="single" w:sz="4" w:space="0" w:color="000000"/>
              <w:bottom w:val="single" w:sz="4" w:space="0" w:color="000000"/>
              <w:right w:val="single" w:sz="4" w:space="0" w:color="000000"/>
            </w:tcBorders>
          </w:tcPr>
          <w:p w14:paraId="0AC150DD" w14:textId="6BF95A81" w:rsidR="00CE0B9A" w:rsidRPr="00563D71" w:rsidRDefault="00CE0B9A" w:rsidP="00854FB5">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 xml:space="preserve">Integrated </w:t>
            </w:r>
            <w:r w:rsidR="00F00BCF" w:rsidRPr="00563D71">
              <w:rPr>
                <w:rFonts w:ascii="Times New Roman" w:hAnsi="Times New Roman" w:cs="Times New Roman"/>
                <w:sz w:val="20"/>
                <w:szCs w:val="20"/>
              </w:rPr>
              <w:t xml:space="preserve">Tourism </w:t>
            </w:r>
            <w:r w:rsidRPr="00563D71">
              <w:rPr>
                <w:rFonts w:ascii="Times New Roman" w:hAnsi="Times New Roman" w:cs="Times New Roman"/>
                <w:sz w:val="20"/>
                <w:szCs w:val="20"/>
              </w:rPr>
              <w:t>Master Plan</w:t>
            </w:r>
            <w:r w:rsidR="00830332" w:rsidRPr="00563D71">
              <w:rPr>
                <w:rFonts w:ascii="Times New Roman" w:hAnsi="Times New Roman" w:cs="Times New Roman"/>
                <w:sz w:val="20"/>
                <w:szCs w:val="20"/>
              </w:rPr>
              <w:t>s</w:t>
            </w:r>
            <w:r w:rsidRPr="00563D71">
              <w:rPr>
                <w:rFonts w:ascii="Times New Roman" w:hAnsi="Times New Roman" w:cs="Times New Roman"/>
                <w:sz w:val="20"/>
                <w:szCs w:val="20"/>
              </w:rPr>
              <w:t xml:space="preserve"> </w:t>
            </w:r>
            <w:r w:rsidR="0063216D" w:rsidRPr="00563D71">
              <w:rPr>
                <w:rFonts w:ascii="Times New Roman" w:hAnsi="Times New Roman" w:cs="Times New Roman"/>
                <w:sz w:val="20"/>
                <w:szCs w:val="20"/>
              </w:rPr>
              <w:t>ensure stakeholder engagement (including IPs</w:t>
            </w:r>
            <w:r w:rsidR="00E741AC" w:rsidRPr="00563D71">
              <w:rPr>
                <w:rFonts w:ascii="Times New Roman" w:hAnsi="Times New Roman" w:cs="Times New Roman"/>
                <w:sz w:val="20"/>
                <w:szCs w:val="20"/>
              </w:rPr>
              <w:t>, through free, prior, informed consultations that lead to broad community support</w:t>
            </w:r>
            <w:r w:rsidR="0063216D" w:rsidRPr="00563D71">
              <w:rPr>
                <w:rFonts w:ascii="Times New Roman" w:hAnsi="Times New Roman" w:cs="Times New Roman"/>
                <w:sz w:val="20"/>
                <w:szCs w:val="20"/>
              </w:rPr>
              <w:t>) throughout the master</w:t>
            </w:r>
            <w:r w:rsidR="00296969" w:rsidRPr="00563D71">
              <w:rPr>
                <w:rFonts w:ascii="Times New Roman" w:hAnsi="Times New Roman" w:cs="Times New Roman"/>
                <w:sz w:val="20"/>
                <w:szCs w:val="20"/>
              </w:rPr>
              <w:t xml:space="preserve"> </w:t>
            </w:r>
            <w:r w:rsidR="0063216D" w:rsidRPr="00563D71">
              <w:rPr>
                <w:rFonts w:ascii="Times New Roman" w:hAnsi="Times New Roman" w:cs="Times New Roman"/>
                <w:sz w:val="20"/>
                <w:szCs w:val="20"/>
              </w:rPr>
              <w:t xml:space="preserve">planning process and </w:t>
            </w:r>
            <w:r w:rsidR="00830332" w:rsidRPr="00563D71">
              <w:rPr>
                <w:rFonts w:ascii="Times New Roman" w:hAnsi="Times New Roman" w:cs="Times New Roman"/>
                <w:sz w:val="20"/>
                <w:szCs w:val="20"/>
              </w:rPr>
              <w:t>will address needs of and potential impacts on the IP</w:t>
            </w:r>
            <w:r w:rsidR="00E741AC" w:rsidRPr="00563D71">
              <w:rPr>
                <w:rFonts w:ascii="Times New Roman" w:hAnsi="Times New Roman" w:cs="Times New Roman"/>
                <w:sz w:val="20"/>
                <w:szCs w:val="20"/>
              </w:rPr>
              <w:t>s</w:t>
            </w:r>
            <w:r w:rsidRPr="00563D71">
              <w:rPr>
                <w:rFonts w:ascii="Times New Roman" w:hAnsi="Times New Roman" w:cs="Times New Roman"/>
                <w:sz w:val="20"/>
                <w:szCs w:val="20"/>
              </w:rPr>
              <w:t xml:space="preserve"> </w:t>
            </w:r>
            <w:r w:rsidR="00830332" w:rsidRPr="00563D71">
              <w:rPr>
                <w:rFonts w:ascii="Times New Roman" w:hAnsi="Times New Roman" w:cs="Times New Roman"/>
                <w:sz w:val="20"/>
                <w:szCs w:val="20"/>
              </w:rPr>
              <w:t>and will take into account potential tourism benefits from IP</w:t>
            </w:r>
            <w:r w:rsidR="00E741AC" w:rsidRPr="00563D71">
              <w:rPr>
                <w:rFonts w:ascii="Times New Roman" w:hAnsi="Times New Roman" w:cs="Times New Roman"/>
                <w:sz w:val="20"/>
                <w:szCs w:val="20"/>
              </w:rPr>
              <w:t>s</w:t>
            </w:r>
            <w:r w:rsidR="00830332" w:rsidRPr="00563D71">
              <w:rPr>
                <w:rFonts w:ascii="Times New Roman" w:hAnsi="Times New Roman" w:cs="Times New Roman"/>
                <w:sz w:val="20"/>
                <w:szCs w:val="20"/>
              </w:rPr>
              <w:t xml:space="preserve"> culture.</w:t>
            </w:r>
          </w:p>
          <w:p w14:paraId="1D94A783" w14:textId="77AA4467" w:rsidR="00830332" w:rsidRPr="00563D71" w:rsidRDefault="00830332" w:rsidP="00854FB5">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Asset monitoring and protection arrangement</w:t>
            </w:r>
            <w:r w:rsidR="002F1DBD" w:rsidRPr="00563D71">
              <w:rPr>
                <w:rFonts w:ascii="Times New Roman" w:hAnsi="Times New Roman" w:cs="Times New Roman"/>
                <w:sz w:val="20"/>
                <w:szCs w:val="20"/>
              </w:rPr>
              <w:t>s</w:t>
            </w:r>
            <w:r w:rsidRPr="00563D71">
              <w:rPr>
                <w:rFonts w:ascii="Times New Roman" w:hAnsi="Times New Roman" w:cs="Times New Roman"/>
                <w:sz w:val="20"/>
                <w:szCs w:val="20"/>
              </w:rPr>
              <w:t xml:space="preserve"> will provide for monitoring of Master Plan implementation and </w:t>
            </w:r>
            <w:r w:rsidR="002F1DBD" w:rsidRPr="00563D71">
              <w:rPr>
                <w:rFonts w:ascii="Times New Roman" w:hAnsi="Times New Roman" w:cs="Times New Roman"/>
                <w:sz w:val="20"/>
                <w:szCs w:val="20"/>
              </w:rPr>
              <w:t xml:space="preserve">their </w:t>
            </w:r>
            <w:r w:rsidRPr="00563D71">
              <w:rPr>
                <w:rFonts w:ascii="Times New Roman" w:hAnsi="Times New Roman" w:cs="Times New Roman"/>
                <w:sz w:val="20"/>
                <w:szCs w:val="20"/>
              </w:rPr>
              <w:t>impacts on IPs and vulnerable groups.</w:t>
            </w:r>
          </w:p>
          <w:p w14:paraId="051D20AB" w14:textId="5811E8DE" w:rsidR="00F048E8" w:rsidRPr="00563D71" w:rsidRDefault="00CE0B9A" w:rsidP="00854FB5">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Stakeholder</w:t>
            </w:r>
            <w:r w:rsidR="009B51EA" w:rsidRPr="00563D71">
              <w:rPr>
                <w:rFonts w:ascii="Times New Roman" w:hAnsi="Times New Roman" w:cs="Times New Roman"/>
                <w:sz w:val="20"/>
                <w:szCs w:val="20"/>
              </w:rPr>
              <w:t xml:space="preserve"> agencies</w:t>
            </w:r>
            <w:r w:rsidRPr="00563D71">
              <w:rPr>
                <w:rFonts w:ascii="Times New Roman" w:hAnsi="Times New Roman" w:cs="Times New Roman"/>
                <w:sz w:val="20"/>
                <w:szCs w:val="20"/>
              </w:rPr>
              <w:t xml:space="preserve"> </w:t>
            </w:r>
            <w:r w:rsidR="00830332" w:rsidRPr="00563D71">
              <w:rPr>
                <w:rFonts w:ascii="Times New Roman" w:hAnsi="Times New Roman" w:cs="Times New Roman"/>
                <w:sz w:val="20"/>
                <w:szCs w:val="20"/>
              </w:rPr>
              <w:t>implementing</w:t>
            </w:r>
            <w:r w:rsidRPr="00563D71">
              <w:rPr>
                <w:rFonts w:ascii="Times New Roman" w:hAnsi="Times New Roman" w:cs="Times New Roman"/>
                <w:sz w:val="20"/>
                <w:szCs w:val="20"/>
              </w:rPr>
              <w:t xml:space="preserve"> the investment</w:t>
            </w:r>
            <w:r w:rsidR="009B51EA" w:rsidRPr="00563D71">
              <w:rPr>
                <w:rFonts w:ascii="Times New Roman" w:hAnsi="Times New Roman" w:cs="Times New Roman"/>
                <w:sz w:val="20"/>
                <w:szCs w:val="20"/>
              </w:rPr>
              <w:t>s</w:t>
            </w:r>
            <w:r w:rsidRPr="00563D71">
              <w:rPr>
                <w:rFonts w:ascii="Times New Roman" w:hAnsi="Times New Roman" w:cs="Times New Roman"/>
                <w:sz w:val="20"/>
                <w:szCs w:val="20"/>
              </w:rPr>
              <w:t xml:space="preserve"> in the Master Plan</w:t>
            </w:r>
            <w:r w:rsidR="002F1DBD" w:rsidRPr="00563D71">
              <w:rPr>
                <w:rFonts w:ascii="Times New Roman" w:hAnsi="Times New Roman" w:cs="Times New Roman"/>
                <w:sz w:val="20"/>
                <w:szCs w:val="20"/>
              </w:rPr>
              <w:t>s</w:t>
            </w:r>
            <w:r w:rsidRPr="00563D71">
              <w:rPr>
                <w:rFonts w:ascii="Times New Roman" w:hAnsi="Times New Roman" w:cs="Times New Roman"/>
                <w:sz w:val="20"/>
                <w:szCs w:val="20"/>
              </w:rPr>
              <w:t xml:space="preserve"> should ensure that </w:t>
            </w:r>
            <w:r w:rsidR="00830332" w:rsidRPr="00563D71">
              <w:rPr>
                <w:rFonts w:ascii="Times New Roman" w:hAnsi="Times New Roman" w:cs="Times New Roman"/>
                <w:sz w:val="20"/>
                <w:szCs w:val="20"/>
              </w:rPr>
              <w:t>the concerns and needs of IPs and vulnerable groups are taken into account in designs and budgets</w:t>
            </w:r>
            <w:r w:rsidR="00E741AC" w:rsidRPr="00563D71">
              <w:rPr>
                <w:rFonts w:ascii="Times New Roman" w:hAnsi="Times New Roman" w:cs="Times New Roman"/>
                <w:sz w:val="20"/>
                <w:szCs w:val="20"/>
              </w:rPr>
              <w:t xml:space="preserve"> based on </w:t>
            </w:r>
            <w:r w:rsidR="00B836BC" w:rsidRPr="00563D71">
              <w:rPr>
                <w:rFonts w:ascii="Times New Roman" w:hAnsi="Times New Roman" w:cs="Times New Roman"/>
                <w:sz w:val="20"/>
                <w:szCs w:val="20"/>
              </w:rPr>
              <w:t xml:space="preserve">a social assessment and plan developed with </w:t>
            </w:r>
            <w:r w:rsidR="00E741AC" w:rsidRPr="00563D71">
              <w:rPr>
                <w:rFonts w:ascii="Times New Roman" w:hAnsi="Times New Roman" w:cs="Times New Roman"/>
                <w:sz w:val="20"/>
                <w:szCs w:val="20"/>
              </w:rPr>
              <w:t xml:space="preserve">free, prior, informed consultations that lead to broad community support </w:t>
            </w:r>
            <w:r w:rsidR="00307653" w:rsidRPr="00563D71">
              <w:rPr>
                <w:rFonts w:ascii="Times New Roman" w:hAnsi="Times New Roman" w:cs="Times New Roman"/>
                <w:sz w:val="20"/>
                <w:szCs w:val="20"/>
              </w:rPr>
              <w:t>ensuring the cultural appropriateness of, and equitable access to, Program benefits</w:t>
            </w:r>
            <w:r w:rsidR="00E741AC" w:rsidRPr="00563D71">
              <w:rPr>
                <w:rFonts w:ascii="Times New Roman" w:hAnsi="Times New Roman" w:cs="Times New Roman"/>
                <w:sz w:val="20"/>
                <w:szCs w:val="20"/>
              </w:rPr>
              <w:t xml:space="preserve"> </w:t>
            </w:r>
          </w:p>
          <w:p w14:paraId="09632038" w14:textId="48CFA872" w:rsidR="00C133CC" w:rsidRPr="00563D71" w:rsidRDefault="00F048E8" w:rsidP="00B344F2">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 xml:space="preserve">Training and assistance for the involved agencies implementing the investment in </w:t>
            </w:r>
            <w:r w:rsidR="00B344F2" w:rsidRPr="00563D71">
              <w:rPr>
                <w:rFonts w:ascii="Times New Roman" w:hAnsi="Times New Roman" w:cs="Times New Roman"/>
                <w:sz w:val="20"/>
                <w:szCs w:val="20"/>
              </w:rPr>
              <w:t>areas where there is IPs presence</w:t>
            </w:r>
            <w:r w:rsidRPr="00563D71">
              <w:rPr>
                <w:rFonts w:ascii="Times New Roman" w:hAnsi="Times New Roman" w:cs="Times New Roman"/>
                <w:sz w:val="20"/>
                <w:szCs w:val="20"/>
              </w:rPr>
              <w:t xml:space="preserve"> </w:t>
            </w:r>
            <w:r w:rsidR="00B344F2" w:rsidRPr="00563D71">
              <w:rPr>
                <w:rFonts w:ascii="Times New Roman" w:hAnsi="Times New Roman" w:cs="Times New Roman"/>
                <w:sz w:val="20"/>
                <w:szCs w:val="20"/>
              </w:rPr>
              <w:t xml:space="preserve">in </w:t>
            </w:r>
            <w:r w:rsidRPr="00563D71">
              <w:rPr>
                <w:rFonts w:ascii="Times New Roman" w:hAnsi="Times New Roman" w:cs="Times New Roman"/>
                <w:sz w:val="20"/>
                <w:szCs w:val="20"/>
              </w:rPr>
              <w:t xml:space="preserve">carrying out free, prior, informed consultations that lead to broad community support to the Program </w:t>
            </w:r>
            <w:r w:rsidR="00FF1892" w:rsidRPr="00563D71">
              <w:rPr>
                <w:rFonts w:ascii="Times New Roman" w:hAnsi="Times New Roman" w:cs="Times New Roman"/>
                <w:sz w:val="20"/>
                <w:szCs w:val="20"/>
              </w:rPr>
              <w:t xml:space="preserve">during the social assessment </w:t>
            </w:r>
            <w:r w:rsidRPr="00563D71">
              <w:rPr>
                <w:rFonts w:ascii="Times New Roman" w:hAnsi="Times New Roman" w:cs="Times New Roman"/>
                <w:sz w:val="20"/>
                <w:szCs w:val="20"/>
              </w:rPr>
              <w:t xml:space="preserve">and to empower </w:t>
            </w:r>
            <w:r w:rsidR="00FF1892" w:rsidRPr="00563D71">
              <w:rPr>
                <w:rFonts w:ascii="Times New Roman" w:hAnsi="Times New Roman" w:cs="Times New Roman"/>
                <w:sz w:val="20"/>
                <w:szCs w:val="20"/>
              </w:rPr>
              <w:t xml:space="preserve">the </w:t>
            </w:r>
            <w:r w:rsidRPr="00563D71">
              <w:rPr>
                <w:rFonts w:ascii="Times New Roman" w:hAnsi="Times New Roman" w:cs="Times New Roman"/>
                <w:sz w:val="20"/>
                <w:szCs w:val="20"/>
              </w:rPr>
              <w:t>affected IPs in benefitting from the Program</w:t>
            </w:r>
            <w:r w:rsidR="00FF1892" w:rsidRPr="00563D71">
              <w:rPr>
                <w:rFonts w:ascii="Times New Roman" w:hAnsi="Times New Roman" w:cs="Times New Roman"/>
                <w:sz w:val="20"/>
                <w:szCs w:val="20"/>
              </w:rPr>
              <w:t xml:space="preserve"> and address potential impacts through the development of an Indigenous Peoples Plan.</w:t>
            </w:r>
          </w:p>
          <w:p w14:paraId="480AA631" w14:textId="6F3148F2" w:rsidR="00B836BC" w:rsidRPr="00563D71" w:rsidRDefault="00307653" w:rsidP="004600CB">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eastAsia="Calibri" w:hAnsi="Times New Roman" w:cs="Times New Roman"/>
                <w:sz w:val="20"/>
                <w:szCs w:val="20"/>
              </w:rPr>
              <w:t>Under R</w:t>
            </w:r>
            <w:r w:rsidR="00B344F2" w:rsidRPr="00563D71">
              <w:rPr>
                <w:rFonts w:ascii="Times New Roman" w:eastAsia="Calibri" w:hAnsi="Times New Roman" w:cs="Times New Roman"/>
                <w:sz w:val="20"/>
                <w:szCs w:val="20"/>
              </w:rPr>
              <w:t>esults Area 4</w:t>
            </w:r>
            <w:r w:rsidRPr="00563D71">
              <w:rPr>
                <w:rFonts w:ascii="Times New Roman" w:eastAsia="Calibri" w:hAnsi="Times New Roman" w:cs="Times New Roman"/>
                <w:sz w:val="20"/>
                <w:szCs w:val="20"/>
              </w:rPr>
              <w:t xml:space="preserve">, as part of the awareness and capacity building activities, the Program will support the </w:t>
            </w:r>
            <w:r w:rsidR="00B836BC" w:rsidRPr="00563D71">
              <w:rPr>
                <w:rFonts w:ascii="Times New Roman" w:eastAsia="Calibri" w:hAnsi="Times New Roman" w:cs="Times New Roman"/>
                <w:sz w:val="20"/>
                <w:szCs w:val="20"/>
              </w:rPr>
              <w:t xml:space="preserve">development of </w:t>
            </w:r>
            <w:r w:rsidR="00B344F2" w:rsidRPr="00563D71">
              <w:rPr>
                <w:rFonts w:ascii="Times New Roman" w:eastAsia="Calibri" w:hAnsi="Times New Roman" w:cs="Times New Roman"/>
                <w:sz w:val="20"/>
                <w:szCs w:val="20"/>
              </w:rPr>
              <w:t>a</w:t>
            </w:r>
            <w:r w:rsidR="00B71CC4" w:rsidRPr="00563D71">
              <w:rPr>
                <w:rFonts w:ascii="Times New Roman" w:eastAsia="Calibri" w:hAnsi="Times New Roman" w:cs="Times New Roman"/>
                <w:sz w:val="20"/>
                <w:szCs w:val="20"/>
              </w:rPr>
              <w:t xml:space="preserve"> practical tool/guidance</w:t>
            </w:r>
            <w:r w:rsidR="00B836BC" w:rsidRPr="00563D71">
              <w:rPr>
                <w:rFonts w:ascii="Times New Roman" w:eastAsia="Calibri" w:hAnsi="Times New Roman" w:cs="Times New Roman"/>
                <w:sz w:val="20"/>
                <w:szCs w:val="20"/>
              </w:rPr>
              <w:t xml:space="preserve"> </w:t>
            </w:r>
            <w:r w:rsidR="003B4320" w:rsidRPr="00563D71">
              <w:rPr>
                <w:rFonts w:ascii="Times New Roman" w:eastAsia="Calibri" w:hAnsi="Times New Roman" w:cs="Times New Roman"/>
                <w:sz w:val="20"/>
                <w:szCs w:val="20"/>
              </w:rPr>
              <w:t>tailored for the tourism development program</w:t>
            </w:r>
            <w:r w:rsidR="00B344F2" w:rsidRPr="00563D71">
              <w:rPr>
                <w:rFonts w:ascii="Times New Roman" w:eastAsia="Calibri" w:hAnsi="Times New Roman" w:cs="Times New Roman"/>
                <w:sz w:val="20"/>
                <w:szCs w:val="20"/>
              </w:rPr>
              <w:t xml:space="preserve"> </w:t>
            </w:r>
            <w:r w:rsidR="00B836BC" w:rsidRPr="00563D71">
              <w:rPr>
                <w:rFonts w:ascii="Times New Roman" w:eastAsia="Calibri" w:hAnsi="Times New Roman" w:cs="Times New Roman"/>
                <w:sz w:val="20"/>
                <w:szCs w:val="20"/>
              </w:rPr>
              <w:t xml:space="preserve">to implement free, prior, informed consultations that lead to broad community support and empower IPs so that they will benefit from </w:t>
            </w:r>
            <w:r w:rsidR="00B836BC" w:rsidRPr="00563D71">
              <w:rPr>
                <w:rFonts w:ascii="Times New Roman" w:eastAsia="Calibri" w:hAnsi="Times New Roman" w:cs="Times New Roman"/>
                <w:sz w:val="20"/>
                <w:szCs w:val="20"/>
              </w:rPr>
              <w:lastRenderedPageBreak/>
              <w:t>the Program</w:t>
            </w:r>
            <w:r w:rsidR="00F048E8" w:rsidRPr="00563D71">
              <w:rPr>
                <w:rFonts w:ascii="Times New Roman" w:eastAsia="Calibri" w:hAnsi="Times New Roman" w:cs="Times New Roman"/>
                <w:sz w:val="20"/>
                <w:szCs w:val="20"/>
              </w:rPr>
              <w:t xml:space="preserve"> as operationalization of relevant sectoral laws and regulations.</w:t>
            </w:r>
          </w:p>
          <w:p w14:paraId="22A6E556" w14:textId="4C9D4270" w:rsidR="0063216D" w:rsidRPr="00563D71" w:rsidRDefault="0063216D" w:rsidP="00854FB5">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eastAsia="Calibri" w:hAnsi="Times New Roman" w:cs="Times New Roman"/>
                <w:sz w:val="20"/>
                <w:szCs w:val="20"/>
              </w:rPr>
              <w:t xml:space="preserve">As part of the local community satisfaction surveys (under </w:t>
            </w:r>
            <w:r w:rsidR="00F24565" w:rsidRPr="00563D71">
              <w:rPr>
                <w:rFonts w:ascii="Times New Roman" w:eastAsia="Calibri" w:hAnsi="Times New Roman" w:cs="Times New Roman"/>
                <w:sz w:val="20"/>
                <w:szCs w:val="20"/>
              </w:rPr>
              <w:t>RA4, where increased satisfaction is aimed for</w:t>
            </w:r>
            <w:r w:rsidR="00296969" w:rsidRPr="00563D71">
              <w:rPr>
                <w:rFonts w:ascii="Times New Roman" w:eastAsia="Calibri" w:hAnsi="Times New Roman" w:cs="Times New Roman"/>
                <w:sz w:val="20"/>
                <w:szCs w:val="20"/>
              </w:rPr>
              <w:t xml:space="preserve"> over the Program period</w:t>
            </w:r>
            <w:r w:rsidR="00F24565" w:rsidRPr="00563D71">
              <w:rPr>
                <w:rFonts w:ascii="Times New Roman" w:eastAsia="Calibri" w:hAnsi="Times New Roman" w:cs="Times New Roman"/>
                <w:sz w:val="20"/>
                <w:szCs w:val="20"/>
              </w:rPr>
              <w:t xml:space="preserve">), sufficient IPs will be included to monitor their satisfaction as well. </w:t>
            </w:r>
            <w:r w:rsidR="0004727C" w:rsidRPr="00563D71">
              <w:rPr>
                <w:rFonts w:ascii="Times New Roman" w:hAnsi="Times New Roman" w:cs="Times New Roman"/>
                <w:sz w:val="20"/>
                <w:szCs w:val="20"/>
              </w:rPr>
              <w:t xml:space="preserve">Increased community </w:t>
            </w:r>
            <w:r w:rsidR="0004727C" w:rsidRPr="00563D71">
              <w:rPr>
                <w:rFonts w:ascii="Times New Roman" w:eastAsia="Calibri" w:hAnsi="Times New Roman" w:cs="Times New Roman"/>
                <w:sz w:val="20"/>
                <w:szCs w:val="20"/>
              </w:rPr>
              <w:t xml:space="preserve">satisfaction is one of Program results indicators, and includes </w:t>
            </w:r>
            <w:r w:rsidR="0004727C" w:rsidRPr="00563D71">
              <w:rPr>
                <w:rFonts w:ascii="Times New Roman" w:eastAsiaTheme="minorHAnsi" w:hAnsi="Times New Roman" w:cs="Times New Roman"/>
                <w:sz w:val="20"/>
                <w:szCs w:val="20"/>
              </w:rPr>
              <w:t xml:space="preserve">perceived benefits received from tourism (individual or community benefits, economic or social benefits, conservation of traditions, etc.), changes in socio-economic conditions (e.g. prices, access to resources, traditional values), changes in environmental conditions (improvement or degradation), </w:t>
            </w:r>
            <w:r w:rsidR="002F1DBD" w:rsidRPr="00563D71">
              <w:rPr>
                <w:rFonts w:ascii="Times New Roman" w:eastAsiaTheme="minorHAnsi" w:hAnsi="Times New Roman" w:cs="Times New Roman"/>
                <w:sz w:val="20"/>
                <w:szCs w:val="20"/>
              </w:rPr>
              <w:t xml:space="preserve">and </w:t>
            </w:r>
            <w:r w:rsidR="0004727C" w:rsidRPr="00563D71">
              <w:rPr>
                <w:rFonts w:ascii="Times New Roman" w:eastAsiaTheme="minorHAnsi" w:hAnsi="Times New Roman" w:cs="Times New Roman"/>
                <w:sz w:val="20"/>
                <w:szCs w:val="20"/>
              </w:rPr>
              <w:t>interaction with tourists.</w:t>
            </w:r>
            <w:r w:rsidR="0004727C" w:rsidRPr="00563D71">
              <w:rPr>
                <w:rStyle w:val="FootnoteReference"/>
                <w:rFonts w:ascii="Times New Roman" w:eastAsiaTheme="minorHAnsi" w:hAnsi="Times New Roman" w:cs="Times New Roman"/>
                <w:sz w:val="20"/>
                <w:szCs w:val="20"/>
              </w:rPr>
              <w:footnoteReference w:id="49"/>
            </w:r>
          </w:p>
          <w:p w14:paraId="1B81FE64" w14:textId="35655D4A" w:rsidR="00CC1830" w:rsidRPr="00563D71" w:rsidRDefault="00135C34" w:rsidP="00D340AC">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MPWH (</w:t>
            </w:r>
            <w:r w:rsidR="00CC1830" w:rsidRPr="00563D71">
              <w:rPr>
                <w:rFonts w:ascii="Times New Roman" w:hAnsi="Times New Roman" w:cs="Times New Roman"/>
                <w:sz w:val="20"/>
                <w:szCs w:val="20"/>
              </w:rPr>
              <w:t>RIDA</w:t>
            </w:r>
            <w:r w:rsidRPr="00563D71">
              <w:rPr>
                <w:rFonts w:ascii="Times New Roman" w:hAnsi="Times New Roman" w:cs="Times New Roman"/>
                <w:sz w:val="20"/>
                <w:szCs w:val="20"/>
              </w:rPr>
              <w:t>)</w:t>
            </w:r>
            <w:r w:rsidR="00CC1830" w:rsidRPr="00563D71">
              <w:rPr>
                <w:rFonts w:ascii="Times New Roman" w:hAnsi="Times New Roman" w:cs="Times New Roman"/>
                <w:sz w:val="20"/>
                <w:szCs w:val="20"/>
              </w:rPr>
              <w:t xml:space="preserve"> </w:t>
            </w:r>
            <w:r w:rsidR="006A3E26" w:rsidRPr="00563D71">
              <w:rPr>
                <w:rFonts w:ascii="Times New Roman" w:hAnsi="Times New Roman" w:cs="Times New Roman"/>
                <w:sz w:val="20"/>
                <w:szCs w:val="20"/>
              </w:rPr>
              <w:t xml:space="preserve">with the assistance of the Program Management Support Consultant </w:t>
            </w:r>
            <w:r w:rsidR="00CC1830" w:rsidRPr="00563D71">
              <w:rPr>
                <w:rFonts w:ascii="Times New Roman" w:hAnsi="Times New Roman" w:cs="Times New Roman"/>
                <w:sz w:val="20"/>
                <w:szCs w:val="20"/>
              </w:rPr>
              <w:t xml:space="preserve">will </w:t>
            </w:r>
            <w:r w:rsidR="006A3E26" w:rsidRPr="00563D71">
              <w:rPr>
                <w:rFonts w:ascii="Times New Roman" w:hAnsi="Times New Roman" w:cs="Times New Roman"/>
                <w:sz w:val="20"/>
                <w:szCs w:val="20"/>
              </w:rPr>
              <w:t>assist and facilitate the collaborative efforts of various agencies responsible for IPs empowerment</w:t>
            </w:r>
            <w:r w:rsidRPr="00563D71">
              <w:rPr>
                <w:rFonts w:ascii="Times New Roman" w:hAnsi="Times New Roman" w:cs="Times New Roman"/>
                <w:sz w:val="20"/>
                <w:szCs w:val="20"/>
              </w:rPr>
              <w:t>.</w:t>
            </w:r>
          </w:p>
          <w:p w14:paraId="38F5FF76" w14:textId="53E1E102" w:rsidR="00EC3328" w:rsidRPr="00563D71" w:rsidRDefault="00F24565" w:rsidP="00D340AC">
            <w:pPr>
              <w:pStyle w:val="ListParagraph"/>
              <w:numPr>
                <w:ilvl w:val="0"/>
                <w:numId w:val="26"/>
              </w:numPr>
              <w:spacing w:after="0" w:line="240" w:lineRule="auto"/>
              <w:jc w:val="left"/>
              <w:rPr>
                <w:rFonts w:ascii="Times New Roman" w:hAnsi="Times New Roman" w:cs="Times New Roman"/>
                <w:sz w:val="20"/>
                <w:szCs w:val="20"/>
              </w:rPr>
            </w:pPr>
            <w:r w:rsidRPr="00563D71">
              <w:rPr>
                <w:rFonts w:ascii="Times New Roman" w:eastAsia="Calibri" w:hAnsi="Times New Roman" w:cs="Times New Roman"/>
                <w:sz w:val="20"/>
                <w:szCs w:val="20"/>
              </w:rPr>
              <w:t xml:space="preserve">IPs are </w:t>
            </w:r>
            <w:r w:rsidR="008771E7" w:rsidRPr="00563D71">
              <w:rPr>
                <w:rFonts w:ascii="Times New Roman" w:eastAsia="Calibri" w:hAnsi="Times New Roman" w:cs="Times New Roman"/>
                <w:sz w:val="20"/>
                <w:szCs w:val="20"/>
              </w:rPr>
              <w:t xml:space="preserve">part of </w:t>
            </w:r>
            <w:r w:rsidRPr="00563D71">
              <w:rPr>
                <w:rFonts w:ascii="Times New Roman" w:eastAsia="Calibri" w:hAnsi="Times New Roman" w:cs="Times New Roman"/>
                <w:sz w:val="20"/>
                <w:szCs w:val="20"/>
              </w:rPr>
              <w:t>the “</w:t>
            </w:r>
            <w:r w:rsidRPr="00563D71">
              <w:rPr>
                <w:rFonts w:ascii="Times New Roman" w:eastAsia="Calibri" w:hAnsi="Times New Roman" w:cs="Times New Roman"/>
                <w:i/>
                <w:sz w:val="20"/>
                <w:szCs w:val="20"/>
              </w:rPr>
              <w:t>sadar wisata</w:t>
            </w:r>
            <w:r w:rsidRPr="00563D71">
              <w:rPr>
                <w:rFonts w:ascii="Times New Roman" w:eastAsia="Calibri" w:hAnsi="Times New Roman" w:cs="Times New Roman"/>
                <w:sz w:val="20"/>
                <w:szCs w:val="20"/>
              </w:rPr>
              <w:t xml:space="preserve">” </w:t>
            </w:r>
            <w:r w:rsidR="00296969" w:rsidRPr="00563D71">
              <w:rPr>
                <w:rFonts w:ascii="Times New Roman" w:eastAsia="Calibri" w:hAnsi="Times New Roman" w:cs="Times New Roman"/>
                <w:sz w:val="20"/>
                <w:szCs w:val="20"/>
              </w:rPr>
              <w:t>tourism awareness</w:t>
            </w:r>
            <w:r w:rsidR="0073114C" w:rsidRPr="00563D71">
              <w:rPr>
                <w:rFonts w:ascii="Times New Roman" w:eastAsia="Calibri" w:hAnsi="Times New Roman" w:cs="Times New Roman"/>
                <w:sz w:val="20"/>
                <w:szCs w:val="20"/>
              </w:rPr>
              <w:t>-</w:t>
            </w:r>
            <w:r w:rsidR="00296969" w:rsidRPr="00563D71">
              <w:rPr>
                <w:rFonts w:ascii="Times New Roman" w:eastAsia="Calibri" w:hAnsi="Times New Roman" w:cs="Times New Roman"/>
                <w:sz w:val="20"/>
                <w:szCs w:val="20"/>
              </w:rPr>
              <w:t xml:space="preserve">raising </w:t>
            </w:r>
            <w:r w:rsidRPr="00563D71">
              <w:rPr>
                <w:rFonts w:ascii="Times New Roman" w:eastAsia="Calibri" w:hAnsi="Times New Roman" w:cs="Times New Roman"/>
                <w:sz w:val="20"/>
                <w:szCs w:val="20"/>
              </w:rPr>
              <w:t>programs</w:t>
            </w:r>
            <w:r w:rsidR="008771E7" w:rsidRPr="00563D71">
              <w:rPr>
                <w:rFonts w:ascii="Times New Roman" w:eastAsia="Calibri" w:hAnsi="Times New Roman" w:cs="Times New Roman"/>
                <w:sz w:val="20"/>
                <w:szCs w:val="20"/>
              </w:rPr>
              <w:t xml:space="preserve">. </w:t>
            </w:r>
          </w:p>
        </w:tc>
        <w:tc>
          <w:tcPr>
            <w:tcW w:w="2603" w:type="pct"/>
            <w:gridSpan w:val="2"/>
            <w:tcBorders>
              <w:top w:val="single" w:sz="4" w:space="0" w:color="000000"/>
              <w:left w:val="single" w:sz="4" w:space="0" w:color="000000"/>
              <w:bottom w:val="single" w:sz="4" w:space="0" w:color="000000"/>
              <w:right w:val="single" w:sz="4" w:space="0" w:color="000000"/>
            </w:tcBorders>
          </w:tcPr>
          <w:p w14:paraId="556D7C5B" w14:textId="530B1BB4" w:rsidR="00BB6374" w:rsidRPr="00563D71" w:rsidRDefault="00BB6374" w:rsidP="0091098A">
            <w:pPr>
              <w:pStyle w:val="ListParagraph"/>
              <w:numPr>
                <w:ilvl w:val="0"/>
                <w:numId w:val="27"/>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lastRenderedPageBreak/>
              <w:t xml:space="preserve">Indigenous Peoples and/or vulnerable groups are excluded from the planning process and implementation stage of the </w:t>
            </w:r>
            <w:r w:rsidR="0073114C" w:rsidRPr="00563D71">
              <w:rPr>
                <w:rFonts w:ascii="Times New Roman" w:hAnsi="Times New Roman" w:cs="Times New Roman"/>
                <w:sz w:val="20"/>
                <w:szCs w:val="20"/>
              </w:rPr>
              <w:t>P</w:t>
            </w:r>
            <w:r w:rsidRPr="00563D71">
              <w:rPr>
                <w:rFonts w:ascii="Times New Roman" w:hAnsi="Times New Roman" w:cs="Times New Roman"/>
                <w:sz w:val="20"/>
                <w:szCs w:val="20"/>
              </w:rPr>
              <w:t>rogram, and therefore may not get fair and proper benefits from the tourism development.</w:t>
            </w:r>
          </w:p>
          <w:p w14:paraId="14A5722D" w14:textId="6626D4A8" w:rsidR="00C133CC" w:rsidRPr="00563D71" w:rsidRDefault="00BB6374" w:rsidP="00854FB5">
            <w:pPr>
              <w:pStyle w:val="ListParagraph"/>
              <w:numPr>
                <w:ilvl w:val="0"/>
                <w:numId w:val="27"/>
              </w:numPr>
              <w:spacing w:after="0" w:line="240" w:lineRule="auto"/>
              <w:jc w:val="left"/>
              <w:rPr>
                <w:sz w:val="20"/>
                <w:szCs w:val="20"/>
              </w:rPr>
            </w:pPr>
            <w:r w:rsidRPr="00563D71">
              <w:rPr>
                <w:rFonts w:ascii="Times New Roman" w:hAnsi="Times New Roman" w:cs="Times New Roman"/>
                <w:sz w:val="20"/>
                <w:szCs w:val="20"/>
              </w:rPr>
              <w:t xml:space="preserve">IPs may only be adversely affected by the </w:t>
            </w:r>
            <w:r w:rsidR="0073114C" w:rsidRPr="00563D71">
              <w:rPr>
                <w:rFonts w:ascii="Times New Roman" w:hAnsi="Times New Roman" w:cs="Times New Roman"/>
                <w:sz w:val="20"/>
                <w:szCs w:val="20"/>
              </w:rPr>
              <w:t>P</w:t>
            </w:r>
            <w:r w:rsidRPr="00563D71">
              <w:rPr>
                <w:rFonts w:ascii="Times New Roman" w:hAnsi="Times New Roman" w:cs="Times New Roman"/>
                <w:sz w:val="20"/>
                <w:szCs w:val="20"/>
              </w:rPr>
              <w:t>rogram without proper compensation. Physical assets, livelihoods</w:t>
            </w:r>
            <w:r w:rsidR="0091098A" w:rsidRPr="00563D71">
              <w:rPr>
                <w:rFonts w:ascii="Times New Roman" w:hAnsi="Times New Roman" w:cs="Times New Roman"/>
                <w:sz w:val="20"/>
                <w:szCs w:val="20"/>
              </w:rPr>
              <w:t>,</w:t>
            </w:r>
            <w:r w:rsidRPr="00563D71">
              <w:rPr>
                <w:rFonts w:ascii="Times New Roman" w:hAnsi="Times New Roman" w:cs="Times New Roman"/>
                <w:sz w:val="20"/>
                <w:szCs w:val="20"/>
              </w:rPr>
              <w:t xml:space="preserve"> and cultural values may degrade due to the tourism development. Access to natural resources that the IPs depend on for their living and customary practicing may become limited or more restricted due to tourism development.</w:t>
            </w:r>
          </w:p>
          <w:p w14:paraId="7AB925C4" w14:textId="425846C5" w:rsidR="00FF1892" w:rsidRPr="00563D71" w:rsidRDefault="00FF1892" w:rsidP="00854FB5">
            <w:pPr>
              <w:pStyle w:val="ListParagraph"/>
              <w:numPr>
                <w:ilvl w:val="0"/>
                <w:numId w:val="27"/>
              </w:numPr>
              <w:spacing w:after="0" w:line="240" w:lineRule="auto"/>
              <w:jc w:val="left"/>
              <w:rPr>
                <w:sz w:val="20"/>
                <w:szCs w:val="20"/>
              </w:rPr>
            </w:pPr>
            <w:r w:rsidRPr="00563D71">
              <w:rPr>
                <w:rFonts w:ascii="Times New Roman" w:hAnsi="Times New Roman" w:cs="Times New Roman"/>
                <w:sz w:val="20"/>
                <w:szCs w:val="20"/>
              </w:rPr>
              <w:t>Coordination and collaborative synergy among sectors may not be effective in ensuring that IPs are fully included in the Program, due to the sectoral nature of the institutional arrangements governing the recognition and empowerment of IPs.</w:t>
            </w:r>
          </w:p>
          <w:p w14:paraId="31D3372C" w14:textId="6A30600A" w:rsidR="00FF1892" w:rsidRPr="00563D71" w:rsidRDefault="00FF1892" w:rsidP="0032029F">
            <w:pPr>
              <w:jc w:val="left"/>
              <w:rPr>
                <w:sz w:val="20"/>
                <w:szCs w:val="20"/>
              </w:rPr>
            </w:pPr>
          </w:p>
          <w:p w14:paraId="5CE15BCA" w14:textId="58430D59" w:rsidR="00FF1892" w:rsidRPr="00563D71" w:rsidRDefault="00FF1892" w:rsidP="0032029F">
            <w:pPr>
              <w:jc w:val="left"/>
              <w:rPr>
                <w:sz w:val="20"/>
                <w:szCs w:val="20"/>
              </w:rPr>
            </w:pPr>
          </w:p>
          <w:p w14:paraId="1F63F41D" w14:textId="77777777" w:rsidR="00FF1892" w:rsidRPr="00563D71" w:rsidRDefault="00FF1892" w:rsidP="0032029F">
            <w:pPr>
              <w:jc w:val="left"/>
              <w:rPr>
                <w:sz w:val="20"/>
                <w:szCs w:val="20"/>
              </w:rPr>
            </w:pPr>
          </w:p>
          <w:p w14:paraId="177DA4CB" w14:textId="18C41783" w:rsidR="00962C6C" w:rsidRPr="00563D71" w:rsidRDefault="00962C6C" w:rsidP="0032029F">
            <w:pPr>
              <w:ind w:left="0" w:firstLine="0"/>
              <w:jc w:val="left"/>
              <w:rPr>
                <w:sz w:val="20"/>
                <w:szCs w:val="20"/>
              </w:rPr>
            </w:pPr>
          </w:p>
        </w:tc>
      </w:tr>
      <w:tr w:rsidR="00C8190F" w:rsidRPr="00563D71" w14:paraId="6732698E" w14:textId="77777777" w:rsidTr="0032029F">
        <w:trPr>
          <w:trHeight w:val="86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DADC7"/>
          </w:tcPr>
          <w:p w14:paraId="2815CBA6" w14:textId="77777777" w:rsidR="00C8190F" w:rsidRPr="00563D71" w:rsidRDefault="00C8190F" w:rsidP="00C8190F">
            <w:pPr>
              <w:spacing w:before="240" w:line="259" w:lineRule="auto"/>
              <w:ind w:left="19" w:firstLine="0"/>
              <w:jc w:val="left"/>
            </w:pPr>
            <w:r w:rsidRPr="00563D71">
              <w:rPr>
                <w:b/>
                <w:sz w:val="20"/>
              </w:rPr>
              <w:t>Policy Element 6:  Program systems avoid exacerbating social conflict, especially in fragile states, post-conflict areas, or areas subject to territorial disputes</w:t>
            </w:r>
            <w:r w:rsidRPr="00563D71">
              <w:rPr>
                <w:sz w:val="20"/>
              </w:rPr>
              <w:t xml:space="preserve"> </w:t>
            </w:r>
          </w:p>
        </w:tc>
      </w:tr>
      <w:tr w:rsidR="00C8190F" w:rsidRPr="00563D71" w14:paraId="7BB81C27" w14:textId="77777777" w:rsidTr="0032029F">
        <w:trPr>
          <w:trHeight w:val="82"/>
        </w:trPr>
        <w:tc>
          <w:tcPr>
            <w:tcW w:w="1096" w:type="pct"/>
            <w:tcBorders>
              <w:top w:val="single" w:sz="4" w:space="0" w:color="000000"/>
              <w:left w:val="single" w:sz="4" w:space="0" w:color="000000"/>
              <w:bottom w:val="single" w:sz="4" w:space="0" w:color="000000"/>
              <w:right w:val="single" w:sz="4" w:space="0" w:color="000000"/>
            </w:tcBorders>
            <w:shd w:val="clear" w:color="auto" w:fill="B8CCE4"/>
          </w:tcPr>
          <w:p w14:paraId="14086D04" w14:textId="77777777" w:rsidR="00C8190F" w:rsidRPr="00563D71" w:rsidRDefault="00C8190F" w:rsidP="00937B63">
            <w:pPr>
              <w:spacing w:line="259" w:lineRule="auto"/>
              <w:ind w:left="19" w:firstLine="0"/>
              <w:jc w:val="left"/>
            </w:pPr>
            <w:r w:rsidRPr="00563D71">
              <w:rPr>
                <w:b/>
                <w:sz w:val="20"/>
              </w:rPr>
              <w:t xml:space="preserve">Key Elements </w:t>
            </w:r>
          </w:p>
        </w:tc>
        <w:tc>
          <w:tcPr>
            <w:tcW w:w="2674" w:type="pct"/>
            <w:gridSpan w:val="2"/>
            <w:tcBorders>
              <w:top w:val="single" w:sz="4" w:space="0" w:color="000000"/>
              <w:left w:val="single" w:sz="4" w:space="0" w:color="000000"/>
              <w:bottom w:val="single" w:sz="4" w:space="0" w:color="000000"/>
              <w:right w:val="single" w:sz="4" w:space="0" w:color="000000"/>
            </w:tcBorders>
            <w:shd w:val="clear" w:color="auto" w:fill="B8CCE4"/>
          </w:tcPr>
          <w:p w14:paraId="224AF2AB" w14:textId="77777777" w:rsidR="00C8190F" w:rsidRPr="00563D71" w:rsidRDefault="00C8190F" w:rsidP="00937B63">
            <w:pPr>
              <w:spacing w:line="259" w:lineRule="auto"/>
              <w:ind w:left="22" w:firstLine="0"/>
              <w:jc w:val="left"/>
            </w:pPr>
            <w:r w:rsidRPr="00563D71">
              <w:rPr>
                <w:b/>
                <w:sz w:val="20"/>
              </w:rPr>
              <w:t xml:space="preserve">Program System </w:t>
            </w:r>
          </w:p>
        </w:tc>
        <w:tc>
          <w:tcPr>
            <w:tcW w:w="1230" w:type="pct"/>
            <w:tcBorders>
              <w:top w:val="single" w:sz="4" w:space="0" w:color="000000"/>
              <w:left w:val="single" w:sz="4" w:space="0" w:color="000000"/>
              <w:bottom w:val="single" w:sz="4" w:space="0" w:color="000000"/>
              <w:right w:val="single" w:sz="4" w:space="0" w:color="000000"/>
            </w:tcBorders>
            <w:shd w:val="clear" w:color="auto" w:fill="B8CCE4"/>
          </w:tcPr>
          <w:p w14:paraId="304C5726" w14:textId="77777777" w:rsidR="00C8190F" w:rsidRPr="00563D71" w:rsidRDefault="00C8190F" w:rsidP="00937B63">
            <w:pPr>
              <w:spacing w:line="259" w:lineRule="auto"/>
              <w:ind w:left="22" w:firstLine="0"/>
              <w:jc w:val="left"/>
            </w:pPr>
            <w:r w:rsidRPr="00563D71">
              <w:rPr>
                <w:b/>
                <w:sz w:val="20"/>
              </w:rPr>
              <w:t xml:space="preserve">Gaps  </w:t>
            </w:r>
          </w:p>
        </w:tc>
      </w:tr>
      <w:tr w:rsidR="00C8190F" w:rsidRPr="00563D71" w14:paraId="14EF4A88" w14:textId="77777777" w:rsidTr="0032029F">
        <w:trPr>
          <w:trHeight w:val="347"/>
        </w:trPr>
        <w:tc>
          <w:tcPr>
            <w:tcW w:w="1096" w:type="pct"/>
            <w:tcBorders>
              <w:top w:val="single" w:sz="4" w:space="0" w:color="000000"/>
              <w:left w:val="single" w:sz="8" w:space="0" w:color="4BACC6"/>
              <w:bottom w:val="single" w:sz="4" w:space="0" w:color="000000"/>
              <w:right w:val="single" w:sz="4" w:space="0" w:color="000000"/>
            </w:tcBorders>
          </w:tcPr>
          <w:p w14:paraId="611CEBB8" w14:textId="77777777" w:rsidR="00C8190F" w:rsidRPr="00563D71" w:rsidRDefault="00C8190F" w:rsidP="00BB6374">
            <w:pPr>
              <w:spacing w:line="259" w:lineRule="auto"/>
              <w:ind w:left="288" w:hanging="288"/>
              <w:jc w:val="left"/>
            </w:pPr>
            <w:r w:rsidRPr="00563D71">
              <w:t>(</w:t>
            </w:r>
            <w:r w:rsidRPr="00563D71">
              <w:rPr>
                <w:sz w:val="20"/>
                <w:szCs w:val="20"/>
              </w:rPr>
              <w:t>a) consider conflict risks, including distributional equity and cultural sensitivities.</w:t>
            </w:r>
          </w:p>
        </w:tc>
        <w:tc>
          <w:tcPr>
            <w:tcW w:w="2674" w:type="pct"/>
            <w:gridSpan w:val="2"/>
            <w:tcBorders>
              <w:top w:val="single" w:sz="4" w:space="0" w:color="000000"/>
              <w:left w:val="single" w:sz="4" w:space="0" w:color="000000"/>
              <w:bottom w:val="single" w:sz="4" w:space="0" w:color="000000"/>
              <w:right w:val="single" w:sz="4" w:space="0" w:color="000000"/>
            </w:tcBorders>
          </w:tcPr>
          <w:p w14:paraId="2D8BCCE2" w14:textId="38D451B0" w:rsidR="00C8190F" w:rsidRPr="00563D71" w:rsidRDefault="00BB6374" w:rsidP="00DF2AE9">
            <w:pPr>
              <w:ind w:left="22" w:right="49" w:firstLine="0"/>
              <w:jc w:val="left"/>
              <w:rPr>
                <w:b/>
                <w:sz w:val="20"/>
                <w:szCs w:val="20"/>
              </w:rPr>
            </w:pPr>
            <w:r w:rsidRPr="00563D71">
              <w:rPr>
                <w:sz w:val="20"/>
                <w:szCs w:val="20"/>
              </w:rPr>
              <w:t>Law No. 7</w:t>
            </w:r>
            <w:r w:rsidR="00BF6A99" w:rsidRPr="00563D71">
              <w:rPr>
                <w:sz w:val="20"/>
                <w:szCs w:val="20"/>
              </w:rPr>
              <w:t xml:space="preserve"> Year </w:t>
            </w:r>
            <w:r w:rsidRPr="00563D71">
              <w:rPr>
                <w:sz w:val="20"/>
                <w:szCs w:val="20"/>
              </w:rPr>
              <w:t>2012 and Government Regulation No. 2</w:t>
            </w:r>
            <w:r w:rsidR="00BF6A99" w:rsidRPr="00563D71">
              <w:rPr>
                <w:sz w:val="20"/>
                <w:szCs w:val="20"/>
              </w:rPr>
              <w:t xml:space="preserve"> Year </w:t>
            </w:r>
            <w:r w:rsidRPr="00563D71">
              <w:rPr>
                <w:sz w:val="20"/>
                <w:szCs w:val="20"/>
              </w:rPr>
              <w:t>2015 on Social Conflict Management details the provision of social conflict management covering prevention, responding to conflict</w:t>
            </w:r>
            <w:r w:rsidR="00DF2AE9" w:rsidRPr="00563D71">
              <w:rPr>
                <w:sz w:val="20"/>
                <w:szCs w:val="20"/>
              </w:rPr>
              <w:t>,</w:t>
            </w:r>
            <w:r w:rsidRPr="00563D71">
              <w:rPr>
                <w:sz w:val="20"/>
                <w:szCs w:val="20"/>
              </w:rPr>
              <w:t xml:space="preserve"> and post</w:t>
            </w:r>
            <w:r w:rsidR="00DF2AE9" w:rsidRPr="00563D71">
              <w:rPr>
                <w:sz w:val="20"/>
                <w:szCs w:val="20"/>
              </w:rPr>
              <w:t>-</w:t>
            </w:r>
            <w:r w:rsidRPr="00563D71">
              <w:rPr>
                <w:sz w:val="20"/>
                <w:szCs w:val="20"/>
              </w:rPr>
              <w:t>conflict. It underlines the importance of community strengthening through awareness and capacity building, poverty alleviation, strengthening access to local wisdom, social harmony</w:t>
            </w:r>
            <w:r w:rsidR="00DF2AE9" w:rsidRPr="00563D71">
              <w:rPr>
                <w:sz w:val="20"/>
                <w:szCs w:val="20"/>
              </w:rPr>
              <w:t>,</w:t>
            </w:r>
            <w:r w:rsidRPr="00563D71">
              <w:rPr>
                <w:sz w:val="20"/>
                <w:szCs w:val="20"/>
              </w:rPr>
              <w:t xml:space="preserve"> and community forum</w:t>
            </w:r>
            <w:r w:rsidR="00DF2AE9" w:rsidRPr="00563D71">
              <w:rPr>
                <w:sz w:val="20"/>
                <w:szCs w:val="20"/>
              </w:rPr>
              <w:t>s</w:t>
            </w:r>
            <w:r w:rsidRPr="00563D71">
              <w:rPr>
                <w:sz w:val="20"/>
                <w:szCs w:val="20"/>
              </w:rPr>
              <w:t xml:space="preserve">. The Law stipulates the important roles of </w:t>
            </w:r>
            <w:r w:rsidRPr="00563D71">
              <w:rPr>
                <w:i/>
                <w:sz w:val="20"/>
                <w:szCs w:val="20"/>
              </w:rPr>
              <w:t>adat</w:t>
            </w:r>
            <w:r w:rsidRPr="00563D71">
              <w:rPr>
                <w:sz w:val="20"/>
                <w:szCs w:val="20"/>
              </w:rPr>
              <w:t xml:space="preserve"> leaders in</w:t>
            </w:r>
            <w:r w:rsidR="00DF2AE9" w:rsidRPr="00563D71">
              <w:rPr>
                <w:sz w:val="20"/>
                <w:szCs w:val="20"/>
              </w:rPr>
              <w:t xml:space="preserve"> the</w:t>
            </w:r>
            <w:r w:rsidRPr="00563D71">
              <w:rPr>
                <w:sz w:val="20"/>
                <w:szCs w:val="20"/>
              </w:rPr>
              <w:t xml:space="preserve"> settlement of social conflicts and promotes the adoption of </w:t>
            </w:r>
            <w:r w:rsidRPr="00563D71">
              <w:rPr>
                <w:i/>
                <w:sz w:val="20"/>
                <w:szCs w:val="20"/>
              </w:rPr>
              <w:t>adat</w:t>
            </w:r>
            <w:r w:rsidRPr="00563D71">
              <w:rPr>
                <w:sz w:val="20"/>
                <w:szCs w:val="20"/>
              </w:rPr>
              <w:t xml:space="preserve"> or </w:t>
            </w:r>
            <w:r w:rsidRPr="00563D71">
              <w:rPr>
                <w:i/>
                <w:sz w:val="20"/>
                <w:szCs w:val="20"/>
              </w:rPr>
              <w:t>adat</w:t>
            </w:r>
            <w:r w:rsidRPr="00563D71">
              <w:rPr>
                <w:sz w:val="20"/>
                <w:szCs w:val="20"/>
              </w:rPr>
              <w:t xml:space="preserve"> law in resolving social conflict</w:t>
            </w:r>
            <w:r w:rsidR="00DF2AE9" w:rsidRPr="00563D71">
              <w:rPr>
                <w:sz w:val="20"/>
                <w:szCs w:val="20"/>
              </w:rPr>
              <w:t>,</w:t>
            </w:r>
            <w:r w:rsidRPr="00563D71">
              <w:rPr>
                <w:sz w:val="20"/>
                <w:szCs w:val="20"/>
              </w:rPr>
              <w:t xml:space="preserve"> particularly through reconciliation. Conflict management involves the partnership among local government, community</w:t>
            </w:r>
            <w:r w:rsidR="00DF2AE9" w:rsidRPr="00563D71">
              <w:rPr>
                <w:sz w:val="20"/>
                <w:szCs w:val="20"/>
              </w:rPr>
              <w:t>,</w:t>
            </w:r>
            <w:r w:rsidRPr="00563D71">
              <w:rPr>
                <w:sz w:val="20"/>
                <w:szCs w:val="20"/>
              </w:rPr>
              <w:t xml:space="preserve"> religious</w:t>
            </w:r>
            <w:r w:rsidR="00DF2AE9" w:rsidRPr="00563D71">
              <w:rPr>
                <w:sz w:val="20"/>
                <w:szCs w:val="20"/>
              </w:rPr>
              <w:t>,</w:t>
            </w:r>
            <w:r w:rsidRPr="00563D71">
              <w:rPr>
                <w:sz w:val="20"/>
                <w:szCs w:val="20"/>
              </w:rPr>
              <w:t xml:space="preserve"> and </w:t>
            </w:r>
            <w:r w:rsidRPr="00563D71">
              <w:rPr>
                <w:i/>
                <w:sz w:val="20"/>
                <w:szCs w:val="20"/>
              </w:rPr>
              <w:t>adat</w:t>
            </w:r>
            <w:r w:rsidRPr="00563D71">
              <w:rPr>
                <w:sz w:val="20"/>
                <w:szCs w:val="20"/>
              </w:rPr>
              <w:t xml:space="preserve"> leaders, and other stakeholders</w:t>
            </w:r>
            <w:r w:rsidR="00DF2AE9" w:rsidRPr="00563D71">
              <w:rPr>
                <w:sz w:val="20"/>
                <w:szCs w:val="20"/>
              </w:rPr>
              <w:t>,</w:t>
            </w:r>
            <w:r w:rsidRPr="00563D71">
              <w:rPr>
                <w:sz w:val="20"/>
                <w:szCs w:val="20"/>
              </w:rPr>
              <w:t xml:space="preserve"> and </w:t>
            </w:r>
            <w:r w:rsidR="00DF2AE9" w:rsidRPr="00563D71">
              <w:rPr>
                <w:sz w:val="20"/>
                <w:szCs w:val="20"/>
              </w:rPr>
              <w:t xml:space="preserve">takes a </w:t>
            </w:r>
            <w:r w:rsidRPr="00563D71">
              <w:rPr>
                <w:sz w:val="20"/>
                <w:szCs w:val="20"/>
              </w:rPr>
              <w:t xml:space="preserve">consultative approach </w:t>
            </w:r>
            <w:r w:rsidR="00DF2AE9" w:rsidRPr="00563D71">
              <w:rPr>
                <w:sz w:val="20"/>
                <w:szCs w:val="20"/>
              </w:rPr>
              <w:t xml:space="preserve">as </w:t>
            </w:r>
            <w:r w:rsidRPr="00563D71">
              <w:rPr>
                <w:sz w:val="20"/>
                <w:szCs w:val="20"/>
              </w:rPr>
              <w:t>the main principle. The regulation respects religious norms as well as local cultures, rules</w:t>
            </w:r>
            <w:r w:rsidR="00DF2AE9" w:rsidRPr="00563D71">
              <w:rPr>
                <w:sz w:val="20"/>
                <w:szCs w:val="20"/>
              </w:rPr>
              <w:t>,</w:t>
            </w:r>
            <w:r w:rsidRPr="00563D71">
              <w:rPr>
                <w:sz w:val="20"/>
                <w:szCs w:val="20"/>
              </w:rPr>
              <w:t xml:space="preserve"> and values and i</w:t>
            </w:r>
            <w:r w:rsidR="00DF2AE9" w:rsidRPr="00563D71">
              <w:rPr>
                <w:sz w:val="20"/>
                <w:szCs w:val="20"/>
              </w:rPr>
              <w:t xml:space="preserve">s </w:t>
            </w:r>
            <w:r w:rsidRPr="00563D71">
              <w:rPr>
                <w:sz w:val="20"/>
                <w:szCs w:val="20"/>
              </w:rPr>
              <w:t>consistent with the prevailing laws and regulations.</w:t>
            </w:r>
          </w:p>
        </w:tc>
        <w:tc>
          <w:tcPr>
            <w:tcW w:w="1230" w:type="pct"/>
            <w:tcBorders>
              <w:top w:val="single" w:sz="4" w:space="0" w:color="000000"/>
              <w:left w:val="single" w:sz="4" w:space="0" w:color="000000"/>
              <w:bottom w:val="single" w:sz="4" w:space="0" w:color="000000"/>
              <w:right w:val="single" w:sz="8" w:space="0" w:color="4BACC6"/>
            </w:tcBorders>
          </w:tcPr>
          <w:p w14:paraId="35AEE549" w14:textId="2E26E02B" w:rsidR="00BB6374" w:rsidRPr="00563D71" w:rsidRDefault="00BB6374" w:rsidP="008A3F63">
            <w:pPr>
              <w:autoSpaceDE w:val="0"/>
              <w:autoSpaceDN w:val="0"/>
              <w:adjustRightInd w:val="0"/>
              <w:ind w:left="0"/>
              <w:jc w:val="left"/>
              <w:rPr>
                <w:sz w:val="20"/>
                <w:szCs w:val="20"/>
              </w:rPr>
            </w:pPr>
            <w:r w:rsidRPr="00563D71">
              <w:rPr>
                <w:sz w:val="20"/>
                <w:szCs w:val="20"/>
              </w:rPr>
              <w:t>No gaps. OP 4.12 applies to activities that will restrict access to the involuntary restriction of access to legally designated parks and protected areas resulting in adverse impacts on the livelihoods of the displaced persons. This OP also applies to involuntary restriction of access on the use of resources imposed on people living outside the park or protected area</w:t>
            </w:r>
            <w:r w:rsidR="008A3F63" w:rsidRPr="00563D71">
              <w:rPr>
                <w:sz w:val="20"/>
                <w:szCs w:val="20"/>
              </w:rPr>
              <w:t>s</w:t>
            </w:r>
            <w:r w:rsidRPr="00563D71">
              <w:rPr>
                <w:sz w:val="20"/>
                <w:szCs w:val="20"/>
              </w:rPr>
              <w:t xml:space="preserve">, or on those who continue living inside the park </w:t>
            </w:r>
            <w:r w:rsidRPr="00563D71">
              <w:rPr>
                <w:sz w:val="20"/>
                <w:szCs w:val="20"/>
              </w:rPr>
              <w:lastRenderedPageBreak/>
              <w:t xml:space="preserve">or protected area during and after project implementation. These regulations address social conflicts </w:t>
            </w:r>
            <w:r w:rsidR="008A3F63" w:rsidRPr="00563D71">
              <w:rPr>
                <w:sz w:val="20"/>
                <w:szCs w:val="20"/>
              </w:rPr>
              <w:t xml:space="preserve">that </w:t>
            </w:r>
            <w:r w:rsidRPr="00563D71">
              <w:rPr>
                <w:sz w:val="20"/>
                <w:szCs w:val="20"/>
              </w:rPr>
              <w:t xml:space="preserve">result </w:t>
            </w:r>
            <w:r w:rsidR="008A3F63" w:rsidRPr="00563D71">
              <w:rPr>
                <w:sz w:val="20"/>
                <w:szCs w:val="20"/>
              </w:rPr>
              <w:t xml:space="preserve">from </w:t>
            </w:r>
            <w:r w:rsidRPr="00563D71">
              <w:rPr>
                <w:sz w:val="20"/>
                <w:szCs w:val="20"/>
              </w:rPr>
              <w:t>any triggering factors</w:t>
            </w:r>
            <w:r w:rsidR="008A3F63" w:rsidRPr="00563D71">
              <w:rPr>
                <w:sz w:val="20"/>
                <w:szCs w:val="20"/>
              </w:rPr>
              <w:t>,</w:t>
            </w:r>
            <w:r w:rsidRPr="00563D71">
              <w:rPr>
                <w:sz w:val="20"/>
                <w:szCs w:val="20"/>
              </w:rPr>
              <w:t xml:space="preserve"> not only due the impacts of access restriction, but also beyond, such as unresolved land issues, social jealousy among community groups/members, etc. </w:t>
            </w:r>
          </w:p>
          <w:p w14:paraId="673FC82D" w14:textId="0A388E7F" w:rsidR="00C8190F" w:rsidRPr="00563D71" w:rsidRDefault="00BB6374" w:rsidP="008A3F63">
            <w:pPr>
              <w:ind w:left="22" w:firstLine="0"/>
              <w:jc w:val="left"/>
            </w:pPr>
            <w:r w:rsidRPr="00563D71">
              <w:rPr>
                <w:sz w:val="20"/>
                <w:szCs w:val="20"/>
              </w:rPr>
              <w:t xml:space="preserve">Potential social conflicts that could occur due to this restriction can be avoided and addressed with the consistent implementation of Law </w:t>
            </w:r>
            <w:r w:rsidR="00BF6A99" w:rsidRPr="00563D71">
              <w:rPr>
                <w:sz w:val="20"/>
                <w:szCs w:val="20"/>
              </w:rPr>
              <w:t xml:space="preserve">No. </w:t>
            </w:r>
            <w:r w:rsidRPr="00563D71">
              <w:rPr>
                <w:sz w:val="20"/>
                <w:szCs w:val="20"/>
              </w:rPr>
              <w:t>7</w:t>
            </w:r>
            <w:r w:rsidR="00BF6A99" w:rsidRPr="00563D71">
              <w:rPr>
                <w:sz w:val="20"/>
                <w:szCs w:val="20"/>
              </w:rPr>
              <w:t xml:space="preserve"> Year </w:t>
            </w:r>
            <w:r w:rsidRPr="00563D71">
              <w:rPr>
                <w:sz w:val="20"/>
                <w:szCs w:val="20"/>
              </w:rPr>
              <w:t>2012 and Government Regulation No. 2</w:t>
            </w:r>
            <w:r w:rsidR="00BF6A99" w:rsidRPr="00563D71">
              <w:rPr>
                <w:sz w:val="20"/>
                <w:szCs w:val="20"/>
              </w:rPr>
              <w:t xml:space="preserve"> Year </w:t>
            </w:r>
            <w:r w:rsidRPr="00563D71">
              <w:rPr>
                <w:sz w:val="20"/>
                <w:szCs w:val="20"/>
              </w:rPr>
              <w:t xml:space="preserve">2015 as part of the Process Framework and Plan of Action </w:t>
            </w:r>
            <w:r w:rsidR="008A3F63" w:rsidRPr="00563D71">
              <w:rPr>
                <w:sz w:val="20"/>
                <w:szCs w:val="20"/>
              </w:rPr>
              <w:t xml:space="preserve">included in the </w:t>
            </w:r>
            <w:r w:rsidRPr="00563D71">
              <w:rPr>
                <w:sz w:val="20"/>
                <w:szCs w:val="20"/>
              </w:rPr>
              <w:t>natural resource management plan. In the case that social conflict is triggered by other factors beyond access restriction, prevention or mitigation measures should be included in the Social Management Plan as part of the AMDAL.</w:t>
            </w:r>
          </w:p>
        </w:tc>
      </w:tr>
      <w:tr w:rsidR="00BB6374" w:rsidRPr="00563D71" w14:paraId="794337BF" w14:textId="77777777" w:rsidTr="0032029F">
        <w:trPr>
          <w:trHeight w:val="1264"/>
        </w:trPr>
        <w:tc>
          <w:tcPr>
            <w:tcW w:w="1096" w:type="pct"/>
            <w:tcBorders>
              <w:top w:val="single" w:sz="4" w:space="0" w:color="000000"/>
              <w:left w:val="single" w:sz="8" w:space="0" w:color="4BACC6"/>
              <w:bottom w:val="single" w:sz="4" w:space="0" w:color="000000"/>
              <w:right w:val="single" w:sz="4" w:space="0" w:color="000000"/>
            </w:tcBorders>
          </w:tcPr>
          <w:p w14:paraId="3AC7C670" w14:textId="20262D4B" w:rsidR="00BB6374" w:rsidRPr="00563D71" w:rsidRDefault="00BB6374" w:rsidP="00BB6374">
            <w:pPr>
              <w:spacing w:line="259" w:lineRule="auto"/>
              <w:ind w:left="288" w:hanging="288"/>
              <w:jc w:val="left"/>
              <w:rPr>
                <w:sz w:val="20"/>
                <w:szCs w:val="20"/>
              </w:rPr>
            </w:pPr>
            <w:r w:rsidRPr="00563D71">
              <w:rPr>
                <w:sz w:val="20"/>
                <w:szCs w:val="20"/>
              </w:rPr>
              <w:lastRenderedPageBreak/>
              <w:t>(b) Consider conflict risks, including distributional equity and cultural sensitivities</w:t>
            </w:r>
          </w:p>
        </w:tc>
        <w:tc>
          <w:tcPr>
            <w:tcW w:w="2674" w:type="pct"/>
            <w:gridSpan w:val="2"/>
            <w:tcBorders>
              <w:top w:val="single" w:sz="4" w:space="0" w:color="000000"/>
              <w:left w:val="single" w:sz="4" w:space="0" w:color="000000"/>
              <w:bottom w:val="single" w:sz="4" w:space="0" w:color="000000"/>
              <w:right w:val="single" w:sz="4" w:space="0" w:color="000000"/>
            </w:tcBorders>
          </w:tcPr>
          <w:p w14:paraId="1D147D6C" w14:textId="38CDD8C6" w:rsidR="00BB6374" w:rsidRPr="00563D71" w:rsidRDefault="00BB6374" w:rsidP="008A3F63">
            <w:pPr>
              <w:ind w:left="22" w:right="49" w:firstLine="0"/>
              <w:jc w:val="left"/>
              <w:rPr>
                <w:sz w:val="20"/>
                <w:szCs w:val="20"/>
              </w:rPr>
            </w:pPr>
            <w:r w:rsidRPr="00563D71">
              <w:rPr>
                <w:sz w:val="20"/>
                <w:szCs w:val="20"/>
              </w:rPr>
              <w:t>Both regulations above specify that social conflicts should be prevented through various combination</w:t>
            </w:r>
            <w:r w:rsidR="008A3F63" w:rsidRPr="00563D71">
              <w:rPr>
                <w:sz w:val="20"/>
                <w:szCs w:val="20"/>
              </w:rPr>
              <w:t>s</w:t>
            </w:r>
            <w:r w:rsidRPr="00563D71">
              <w:rPr>
                <w:sz w:val="20"/>
                <w:szCs w:val="20"/>
              </w:rPr>
              <w:t xml:space="preserve"> of efforts, among other</w:t>
            </w:r>
            <w:r w:rsidR="008A3F63" w:rsidRPr="00563D71">
              <w:rPr>
                <w:sz w:val="20"/>
                <w:szCs w:val="20"/>
              </w:rPr>
              <w:t>s</w:t>
            </w:r>
            <w:r w:rsidRPr="00563D71">
              <w:rPr>
                <w:sz w:val="20"/>
                <w:szCs w:val="20"/>
              </w:rPr>
              <w:t>: maintenance of peace in the community</w:t>
            </w:r>
            <w:r w:rsidR="008A3F63" w:rsidRPr="00563D71">
              <w:rPr>
                <w:sz w:val="20"/>
                <w:szCs w:val="20"/>
              </w:rPr>
              <w:t>;</w:t>
            </w:r>
            <w:r w:rsidRPr="00563D71">
              <w:rPr>
                <w:sz w:val="20"/>
                <w:szCs w:val="20"/>
              </w:rPr>
              <w:t xml:space="preserve"> development of </w:t>
            </w:r>
            <w:r w:rsidR="008A3F63" w:rsidRPr="00563D71">
              <w:rPr>
                <w:sz w:val="20"/>
                <w:szCs w:val="20"/>
              </w:rPr>
              <w:t xml:space="preserve">a </w:t>
            </w:r>
            <w:r w:rsidRPr="00563D71">
              <w:rPr>
                <w:sz w:val="20"/>
                <w:szCs w:val="20"/>
              </w:rPr>
              <w:t>peaceful conflict resolution system</w:t>
            </w:r>
            <w:r w:rsidR="008A3F63" w:rsidRPr="00563D71">
              <w:rPr>
                <w:sz w:val="20"/>
                <w:szCs w:val="20"/>
              </w:rPr>
              <w:t>;</w:t>
            </w:r>
            <w:r w:rsidRPr="00563D71">
              <w:rPr>
                <w:sz w:val="20"/>
                <w:szCs w:val="20"/>
              </w:rPr>
              <w:t xml:space="preserve"> </w:t>
            </w:r>
            <w:r w:rsidR="008A3F63" w:rsidRPr="00563D71">
              <w:rPr>
                <w:sz w:val="20"/>
                <w:szCs w:val="20"/>
              </w:rPr>
              <w:t xml:space="preserve">stifling </w:t>
            </w:r>
            <w:r w:rsidRPr="00563D71">
              <w:rPr>
                <w:sz w:val="20"/>
                <w:szCs w:val="20"/>
              </w:rPr>
              <w:t>of potential conflict</w:t>
            </w:r>
            <w:r w:rsidR="008A3F63" w:rsidRPr="00563D71">
              <w:rPr>
                <w:sz w:val="20"/>
                <w:szCs w:val="20"/>
              </w:rPr>
              <w:t>;</w:t>
            </w:r>
            <w:r w:rsidRPr="00563D71">
              <w:rPr>
                <w:sz w:val="20"/>
                <w:szCs w:val="20"/>
              </w:rPr>
              <w:t xml:space="preserve"> and develop</w:t>
            </w:r>
            <w:r w:rsidR="008A3F63" w:rsidRPr="00563D71">
              <w:rPr>
                <w:sz w:val="20"/>
                <w:szCs w:val="20"/>
              </w:rPr>
              <w:t>ment of an</w:t>
            </w:r>
            <w:r w:rsidRPr="00563D71">
              <w:rPr>
                <w:sz w:val="20"/>
                <w:szCs w:val="20"/>
              </w:rPr>
              <w:t xml:space="preserve"> early warning system. As explained above, institutional community strengthening is important to avoid social conflicts, and conflict management should engage partnerships among the local government, community, religious leaders, </w:t>
            </w:r>
            <w:r w:rsidRPr="00563D71">
              <w:rPr>
                <w:i/>
                <w:sz w:val="20"/>
                <w:szCs w:val="20"/>
              </w:rPr>
              <w:t>adat</w:t>
            </w:r>
            <w:r w:rsidRPr="00563D71">
              <w:rPr>
                <w:sz w:val="20"/>
                <w:szCs w:val="20"/>
              </w:rPr>
              <w:t xml:space="preserve"> leaders, etc.</w:t>
            </w:r>
            <w:r w:rsidR="008A3F63" w:rsidRPr="00563D71">
              <w:rPr>
                <w:sz w:val="20"/>
                <w:szCs w:val="20"/>
              </w:rPr>
              <w:t>,</w:t>
            </w:r>
            <w:r w:rsidRPr="00563D71">
              <w:rPr>
                <w:sz w:val="20"/>
                <w:szCs w:val="20"/>
              </w:rPr>
              <w:t xml:space="preserve"> and adopt the local values, cultures</w:t>
            </w:r>
            <w:r w:rsidR="008A3F63" w:rsidRPr="00563D71">
              <w:rPr>
                <w:sz w:val="20"/>
                <w:szCs w:val="20"/>
              </w:rPr>
              <w:t>,</w:t>
            </w:r>
            <w:r w:rsidRPr="00563D71">
              <w:rPr>
                <w:sz w:val="20"/>
                <w:szCs w:val="20"/>
              </w:rPr>
              <w:t xml:space="preserve"> and norms with consultative (“</w:t>
            </w:r>
            <w:r w:rsidRPr="00563D71">
              <w:rPr>
                <w:i/>
                <w:sz w:val="20"/>
                <w:szCs w:val="20"/>
              </w:rPr>
              <w:t>musyawarah</w:t>
            </w:r>
            <w:r w:rsidRPr="00563D71">
              <w:rPr>
                <w:sz w:val="20"/>
                <w:szCs w:val="20"/>
              </w:rPr>
              <w:t>”) principle.</w:t>
            </w:r>
          </w:p>
        </w:tc>
        <w:tc>
          <w:tcPr>
            <w:tcW w:w="1230" w:type="pct"/>
            <w:tcBorders>
              <w:top w:val="single" w:sz="4" w:space="0" w:color="000000"/>
              <w:left w:val="single" w:sz="4" w:space="0" w:color="000000"/>
              <w:bottom w:val="single" w:sz="4" w:space="0" w:color="000000"/>
              <w:right w:val="single" w:sz="8" w:space="0" w:color="4BACC6"/>
            </w:tcBorders>
          </w:tcPr>
          <w:p w14:paraId="361C5DB2" w14:textId="4623ACA0" w:rsidR="00BB6374" w:rsidRPr="00563D71" w:rsidRDefault="00BB6374" w:rsidP="00BB6374">
            <w:pPr>
              <w:autoSpaceDE w:val="0"/>
              <w:autoSpaceDN w:val="0"/>
              <w:adjustRightInd w:val="0"/>
              <w:ind w:left="0"/>
              <w:jc w:val="left"/>
              <w:rPr>
                <w:sz w:val="20"/>
                <w:szCs w:val="20"/>
              </w:rPr>
            </w:pPr>
            <w:r w:rsidRPr="00563D71">
              <w:rPr>
                <w:sz w:val="20"/>
                <w:szCs w:val="20"/>
              </w:rPr>
              <w:t>No gaps. The principles set out in these regulations are in line with the principles of OP 4.10 and OP 4.12 whereby impacts on IPs and involuntary land acquisition/resettlement should be properly addressed</w:t>
            </w:r>
            <w:r w:rsidR="00DA4E19" w:rsidRPr="00563D71">
              <w:rPr>
                <w:sz w:val="20"/>
                <w:szCs w:val="20"/>
              </w:rPr>
              <w:t>,</w:t>
            </w:r>
            <w:r w:rsidRPr="00563D71">
              <w:rPr>
                <w:sz w:val="20"/>
                <w:szCs w:val="20"/>
              </w:rPr>
              <w:t xml:space="preserve"> ensuring that affected persons are treated fairly and </w:t>
            </w:r>
            <w:r w:rsidR="00DA4E19" w:rsidRPr="00563D71">
              <w:rPr>
                <w:sz w:val="20"/>
                <w:szCs w:val="20"/>
              </w:rPr>
              <w:t xml:space="preserve">in a </w:t>
            </w:r>
            <w:r w:rsidRPr="00563D71">
              <w:rPr>
                <w:sz w:val="20"/>
                <w:szCs w:val="20"/>
              </w:rPr>
              <w:t>culturally sensitive</w:t>
            </w:r>
            <w:r w:rsidR="00DA4E19" w:rsidRPr="00563D71">
              <w:rPr>
                <w:sz w:val="20"/>
                <w:szCs w:val="20"/>
              </w:rPr>
              <w:t xml:space="preserve"> way</w:t>
            </w:r>
            <w:r w:rsidRPr="00563D71">
              <w:rPr>
                <w:sz w:val="20"/>
                <w:szCs w:val="20"/>
              </w:rPr>
              <w:t xml:space="preserve">.    </w:t>
            </w:r>
          </w:p>
        </w:tc>
      </w:tr>
      <w:tr w:rsidR="00C133CC" w:rsidRPr="00563D71" w14:paraId="0F78E172" w14:textId="77777777" w:rsidTr="0032029F">
        <w:trPr>
          <w:trHeight w:val="418"/>
        </w:trPr>
        <w:tc>
          <w:tcPr>
            <w:tcW w:w="2397" w:type="pct"/>
            <w:gridSpan w:val="2"/>
            <w:tcBorders>
              <w:top w:val="single" w:sz="4" w:space="0" w:color="000000"/>
              <w:left w:val="single" w:sz="8" w:space="0" w:color="4BACC6"/>
              <w:bottom w:val="single" w:sz="4" w:space="0" w:color="000000"/>
              <w:right w:val="single" w:sz="8" w:space="0" w:color="4BACC6"/>
            </w:tcBorders>
            <w:shd w:val="clear" w:color="auto" w:fill="D9E2F3" w:themeFill="accent5" w:themeFillTint="33"/>
          </w:tcPr>
          <w:p w14:paraId="432E6851" w14:textId="7A88B515" w:rsidR="00C133CC" w:rsidRPr="00563D71" w:rsidRDefault="00C133CC" w:rsidP="00937B63">
            <w:pPr>
              <w:spacing w:line="259" w:lineRule="auto"/>
              <w:ind w:left="22" w:firstLine="0"/>
              <w:jc w:val="left"/>
              <w:rPr>
                <w:b/>
                <w:sz w:val="20"/>
                <w:szCs w:val="20"/>
              </w:rPr>
            </w:pPr>
            <w:r w:rsidRPr="00563D71">
              <w:rPr>
                <w:b/>
                <w:sz w:val="20"/>
                <w:szCs w:val="20"/>
              </w:rPr>
              <w:t>Actions and Opportunities</w:t>
            </w:r>
          </w:p>
        </w:tc>
        <w:tc>
          <w:tcPr>
            <w:tcW w:w="2603" w:type="pct"/>
            <w:gridSpan w:val="2"/>
            <w:tcBorders>
              <w:top w:val="single" w:sz="4" w:space="0" w:color="000000"/>
              <w:left w:val="single" w:sz="8" w:space="0" w:color="4BACC6"/>
              <w:bottom w:val="single" w:sz="4" w:space="0" w:color="000000"/>
              <w:right w:val="single" w:sz="8" w:space="0" w:color="4BACC6"/>
            </w:tcBorders>
            <w:shd w:val="clear" w:color="auto" w:fill="D9E2F3" w:themeFill="accent5" w:themeFillTint="33"/>
          </w:tcPr>
          <w:p w14:paraId="64F7BF75" w14:textId="6997E209" w:rsidR="00C133CC" w:rsidRPr="00563D71" w:rsidRDefault="00C133CC" w:rsidP="00937B63">
            <w:pPr>
              <w:spacing w:line="259" w:lineRule="auto"/>
              <w:ind w:left="22" w:firstLine="0"/>
              <w:jc w:val="left"/>
              <w:rPr>
                <w:b/>
                <w:sz w:val="20"/>
                <w:szCs w:val="20"/>
              </w:rPr>
            </w:pPr>
            <w:r w:rsidRPr="00563D71">
              <w:rPr>
                <w:b/>
                <w:sz w:val="20"/>
                <w:szCs w:val="20"/>
              </w:rPr>
              <w:t>Risks</w:t>
            </w:r>
          </w:p>
        </w:tc>
      </w:tr>
      <w:tr w:rsidR="00C133CC" w:rsidRPr="00563D71" w14:paraId="0911B1F2" w14:textId="77777777" w:rsidTr="0032029F">
        <w:trPr>
          <w:trHeight w:val="912"/>
        </w:trPr>
        <w:tc>
          <w:tcPr>
            <w:tcW w:w="2397" w:type="pct"/>
            <w:gridSpan w:val="2"/>
            <w:tcBorders>
              <w:top w:val="single" w:sz="4" w:space="0" w:color="000000"/>
              <w:left w:val="single" w:sz="8" w:space="0" w:color="4BACC6"/>
              <w:bottom w:val="single" w:sz="4" w:space="0" w:color="000000"/>
              <w:right w:val="single" w:sz="8" w:space="0" w:color="4BACC6"/>
            </w:tcBorders>
          </w:tcPr>
          <w:p w14:paraId="22251436" w14:textId="4ECCA8D9" w:rsidR="00830332" w:rsidRPr="00563D71" w:rsidRDefault="00B1233A" w:rsidP="00854FB5">
            <w:pPr>
              <w:pStyle w:val="ListParagraph"/>
              <w:numPr>
                <w:ilvl w:val="0"/>
                <w:numId w:val="28"/>
              </w:numPr>
              <w:spacing w:after="0" w:line="240" w:lineRule="auto"/>
              <w:jc w:val="left"/>
              <w:rPr>
                <w:sz w:val="20"/>
                <w:szCs w:val="20"/>
              </w:rPr>
            </w:pPr>
            <w:r w:rsidRPr="00563D71">
              <w:rPr>
                <w:rFonts w:ascii="Times New Roman" w:hAnsi="Times New Roman" w:cs="Times New Roman"/>
                <w:sz w:val="20"/>
                <w:szCs w:val="20"/>
              </w:rPr>
              <w:t xml:space="preserve">The Integrated </w:t>
            </w:r>
            <w:r w:rsidR="0004727C" w:rsidRPr="00563D71">
              <w:rPr>
                <w:rFonts w:ascii="Times New Roman" w:hAnsi="Times New Roman" w:cs="Times New Roman"/>
                <w:sz w:val="20"/>
                <w:szCs w:val="20"/>
              </w:rPr>
              <w:t xml:space="preserve">Tourism </w:t>
            </w:r>
            <w:r w:rsidRPr="00563D71">
              <w:rPr>
                <w:rFonts w:ascii="Times New Roman" w:hAnsi="Times New Roman" w:cs="Times New Roman"/>
                <w:sz w:val="20"/>
                <w:szCs w:val="20"/>
              </w:rPr>
              <w:t xml:space="preserve">Master Plan for the Tourist Destinations should anticipate potential social conflicts that could occur due to the </w:t>
            </w:r>
            <w:r w:rsidRPr="00563D71">
              <w:rPr>
                <w:rFonts w:ascii="Times New Roman" w:hAnsi="Times New Roman" w:cs="Times New Roman"/>
                <w:sz w:val="20"/>
                <w:szCs w:val="20"/>
              </w:rPr>
              <w:lastRenderedPageBreak/>
              <w:t>downstream activities and investment as results of</w:t>
            </w:r>
            <w:r w:rsidR="002C0620" w:rsidRPr="00563D71">
              <w:rPr>
                <w:rFonts w:ascii="Times New Roman" w:hAnsi="Times New Roman" w:cs="Times New Roman"/>
                <w:sz w:val="20"/>
                <w:szCs w:val="20"/>
              </w:rPr>
              <w:t xml:space="preserve"> plan</w:t>
            </w:r>
            <w:r w:rsidRPr="00563D71">
              <w:rPr>
                <w:rFonts w:ascii="Times New Roman" w:hAnsi="Times New Roman" w:cs="Times New Roman"/>
                <w:sz w:val="20"/>
                <w:szCs w:val="20"/>
              </w:rPr>
              <w:t xml:space="preserve"> implementation</w:t>
            </w:r>
            <w:r w:rsidR="009D75F3" w:rsidRPr="00563D71">
              <w:rPr>
                <w:rFonts w:ascii="Times New Roman" w:hAnsi="Times New Roman" w:cs="Times New Roman"/>
                <w:sz w:val="20"/>
                <w:szCs w:val="20"/>
              </w:rPr>
              <w:t>.</w:t>
            </w:r>
            <w:r w:rsidRPr="00563D71">
              <w:rPr>
                <w:rFonts w:ascii="Times New Roman" w:hAnsi="Times New Roman" w:cs="Times New Roman"/>
                <w:sz w:val="20"/>
                <w:szCs w:val="20"/>
              </w:rPr>
              <w:t xml:space="preserve"> </w:t>
            </w:r>
          </w:p>
          <w:p w14:paraId="15B5B07C" w14:textId="3A046370" w:rsidR="00962C6C" w:rsidRPr="00563D71" w:rsidRDefault="00962C6C" w:rsidP="00854FB5">
            <w:pPr>
              <w:pStyle w:val="ListParagraph"/>
              <w:numPr>
                <w:ilvl w:val="0"/>
                <w:numId w:val="28"/>
              </w:numPr>
              <w:spacing w:after="0" w:line="240" w:lineRule="auto"/>
              <w:jc w:val="left"/>
              <w:rPr>
                <w:rFonts w:ascii="Times New Roman" w:hAnsi="Times New Roman" w:cs="Times New Roman"/>
                <w:sz w:val="20"/>
                <w:szCs w:val="20"/>
              </w:rPr>
            </w:pPr>
            <w:r w:rsidRPr="00563D71">
              <w:rPr>
                <w:rFonts w:ascii="Times New Roman" w:hAnsi="Times New Roman" w:cs="Times New Roman"/>
                <w:sz w:val="20"/>
                <w:szCs w:val="20"/>
              </w:rPr>
              <w:t>Stakeholder engagement during the process of ITMP preparation and implementation</w:t>
            </w:r>
            <w:r w:rsidR="009D75F3" w:rsidRPr="00563D71">
              <w:rPr>
                <w:rFonts w:ascii="Times New Roman" w:hAnsi="Times New Roman" w:cs="Times New Roman"/>
                <w:sz w:val="20"/>
                <w:szCs w:val="20"/>
              </w:rPr>
              <w:t>,</w:t>
            </w:r>
            <w:r w:rsidRPr="00563D71">
              <w:rPr>
                <w:rFonts w:ascii="Times New Roman" w:hAnsi="Times New Roman" w:cs="Times New Roman"/>
                <w:sz w:val="20"/>
                <w:szCs w:val="20"/>
              </w:rPr>
              <w:t xml:space="preserve"> as well as in the preparation of downstream planning documents</w:t>
            </w:r>
            <w:r w:rsidR="009D75F3" w:rsidRPr="00563D71">
              <w:rPr>
                <w:rFonts w:ascii="Times New Roman" w:hAnsi="Times New Roman" w:cs="Times New Roman"/>
                <w:sz w:val="20"/>
                <w:szCs w:val="20"/>
              </w:rPr>
              <w:t>.</w:t>
            </w:r>
          </w:p>
          <w:p w14:paraId="532030CC" w14:textId="40C7E9E7" w:rsidR="00C133CC" w:rsidRPr="00563D71" w:rsidRDefault="00B1233A" w:rsidP="003A701D">
            <w:pPr>
              <w:pStyle w:val="ListParagraph"/>
              <w:numPr>
                <w:ilvl w:val="0"/>
                <w:numId w:val="28"/>
              </w:numPr>
              <w:spacing w:after="0" w:line="240" w:lineRule="auto"/>
              <w:jc w:val="left"/>
              <w:rPr>
                <w:sz w:val="20"/>
                <w:szCs w:val="20"/>
              </w:rPr>
            </w:pPr>
            <w:r w:rsidRPr="00563D71">
              <w:rPr>
                <w:rFonts w:ascii="Times New Roman" w:hAnsi="Times New Roman" w:cs="Times New Roman"/>
                <w:sz w:val="20"/>
                <w:szCs w:val="20"/>
              </w:rPr>
              <w:t xml:space="preserve">The </w:t>
            </w:r>
            <w:r w:rsidR="0004727C" w:rsidRPr="00563D71">
              <w:rPr>
                <w:rFonts w:ascii="Times New Roman" w:hAnsi="Times New Roman" w:cs="Times New Roman"/>
                <w:sz w:val="20"/>
                <w:szCs w:val="20"/>
              </w:rPr>
              <w:t>P</w:t>
            </w:r>
            <w:r w:rsidRPr="00563D71">
              <w:rPr>
                <w:rFonts w:ascii="Times New Roman" w:hAnsi="Times New Roman" w:cs="Times New Roman"/>
                <w:sz w:val="20"/>
                <w:szCs w:val="20"/>
              </w:rPr>
              <w:t>rogram can be developed by harnessing existing social values, culture</w:t>
            </w:r>
            <w:r w:rsidR="009D75F3" w:rsidRPr="00563D71">
              <w:rPr>
                <w:rFonts w:ascii="Times New Roman" w:hAnsi="Times New Roman" w:cs="Times New Roman"/>
                <w:sz w:val="20"/>
                <w:szCs w:val="20"/>
              </w:rPr>
              <w:t>,</w:t>
            </w:r>
            <w:r w:rsidRPr="00563D71">
              <w:rPr>
                <w:rFonts w:ascii="Times New Roman" w:hAnsi="Times New Roman" w:cs="Times New Roman"/>
                <w:sz w:val="20"/>
                <w:szCs w:val="20"/>
              </w:rPr>
              <w:t xml:space="preserve"> and practices to </w:t>
            </w:r>
            <w:r w:rsidR="003A701D" w:rsidRPr="00563D71">
              <w:rPr>
                <w:rFonts w:ascii="Times New Roman" w:hAnsi="Times New Roman" w:cs="Times New Roman"/>
                <w:sz w:val="20"/>
                <w:szCs w:val="20"/>
              </w:rPr>
              <w:t xml:space="preserve">leverage the uniqueness of the destination and to </w:t>
            </w:r>
            <w:r w:rsidRPr="00563D71">
              <w:rPr>
                <w:rFonts w:ascii="Times New Roman" w:hAnsi="Times New Roman" w:cs="Times New Roman"/>
                <w:sz w:val="20"/>
                <w:szCs w:val="20"/>
              </w:rPr>
              <w:t xml:space="preserve">provide </w:t>
            </w:r>
            <w:r w:rsidR="003A701D" w:rsidRPr="00563D71">
              <w:rPr>
                <w:rFonts w:ascii="Times New Roman" w:hAnsi="Times New Roman" w:cs="Times New Roman"/>
                <w:sz w:val="20"/>
                <w:szCs w:val="20"/>
              </w:rPr>
              <w:t>opportunities to</w:t>
            </w:r>
            <w:r w:rsidRPr="00563D71">
              <w:rPr>
                <w:rFonts w:ascii="Times New Roman" w:hAnsi="Times New Roman" w:cs="Times New Roman"/>
                <w:sz w:val="20"/>
                <w:szCs w:val="20"/>
              </w:rPr>
              <w:t xml:space="preserve"> local communities to develop in harmony with tourism development and therefore could reduce potential social conflict. </w:t>
            </w:r>
          </w:p>
        </w:tc>
        <w:tc>
          <w:tcPr>
            <w:tcW w:w="2603" w:type="pct"/>
            <w:gridSpan w:val="2"/>
            <w:tcBorders>
              <w:top w:val="single" w:sz="4" w:space="0" w:color="000000"/>
              <w:left w:val="single" w:sz="8" w:space="0" w:color="4BACC6"/>
              <w:bottom w:val="single" w:sz="4" w:space="0" w:color="000000"/>
              <w:right w:val="single" w:sz="8" w:space="0" w:color="4BACC6"/>
            </w:tcBorders>
          </w:tcPr>
          <w:p w14:paraId="72F732D3" w14:textId="77777777" w:rsidR="00B1233A" w:rsidRPr="00563D71" w:rsidRDefault="00B1233A" w:rsidP="00854FB5">
            <w:pPr>
              <w:pStyle w:val="ListParagraph"/>
              <w:numPr>
                <w:ilvl w:val="0"/>
                <w:numId w:val="29"/>
              </w:numPr>
              <w:ind w:left="360"/>
              <w:jc w:val="left"/>
              <w:rPr>
                <w:rFonts w:ascii="Times New Roman" w:hAnsi="Times New Roman" w:cs="Times New Roman"/>
                <w:sz w:val="20"/>
                <w:szCs w:val="20"/>
              </w:rPr>
            </w:pPr>
            <w:r w:rsidRPr="00563D71">
              <w:rPr>
                <w:rFonts w:ascii="Times New Roman" w:hAnsi="Times New Roman" w:cs="Times New Roman"/>
                <w:sz w:val="20"/>
                <w:szCs w:val="20"/>
              </w:rPr>
              <w:lastRenderedPageBreak/>
              <w:t xml:space="preserve">Some or all of the activities and investments specified in the Integrated Master Plan cannot be implemented as intended or timely, due to the failures </w:t>
            </w:r>
            <w:r w:rsidRPr="00563D71">
              <w:rPr>
                <w:rFonts w:ascii="Times New Roman" w:hAnsi="Times New Roman" w:cs="Times New Roman"/>
                <w:sz w:val="20"/>
                <w:szCs w:val="20"/>
              </w:rPr>
              <w:lastRenderedPageBreak/>
              <w:t>to avoid and/or mitigate social conflicts. The objective of tourism development in the destination areas may not be fully achieved.</w:t>
            </w:r>
          </w:p>
          <w:p w14:paraId="2AA69904" w14:textId="0D229D3E" w:rsidR="00B1233A" w:rsidRPr="00563D71" w:rsidRDefault="00B1233A" w:rsidP="00436E54">
            <w:pPr>
              <w:pStyle w:val="ListParagraph"/>
              <w:numPr>
                <w:ilvl w:val="0"/>
                <w:numId w:val="29"/>
              </w:numPr>
              <w:ind w:left="360"/>
              <w:jc w:val="left"/>
              <w:rPr>
                <w:rFonts w:ascii="Times New Roman" w:hAnsi="Times New Roman" w:cs="Times New Roman"/>
                <w:sz w:val="20"/>
                <w:szCs w:val="20"/>
              </w:rPr>
            </w:pPr>
            <w:r w:rsidRPr="00563D71">
              <w:rPr>
                <w:rFonts w:ascii="Times New Roman" w:hAnsi="Times New Roman" w:cs="Times New Roman"/>
                <w:sz w:val="20"/>
                <w:szCs w:val="20"/>
              </w:rPr>
              <w:t xml:space="preserve">Social conflicts may arise due to the “jealousy” of local </w:t>
            </w:r>
            <w:r w:rsidR="00436E54" w:rsidRPr="00563D71">
              <w:rPr>
                <w:rFonts w:ascii="Times New Roman" w:hAnsi="Times New Roman" w:cs="Times New Roman"/>
                <w:sz w:val="20"/>
                <w:szCs w:val="20"/>
              </w:rPr>
              <w:t xml:space="preserve">communities if </w:t>
            </w:r>
            <w:r w:rsidRPr="00563D71">
              <w:rPr>
                <w:rFonts w:ascii="Times New Roman" w:hAnsi="Times New Roman" w:cs="Times New Roman"/>
                <w:sz w:val="20"/>
                <w:szCs w:val="20"/>
              </w:rPr>
              <w:t>they are not given access or opportunit</w:t>
            </w:r>
            <w:r w:rsidR="00436E54" w:rsidRPr="00563D71">
              <w:rPr>
                <w:rFonts w:ascii="Times New Roman" w:hAnsi="Times New Roman" w:cs="Times New Roman"/>
                <w:sz w:val="20"/>
                <w:szCs w:val="20"/>
              </w:rPr>
              <w:t>ies</w:t>
            </w:r>
            <w:r w:rsidRPr="00563D71">
              <w:rPr>
                <w:rFonts w:ascii="Times New Roman" w:hAnsi="Times New Roman" w:cs="Times New Roman"/>
                <w:sz w:val="20"/>
                <w:szCs w:val="20"/>
              </w:rPr>
              <w:t xml:space="preserve"> to benefit from the </w:t>
            </w:r>
            <w:r w:rsidR="0073114C" w:rsidRPr="00563D71">
              <w:rPr>
                <w:rFonts w:ascii="Times New Roman" w:hAnsi="Times New Roman" w:cs="Times New Roman"/>
                <w:sz w:val="20"/>
                <w:szCs w:val="20"/>
              </w:rPr>
              <w:t>P</w:t>
            </w:r>
            <w:r w:rsidRPr="00563D71">
              <w:rPr>
                <w:rFonts w:ascii="Times New Roman" w:hAnsi="Times New Roman" w:cs="Times New Roman"/>
                <w:sz w:val="20"/>
                <w:szCs w:val="20"/>
              </w:rPr>
              <w:t>rogram, greater disparity among community group</w:t>
            </w:r>
            <w:r w:rsidR="00F00BCF" w:rsidRPr="00563D71">
              <w:rPr>
                <w:rFonts w:ascii="Times New Roman" w:hAnsi="Times New Roman" w:cs="Times New Roman"/>
                <w:sz w:val="20"/>
                <w:szCs w:val="20"/>
              </w:rPr>
              <w:t>s</w:t>
            </w:r>
            <w:r w:rsidRPr="00563D71">
              <w:rPr>
                <w:rFonts w:ascii="Times New Roman" w:hAnsi="Times New Roman" w:cs="Times New Roman"/>
                <w:sz w:val="20"/>
                <w:szCs w:val="20"/>
              </w:rPr>
              <w:t xml:space="preserve"> that benefit from the </w:t>
            </w:r>
            <w:r w:rsidR="00F00BCF" w:rsidRPr="00563D71">
              <w:rPr>
                <w:rFonts w:ascii="Times New Roman" w:hAnsi="Times New Roman" w:cs="Times New Roman"/>
                <w:sz w:val="20"/>
                <w:szCs w:val="20"/>
              </w:rPr>
              <w:t>P</w:t>
            </w:r>
            <w:r w:rsidRPr="00563D71">
              <w:rPr>
                <w:rFonts w:ascii="Times New Roman" w:hAnsi="Times New Roman" w:cs="Times New Roman"/>
                <w:sz w:val="20"/>
                <w:szCs w:val="20"/>
              </w:rPr>
              <w:t xml:space="preserve">rogram and those who do not enjoy the benefit from the </w:t>
            </w:r>
            <w:r w:rsidR="00F00BCF" w:rsidRPr="00563D71">
              <w:rPr>
                <w:rFonts w:ascii="Times New Roman" w:hAnsi="Times New Roman" w:cs="Times New Roman"/>
                <w:sz w:val="20"/>
                <w:szCs w:val="20"/>
              </w:rPr>
              <w:t>P</w:t>
            </w:r>
            <w:r w:rsidRPr="00563D71">
              <w:rPr>
                <w:rFonts w:ascii="Times New Roman" w:hAnsi="Times New Roman" w:cs="Times New Roman"/>
                <w:sz w:val="20"/>
                <w:szCs w:val="20"/>
              </w:rPr>
              <w:t xml:space="preserve">rogram (and instead, adversely impacted). </w:t>
            </w:r>
          </w:p>
          <w:p w14:paraId="0E437447" w14:textId="146FA752" w:rsidR="00B1233A" w:rsidRPr="00563D71" w:rsidRDefault="00B1233A" w:rsidP="00854FB5">
            <w:pPr>
              <w:pStyle w:val="ListParagraph"/>
              <w:numPr>
                <w:ilvl w:val="0"/>
                <w:numId w:val="29"/>
              </w:numPr>
              <w:ind w:left="360"/>
              <w:jc w:val="left"/>
              <w:rPr>
                <w:rFonts w:ascii="Times New Roman" w:hAnsi="Times New Roman" w:cs="Times New Roman"/>
                <w:sz w:val="20"/>
                <w:szCs w:val="20"/>
              </w:rPr>
            </w:pPr>
            <w:r w:rsidRPr="00563D71">
              <w:rPr>
                <w:rFonts w:ascii="Times New Roman" w:hAnsi="Times New Roman" w:cs="Times New Roman"/>
                <w:sz w:val="20"/>
                <w:szCs w:val="20"/>
              </w:rPr>
              <w:t>Local culture, values</w:t>
            </w:r>
            <w:r w:rsidR="00436E54" w:rsidRPr="00563D71">
              <w:rPr>
                <w:rFonts w:ascii="Times New Roman" w:hAnsi="Times New Roman" w:cs="Times New Roman"/>
                <w:sz w:val="20"/>
                <w:szCs w:val="20"/>
              </w:rPr>
              <w:t>,</w:t>
            </w:r>
            <w:r w:rsidRPr="00563D71">
              <w:rPr>
                <w:rFonts w:ascii="Times New Roman" w:hAnsi="Times New Roman" w:cs="Times New Roman"/>
                <w:sz w:val="20"/>
                <w:szCs w:val="20"/>
              </w:rPr>
              <w:t xml:space="preserve"> and practices as attractions to tourism might degrade due to the tourism development.</w:t>
            </w:r>
          </w:p>
          <w:p w14:paraId="2D17E750" w14:textId="18F465EF" w:rsidR="00C133CC" w:rsidRPr="00563D71" w:rsidRDefault="00C133CC" w:rsidP="00B1233A">
            <w:pPr>
              <w:spacing w:line="259" w:lineRule="auto"/>
              <w:ind w:left="0"/>
              <w:jc w:val="left"/>
            </w:pPr>
          </w:p>
        </w:tc>
      </w:tr>
    </w:tbl>
    <w:p w14:paraId="53530111" w14:textId="0955083A" w:rsidR="00EE771E" w:rsidRPr="00563D71" w:rsidRDefault="00EE771E" w:rsidP="00E1263E">
      <w:pPr>
        <w:pStyle w:val="MainParanoChapter-Ch3"/>
        <w:spacing w:before="120"/>
      </w:pPr>
      <w:bookmarkStart w:id="79" w:name="_Toc468969243"/>
      <w:r w:rsidRPr="00563D71">
        <w:lastRenderedPageBreak/>
        <w:t xml:space="preserve">Below is the </w:t>
      </w:r>
      <w:r w:rsidR="000D73A4" w:rsidRPr="00563D71">
        <w:t xml:space="preserve">initial </w:t>
      </w:r>
      <w:r w:rsidRPr="00563D71">
        <w:t>assessment of the local government agencies based on field notes, follow-up questions by email</w:t>
      </w:r>
      <w:r w:rsidR="00496586" w:rsidRPr="00563D71">
        <w:t>,</w:t>
      </w:r>
      <w:r w:rsidRPr="00563D71">
        <w:t xml:space="preserve"> and literature report/government reports on the performance and their capacity to address risk and impacts. During the draft ESSA public consultation, the Task Team will focus on the area of strengthening </w:t>
      </w:r>
      <w:r w:rsidR="00B04E23" w:rsidRPr="00563D71">
        <w:t xml:space="preserve">to obtain inputs for </w:t>
      </w:r>
      <w:r w:rsidRPr="00563D71">
        <w:t xml:space="preserve">the final draft ESSA. In the IPF component, the TORs for Program Management </w:t>
      </w:r>
      <w:r w:rsidR="0004727C" w:rsidRPr="00563D71">
        <w:t xml:space="preserve">Support </w:t>
      </w:r>
      <w:r w:rsidRPr="00563D71">
        <w:t xml:space="preserve">services and also in the Program Action Plan in the Program will be able to focus on the area of strengthening that needed to be considered by the national coordination team. The role of STOs would be part of the monitoring team without enforcement authority but engaging local stakeholders as it will </w:t>
      </w:r>
      <w:r w:rsidR="0002571E" w:rsidRPr="00563D71">
        <w:t>consist</w:t>
      </w:r>
      <w:r w:rsidRPr="00563D71">
        <w:t xml:space="preserve"> of local government agencies, universities</w:t>
      </w:r>
      <w:r w:rsidR="00496586" w:rsidRPr="00563D71">
        <w:t>,</w:t>
      </w:r>
      <w:r w:rsidRPr="00563D71">
        <w:t xml:space="preserve"> and NGOs to promote and provide the periodically monitoring reports. It will </w:t>
      </w:r>
      <w:r w:rsidR="00172C77" w:rsidRPr="00563D71">
        <w:t xml:space="preserve">be </w:t>
      </w:r>
      <w:r w:rsidRPr="00563D71">
        <w:t>publish</w:t>
      </w:r>
      <w:r w:rsidR="00585BED" w:rsidRPr="00563D71">
        <w:t>ed</w:t>
      </w:r>
      <w:r w:rsidRPr="00563D71">
        <w:t xml:space="preserve"> based on pre-agreed geographic scope of tourism areas and list of critical indicators.  </w:t>
      </w:r>
    </w:p>
    <w:p w14:paraId="03046B35" w14:textId="77777777" w:rsidR="00FF16D7" w:rsidRPr="00563D71" w:rsidRDefault="00FF16D7" w:rsidP="00CF22F2">
      <w:pPr>
        <w:spacing w:before="0"/>
        <w:ind w:right="14"/>
        <w:rPr>
          <w:color w:val="auto"/>
        </w:rPr>
      </w:pPr>
    </w:p>
    <w:p w14:paraId="325CCEEF" w14:textId="2B07B1EB" w:rsidR="00EE771E" w:rsidRPr="00563D71" w:rsidRDefault="00EE771E" w:rsidP="003D2E29">
      <w:pPr>
        <w:pStyle w:val="NoSpacing"/>
        <w:jc w:val="center"/>
      </w:pPr>
      <w:bookmarkStart w:id="80" w:name="_Toc485824771"/>
      <w:r w:rsidRPr="00563D71">
        <w:t xml:space="preserve">Table </w:t>
      </w:r>
      <w:r w:rsidR="00704623" w:rsidRPr="00563D71">
        <w:t>10</w:t>
      </w:r>
      <w:r w:rsidR="009640F4" w:rsidRPr="00563D71">
        <w:t>.</w:t>
      </w:r>
      <w:r w:rsidR="006F6E87" w:rsidRPr="00563D71">
        <w:t xml:space="preserve"> I</w:t>
      </w:r>
      <w:r w:rsidRPr="00563D71">
        <w:t>nstitutional capacity to address risks and impacts and areas that can be improved through the Program.</w:t>
      </w:r>
      <w:bookmarkEnd w:id="80"/>
    </w:p>
    <w:p w14:paraId="71CDDBED" w14:textId="77777777" w:rsidR="00EE771E" w:rsidRPr="00563D71" w:rsidRDefault="00EE771E" w:rsidP="00EE771E">
      <w:pPr>
        <w:pStyle w:val="ListParagraph"/>
        <w:numPr>
          <w:ilvl w:val="0"/>
          <w:numId w:val="73"/>
        </w:numPr>
        <w:ind w:right="15"/>
      </w:pPr>
      <w:r w:rsidRPr="00563D71">
        <w:rPr>
          <w:rFonts w:ascii="Times New Roman" w:hAnsi="Times New Roman" w:cs="Times New Roman"/>
        </w:rPr>
        <w:t xml:space="preserve">Central Level Institutional Arrangement </w:t>
      </w:r>
    </w:p>
    <w:tbl>
      <w:tblPr>
        <w:tblStyle w:val="TableGrid0"/>
        <w:tblW w:w="0" w:type="auto"/>
        <w:tblInd w:w="11" w:type="dxa"/>
        <w:tblLook w:val="04A0" w:firstRow="1" w:lastRow="0" w:firstColumn="1" w:lastColumn="0" w:noHBand="0" w:noVBand="1"/>
      </w:tblPr>
      <w:tblGrid>
        <w:gridCol w:w="3528"/>
        <w:gridCol w:w="6237"/>
        <w:gridCol w:w="3174"/>
      </w:tblGrid>
      <w:tr w:rsidR="00EE771E" w:rsidRPr="00563D71" w14:paraId="02A9AB8C" w14:textId="77777777" w:rsidTr="003D2E29">
        <w:tc>
          <w:tcPr>
            <w:tcW w:w="3528" w:type="dxa"/>
          </w:tcPr>
          <w:p w14:paraId="017AF75B"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t>Ministry/ DG</w:t>
            </w:r>
          </w:p>
        </w:tc>
        <w:tc>
          <w:tcPr>
            <w:tcW w:w="6237" w:type="dxa"/>
          </w:tcPr>
          <w:p w14:paraId="65701308" w14:textId="77777777" w:rsidR="00EE771E" w:rsidRPr="00563D71" w:rsidRDefault="00EE771E" w:rsidP="0006769B">
            <w:pPr>
              <w:ind w:left="0" w:right="15" w:firstLine="0"/>
              <w:jc w:val="center"/>
              <w:rPr>
                <w:rFonts w:asciiTheme="majorBidi" w:hAnsiTheme="majorBidi" w:cstheme="majorBidi"/>
                <w:sz w:val="20"/>
                <w:szCs w:val="20"/>
              </w:rPr>
            </w:pPr>
            <w:r w:rsidRPr="00563D71">
              <w:rPr>
                <w:rFonts w:asciiTheme="majorBidi" w:hAnsiTheme="majorBidi" w:cstheme="majorBidi"/>
                <w:sz w:val="20"/>
                <w:szCs w:val="20"/>
              </w:rPr>
              <w:t>Institutional capacity to address risks and impacts</w:t>
            </w:r>
          </w:p>
          <w:p w14:paraId="179703DC" w14:textId="77777777" w:rsidR="00EE771E" w:rsidRPr="00563D71" w:rsidRDefault="00EE771E" w:rsidP="0006769B">
            <w:pPr>
              <w:ind w:left="0" w:right="15" w:firstLine="0"/>
              <w:jc w:val="center"/>
              <w:rPr>
                <w:rFonts w:asciiTheme="majorBidi" w:hAnsiTheme="majorBidi" w:cstheme="majorBidi"/>
                <w:sz w:val="20"/>
                <w:szCs w:val="20"/>
              </w:rPr>
            </w:pPr>
          </w:p>
        </w:tc>
        <w:tc>
          <w:tcPr>
            <w:tcW w:w="3174" w:type="dxa"/>
          </w:tcPr>
          <w:p w14:paraId="177BC7B8" w14:textId="77777777" w:rsidR="00EE771E" w:rsidRPr="00563D71" w:rsidRDefault="00EE771E" w:rsidP="0006769B">
            <w:pPr>
              <w:ind w:left="0" w:right="15" w:firstLine="0"/>
              <w:jc w:val="center"/>
              <w:rPr>
                <w:rFonts w:asciiTheme="majorBidi" w:hAnsiTheme="majorBidi" w:cstheme="majorBidi"/>
                <w:sz w:val="20"/>
                <w:szCs w:val="20"/>
              </w:rPr>
            </w:pPr>
            <w:r w:rsidRPr="00563D71">
              <w:rPr>
                <w:rFonts w:asciiTheme="majorBidi" w:hAnsiTheme="majorBidi" w:cstheme="majorBidi"/>
                <w:sz w:val="20"/>
                <w:szCs w:val="20"/>
              </w:rPr>
              <w:t>Area of strengthening</w:t>
            </w:r>
          </w:p>
        </w:tc>
      </w:tr>
      <w:tr w:rsidR="00EE771E" w:rsidRPr="00563D71" w14:paraId="44090B2E" w14:textId="77777777" w:rsidTr="003D2E29">
        <w:tc>
          <w:tcPr>
            <w:tcW w:w="3528" w:type="dxa"/>
          </w:tcPr>
          <w:p w14:paraId="4226DB32" w14:textId="77777777" w:rsidR="00EE771E" w:rsidRPr="00563D71" w:rsidRDefault="00EE771E" w:rsidP="003D2E29">
            <w:pPr>
              <w:pStyle w:val="ListParagraph"/>
              <w:numPr>
                <w:ilvl w:val="3"/>
                <w:numId w:val="11"/>
              </w:numPr>
              <w:spacing w:line="240" w:lineRule="auto"/>
              <w:ind w:left="357" w:right="17" w:hanging="357"/>
              <w:rPr>
                <w:rFonts w:asciiTheme="majorBidi" w:hAnsiTheme="majorBidi" w:cstheme="majorBidi"/>
                <w:sz w:val="20"/>
                <w:szCs w:val="20"/>
              </w:rPr>
            </w:pPr>
            <w:r w:rsidRPr="00563D71">
              <w:rPr>
                <w:rFonts w:asciiTheme="majorBidi" w:hAnsiTheme="majorBidi" w:cstheme="majorBidi"/>
                <w:sz w:val="20"/>
                <w:szCs w:val="20"/>
              </w:rPr>
              <w:t>Ministry of Public Work and Housing (MPWH)</w:t>
            </w:r>
          </w:p>
          <w:p w14:paraId="67B3F5FD" w14:textId="196142CC" w:rsidR="00EE771E" w:rsidRPr="00563D71" w:rsidRDefault="00EE771E" w:rsidP="003D2E29">
            <w:pPr>
              <w:pStyle w:val="ListParagraph"/>
              <w:numPr>
                <w:ilvl w:val="0"/>
                <w:numId w:val="75"/>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 xml:space="preserve">All Directorates General of MPWH allocated annual budget for land acquisition, especially for national and strategic projects. </w:t>
            </w:r>
            <w:r w:rsidR="0038095C" w:rsidRPr="00563D71">
              <w:rPr>
                <w:rFonts w:asciiTheme="majorBidi" w:hAnsiTheme="majorBidi" w:cstheme="majorBidi"/>
                <w:sz w:val="20"/>
                <w:szCs w:val="20"/>
              </w:rPr>
              <w:t>This exclude</w:t>
            </w:r>
            <w:r w:rsidR="00585BED" w:rsidRPr="00563D71">
              <w:rPr>
                <w:rFonts w:asciiTheme="majorBidi" w:hAnsiTheme="majorBidi" w:cstheme="majorBidi"/>
                <w:sz w:val="20"/>
                <w:szCs w:val="20"/>
              </w:rPr>
              <w:t>s</w:t>
            </w:r>
            <w:r w:rsidR="0038095C" w:rsidRPr="00563D71">
              <w:rPr>
                <w:rFonts w:asciiTheme="majorBidi" w:hAnsiTheme="majorBidi" w:cstheme="majorBidi"/>
                <w:sz w:val="20"/>
                <w:szCs w:val="20"/>
              </w:rPr>
              <w:t xml:space="preserve"> DG of Housing Provision as they do not acquire land</w:t>
            </w:r>
            <w:r w:rsidR="00585BED" w:rsidRPr="00563D71">
              <w:rPr>
                <w:rFonts w:asciiTheme="majorBidi" w:hAnsiTheme="majorBidi" w:cstheme="majorBidi"/>
                <w:sz w:val="20"/>
                <w:szCs w:val="20"/>
              </w:rPr>
              <w:t>;</w:t>
            </w:r>
            <w:r w:rsidR="0038095C" w:rsidRPr="00563D71">
              <w:rPr>
                <w:rFonts w:asciiTheme="majorBidi" w:hAnsiTheme="majorBidi" w:cstheme="majorBidi"/>
                <w:sz w:val="20"/>
                <w:szCs w:val="20"/>
              </w:rPr>
              <w:t xml:space="preserve"> mostly the land is prepared by the local governments. </w:t>
            </w:r>
          </w:p>
          <w:p w14:paraId="7DF0E02B" w14:textId="3492BDC1" w:rsidR="00EE771E" w:rsidRPr="00563D71" w:rsidRDefault="00EE771E" w:rsidP="003D2E29">
            <w:pPr>
              <w:pStyle w:val="ListParagraph"/>
              <w:numPr>
                <w:ilvl w:val="0"/>
                <w:numId w:val="75"/>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lastRenderedPageBreak/>
              <w:t>In 2015, MPWH allocated</w:t>
            </w:r>
            <w:r w:rsidR="00585BED" w:rsidRPr="00563D71">
              <w:rPr>
                <w:rFonts w:asciiTheme="majorBidi" w:hAnsiTheme="majorBidi" w:cstheme="majorBidi"/>
                <w:sz w:val="20"/>
                <w:szCs w:val="20"/>
              </w:rPr>
              <w:t xml:space="preserve"> </w:t>
            </w:r>
            <w:r w:rsidRPr="00563D71">
              <w:rPr>
                <w:rFonts w:asciiTheme="majorBidi" w:hAnsiTheme="majorBidi" w:cstheme="majorBidi"/>
                <w:sz w:val="20"/>
                <w:szCs w:val="20"/>
              </w:rPr>
              <w:t xml:space="preserve">IDR 4.7 trillion for land acquisition. </w:t>
            </w:r>
          </w:p>
        </w:tc>
        <w:tc>
          <w:tcPr>
            <w:tcW w:w="6237" w:type="dxa"/>
          </w:tcPr>
          <w:p w14:paraId="1CD4DC17" w14:textId="58381269" w:rsidR="00EE771E" w:rsidRPr="00563D71" w:rsidRDefault="00EE771E" w:rsidP="003D2E29">
            <w:pPr>
              <w:pStyle w:val="ListParagraph"/>
              <w:numPr>
                <w:ilvl w:val="0"/>
                <w:numId w:val="74"/>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lastRenderedPageBreak/>
              <w:t>Directorate Regional Infrastructure and Development/</w:t>
            </w:r>
            <w:r w:rsidRPr="00563D71">
              <w:rPr>
                <w:rFonts w:asciiTheme="majorBidi" w:hAnsiTheme="majorBidi" w:cstheme="majorBidi"/>
                <w:i/>
                <w:sz w:val="20"/>
                <w:szCs w:val="20"/>
              </w:rPr>
              <w:t xml:space="preserve">Badan Pengembangan Infrastructure Wilayah </w:t>
            </w:r>
            <w:r w:rsidRPr="00563D71">
              <w:rPr>
                <w:rFonts w:asciiTheme="majorBidi" w:hAnsiTheme="majorBidi" w:cstheme="majorBidi"/>
                <w:sz w:val="20"/>
                <w:szCs w:val="20"/>
              </w:rPr>
              <w:t xml:space="preserve">(BPIW) </w:t>
            </w:r>
          </w:p>
          <w:p w14:paraId="50A82699" w14:textId="5065296B" w:rsidR="009E3DED" w:rsidRPr="00563D71" w:rsidRDefault="009E3DED" w:rsidP="009E3DED">
            <w:pPr>
              <w:widowControl w:val="0"/>
              <w:spacing w:after="120"/>
              <w:ind w:left="0" w:firstLine="0"/>
              <w:rPr>
                <w:rFonts w:asciiTheme="majorBidi" w:hAnsiTheme="majorBidi" w:cstheme="majorBidi"/>
                <w:sz w:val="20"/>
                <w:szCs w:val="20"/>
              </w:rPr>
            </w:pPr>
            <w:r w:rsidRPr="00563D71">
              <w:rPr>
                <w:sz w:val="20"/>
                <w:szCs w:val="20"/>
              </w:rPr>
              <w:t>RIDA-MPWH as Implementing Agency is a well-established government agency with a growing and substantial workforce fro</w:t>
            </w:r>
            <w:r w:rsidR="002C65DF" w:rsidRPr="00563D71">
              <w:rPr>
                <w:sz w:val="20"/>
                <w:szCs w:val="20"/>
              </w:rPr>
              <w:t>m different areas of expertise.</w:t>
            </w:r>
            <w:r w:rsidRPr="00563D71">
              <w:rPr>
                <w:sz w:val="20"/>
                <w:szCs w:val="20"/>
              </w:rPr>
              <w:t xml:space="preserve"> Among the areas of expertise are Architecture, Engineering, Regional and Urban Planning, Environmental Engineering, Anthropology, Law</w:t>
            </w:r>
            <w:r w:rsidR="002C65DF" w:rsidRPr="00563D71">
              <w:rPr>
                <w:sz w:val="20"/>
                <w:szCs w:val="20"/>
              </w:rPr>
              <w:t>,</w:t>
            </w:r>
            <w:r w:rsidRPr="00563D71">
              <w:rPr>
                <w:sz w:val="20"/>
                <w:szCs w:val="20"/>
              </w:rPr>
              <w:t xml:space="preserve"> and Economics. The Regional Infrastructure</w:t>
            </w:r>
            <w:r w:rsidR="00B344F2" w:rsidRPr="00563D71">
              <w:rPr>
                <w:sz w:val="20"/>
                <w:szCs w:val="20"/>
              </w:rPr>
              <w:t xml:space="preserve"> Development Agency</w:t>
            </w:r>
            <w:r w:rsidRPr="00563D71">
              <w:rPr>
                <w:sz w:val="20"/>
                <w:szCs w:val="20"/>
              </w:rPr>
              <w:t xml:space="preserve"> (RIDA) as the Program Executor has a</w:t>
            </w:r>
            <w:r w:rsidR="002C65DF" w:rsidRPr="00563D71">
              <w:rPr>
                <w:sz w:val="20"/>
                <w:szCs w:val="20"/>
              </w:rPr>
              <w:t xml:space="preserve"> Core team (PNS) which consists</w:t>
            </w:r>
            <w:r w:rsidRPr="00563D71">
              <w:rPr>
                <w:sz w:val="20"/>
                <w:szCs w:val="20"/>
              </w:rPr>
              <w:t xml:space="preserve"> of 36 civil servants working in </w:t>
            </w:r>
            <w:r w:rsidR="002C65DF" w:rsidRPr="00563D71">
              <w:rPr>
                <w:sz w:val="20"/>
                <w:szCs w:val="20"/>
              </w:rPr>
              <w:t xml:space="preserve">a </w:t>
            </w:r>
            <w:r w:rsidRPr="00563D71">
              <w:rPr>
                <w:sz w:val="20"/>
                <w:szCs w:val="20"/>
              </w:rPr>
              <w:t xml:space="preserve">Work Unit of the Strategic Area Development </w:t>
            </w:r>
            <w:r w:rsidRPr="00563D71">
              <w:rPr>
                <w:sz w:val="20"/>
                <w:szCs w:val="20"/>
              </w:rPr>
              <w:lastRenderedPageBreak/>
              <w:t>Center or in total 117 people in RIDA and also individual consultants. The Work Unit of the Strategic Area Development Center will develop a Technical Expert Team (Professional Specialist) consisting of experts from several areas of expertise stipulated through Decree (SK), especially related to environmental and social aspects.</w:t>
            </w:r>
          </w:p>
          <w:p w14:paraId="7D973B87" w14:textId="257437CC" w:rsidR="00005ABF" w:rsidRPr="00563D71" w:rsidRDefault="009E3DED" w:rsidP="009E3DED">
            <w:pPr>
              <w:widowControl w:val="0"/>
              <w:spacing w:after="120"/>
              <w:ind w:left="0" w:firstLine="0"/>
              <w:rPr>
                <w:rFonts w:asciiTheme="majorBidi" w:hAnsiTheme="majorBidi" w:cstheme="majorBidi"/>
                <w:sz w:val="20"/>
                <w:szCs w:val="20"/>
              </w:rPr>
            </w:pPr>
            <w:r w:rsidRPr="00563D71">
              <w:rPr>
                <w:rFonts w:asciiTheme="majorBidi" w:hAnsiTheme="majorBidi" w:cstheme="majorBidi"/>
                <w:sz w:val="20"/>
                <w:szCs w:val="20"/>
              </w:rPr>
              <w:t>RIDA-MPWH</w:t>
            </w:r>
            <w:r w:rsidR="00EE771E" w:rsidRPr="00563D71">
              <w:rPr>
                <w:rFonts w:asciiTheme="majorBidi" w:hAnsiTheme="majorBidi" w:cstheme="majorBidi"/>
                <w:sz w:val="20"/>
                <w:szCs w:val="20"/>
              </w:rPr>
              <w:t xml:space="preserve"> has its own Land Facilitation Division (LFD). LFD is responsible for facilitating land acquisition for regional development. The tasks of the sub</w:t>
            </w:r>
            <w:r w:rsidR="00585BED" w:rsidRPr="00563D71">
              <w:rPr>
                <w:rFonts w:asciiTheme="majorBidi" w:hAnsiTheme="majorBidi" w:cstheme="majorBidi"/>
                <w:sz w:val="20"/>
                <w:szCs w:val="20"/>
              </w:rPr>
              <w:t>-</w:t>
            </w:r>
            <w:r w:rsidR="00EE771E" w:rsidRPr="00563D71">
              <w:rPr>
                <w:rFonts w:asciiTheme="majorBidi" w:hAnsiTheme="majorBidi" w:cstheme="majorBidi"/>
                <w:sz w:val="20"/>
                <w:szCs w:val="20"/>
              </w:rPr>
              <w:t>directorate of land facilitation include</w:t>
            </w:r>
            <w:r w:rsidR="00005ABF" w:rsidRPr="00563D71">
              <w:rPr>
                <w:rFonts w:asciiTheme="majorBidi" w:hAnsiTheme="majorBidi" w:cstheme="majorBidi"/>
                <w:sz w:val="20"/>
                <w:szCs w:val="20"/>
              </w:rPr>
              <w:t xml:space="preserve"> i) preparing coordination materials for land acquisition with other related agencies; ii) providing technical guidance and land acquisition assistance; iii) facilitation of handling land acquisition issues in the management of water resources</w:t>
            </w:r>
            <w:r w:rsidR="00BB0277" w:rsidRPr="00563D71">
              <w:rPr>
                <w:rFonts w:asciiTheme="majorBidi" w:hAnsiTheme="majorBidi" w:cstheme="majorBidi"/>
                <w:sz w:val="20"/>
                <w:szCs w:val="20"/>
              </w:rPr>
              <w:t>;</w:t>
            </w:r>
            <w:r w:rsidR="00005ABF" w:rsidRPr="00563D71">
              <w:rPr>
                <w:rFonts w:asciiTheme="majorBidi" w:hAnsiTheme="majorBidi" w:cstheme="majorBidi"/>
                <w:sz w:val="20"/>
                <w:szCs w:val="20"/>
              </w:rPr>
              <w:t xml:space="preserve"> and iv) </w:t>
            </w:r>
            <w:r w:rsidR="00585BED" w:rsidRPr="00563D71">
              <w:rPr>
                <w:rFonts w:asciiTheme="majorBidi" w:hAnsiTheme="majorBidi" w:cstheme="majorBidi"/>
                <w:sz w:val="20"/>
                <w:szCs w:val="20"/>
              </w:rPr>
              <w:t>facilitation</w:t>
            </w:r>
            <w:r w:rsidR="00EF0971" w:rsidRPr="00563D71">
              <w:rPr>
                <w:rFonts w:asciiTheme="majorBidi" w:hAnsiTheme="majorBidi" w:cstheme="majorBidi"/>
                <w:sz w:val="20"/>
                <w:szCs w:val="20"/>
              </w:rPr>
              <w:t xml:space="preserve"> </w:t>
            </w:r>
            <w:r w:rsidR="00005ABF" w:rsidRPr="00563D71">
              <w:rPr>
                <w:rFonts w:asciiTheme="majorBidi" w:hAnsiTheme="majorBidi" w:cstheme="majorBidi"/>
                <w:sz w:val="20"/>
                <w:szCs w:val="20"/>
              </w:rPr>
              <w:t>of security protection and certification of the state property in the form of land</w:t>
            </w:r>
            <w:r w:rsidR="00BB0277" w:rsidRPr="00563D71">
              <w:rPr>
                <w:rFonts w:asciiTheme="majorBidi" w:hAnsiTheme="majorBidi" w:cstheme="majorBidi"/>
                <w:sz w:val="20"/>
                <w:szCs w:val="20"/>
              </w:rPr>
              <w:t>.</w:t>
            </w:r>
          </w:p>
          <w:p w14:paraId="46F1BD90" w14:textId="663B529C" w:rsidR="00EE771E" w:rsidRPr="00563D71" w:rsidRDefault="00EE771E" w:rsidP="0006769B">
            <w:pPr>
              <w:widowControl w:val="0"/>
              <w:ind w:left="0" w:firstLine="0"/>
              <w:contextualSpacing/>
              <w:rPr>
                <w:rFonts w:asciiTheme="majorBidi" w:eastAsia="SimSun" w:hAnsiTheme="majorBidi" w:cstheme="majorBidi"/>
                <w:color w:val="auto"/>
                <w:kern w:val="2"/>
                <w:sz w:val="20"/>
                <w:szCs w:val="20"/>
              </w:rPr>
            </w:pPr>
            <w:r w:rsidRPr="00563D71">
              <w:rPr>
                <w:rFonts w:asciiTheme="majorBidi" w:eastAsia="SimSun" w:hAnsiTheme="majorBidi" w:cstheme="majorBidi"/>
                <w:color w:val="auto"/>
                <w:sz w:val="20"/>
                <w:szCs w:val="20"/>
              </w:rPr>
              <w:t>Since its establishment in July 2015, the Land Facilitation Division (safeguard unit) has been active in identifying all lands to be acquired for strategic and national projects and ensuring that the projects have been included in the regional spatial planning. The division also supports BPIW in enhancing the capacity of the staff in land acquisition and resettlement by holding regular trainings, seminars, and workshops and inviting key speakers from its own ministry or from external organizations. They also develop and maintain good relationships with other government agencies involved in land acquisition such as the Ministry of Environment and Forestry (MoEF), the state-owned Forest Enterprise (Perhutani)</w:t>
            </w:r>
            <w:r w:rsidR="00585BED" w:rsidRPr="00563D71">
              <w:rPr>
                <w:rFonts w:asciiTheme="majorBidi" w:eastAsia="SimSun" w:hAnsiTheme="majorBidi" w:cstheme="majorBidi"/>
                <w:color w:val="auto"/>
                <w:sz w:val="20"/>
                <w:szCs w:val="20"/>
              </w:rPr>
              <w:t>,</w:t>
            </w:r>
            <w:r w:rsidRPr="00563D71">
              <w:rPr>
                <w:rFonts w:asciiTheme="majorBidi" w:eastAsia="SimSun" w:hAnsiTheme="majorBidi" w:cstheme="majorBidi"/>
                <w:color w:val="auto"/>
                <w:sz w:val="20"/>
                <w:szCs w:val="20"/>
              </w:rPr>
              <w:t xml:space="preserve"> and the National Land Office.</w:t>
            </w:r>
          </w:p>
          <w:p w14:paraId="43021880" w14:textId="77777777" w:rsidR="00EE771E" w:rsidRPr="00563D71" w:rsidRDefault="00EE771E" w:rsidP="0006769B">
            <w:pPr>
              <w:ind w:left="0" w:firstLine="0"/>
              <w:rPr>
                <w:rFonts w:asciiTheme="majorBidi" w:eastAsia="SimSun" w:hAnsiTheme="majorBidi" w:cstheme="majorBidi"/>
                <w:color w:val="auto"/>
                <w:kern w:val="2"/>
                <w:sz w:val="20"/>
                <w:szCs w:val="20"/>
              </w:rPr>
            </w:pPr>
          </w:p>
          <w:p w14:paraId="4272C283" w14:textId="77777777" w:rsidR="00EE771E" w:rsidRPr="00563D71" w:rsidRDefault="00EE771E" w:rsidP="0006769B">
            <w:pPr>
              <w:tabs>
                <w:tab w:val="left" w:pos="0"/>
              </w:tabs>
              <w:ind w:left="0" w:firstLine="0"/>
              <w:contextualSpacing/>
              <w:rPr>
                <w:rFonts w:asciiTheme="majorBidi" w:eastAsia="SimSun" w:hAnsiTheme="majorBidi" w:cstheme="majorBidi"/>
                <w:color w:val="auto"/>
                <w:kern w:val="2"/>
                <w:sz w:val="20"/>
                <w:szCs w:val="20"/>
              </w:rPr>
            </w:pPr>
            <w:r w:rsidRPr="00563D71">
              <w:rPr>
                <w:rFonts w:asciiTheme="majorBidi" w:eastAsia="SimSun" w:hAnsiTheme="majorBidi" w:cstheme="majorBidi"/>
                <w:color w:val="auto"/>
                <w:kern w:val="2"/>
                <w:sz w:val="20"/>
                <w:szCs w:val="20"/>
              </w:rPr>
              <w:t xml:space="preserve">In BPIW, the number of staff working at the land facilitation unit is limited. However, there are plans to add sufficient staff to this land facilitation unit to enable it to properly handle its </w:t>
            </w:r>
            <w:r w:rsidR="0094795B" w:rsidRPr="00563D71">
              <w:rPr>
                <w:rFonts w:asciiTheme="majorBidi" w:eastAsia="SimSun" w:hAnsiTheme="majorBidi" w:cstheme="majorBidi"/>
                <w:bCs/>
                <w:color w:val="auto"/>
                <w:kern w:val="2"/>
                <w:sz w:val="20"/>
                <w:szCs w:val="20"/>
                <w:lang w:eastAsia="zh-CN"/>
              </w:rPr>
              <w:t xml:space="preserve">facilitation of </w:t>
            </w:r>
            <w:r w:rsidRPr="00563D71">
              <w:rPr>
                <w:rFonts w:asciiTheme="majorBidi" w:eastAsia="SimSun" w:hAnsiTheme="majorBidi" w:cstheme="majorBidi"/>
                <w:color w:val="auto"/>
                <w:kern w:val="2"/>
                <w:sz w:val="20"/>
                <w:szCs w:val="20"/>
              </w:rPr>
              <w:t>land acquisition tasks.</w:t>
            </w:r>
          </w:p>
          <w:p w14:paraId="479CF787" w14:textId="77777777" w:rsidR="00EE771E" w:rsidRPr="00563D71" w:rsidRDefault="00EE771E" w:rsidP="0006769B">
            <w:pPr>
              <w:ind w:left="0" w:right="17" w:firstLine="0"/>
              <w:rPr>
                <w:rFonts w:asciiTheme="majorBidi" w:hAnsiTheme="majorBidi" w:cstheme="majorBidi"/>
                <w:sz w:val="20"/>
                <w:szCs w:val="20"/>
              </w:rPr>
            </w:pPr>
          </w:p>
        </w:tc>
        <w:tc>
          <w:tcPr>
            <w:tcW w:w="3174" w:type="dxa"/>
          </w:tcPr>
          <w:p w14:paraId="72197AE7" w14:textId="32920200" w:rsidR="00A905BF" w:rsidRPr="00563D71" w:rsidRDefault="00292CCB" w:rsidP="003D2E29">
            <w:pPr>
              <w:ind w:left="1" w:firstLine="0"/>
              <w:jc w:val="left"/>
              <w:rPr>
                <w:rFonts w:asciiTheme="majorBidi" w:hAnsiTheme="majorBidi" w:cstheme="majorBidi"/>
                <w:color w:val="auto"/>
                <w:sz w:val="20"/>
                <w:szCs w:val="20"/>
              </w:rPr>
            </w:pPr>
            <w:r w:rsidRPr="00563D71">
              <w:rPr>
                <w:rFonts w:asciiTheme="majorBidi" w:hAnsiTheme="majorBidi" w:cstheme="majorBidi"/>
                <w:color w:val="auto"/>
                <w:sz w:val="20"/>
                <w:szCs w:val="20"/>
              </w:rPr>
              <w:lastRenderedPageBreak/>
              <w:t xml:space="preserve">Program Management Support (through Program Management Support Consultants’ Services financed under the IPF, and/or additional qualified MPWH staff) </w:t>
            </w:r>
            <w:r w:rsidR="008C4549" w:rsidRPr="00563D71">
              <w:rPr>
                <w:rFonts w:asciiTheme="majorBidi" w:hAnsiTheme="majorBidi" w:cstheme="majorBidi"/>
                <w:color w:val="auto"/>
                <w:sz w:val="20"/>
                <w:szCs w:val="20"/>
              </w:rPr>
              <w:t xml:space="preserve">to </w:t>
            </w:r>
            <w:r w:rsidR="00A905BF" w:rsidRPr="00563D71">
              <w:rPr>
                <w:rFonts w:asciiTheme="majorBidi" w:hAnsiTheme="majorBidi" w:cstheme="majorBidi"/>
                <w:color w:val="auto"/>
                <w:sz w:val="20"/>
                <w:szCs w:val="20"/>
              </w:rPr>
              <w:t>develop</w:t>
            </w:r>
            <w:r w:rsidR="008C4549" w:rsidRPr="00563D71">
              <w:rPr>
                <w:rFonts w:asciiTheme="majorBidi" w:hAnsiTheme="majorBidi" w:cstheme="majorBidi"/>
                <w:color w:val="auto"/>
                <w:sz w:val="20"/>
                <w:szCs w:val="20"/>
              </w:rPr>
              <w:t xml:space="preserve"> and </w:t>
            </w:r>
            <w:r w:rsidR="00A905BF" w:rsidRPr="00563D71">
              <w:rPr>
                <w:rFonts w:asciiTheme="majorBidi" w:hAnsiTheme="majorBidi" w:cstheme="majorBidi"/>
                <w:color w:val="auto"/>
                <w:sz w:val="20"/>
                <w:szCs w:val="20"/>
              </w:rPr>
              <w:t xml:space="preserve">implement a tourism-specific </w:t>
            </w:r>
            <w:r w:rsidR="008C4549" w:rsidRPr="00563D71">
              <w:rPr>
                <w:rFonts w:asciiTheme="majorBidi" w:hAnsiTheme="majorBidi" w:cstheme="majorBidi"/>
                <w:color w:val="auto"/>
                <w:sz w:val="20"/>
                <w:szCs w:val="20"/>
              </w:rPr>
              <w:t xml:space="preserve">training </w:t>
            </w:r>
            <w:r w:rsidR="00A905BF" w:rsidRPr="00563D71">
              <w:rPr>
                <w:rFonts w:asciiTheme="majorBidi" w:hAnsiTheme="majorBidi" w:cstheme="majorBidi"/>
                <w:color w:val="auto"/>
                <w:sz w:val="20"/>
                <w:szCs w:val="20"/>
              </w:rPr>
              <w:t xml:space="preserve">program for consultants that prepare AMDALs and </w:t>
            </w:r>
            <w:r w:rsidR="00B92DB5">
              <w:rPr>
                <w:rFonts w:asciiTheme="majorBidi" w:hAnsiTheme="majorBidi" w:cstheme="majorBidi"/>
                <w:color w:val="auto"/>
                <w:sz w:val="20"/>
                <w:szCs w:val="20"/>
              </w:rPr>
              <w:t>UKL-UPL</w:t>
            </w:r>
            <w:r w:rsidR="00A905BF" w:rsidRPr="00563D71">
              <w:rPr>
                <w:rFonts w:asciiTheme="majorBidi" w:hAnsiTheme="majorBidi" w:cstheme="majorBidi"/>
                <w:color w:val="auto"/>
                <w:sz w:val="20"/>
                <w:szCs w:val="20"/>
              </w:rPr>
              <w:t xml:space="preserve"> and for the agencies </w:t>
            </w:r>
            <w:r w:rsidR="00A905BF" w:rsidRPr="00563D71">
              <w:rPr>
                <w:rFonts w:asciiTheme="majorBidi" w:hAnsiTheme="majorBidi" w:cstheme="majorBidi"/>
                <w:color w:val="auto"/>
                <w:sz w:val="20"/>
                <w:szCs w:val="20"/>
              </w:rPr>
              <w:lastRenderedPageBreak/>
              <w:t>that review, approve, and enforce them.</w:t>
            </w:r>
          </w:p>
          <w:p w14:paraId="6BD0CB02" w14:textId="5D3BB4B1" w:rsidR="00EE771E" w:rsidRPr="00563D71" w:rsidRDefault="00EE771E" w:rsidP="0006769B">
            <w:pPr>
              <w:ind w:left="0" w:right="17" w:firstLine="0"/>
              <w:rPr>
                <w:rFonts w:asciiTheme="majorBidi" w:hAnsiTheme="majorBidi" w:cstheme="majorBidi"/>
                <w:sz w:val="20"/>
                <w:szCs w:val="20"/>
              </w:rPr>
            </w:pPr>
          </w:p>
        </w:tc>
      </w:tr>
      <w:tr w:rsidR="00EE771E" w:rsidRPr="00563D71" w14:paraId="7EA353D9" w14:textId="77777777" w:rsidTr="003D2E29">
        <w:tc>
          <w:tcPr>
            <w:tcW w:w="3528" w:type="dxa"/>
          </w:tcPr>
          <w:p w14:paraId="29FEBC81"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2C925DB5" w14:textId="77777777" w:rsidR="00EE771E" w:rsidRPr="00563D71" w:rsidRDefault="00EE771E" w:rsidP="003D2E29">
            <w:pPr>
              <w:pStyle w:val="ListParagraph"/>
              <w:numPr>
                <w:ilvl w:val="0"/>
                <w:numId w:val="74"/>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Directorate General of Water Resources (DGWR)</w:t>
            </w:r>
          </w:p>
          <w:p w14:paraId="0621AF1E" w14:textId="1373FCD6" w:rsidR="00EE771E" w:rsidRPr="00563D71" w:rsidRDefault="00585BED" w:rsidP="00376D32">
            <w:pPr>
              <w:ind w:right="17"/>
              <w:rPr>
                <w:rFonts w:asciiTheme="majorBidi" w:hAnsiTheme="majorBidi" w:cstheme="majorBidi"/>
                <w:sz w:val="20"/>
                <w:szCs w:val="20"/>
              </w:rPr>
            </w:pPr>
            <w:r w:rsidRPr="00563D71">
              <w:rPr>
                <w:rFonts w:asciiTheme="majorBidi" w:hAnsiTheme="majorBidi" w:cstheme="majorBidi"/>
                <w:sz w:val="20"/>
                <w:szCs w:val="20"/>
              </w:rPr>
              <w:t>A C</w:t>
            </w:r>
            <w:r w:rsidR="00EE771E" w:rsidRPr="00563D71">
              <w:rPr>
                <w:rFonts w:asciiTheme="majorBidi" w:hAnsiTheme="majorBidi" w:cstheme="majorBidi"/>
                <w:sz w:val="20"/>
                <w:szCs w:val="20"/>
              </w:rPr>
              <w:t xml:space="preserve">omprehensive Water Resource Management </w:t>
            </w:r>
            <w:r w:rsidRPr="00563D71">
              <w:rPr>
                <w:rFonts w:asciiTheme="majorBidi" w:hAnsiTheme="majorBidi" w:cstheme="majorBidi"/>
                <w:sz w:val="20"/>
                <w:szCs w:val="20"/>
              </w:rPr>
              <w:t>P</w:t>
            </w:r>
            <w:r w:rsidR="00EE771E" w:rsidRPr="00563D71">
              <w:rPr>
                <w:rFonts w:asciiTheme="majorBidi" w:hAnsiTheme="majorBidi" w:cstheme="majorBidi"/>
                <w:sz w:val="20"/>
                <w:szCs w:val="20"/>
              </w:rPr>
              <w:t>lan (</w:t>
            </w:r>
            <w:r w:rsidR="00EE771E" w:rsidRPr="00563D71">
              <w:rPr>
                <w:rFonts w:asciiTheme="majorBidi" w:hAnsiTheme="majorBidi" w:cstheme="majorBidi"/>
                <w:i/>
                <w:sz w:val="20"/>
                <w:szCs w:val="20"/>
              </w:rPr>
              <w:t>Pola</w:t>
            </w:r>
            <w:r w:rsidR="00EE771E" w:rsidRPr="00563D71">
              <w:rPr>
                <w:rFonts w:asciiTheme="majorBidi" w:hAnsiTheme="majorBidi" w:cstheme="majorBidi"/>
                <w:sz w:val="20"/>
                <w:szCs w:val="20"/>
              </w:rPr>
              <w:t xml:space="preserve"> and </w:t>
            </w:r>
            <w:r w:rsidR="00EE771E" w:rsidRPr="00563D71">
              <w:rPr>
                <w:rFonts w:asciiTheme="majorBidi" w:hAnsiTheme="majorBidi" w:cstheme="majorBidi"/>
                <w:i/>
                <w:sz w:val="20"/>
                <w:szCs w:val="20"/>
              </w:rPr>
              <w:t>Rencana</w:t>
            </w:r>
            <w:r w:rsidR="00EE771E" w:rsidRPr="00563D71">
              <w:rPr>
                <w:rFonts w:asciiTheme="majorBidi" w:hAnsiTheme="majorBidi" w:cstheme="majorBidi"/>
                <w:sz w:val="20"/>
                <w:szCs w:val="20"/>
              </w:rPr>
              <w:t xml:space="preserve">) has been prepared together with </w:t>
            </w:r>
            <w:r w:rsidRPr="00563D71">
              <w:rPr>
                <w:rFonts w:asciiTheme="majorBidi" w:hAnsiTheme="majorBidi" w:cstheme="majorBidi"/>
                <w:sz w:val="20"/>
                <w:szCs w:val="20"/>
              </w:rPr>
              <w:t xml:space="preserve">the </w:t>
            </w:r>
            <w:r w:rsidR="00EE771E" w:rsidRPr="00563D71">
              <w:rPr>
                <w:rFonts w:asciiTheme="majorBidi" w:hAnsiTheme="majorBidi" w:cstheme="majorBidi"/>
                <w:sz w:val="20"/>
                <w:szCs w:val="20"/>
              </w:rPr>
              <w:t xml:space="preserve">establishment of a river basin organization (RBO) in each </w:t>
            </w:r>
            <w:r w:rsidRPr="00563D71">
              <w:rPr>
                <w:rFonts w:asciiTheme="majorBidi" w:hAnsiTheme="majorBidi" w:cstheme="majorBidi"/>
                <w:sz w:val="20"/>
                <w:szCs w:val="20"/>
              </w:rPr>
              <w:t xml:space="preserve">of </w:t>
            </w:r>
            <w:r w:rsidR="00EE771E" w:rsidRPr="00563D71">
              <w:rPr>
                <w:rFonts w:asciiTheme="majorBidi" w:hAnsiTheme="majorBidi" w:cstheme="majorBidi"/>
                <w:sz w:val="20"/>
                <w:szCs w:val="20"/>
              </w:rPr>
              <w:t xml:space="preserve">131 River Basin Territories or </w:t>
            </w:r>
            <w:r w:rsidR="00EE771E" w:rsidRPr="00563D71">
              <w:rPr>
                <w:rFonts w:asciiTheme="majorBidi" w:hAnsiTheme="majorBidi" w:cstheme="majorBidi"/>
                <w:i/>
                <w:sz w:val="20"/>
                <w:szCs w:val="20"/>
              </w:rPr>
              <w:t>Wilayah Sungai</w:t>
            </w:r>
            <w:r w:rsidR="00EE771E" w:rsidRPr="00563D71">
              <w:rPr>
                <w:rFonts w:asciiTheme="majorBidi" w:hAnsiTheme="majorBidi" w:cstheme="majorBidi"/>
                <w:sz w:val="20"/>
                <w:szCs w:val="20"/>
              </w:rPr>
              <w:t xml:space="preserve"> (WS) to manage water resources for current and future usages. Another strength </w:t>
            </w:r>
            <w:r w:rsidR="00C520FD" w:rsidRPr="00563D71">
              <w:rPr>
                <w:rFonts w:asciiTheme="majorBidi" w:hAnsiTheme="majorBidi" w:cstheme="majorBidi"/>
                <w:sz w:val="20"/>
                <w:szCs w:val="20"/>
              </w:rPr>
              <w:t>of the DG for managing water catchment basin</w:t>
            </w:r>
            <w:r w:rsidR="00376D32" w:rsidRPr="00563D71">
              <w:rPr>
                <w:rFonts w:asciiTheme="majorBidi" w:hAnsiTheme="majorBidi" w:cstheme="majorBidi"/>
                <w:sz w:val="20"/>
                <w:szCs w:val="20"/>
              </w:rPr>
              <w:t>s</w:t>
            </w:r>
            <w:r w:rsidR="00C520FD" w:rsidRPr="00563D71">
              <w:rPr>
                <w:rFonts w:asciiTheme="majorBidi" w:hAnsiTheme="majorBidi" w:cstheme="majorBidi"/>
                <w:sz w:val="20"/>
                <w:szCs w:val="20"/>
              </w:rPr>
              <w:t xml:space="preserve"> is the </w:t>
            </w:r>
            <w:r w:rsidR="00EE771E" w:rsidRPr="00563D71">
              <w:rPr>
                <w:rFonts w:asciiTheme="majorBidi" w:hAnsiTheme="majorBidi" w:cstheme="majorBidi"/>
                <w:sz w:val="20"/>
                <w:szCs w:val="20"/>
              </w:rPr>
              <w:t xml:space="preserve">current governance framework for </w:t>
            </w:r>
            <w:r w:rsidRPr="00563D71">
              <w:rPr>
                <w:rFonts w:asciiTheme="majorBidi" w:hAnsiTheme="majorBidi" w:cstheme="majorBidi"/>
                <w:sz w:val="20"/>
                <w:szCs w:val="20"/>
              </w:rPr>
              <w:t xml:space="preserve">Water </w:t>
            </w:r>
            <w:r w:rsidR="00EE771E" w:rsidRPr="00563D71">
              <w:rPr>
                <w:rFonts w:asciiTheme="majorBidi" w:hAnsiTheme="majorBidi" w:cstheme="majorBidi"/>
                <w:sz w:val="20"/>
                <w:szCs w:val="20"/>
              </w:rPr>
              <w:t xml:space="preserve">Basin Regional Management </w:t>
            </w:r>
            <w:r w:rsidR="00EE771E" w:rsidRPr="00563D71">
              <w:rPr>
                <w:rFonts w:asciiTheme="majorBidi" w:hAnsiTheme="majorBidi" w:cstheme="majorBidi"/>
                <w:sz w:val="20"/>
                <w:szCs w:val="20"/>
              </w:rPr>
              <w:lastRenderedPageBreak/>
              <w:t>Planning (BWRMP) which has incorporated spatial planning and water resources planning. However</w:t>
            </w:r>
            <w:r w:rsidR="00496586" w:rsidRPr="00563D71">
              <w:rPr>
                <w:rFonts w:asciiTheme="majorBidi" w:hAnsiTheme="majorBidi" w:cstheme="majorBidi"/>
                <w:sz w:val="20"/>
                <w:szCs w:val="20"/>
              </w:rPr>
              <w:t>,</w:t>
            </w:r>
            <w:r w:rsidR="00EE771E" w:rsidRPr="00563D71">
              <w:rPr>
                <w:rFonts w:asciiTheme="majorBidi" w:hAnsiTheme="majorBidi" w:cstheme="majorBidi"/>
                <w:sz w:val="20"/>
                <w:szCs w:val="20"/>
              </w:rPr>
              <w:t xml:space="preserve"> </w:t>
            </w:r>
            <w:r w:rsidRPr="00563D71">
              <w:rPr>
                <w:rFonts w:asciiTheme="majorBidi" w:hAnsiTheme="majorBidi" w:cstheme="majorBidi"/>
                <w:sz w:val="20"/>
                <w:szCs w:val="20"/>
              </w:rPr>
              <w:t xml:space="preserve">the </w:t>
            </w:r>
            <w:r w:rsidR="00EE771E" w:rsidRPr="00563D71">
              <w:rPr>
                <w:rFonts w:asciiTheme="majorBidi" w:hAnsiTheme="majorBidi" w:cstheme="majorBidi"/>
                <w:sz w:val="20"/>
                <w:szCs w:val="20"/>
              </w:rPr>
              <w:t xml:space="preserve">challenges </w:t>
            </w:r>
            <w:r w:rsidRPr="00563D71">
              <w:rPr>
                <w:rFonts w:asciiTheme="majorBidi" w:hAnsiTheme="majorBidi" w:cstheme="majorBidi"/>
                <w:sz w:val="20"/>
                <w:szCs w:val="20"/>
              </w:rPr>
              <w:t>of</w:t>
            </w:r>
            <w:r w:rsidR="00EE771E" w:rsidRPr="00563D71">
              <w:rPr>
                <w:rFonts w:asciiTheme="majorBidi" w:hAnsiTheme="majorBidi" w:cstheme="majorBidi"/>
                <w:sz w:val="20"/>
                <w:szCs w:val="20"/>
              </w:rPr>
              <w:t xml:space="preserve"> implement</w:t>
            </w:r>
            <w:r w:rsidRPr="00563D71">
              <w:rPr>
                <w:rFonts w:asciiTheme="majorBidi" w:hAnsiTheme="majorBidi" w:cstheme="majorBidi"/>
                <w:sz w:val="20"/>
                <w:szCs w:val="20"/>
              </w:rPr>
              <w:t>ing</w:t>
            </w:r>
            <w:r w:rsidR="00EE771E" w:rsidRPr="00563D71">
              <w:rPr>
                <w:rFonts w:asciiTheme="majorBidi" w:hAnsiTheme="majorBidi" w:cstheme="majorBidi"/>
                <w:sz w:val="20"/>
                <w:szCs w:val="20"/>
              </w:rPr>
              <w:t xml:space="preserve"> BWRMP </w:t>
            </w:r>
            <w:r w:rsidRPr="00563D71">
              <w:rPr>
                <w:rFonts w:asciiTheme="majorBidi" w:hAnsiTheme="majorBidi" w:cstheme="majorBidi"/>
                <w:sz w:val="20"/>
                <w:szCs w:val="20"/>
              </w:rPr>
              <w:t xml:space="preserve">require </w:t>
            </w:r>
            <w:r w:rsidR="00EE771E" w:rsidRPr="00563D71">
              <w:rPr>
                <w:rFonts w:asciiTheme="majorBidi" w:hAnsiTheme="majorBidi" w:cstheme="majorBidi"/>
                <w:sz w:val="20"/>
                <w:szCs w:val="20"/>
              </w:rPr>
              <w:t>coordination effort over multiple sectors and ministries</w:t>
            </w:r>
            <w:r w:rsidRPr="00563D71">
              <w:rPr>
                <w:rFonts w:asciiTheme="majorBidi" w:hAnsiTheme="majorBidi" w:cstheme="majorBidi"/>
                <w:sz w:val="20"/>
                <w:szCs w:val="20"/>
              </w:rPr>
              <w:t>,</w:t>
            </w:r>
            <w:r w:rsidR="00EE771E" w:rsidRPr="00563D71">
              <w:rPr>
                <w:rFonts w:asciiTheme="majorBidi" w:hAnsiTheme="majorBidi" w:cstheme="majorBidi"/>
                <w:sz w:val="20"/>
                <w:szCs w:val="20"/>
              </w:rPr>
              <w:t xml:space="preserve"> especially involving all </w:t>
            </w:r>
            <w:r w:rsidR="006E2435" w:rsidRPr="00563D71">
              <w:rPr>
                <w:rFonts w:asciiTheme="majorBidi" w:hAnsiTheme="majorBidi" w:cstheme="majorBidi"/>
                <w:sz w:val="20"/>
                <w:szCs w:val="20"/>
              </w:rPr>
              <w:t>Integrated Water Resource Management (</w:t>
            </w:r>
            <w:r w:rsidR="00EE771E" w:rsidRPr="00563D71">
              <w:rPr>
                <w:rFonts w:asciiTheme="majorBidi" w:hAnsiTheme="majorBidi" w:cstheme="majorBidi"/>
                <w:sz w:val="20"/>
                <w:szCs w:val="20"/>
              </w:rPr>
              <w:t>IWRM</w:t>
            </w:r>
            <w:r w:rsidR="006E2435" w:rsidRPr="00563D71">
              <w:rPr>
                <w:rFonts w:asciiTheme="majorBidi" w:hAnsiTheme="majorBidi" w:cstheme="majorBidi"/>
                <w:sz w:val="20"/>
                <w:szCs w:val="20"/>
              </w:rPr>
              <w:t>)</w:t>
            </w:r>
            <w:r w:rsidR="00EE771E" w:rsidRPr="00563D71">
              <w:rPr>
                <w:rFonts w:asciiTheme="majorBidi" w:hAnsiTheme="majorBidi" w:cstheme="majorBidi"/>
                <w:sz w:val="20"/>
                <w:szCs w:val="20"/>
              </w:rPr>
              <w:t xml:space="preserve"> stakeholders. There </w:t>
            </w:r>
            <w:r w:rsidR="009229F6" w:rsidRPr="00563D71">
              <w:rPr>
                <w:rFonts w:asciiTheme="majorBidi" w:hAnsiTheme="majorBidi" w:cstheme="majorBidi"/>
                <w:sz w:val="20"/>
                <w:szCs w:val="20"/>
              </w:rPr>
              <w:t>are</w:t>
            </w:r>
            <w:r w:rsidR="00EE771E" w:rsidRPr="00563D71">
              <w:rPr>
                <w:rFonts w:asciiTheme="majorBidi" w:hAnsiTheme="majorBidi" w:cstheme="majorBidi"/>
                <w:sz w:val="20"/>
                <w:szCs w:val="20"/>
              </w:rPr>
              <w:t xml:space="preserve"> still gaps </w:t>
            </w:r>
            <w:r w:rsidR="009229F6" w:rsidRPr="00563D71">
              <w:rPr>
                <w:rFonts w:asciiTheme="majorBidi" w:hAnsiTheme="majorBidi" w:cstheme="majorBidi"/>
                <w:sz w:val="20"/>
                <w:szCs w:val="20"/>
              </w:rPr>
              <w:t xml:space="preserve">in </w:t>
            </w:r>
            <w:r w:rsidR="00EE771E" w:rsidRPr="00563D71">
              <w:rPr>
                <w:rFonts w:asciiTheme="majorBidi" w:hAnsiTheme="majorBidi" w:cstheme="majorBidi"/>
                <w:sz w:val="20"/>
                <w:szCs w:val="20"/>
              </w:rPr>
              <w:t>technical capacity to create a large pool of specialist</w:t>
            </w:r>
            <w:r w:rsidR="009229F6" w:rsidRPr="00563D71">
              <w:rPr>
                <w:rFonts w:asciiTheme="majorBidi" w:hAnsiTheme="majorBidi" w:cstheme="majorBidi"/>
                <w:sz w:val="20"/>
                <w:szCs w:val="20"/>
              </w:rPr>
              <w:t>s</w:t>
            </w:r>
            <w:r w:rsidR="00EE771E" w:rsidRPr="00563D71">
              <w:rPr>
                <w:rFonts w:asciiTheme="majorBidi" w:hAnsiTheme="majorBidi" w:cstheme="majorBidi"/>
                <w:sz w:val="20"/>
                <w:szCs w:val="20"/>
              </w:rPr>
              <w:t xml:space="preserve"> with</w:t>
            </w:r>
            <w:r w:rsidR="009229F6" w:rsidRPr="00563D71">
              <w:rPr>
                <w:rFonts w:asciiTheme="majorBidi" w:hAnsiTheme="majorBidi" w:cstheme="majorBidi"/>
                <w:sz w:val="20"/>
                <w:szCs w:val="20"/>
              </w:rPr>
              <w:t xml:space="preserve"> the</w:t>
            </w:r>
            <w:r w:rsidR="00EE771E" w:rsidRPr="00563D71">
              <w:rPr>
                <w:rFonts w:asciiTheme="majorBidi" w:hAnsiTheme="majorBidi" w:cstheme="majorBidi"/>
                <w:sz w:val="20"/>
                <w:szCs w:val="20"/>
              </w:rPr>
              <w:t xml:space="preserve"> knowledge and skills to formulate and execut</w:t>
            </w:r>
            <w:r w:rsidR="009229F6" w:rsidRPr="00563D71">
              <w:rPr>
                <w:rFonts w:asciiTheme="majorBidi" w:hAnsiTheme="majorBidi" w:cstheme="majorBidi"/>
                <w:sz w:val="20"/>
                <w:szCs w:val="20"/>
              </w:rPr>
              <w:t>e</w:t>
            </w:r>
            <w:r w:rsidR="00EE771E" w:rsidRPr="00563D71">
              <w:rPr>
                <w:rFonts w:asciiTheme="majorBidi" w:hAnsiTheme="majorBidi" w:cstheme="majorBidi"/>
                <w:sz w:val="20"/>
                <w:szCs w:val="20"/>
              </w:rPr>
              <w:t xml:space="preserve"> </w:t>
            </w:r>
            <w:r w:rsidR="00C520FD" w:rsidRPr="00563D71">
              <w:rPr>
                <w:rFonts w:asciiTheme="majorBidi" w:hAnsiTheme="majorBidi" w:cstheme="majorBidi"/>
                <w:sz w:val="20"/>
                <w:szCs w:val="20"/>
              </w:rPr>
              <w:t xml:space="preserve">plans. Allocation of budget </w:t>
            </w:r>
            <w:r w:rsidR="00EE771E" w:rsidRPr="00563D71">
              <w:rPr>
                <w:rFonts w:asciiTheme="majorBidi" w:hAnsiTheme="majorBidi" w:cstheme="majorBidi"/>
                <w:sz w:val="20"/>
                <w:szCs w:val="20"/>
              </w:rPr>
              <w:t>for normal operation and maintenance (O&amp;M) and investments for water resource infrastructure (piped water supply and water treatment plants)</w:t>
            </w:r>
            <w:r w:rsidR="00C520FD" w:rsidRPr="00563D71">
              <w:rPr>
                <w:rFonts w:asciiTheme="majorBidi" w:hAnsiTheme="majorBidi" w:cstheme="majorBidi"/>
                <w:sz w:val="20"/>
                <w:szCs w:val="20"/>
              </w:rPr>
              <w:t xml:space="preserve"> needs continuous support from the government.</w:t>
            </w:r>
            <w:r w:rsidR="00CD6942" w:rsidRPr="00563D71">
              <w:rPr>
                <w:rFonts w:asciiTheme="majorBidi" w:hAnsiTheme="majorBidi" w:cstheme="majorBidi"/>
                <w:sz w:val="20"/>
                <w:szCs w:val="20"/>
              </w:rPr>
              <w:t>*</w:t>
            </w:r>
            <w:r w:rsidR="00EE771E" w:rsidRPr="00563D71">
              <w:rPr>
                <w:rFonts w:asciiTheme="majorBidi" w:hAnsiTheme="majorBidi" w:cstheme="majorBidi"/>
                <w:sz w:val="20"/>
                <w:szCs w:val="20"/>
              </w:rPr>
              <w:t xml:space="preserve"> </w:t>
            </w:r>
          </w:p>
          <w:p w14:paraId="5547B484" w14:textId="77777777" w:rsidR="00EE771E" w:rsidRPr="00563D71" w:rsidRDefault="00EE771E" w:rsidP="0006769B">
            <w:pPr>
              <w:ind w:right="17"/>
              <w:rPr>
                <w:rFonts w:asciiTheme="majorBidi" w:hAnsiTheme="majorBidi" w:cstheme="majorBidi"/>
                <w:sz w:val="20"/>
                <w:szCs w:val="20"/>
              </w:rPr>
            </w:pPr>
          </w:p>
        </w:tc>
        <w:tc>
          <w:tcPr>
            <w:tcW w:w="3174" w:type="dxa"/>
          </w:tcPr>
          <w:p w14:paraId="78D48C01" w14:textId="63A982D6" w:rsidR="00EE771E" w:rsidRPr="00563D71" w:rsidRDefault="00EE771E" w:rsidP="003D2E29">
            <w:pPr>
              <w:pStyle w:val="ListParagraph"/>
              <w:numPr>
                <w:ilvl w:val="0"/>
                <w:numId w:val="76"/>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lastRenderedPageBreak/>
              <w:t>The Program would be able to help to facilitate the actions and measures to identify the right infrastructure to make a sustainable</w:t>
            </w:r>
            <w:r w:rsidR="00C3659B" w:rsidRPr="00563D71">
              <w:rPr>
                <w:rFonts w:asciiTheme="majorBidi" w:hAnsiTheme="majorBidi" w:cstheme="majorBidi"/>
                <w:sz w:val="20"/>
                <w:szCs w:val="20"/>
              </w:rPr>
              <w:t xml:space="preserve"> </w:t>
            </w:r>
            <w:r w:rsidRPr="00563D71">
              <w:rPr>
                <w:rFonts w:asciiTheme="majorBidi" w:hAnsiTheme="majorBidi" w:cstheme="majorBidi"/>
                <w:sz w:val="20"/>
                <w:szCs w:val="20"/>
              </w:rPr>
              <w:t>Tourism Destination with emphasi</w:t>
            </w:r>
            <w:r w:rsidR="00EE3BF3" w:rsidRPr="00563D71">
              <w:rPr>
                <w:rFonts w:asciiTheme="majorBidi" w:hAnsiTheme="majorBidi" w:cstheme="majorBidi"/>
                <w:sz w:val="20"/>
                <w:szCs w:val="20"/>
              </w:rPr>
              <w:t>s</w:t>
            </w:r>
            <w:r w:rsidRPr="00563D71">
              <w:rPr>
                <w:rFonts w:asciiTheme="majorBidi" w:hAnsiTheme="majorBidi" w:cstheme="majorBidi"/>
                <w:sz w:val="20"/>
                <w:szCs w:val="20"/>
              </w:rPr>
              <w:t xml:space="preserve"> on green technology investments. Demand assessment shows the </w:t>
            </w:r>
            <w:r w:rsidRPr="00563D71">
              <w:rPr>
                <w:rFonts w:asciiTheme="majorBidi" w:hAnsiTheme="majorBidi" w:cstheme="majorBidi"/>
                <w:sz w:val="20"/>
                <w:szCs w:val="20"/>
              </w:rPr>
              <w:lastRenderedPageBreak/>
              <w:t>importance for access to clean water as part of the sustainability tourism in Lombok, Lake Toba</w:t>
            </w:r>
            <w:r w:rsidR="00EE3BF3" w:rsidRPr="00563D71">
              <w:rPr>
                <w:rFonts w:asciiTheme="majorBidi" w:hAnsiTheme="majorBidi" w:cstheme="majorBidi"/>
                <w:sz w:val="20"/>
                <w:szCs w:val="20"/>
              </w:rPr>
              <w:t>,</w:t>
            </w:r>
            <w:r w:rsidRPr="00563D71">
              <w:rPr>
                <w:rFonts w:asciiTheme="majorBidi" w:hAnsiTheme="majorBidi" w:cstheme="majorBidi"/>
                <w:sz w:val="20"/>
                <w:szCs w:val="20"/>
              </w:rPr>
              <w:t xml:space="preserve"> and Borobudur/Yogyakarta. </w:t>
            </w:r>
          </w:p>
          <w:p w14:paraId="3AE502A5" w14:textId="3833929D" w:rsidR="00A46E4D" w:rsidRPr="00563D71" w:rsidRDefault="00A46E4D" w:rsidP="003D2E29">
            <w:pPr>
              <w:ind w:left="57" w:right="17" w:firstLine="0"/>
              <w:rPr>
                <w:rFonts w:asciiTheme="majorBidi" w:hAnsiTheme="majorBidi" w:cstheme="majorBidi"/>
                <w:sz w:val="20"/>
                <w:szCs w:val="20"/>
              </w:rPr>
            </w:pPr>
            <w:r w:rsidRPr="00563D71">
              <w:rPr>
                <w:rFonts w:asciiTheme="majorBidi" w:hAnsiTheme="majorBidi" w:cstheme="majorBidi"/>
                <w:sz w:val="20"/>
                <w:szCs w:val="20"/>
              </w:rPr>
              <w:t xml:space="preserve">No gap for strengthening. </w:t>
            </w:r>
          </w:p>
        </w:tc>
      </w:tr>
      <w:tr w:rsidR="00EE771E" w:rsidRPr="00563D71" w14:paraId="7A14A486" w14:textId="77777777" w:rsidTr="003D2E29">
        <w:tc>
          <w:tcPr>
            <w:tcW w:w="3528" w:type="dxa"/>
          </w:tcPr>
          <w:p w14:paraId="5AD498DA"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28F8C820" w14:textId="77777777" w:rsidR="00EE771E" w:rsidRPr="00563D71" w:rsidRDefault="00EE771E" w:rsidP="003D2E29">
            <w:pPr>
              <w:pStyle w:val="ListParagraph"/>
              <w:numPr>
                <w:ilvl w:val="0"/>
                <w:numId w:val="74"/>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 xml:space="preserve">Directorate General of Highways (DGH) </w:t>
            </w:r>
          </w:p>
          <w:p w14:paraId="6B2240CD" w14:textId="19C63F4D" w:rsidR="00EE771E" w:rsidRPr="00563D71" w:rsidRDefault="00EE771E" w:rsidP="00965B6A">
            <w:pPr>
              <w:ind w:left="57" w:right="17" w:firstLine="0"/>
              <w:rPr>
                <w:rFonts w:asciiTheme="majorBidi" w:hAnsiTheme="majorBidi" w:cstheme="majorBidi"/>
                <w:sz w:val="20"/>
                <w:szCs w:val="20"/>
              </w:rPr>
            </w:pPr>
            <w:r w:rsidRPr="00563D71">
              <w:rPr>
                <w:rFonts w:asciiTheme="majorBidi" w:hAnsiTheme="majorBidi" w:cstheme="majorBidi"/>
                <w:sz w:val="20"/>
                <w:szCs w:val="20"/>
              </w:rPr>
              <w:t>DGH ha</w:t>
            </w:r>
            <w:r w:rsidR="00EE3BF3" w:rsidRPr="00563D71">
              <w:rPr>
                <w:rFonts w:asciiTheme="majorBidi" w:hAnsiTheme="majorBidi" w:cstheme="majorBidi"/>
                <w:sz w:val="20"/>
                <w:szCs w:val="20"/>
              </w:rPr>
              <w:t>s</w:t>
            </w:r>
            <w:r w:rsidRPr="00563D71">
              <w:rPr>
                <w:rFonts w:asciiTheme="majorBidi" w:hAnsiTheme="majorBidi" w:cstheme="majorBidi"/>
                <w:sz w:val="20"/>
                <w:szCs w:val="20"/>
              </w:rPr>
              <w:t xml:space="preserve"> developed social and environmental safeguard manuals and undertaking training its personnel on safeguards. They are also asked to be trainers on safeguards in MPWH training centers in different regions and also local governments</w:t>
            </w:r>
            <w:r w:rsidR="00EE3BF3" w:rsidRPr="00563D71">
              <w:rPr>
                <w:rFonts w:asciiTheme="majorBidi" w:hAnsiTheme="majorBidi" w:cstheme="majorBidi"/>
                <w:sz w:val="20"/>
                <w:szCs w:val="20"/>
              </w:rPr>
              <w:t>,</w:t>
            </w:r>
            <w:r w:rsidRPr="00563D71">
              <w:rPr>
                <w:rFonts w:asciiTheme="majorBidi" w:hAnsiTheme="majorBidi" w:cstheme="majorBidi"/>
                <w:sz w:val="20"/>
                <w:szCs w:val="20"/>
              </w:rPr>
              <w:t xml:space="preserve"> as arranged by</w:t>
            </w:r>
            <w:r w:rsidR="00EE3BF3" w:rsidRPr="00563D71">
              <w:rPr>
                <w:rFonts w:asciiTheme="majorBidi" w:hAnsiTheme="majorBidi" w:cstheme="majorBidi"/>
                <w:sz w:val="20"/>
                <w:szCs w:val="20"/>
              </w:rPr>
              <w:t xml:space="preserve"> the</w:t>
            </w:r>
            <w:r w:rsidRPr="00563D71">
              <w:rPr>
                <w:rFonts w:asciiTheme="majorBidi" w:hAnsiTheme="majorBidi" w:cstheme="majorBidi"/>
                <w:sz w:val="20"/>
                <w:szCs w:val="20"/>
              </w:rPr>
              <w:t xml:space="preserve"> Directorate of Human Resource and Management. </w:t>
            </w:r>
            <w:r w:rsidR="00EE3BF3" w:rsidRPr="00563D71">
              <w:rPr>
                <w:rFonts w:asciiTheme="majorBidi" w:hAnsiTheme="majorBidi" w:cstheme="majorBidi"/>
                <w:sz w:val="20"/>
                <w:szCs w:val="20"/>
              </w:rPr>
              <w:t>There is a l</w:t>
            </w:r>
            <w:r w:rsidRPr="00563D71">
              <w:rPr>
                <w:rFonts w:asciiTheme="majorBidi" w:hAnsiTheme="majorBidi" w:cstheme="majorBidi"/>
                <w:sz w:val="20"/>
                <w:szCs w:val="20"/>
              </w:rPr>
              <w:t xml:space="preserve">ack of trainers in the DG to support the necessary demand for training needed by the different regional offices. However, </w:t>
            </w:r>
            <w:r w:rsidR="00EE3BF3" w:rsidRPr="00563D71">
              <w:rPr>
                <w:rFonts w:asciiTheme="majorBidi" w:hAnsiTheme="majorBidi" w:cstheme="majorBidi"/>
                <w:sz w:val="20"/>
                <w:szCs w:val="20"/>
              </w:rPr>
              <w:t xml:space="preserve">the </w:t>
            </w:r>
            <w:r w:rsidRPr="00563D71">
              <w:rPr>
                <w:rFonts w:asciiTheme="majorBidi" w:hAnsiTheme="majorBidi" w:cstheme="majorBidi"/>
                <w:sz w:val="20"/>
                <w:szCs w:val="20"/>
              </w:rPr>
              <w:t>Directorate of Human Resources and Management ha</w:t>
            </w:r>
            <w:r w:rsidR="00EE3BF3" w:rsidRPr="00563D71">
              <w:rPr>
                <w:rFonts w:asciiTheme="majorBidi" w:hAnsiTheme="majorBidi" w:cstheme="majorBidi"/>
                <w:sz w:val="20"/>
                <w:szCs w:val="20"/>
              </w:rPr>
              <w:t>s</w:t>
            </w:r>
            <w:r w:rsidRPr="00563D71">
              <w:rPr>
                <w:rFonts w:asciiTheme="majorBidi" w:hAnsiTheme="majorBidi" w:cstheme="majorBidi"/>
                <w:sz w:val="20"/>
                <w:szCs w:val="20"/>
              </w:rPr>
              <w:t xml:space="preserve"> a well-planned training program </w:t>
            </w:r>
            <w:r w:rsidR="00965B6A" w:rsidRPr="00563D71">
              <w:rPr>
                <w:rFonts w:asciiTheme="majorBidi" w:hAnsiTheme="majorBidi" w:cstheme="majorBidi"/>
                <w:sz w:val="20"/>
                <w:szCs w:val="20"/>
              </w:rPr>
              <w:t>in</w:t>
            </w:r>
            <w:r w:rsidRPr="00563D71">
              <w:rPr>
                <w:rFonts w:asciiTheme="majorBidi" w:hAnsiTheme="majorBidi" w:cstheme="majorBidi"/>
                <w:sz w:val="20"/>
                <w:szCs w:val="20"/>
              </w:rPr>
              <w:t xml:space="preserve"> 2017 and will continue their training program for 2018 depending on the allocated budget for the numbers of staff that need</w:t>
            </w:r>
            <w:r w:rsidR="00965B6A" w:rsidRPr="00563D71">
              <w:rPr>
                <w:rFonts w:asciiTheme="majorBidi" w:hAnsiTheme="majorBidi" w:cstheme="majorBidi"/>
                <w:sz w:val="20"/>
                <w:szCs w:val="20"/>
              </w:rPr>
              <w:t xml:space="preserve"> </w:t>
            </w:r>
            <w:r w:rsidRPr="00563D71">
              <w:rPr>
                <w:rFonts w:asciiTheme="majorBidi" w:hAnsiTheme="majorBidi" w:cstheme="majorBidi"/>
                <w:sz w:val="20"/>
                <w:szCs w:val="20"/>
              </w:rPr>
              <w:t xml:space="preserve">training. </w:t>
            </w:r>
          </w:p>
          <w:p w14:paraId="1C1CD5C3" w14:textId="77777777" w:rsidR="00EE771E" w:rsidRPr="00563D71" w:rsidRDefault="00EE771E" w:rsidP="0006769B">
            <w:pPr>
              <w:ind w:left="57" w:right="17" w:firstLine="0"/>
              <w:rPr>
                <w:rFonts w:asciiTheme="majorBidi" w:hAnsiTheme="majorBidi" w:cstheme="majorBidi"/>
                <w:sz w:val="20"/>
                <w:szCs w:val="20"/>
              </w:rPr>
            </w:pPr>
          </w:p>
        </w:tc>
        <w:tc>
          <w:tcPr>
            <w:tcW w:w="3174" w:type="dxa"/>
          </w:tcPr>
          <w:p w14:paraId="194152DD" w14:textId="46B96C21" w:rsidR="00EE771E" w:rsidRPr="00563D71" w:rsidRDefault="008C4549" w:rsidP="003D2E29">
            <w:pPr>
              <w:pStyle w:val="ListParagraph"/>
              <w:numPr>
                <w:ilvl w:val="0"/>
                <w:numId w:val="76"/>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 xml:space="preserve">No </w:t>
            </w:r>
            <w:r w:rsidR="00496586" w:rsidRPr="00563D71">
              <w:rPr>
                <w:rFonts w:asciiTheme="majorBidi" w:hAnsiTheme="majorBidi" w:cstheme="majorBidi"/>
                <w:sz w:val="20"/>
                <w:szCs w:val="20"/>
              </w:rPr>
              <w:t xml:space="preserve">area </w:t>
            </w:r>
            <w:r w:rsidRPr="00563D71">
              <w:rPr>
                <w:rFonts w:asciiTheme="majorBidi" w:hAnsiTheme="majorBidi" w:cstheme="majorBidi"/>
                <w:sz w:val="20"/>
                <w:szCs w:val="20"/>
              </w:rPr>
              <w:t xml:space="preserve">for strengthening. </w:t>
            </w:r>
          </w:p>
        </w:tc>
      </w:tr>
      <w:tr w:rsidR="00EE771E" w:rsidRPr="00563D71" w14:paraId="6DD057BA" w14:textId="77777777" w:rsidTr="003D2E29">
        <w:tc>
          <w:tcPr>
            <w:tcW w:w="3528" w:type="dxa"/>
          </w:tcPr>
          <w:p w14:paraId="04F8AA62"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52AD3543" w14:textId="77777777" w:rsidR="00EE771E" w:rsidRPr="00563D71" w:rsidRDefault="00EE771E" w:rsidP="003D2E29">
            <w:pPr>
              <w:pStyle w:val="ListParagraph"/>
              <w:numPr>
                <w:ilvl w:val="0"/>
                <w:numId w:val="74"/>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Directorate General of Human Settlement (DGHS)</w:t>
            </w:r>
          </w:p>
          <w:p w14:paraId="59E12600" w14:textId="2A67DA4C" w:rsidR="00EE771E" w:rsidRPr="00563D71" w:rsidRDefault="00EE771E" w:rsidP="00963371">
            <w:pPr>
              <w:ind w:left="0" w:right="17" w:firstLine="0"/>
              <w:rPr>
                <w:rFonts w:asciiTheme="majorBidi" w:hAnsiTheme="majorBidi" w:cstheme="majorBidi"/>
                <w:sz w:val="20"/>
                <w:szCs w:val="20"/>
              </w:rPr>
            </w:pPr>
            <w:r w:rsidRPr="00563D71">
              <w:rPr>
                <w:rFonts w:asciiTheme="majorBidi" w:hAnsiTheme="majorBidi" w:cstheme="majorBidi"/>
                <w:sz w:val="20"/>
                <w:szCs w:val="20"/>
              </w:rPr>
              <w:t xml:space="preserve">As </w:t>
            </w:r>
            <w:r w:rsidR="00815C5D" w:rsidRPr="00563D71">
              <w:rPr>
                <w:rFonts w:asciiTheme="majorBidi" w:hAnsiTheme="majorBidi" w:cstheme="majorBidi"/>
                <w:sz w:val="20"/>
                <w:szCs w:val="20"/>
              </w:rPr>
              <w:t xml:space="preserve">in </w:t>
            </w:r>
            <w:r w:rsidRPr="00563D71">
              <w:rPr>
                <w:rFonts w:asciiTheme="majorBidi" w:hAnsiTheme="majorBidi" w:cstheme="majorBidi"/>
                <w:sz w:val="20"/>
                <w:szCs w:val="20"/>
              </w:rPr>
              <w:t>other DG</w:t>
            </w:r>
            <w:r w:rsidR="00815C5D" w:rsidRPr="00563D71">
              <w:rPr>
                <w:rFonts w:asciiTheme="majorBidi" w:hAnsiTheme="majorBidi" w:cstheme="majorBidi"/>
                <w:sz w:val="20"/>
                <w:szCs w:val="20"/>
              </w:rPr>
              <w:t>s</w:t>
            </w:r>
            <w:r w:rsidRPr="00563D71">
              <w:rPr>
                <w:rFonts w:asciiTheme="majorBidi" w:hAnsiTheme="majorBidi" w:cstheme="majorBidi"/>
                <w:sz w:val="20"/>
                <w:szCs w:val="20"/>
              </w:rPr>
              <w:t xml:space="preserve"> in MPWH, DGHS also have their own </w:t>
            </w:r>
            <w:r w:rsidR="00815C5D" w:rsidRPr="00563D71">
              <w:rPr>
                <w:rFonts w:asciiTheme="majorBidi" w:hAnsiTheme="majorBidi" w:cstheme="majorBidi"/>
                <w:sz w:val="20"/>
                <w:szCs w:val="20"/>
              </w:rPr>
              <w:t xml:space="preserve">distinct </w:t>
            </w:r>
            <w:r w:rsidRPr="00563D71">
              <w:rPr>
                <w:rFonts w:asciiTheme="majorBidi" w:hAnsiTheme="majorBidi" w:cstheme="majorBidi"/>
                <w:sz w:val="20"/>
                <w:szCs w:val="20"/>
              </w:rPr>
              <w:t xml:space="preserve">projects with </w:t>
            </w:r>
            <w:r w:rsidR="00815C5D" w:rsidRPr="00563D71">
              <w:rPr>
                <w:rFonts w:asciiTheme="majorBidi" w:hAnsiTheme="majorBidi" w:cstheme="majorBidi"/>
                <w:sz w:val="20"/>
                <w:szCs w:val="20"/>
              </w:rPr>
              <w:t xml:space="preserve">the Bank, </w:t>
            </w:r>
            <w:r w:rsidRPr="00563D71">
              <w:rPr>
                <w:rFonts w:asciiTheme="majorBidi" w:hAnsiTheme="majorBidi" w:cstheme="majorBidi"/>
                <w:sz w:val="20"/>
                <w:szCs w:val="20"/>
              </w:rPr>
              <w:t xml:space="preserve">for instance </w:t>
            </w:r>
            <w:bookmarkStart w:id="81" w:name="OLE_LINK71"/>
            <w:r w:rsidR="00C520FD" w:rsidRPr="00563D71">
              <w:rPr>
                <w:rFonts w:asciiTheme="majorBidi" w:hAnsiTheme="majorBidi" w:cstheme="majorBidi"/>
                <w:sz w:val="20"/>
                <w:szCs w:val="20"/>
              </w:rPr>
              <w:t>Urban Water Supply and Sanitation Project (</w:t>
            </w:r>
            <w:r w:rsidRPr="00563D71">
              <w:rPr>
                <w:rFonts w:asciiTheme="majorBidi" w:hAnsiTheme="majorBidi" w:cstheme="majorBidi"/>
                <w:sz w:val="20"/>
                <w:szCs w:val="20"/>
              </w:rPr>
              <w:t>UWSSP</w:t>
            </w:r>
            <w:r w:rsidR="00C520FD" w:rsidRPr="00563D71">
              <w:rPr>
                <w:rFonts w:asciiTheme="majorBidi" w:hAnsiTheme="majorBidi" w:cstheme="majorBidi"/>
                <w:sz w:val="20"/>
                <w:szCs w:val="20"/>
              </w:rPr>
              <w:t>)</w:t>
            </w:r>
            <w:r w:rsidRPr="00563D71">
              <w:rPr>
                <w:rFonts w:asciiTheme="majorBidi" w:hAnsiTheme="majorBidi" w:cstheme="majorBidi"/>
                <w:sz w:val="20"/>
                <w:szCs w:val="20"/>
              </w:rPr>
              <w:t xml:space="preserve"> </w:t>
            </w:r>
            <w:bookmarkEnd w:id="81"/>
            <w:r w:rsidRPr="00563D71">
              <w:rPr>
                <w:rFonts w:asciiTheme="majorBidi" w:hAnsiTheme="majorBidi" w:cstheme="majorBidi"/>
                <w:sz w:val="20"/>
                <w:szCs w:val="20"/>
              </w:rPr>
              <w:t xml:space="preserve">(implemented in FY2010 – </w:t>
            </w:r>
            <w:r w:rsidR="00ED6A9C" w:rsidRPr="00563D71">
              <w:rPr>
                <w:rFonts w:asciiTheme="majorBidi" w:hAnsiTheme="majorBidi" w:cstheme="majorBidi"/>
                <w:sz w:val="20"/>
                <w:szCs w:val="20"/>
              </w:rPr>
              <w:t>FY2015), PAMSIMAS and other World Bank</w:t>
            </w:r>
            <w:r w:rsidRPr="00563D71">
              <w:rPr>
                <w:rFonts w:asciiTheme="majorBidi" w:hAnsiTheme="majorBidi" w:cstheme="majorBidi"/>
                <w:sz w:val="20"/>
                <w:szCs w:val="20"/>
              </w:rPr>
              <w:t xml:space="preserve"> funded MPWH’s projects. They are very familiar</w:t>
            </w:r>
            <w:r w:rsidR="00E9111E" w:rsidRPr="00563D71">
              <w:rPr>
                <w:rFonts w:asciiTheme="majorBidi" w:hAnsiTheme="majorBidi" w:cstheme="majorBidi"/>
                <w:sz w:val="20"/>
                <w:szCs w:val="20"/>
              </w:rPr>
              <w:t xml:space="preserve"> with</w:t>
            </w:r>
            <w:r w:rsidRPr="00563D71">
              <w:rPr>
                <w:rFonts w:asciiTheme="majorBidi" w:hAnsiTheme="majorBidi" w:cstheme="majorBidi"/>
                <w:sz w:val="20"/>
                <w:szCs w:val="20"/>
              </w:rPr>
              <w:t xml:space="preserve"> and knowledgeable </w:t>
            </w:r>
            <w:r w:rsidR="00E9111E" w:rsidRPr="00563D71">
              <w:rPr>
                <w:rFonts w:asciiTheme="majorBidi" w:hAnsiTheme="majorBidi" w:cstheme="majorBidi"/>
                <w:sz w:val="20"/>
                <w:szCs w:val="20"/>
              </w:rPr>
              <w:t>of</w:t>
            </w:r>
            <w:r w:rsidRPr="00563D71">
              <w:rPr>
                <w:rFonts w:asciiTheme="majorBidi" w:hAnsiTheme="majorBidi" w:cstheme="majorBidi"/>
                <w:sz w:val="20"/>
                <w:szCs w:val="20"/>
              </w:rPr>
              <w:t xml:space="preserve"> the Bank’s procedures in implementing environment and social safeguards during project implementation. However, </w:t>
            </w:r>
            <w:r w:rsidR="00E9111E" w:rsidRPr="00563D71">
              <w:rPr>
                <w:rFonts w:asciiTheme="majorBidi" w:hAnsiTheme="majorBidi" w:cstheme="majorBidi"/>
                <w:sz w:val="20"/>
                <w:szCs w:val="20"/>
              </w:rPr>
              <w:t>at the</w:t>
            </w:r>
            <w:r w:rsidRPr="00563D71">
              <w:rPr>
                <w:rFonts w:asciiTheme="majorBidi" w:hAnsiTheme="majorBidi" w:cstheme="majorBidi"/>
                <w:sz w:val="20"/>
                <w:szCs w:val="20"/>
              </w:rPr>
              <w:t xml:space="preserve"> central-level the human capacity in DGHS still needs to be strengthened as </w:t>
            </w:r>
            <w:r w:rsidR="00E9111E" w:rsidRPr="00563D71">
              <w:rPr>
                <w:rFonts w:asciiTheme="majorBidi" w:hAnsiTheme="majorBidi" w:cstheme="majorBidi"/>
                <w:sz w:val="20"/>
                <w:szCs w:val="20"/>
              </w:rPr>
              <w:t xml:space="preserve">a </w:t>
            </w:r>
            <w:r w:rsidRPr="00563D71">
              <w:rPr>
                <w:rFonts w:asciiTheme="majorBidi" w:hAnsiTheme="majorBidi" w:cstheme="majorBidi"/>
                <w:sz w:val="20"/>
                <w:szCs w:val="20"/>
              </w:rPr>
              <w:t xml:space="preserve">number of projects under their portfolio </w:t>
            </w:r>
            <w:r w:rsidR="00E9111E" w:rsidRPr="00563D71">
              <w:rPr>
                <w:rFonts w:asciiTheme="majorBidi" w:hAnsiTheme="majorBidi" w:cstheme="majorBidi"/>
                <w:sz w:val="20"/>
                <w:szCs w:val="20"/>
              </w:rPr>
              <w:t xml:space="preserve">are </w:t>
            </w:r>
            <w:r w:rsidRPr="00563D71">
              <w:rPr>
                <w:rFonts w:asciiTheme="majorBidi" w:hAnsiTheme="majorBidi" w:cstheme="majorBidi"/>
                <w:sz w:val="20"/>
                <w:szCs w:val="20"/>
              </w:rPr>
              <w:t>increasingly important</w:t>
            </w:r>
            <w:r w:rsidR="00E9111E" w:rsidRPr="00563D71">
              <w:rPr>
                <w:rFonts w:asciiTheme="majorBidi" w:hAnsiTheme="majorBidi" w:cstheme="majorBidi"/>
                <w:sz w:val="20"/>
                <w:szCs w:val="20"/>
              </w:rPr>
              <w:t>,</w:t>
            </w:r>
            <w:r w:rsidRPr="00563D71">
              <w:rPr>
                <w:rFonts w:asciiTheme="majorBidi" w:hAnsiTheme="majorBidi" w:cstheme="majorBidi"/>
                <w:sz w:val="20"/>
                <w:szCs w:val="20"/>
              </w:rPr>
              <w:t xml:space="preserve"> and assistance </w:t>
            </w:r>
            <w:r w:rsidR="00E9111E" w:rsidRPr="00563D71">
              <w:rPr>
                <w:rFonts w:asciiTheme="majorBidi" w:hAnsiTheme="majorBidi" w:cstheme="majorBidi"/>
                <w:sz w:val="20"/>
                <w:szCs w:val="20"/>
              </w:rPr>
              <w:t xml:space="preserve">is needed </w:t>
            </w:r>
            <w:r w:rsidRPr="00563D71">
              <w:rPr>
                <w:rFonts w:asciiTheme="majorBidi" w:hAnsiTheme="majorBidi" w:cstheme="majorBidi"/>
                <w:sz w:val="20"/>
                <w:szCs w:val="20"/>
              </w:rPr>
              <w:t>in providing adequate safeguard focal contract point</w:t>
            </w:r>
            <w:r w:rsidR="00E9111E" w:rsidRPr="00563D71">
              <w:rPr>
                <w:rFonts w:asciiTheme="majorBidi" w:hAnsiTheme="majorBidi" w:cstheme="majorBidi"/>
                <w:sz w:val="20"/>
                <w:szCs w:val="20"/>
              </w:rPr>
              <w:t>s</w:t>
            </w:r>
            <w:r w:rsidRPr="00563D71">
              <w:rPr>
                <w:rFonts w:asciiTheme="majorBidi" w:hAnsiTheme="majorBidi" w:cstheme="majorBidi"/>
                <w:sz w:val="20"/>
                <w:szCs w:val="20"/>
              </w:rPr>
              <w:t>/counterpart</w:t>
            </w:r>
            <w:r w:rsidR="00E9111E" w:rsidRPr="00563D71">
              <w:rPr>
                <w:rFonts w:asciiTheme="majorBidi" w:hAnsiTheme="majorBidi" w:cstheme="majorBidi"/>
                <w:sz w:val="20"/>
                <w:szCs w:val="20"/>
              </w:rPr>
              <w:t>s</w:t>
            </w:r>
            <w:r w:rsidRPr="00563D71">
              <w:rPr>
                <w:rFonts w:asciiTheme="majorBidi" w:hAnsiTheme="majorBidi" w:cstheme="majorBidi"/>
                <w:sz w:val="20"/>
                <w:szCs w:val="20"/>
              </w:rPr>
              <w:t xml:space="preserve"> at the Central PMU to lead the coordination of all relevant project safeguard aspects/requirements and </w:t>
            </w:r>
            <w:r w:rsidR="00697174" w:rsidRPr="00563D71">
              <w:rPr>
                <w:rFonts w:asciiTheme="majorBidi" w:hAnsiTheme="majorBidi" w:cstheme="majorBidi"/>
                <w:sz w:val="20"/>
                <w:szCs w:val="20"/>
              </w:rPr>
              <w:t xml:space="preserve">the </w:t>
            </w:r>
            <w:r w:rsidRPr="00563D71">
              <w:rPr>
                <w:rFonts w:asciiTheme="majorBidi" w:hAnsiTheme="majorBidi" w:cstheme="majorBidi"/>
                <w:sz w:val="20"/>
                <w:szCs w:val="20"/>
              </w:rPr>
              <w:t xml:space="preserve">management process during implementation at destination-level locations. </w:t>
            </w:r>
          </w:p>
          <w:p w14:paraId="2D7BC5F6" w14:textId="77777777" w:rsidR="00EE771E" w:rsidRPr="00563D71" w:rsidRDefault="00EE771E" w:rsidP="0006769B">
            <w:pPr>
              <w:ind w:left="57" w:right="17" w:firstLine="0"/>
              <w:rPr>
                <w:rFonts w:asciiTheme="majorBidi" w:hAnsiTheme="majorBidi" w:cstheme="majorBidi"/>
                <w:sz w:val="20"/>
                <w:szCs w:val="20"/>
              </w:rPr>
            </w:pPr>
          </w:p>
        </w:tc>
        <w:tc>
          <w:tcPr>
            <w:tcW w:w="3174" w:type="dxa"/>
          </w:tcPr>
          <w:p w14:paraId="006640CB" w14:textId="399A35EA" w:rsidR="00EE771E" w:rsidRPr="00563D71" w:rsidRDefault="00DA0A61" w:rsidP="003D2E29">
            <w:pPr>
              <w:pStyle w:val="ListParagraph"/>
              <w:numPr>
                <w:ilvl w:val="0"/>
                <w:numId w:val="3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No area f</w:t>
            </w:r>
            <w:r w:rsidR="00496586" w:rsidRPr="00563D71">
              <w:rPr>
                <w:rFonts w:asciiTheme="majorBidi" w:hAnsiTheme="majorBidi" w:cstheme="majorBidi"/>
                <w:sz w:val="20"/>
                <w:szCs w:val="20"/>
              </w:rPr>
              <w:t>or</w:t>
            </w:r>
            <w:r w:rsidRPr="00563D71">
              <w:rPr>
                <w:rFonts w:asciiTheme="majorBidi" w:hAnsiTheme="majorBidi" w:cstheme="majorBidi"/>
                <w:sz w:val="20"/>
                <w:szCs w:val="20"/>
              </w:rPr>
              <w:t xml:space="preserve"> strengthening. </w:t>
            </w:r>
            <w:r w:rsidR="002A2342" w:rsidRPr="00563D71">
              <w:rPr>
                <w:rFonts w:asciiTheme="majorBidi" w:hAnsiTheme="majorBidi" w:cstheme="majorBidi"/>
                <w:sz w:val="20"/>
                <w:szCs w:val="20"/>
              </w:rPr>
              <w:t xml:space="preserve">  </w:t>
            </w:r>
          </w:p>
        </w:tc>
      </w:tr>
      <w:tr w:rsidR="00EE771E" w:rsidRPr="00563D71" w14:paraId="12A72984" w14:textId="77777777" w:rsidTr="003D2E29">
        <w:tc>
          <w:tcPr>
            <w:tcW w:w="3528" w:type="dxa"/>
          </w:tcPr>
          <w:p w14:paraId="6CC26C4F"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79C216F2" w14:textId="77777777" w:rsidR="00EE771E" w:rsidRPr="00563D71" w:rsidRDefault="00EE771E" w:rsidP="003D2E29">
            <w:pPr>
              <w:pStyle w:val="ListParagraph"/>
              <w:numPr>
                <w:ilvl w:val="0"/>
                <w:numId w:val="74"/>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Directorate for Human Resources and Management (BPSDM)</w:t>
            </w:r>
          </w:p>
          <w:p w14:paraId="25F732AF" w14:textId="607C9366" w:rsidR="00EE771E" w:rsidRPr="00563D71" w:rsidRDefault="00EE771E" w:rsidP="004027F6">
            <w:pPr>
              <w:ind w:left="57" w:right="17" w:firstLine="0"/>
              <w:rPr>
                <w:rFonts w:asciiTheme="majorBidi" w:hAnsiTheme="majorBidi" w:cstheme="majorBidi"/>
                <w:sz w:val="20"/>
                <w:szCs w:val="20"/>
              </w:rPr>
            </w:pPr>
            <w:r w:rsidRPr="00563D71">
              <w:rPr>
                <w:rFonts w:asciiTheme="majorBidi" w:hAnsiTheme="majorBidi" w:cstheme="majorBidi"/>
                <w:sz w:val="20"/>
                <w:szCs w:val="20"/>
              </w:rPr>
              <w:t xml:space="preserve">MPWH has their own in-house human resource development programs </w:t>
            </w:r>
            <w:r w:rsidR="005D1A41" w:rsidRPr="00563D71">
              <w:rPr>
                <w:rFonts w:asciiTheme="majorBidi" w:hAnsiTheme="majorBidi" w:cstheme="majorBidi"/>
                <w:sz w:val="20"/>
                <w:szCs w:val="20"/>
              </w:rPr>
              <w:t>including</w:t>
            </w:r>
            <w:r w:rsidRPr="00563D71">
              <w:rPr>
                <w:rFonts w:asciiTheme="majorBidi" w:hAnsiTheme="majorBidi" w:cstheme="majorBidi"/>
                <w:sz w:val="20"/>
                <w:szCs w:val="20"/>
              </w:rPr>
              <w:t xml:space="preserve"> its own training facilities down to the regional levels. All training related to environment, health and safety, water resource management, civil works</w:t>
            </w:r>
            <w:r w:rsidR="005D1A41" w:rsidRPr="00563D71">
              <w:rPr>
                <w:rFonts w:asciiTheme="majorBidi" w:hAnsiTheme="majorBidi" w:cstheme="majorBidi"/>
                <w:sz w:val="20"/>
                <w:szCs w:val="20"/>
              </w:rPr>
              <w:t>,</w:t>
            </w:r>
            <w:r w:rsidRPr="00563D71">
              <w:rPr>
                <w:rFonts w:asciiTheme="majorBidi" w:hAnsiTheme="majorBidi" w:cstheme="majorBidi"/>
                <w:sz w:val="20"/>
                <w:szCs w:val="20"/>
              </w:rPr>
              <w:t xml:space="preserve"> and social land acquisition </w:t>
            </w:r>
            <w:r w:rsidR="005D1A41" w:rsidRPr="00563D71">
              <w:rPr>
                <w:rFonts w:asciiTheme="majorBidi" w:hAnsiTheme="majorBidi" w:cstheme="majorBidi"/>
                <w:sz w:val="20"/>
                <w:szCs w:val="20"/>
              </w:rPr>
              <w:t xml:space="preserve">are </w:t>
            </w:r>
            <w:r w:rsidRPr="00563D71">
              <w:rPr>
                <w:rFonts w:asciiTheme="majorBidi" w:hAnsiTheme="majorBidi" w:cstheme="majorBidi"/>
                <w:sz w:val="20"/>
                <w:szCs w:val="20"/>
              </w:rPr>
              <w:t>already buil</w:t>
            </w:r>
            <w:r w:rsidR="005D1A41" w:rsidRPr="00563D71">
              <w:rPr>
                <w:rFonts w:asciiTheme="majorBidi" w:hAnsiTheme="majorBidi" w:cstheme="majorBidi"/>
                <w:sz w:val="20"/>
                <w:szCs w:val="20"/>
              </w:rPr>
              <w:t>t</w:t>
            </w:r>
            <w:r w:rsidRPr="00563D71">
              <w:rPr>
                <w:rFonts w:asciiTheme="majorBidi" w:hAnsiTheme="majorBidi" w:cstheme="majorBidi"/>
                <w:sz w:val="20"/>
                <w:szCs w:val="20"/>
              </w:rPr>
              <w:t xml:space="preserve"> into the institutional arrangement</w:t>
            </w:r>
            <w:r w:rsidR="005D1A41" w:rsidRPr="00563D71">
              <w:rPr>
                <w:rFonts w:asciiTheme="majorBidi" w:hAnsiTheme="majorBidi" w:cstheme="majorBidi"/>
                <w:sz w:val="20"/>
                <w:szCs w:val="20"/>
              </w:rPr>
              <w:t>s</w:t>
            </w:r>
            <w:r w:rsidRPr="00563D71">
              <w:rPr>
                <w:rFonts w:asciiTheme="majorBidi" w:hAnsiTheme="majorBidi" w:cstheme="majorBidi"/>
                <w:sz w:val="20"/>
                <w:szCs w:val="20"/>
              </w:rPr>
              <w:t xml:space="preserve"> for capacity building.</w:t>
            </w:r>
            <w:r w:rsidR="00CD6942" w:rsidRPr="00563D71">
              <w:rPr>
                <w:rFonts w:asciiTheme="majorBidi" w:hAnsiTheme="majorBidi" w:cstheme="majorBidi"/>
                <w:sz w:val="20"/>
                <w:szCs w:val="20"/>
              </w:rPr>
              <w:t xml:space="preserve">** </w:t>
            </w:r>
            <w:r w:rsidR="005D1A41" w:rsidRPr="00563D71">
              <w:rPr>
                <w:rFonts w:asciiTheme="majorBidi" w:hAnsiTheme="majorBidi" w:cstheme="majorBidi"/>
                <w:sz w:val="20"/>
                <w:szCs w:val="20"/>
              </w:rPr>
              <w:t>The a</w:t>
            </w:r>
            <w:r w:rsidRPr="00563D71">
              <w:rPr>
                <w:rFonts w:asciiTheme="majorBidi" w:hAnsiTheme="majorBidi" w:cstheme="majorBidi"/>
                <w:sz w:val="20"/>
                <w:szCs w:val="20"/>
              </w:rPr>
              <w:t>gency also conduct</w:t>
            </w:r>
            <w:r w:rsidR="005D1A41" w:rsidRPr="00563D71">
              <w:rPr>
                <w:rFonts w:asciiTheme="majorBidi" w:hAnsiTheme="majorBidi" w:cstheme="majorBidi"/>
                <w:sz w:val="20"/>
                <w:szCs w:val="20"/>
              </w:rPr>
              <w:t>s a yearly</w:t>
            </w:r>
            <w:r w:rsidRPr="00563D71">
              <w:rPr>
                <w:rFonts w:asciiTheme="majorBidi" w:hAnsiTheme="majorBidi" w:cstheme="majorBidi"/>
                <w:sz w:val="20"/>
                <w:szCs w:val="20"/>
              </w:rPr>
              <w:t xml:space="preserve"> standard competency assessment through their Center of Competency Assessment and Monitoring of Performance for all MPHW staff. It includes criteria of minimum credit hours and a competency test for all staff and senior staff for promotions and </w:t>
            </w:r>
            <w:r w:rsidR="004027F6" w:rsidRPr="00563D71">
              <w:rPr>
                <w:rFonts w:asciiTheme="majorBidi" w:hAnsiTheme="majorBidi" w:cstheme="majorBidi"/>
                <w:sz w:val="20"/>
                <w:szCs w:val="20"/>
              </w:rPr>
              <w:t xml:space="preserve">skills </w:t>
            </w:r>
            <w:r w:rsidRPr="00563D71">
              <w:rPr>
                <w:rFonts w:asciiTheme="majorBidi" w:hAnsiTheme="majorBidi" w:cstheme="majorBidi"/>
                <w:sz w:val="20"/>
                <w:szCs w:val="20"/>
              </w:rPr>
              <w:t>upgrade</w:t>
            </w:r>
            <w:r w:rsidR="004027F6" w:rsidRPr="00563D71">
              <w:rPr>
                <w:rFonts w:asciiTheme="majorBidi" w:hAnsiTheme="majorBidi" w:cstheme="majorBidi"/>
                <w:sz w:val="20"/>
                <w:szCs w:val="20"/>
              </w:rPr>
              <w:t>s</w:t>
            </w:r>
            <w:r w:rsidRPr="00563D71">
              <w:rPr>
                <w:rFonts w:asciiTheme="majorBidi" w:hAnsiTheme="majorBidi" w:cstheme="majorBidi"/>
                <w:sz w:val="20"/>
                <w:szCs w:val="20"/>
              </w:rPr>
              <w:t xml:space="preserve">.  </w:t>
            </w:r>
          </w:p>
          <w:p w14:paraId="0A64C2CB" w14:textId="060292A6" w:rsidR="00885981" w:rsidRPr="00563D71" w:rsidRDefault="00EE771E" w:rsidP="00885981">
            <w:pPr>
              <w:ind w:left="57" w:right="17" w:firstLine="0"/>
              <w:rPr>
                <w:rFonts w:asciiTheme="majorBidi" w:hAnsiTheme="majorBidi" w:cstheme="majorBidi"/>
                <w:sz w:val="20"/>
                <w:szCs w:val="20"/>
              </w:rPr>
            </w:pPr>
            <w:r w:rsidRPr="00563D71">
              <w:rPr>
                <w:rFonts w:asciiTheme="majorBidi" w:hAnsiTheme="majorBidi" w:cstheme="majorBidi"/>
                <w:sz w:val="20"/>
                <w:szCs w:val="20"/>
              </w:rPr>
              <w:t>They also conduct</w:t>
            </w:r>
            <w:r w:rsidR="009A0A86" w:rsidRPr="00563D71">
              <w:rPr>
                <w:rFonts w:asciiTheme="majorBidi" w:hAnsiTheme="majorBidi" w:cstheme="majorBidi"/>
                <w:sz w:val="20"/>
                <w:szCs w:val="20"/>
              </w:rPr>
              <w:t xml:space="preserve"> a</w:t>
            </w:r>
            <w:r w:rsidRPr="00563D71">
              <w:rPr>
                <w:rFonts w:asciiTheme="majorBidi" w:hAnsiTheme="majorBidi" w:cstheme="majorBidi"/>
                <w:sz w:val="20"/>
                <w:szCs w:val="20"/>
              </w:rPr>
              <w:t xml:space="preserve"> standard competency assessment </w:t>
            </w:r>
            <w:r w:rsidR="009A0A86" w:rsidRPr="00563D71">
              <w:rPr>
                <w:rFonts w:asciiTheme="majorBidi" w:hAnsiTheme="majorBidi" w:cstheme="majorBidi"/>
                <w:sz w:val="20"/>
                <w:szCs w:val="20"/>
              </w:rPr>
              <w:t xml:space="preserve">on </w:t>
            </w:r>
            <w:r w:rsidRPr="00563D71">
              <w:rPr>
                <w:rFonts w:asciiTheme="majorBidi" w:hAnsiTheme="majorBidi" w:cstheme="majorBidi"/>
                <w:sz w:val="20"/>
                <w:szCs w:val="20"/>
              </w:rPr>
              <w:t xml:space="preserve">all staff. In 2017, the budget allocated to BPSDM for training and managing is estimated </w:t>
            </w:r>
            <w:r w:rsidR="009A0A86" w:rsidRPr="00563D71">
              <w:rPr>
                <w:rFonts w:asciiTheme="majorBidi" w:hAnsiTheme="majorBidi" w:cstheme="majorBidi"/>
                <w:sz w:val="20"/>
                <w:szCs w:val="20"/>
              </w:rPr>
              <w:t xml:space="preserve">at </w:t>
            </w:r>
            <w:r w:rsidRPr="00563D71">
              <w:rPr>
                <w:rFonts w:asciiTheme="majorBidi" w:hAnsiTheme="majorBidi" w:cstheme="majorBidi"/>
                <w:sz w:val="20"/>
                <w:szCs w:val="20"/>
              </w:rPr>
              <w:t>IDR</w:t>
            </w:r>
            <w:r w:rsidR="009A0A86" w:rsidRPr="00563D71">
              <w:rPr>
                <w:rFonts w:asciiTheme="majorBidi" w:hAnsiTheme="majorBidi" w:cstheme="majorBidi"/>
                <w:sz w:val="20"/>
                <w:szCs w:val="20"/>
              </w:rPr>
              <w:t xml:space="preserve"> </w:t>
            </w:r>
            <w:r w:rsidRPr="00563D71">
              <w:rPr>
                <w:rFonts w:asciiTheme="majorBidi" w:hAnsiTheme="majorBidi" w:cstheme="majorBidi"/>
                <w:sz w:val="20"/>
                <w:szCs w:val="20"/>
              </w:rPr>
              <w:t>490 million. It is also estimated that about 8,300 officials/staff</w:t>
            </w:r>
            <w:r w:rsidR="009A0A86" w:rsidRPr="00563D71">
              <w:rPr>
                <w:rFonts w:asciiTheme="majorBidi" w:hAnsiTheme="majorBidi" w:cstheme="majorBidi"/>
                <w:sz w:val="20"/>
                <w:szCs w:val="20"/>
              </w:rPr>
              <w:t xml:space="preserve"> members</w:t>
            </w:r>
            <w:r w:rsidRPr="00563D71">
              <w:rPr>
                <w:rFonts w:asciiTheme="majorBidi" w:hAnsiTheme="majorBidi" w:cstheme="majorBidi"/>
                <w:sz w:val="20"/>
                <w:szCs w:val="20"/>
              </w:rPr>
              <w:t xml:space="preserve"> will be trained by the end of year 2017. </w:t>
            </w:r>
          </w:p>
          <w:p w14:paraId="5E8346D2" w14:textId="3B19CC2C" w:rsidR="00EE771E" w:rsidRPr="00563D71" w:rsidRDefault="00EE771E" w:rsidP="00FE7910">
            <w:pPr>
              <w:ind w:left="57" w:right="17" w:firstLine="0"/>
              <w:rPr>
                <w:rFonts w:asciiTheme="majorBidi" w:hAnsiTheme="majorBidi" w:cstheme="majorBidi"/>
                <w:sz w:val="20"/>
                <w:szCs w:val="20"/>
              </w:rPr>
            </w:pPr>
            <w:r w:rsidRPr="00563D71">
              <w:rPr>
                <w:rFonts w:asciiTheme="majorBidi" w:hAnsiTheme="majorBidi" w:cstheme="majorBidi"/>
                <w:sz w:val="20"/>
                <w:szCs w:val="20"/>
              </w:rPr>
              <w:t>On the topic of land acquisition, two main DG</w:t>
            </w:r>
            <w:r w:rsidR="00885981" w:rsidRPr="00563D71">
              <w:rPr>
                <w:rFonts w:asciiTheme="majorBidi" w:hAnsiTheme="majorBidi" w:cstheme="majorBidi"/>
                <w:sz w:val="20"/>
                <w:szCs w:val="20"/>
              </w:rPr>
              <w:t>s</w:t>
            </w:r>
            <w:r w:rsidRPr="00563D71">
              <w:rPr>
                <w:rFonts w:asciiTheme="majorBidi" w:hAnsiTheme="majorBidi" w:cstheme="majorBidi"/>
                <w:sz w:val="20"/>
                <w:szCs w:val="20"/>
              </w:rPr>
              <w:t xml:space="preserve"> of MPWH </w:t>
            </w:r>
            <w:r w:rsidR="00885981" w:rsidRPr="00563D71">
              <w:rPr>
                <w:rFonts w:asciiTheme="majorBidi" w:hAnsiTheme="majorBidi" w:cstheme="majorBidi"/>
                <w:sz w:val="20"/>
                <w:szCs w:val="20"/>
              </w:rPr>
              <w:t xml:space="preserve">were </w:t>
            </w:r>
            <w:r w:rsidRPr="00563D71">
              <w:rPr>
                <w:rFonts w:asciiTheme="majorBidi" w:hAnsiTheme="majorBidi" w:cstheme="majorBidi"/>
                <w:sz w:val="20"/>
                <w:szCs w:val="20"/>
              </w:rPr>
              <w:t xml:space="preserve">selected to be in a trial study. Two most important DG is BPIW and also Bina Marga staffs were chosen for the trial study. The training materials on land acquisition covered </w:t>
            </w:r>
            <w:r w:rsidR="00FE7910">
              <w:rPr>
                <w:rFonts w:asciiTheme="majorBidi" w:hAnsiTheme="majorBidi" w:cstheme="majorBidi"/>
                <w:sz w:val="20"/>
                <w:szCs w:val="20"/>
              </w:rPr>
              <w:t>BAPPENAS’s</w:t>
            </w:r>
            <w:r w:rsidRPr="00563D71">
              <w:rPr>
                <w:rFonts w:asciiTheme="majorBidi" w:hAnsiTheme="majorBidi" w:cstheme="majorBidi"/>
                <w:sz w:val="20"/>
                <w:szCs w:val="20"/>
              </w:rPr>
              <w:t xml:space="preserve"> Guidelines on Land Acquisition and PINA (</w:t>
            </w:r>
            <w:r w:rsidRPr="00563D71">
              <w:rPr>
                <w:rFonts w:asciiTheme="majorBidi" w:hAnsiTheme="majorBidi" w:cstheme="majorBidi"/>
                <w:i/>
                <w:sz w:val="20"/>
                <w:szCs w:val="20"/>
              </w:rPr>
              <w:t xml:space="preserve">Pembiayaan </w:t>
            </w:r>
            <w:r w:rsidR="00DC4ED0" w:rsidRPr="00563D71">
              <w:rPr>
                <w:rFonts w:asciiTheme="majorBidi" w:hAnsiTheme="majorBidi" w:cstheme="majorBidi"/>
                <w:i/>
                <w:sz w:val="20"/>
                <w:szCs w:val="20"/>
              </w:rPr>
              <w:t xml:space="preserve">Infrastruktur </w:t>
            </w:r>
            <w:r w:rsidRPr="00563D71">
              <w:rPr>
                <w:rFonts w:asciiTheme="majorBidi" w:hAnsiTheme="majorBidi" w:cstheme="majorBidi"/>
                <w:i/>
                <w:sz w:val="20"/>
                <w:szCs w:val="20"/>
              </w:rPr>
              <w:t>Non Anggaran Pemerintah</w:t>
            </w:r>
            <w:r w:rsidRPr="00563D71">
              <w:rPr>
                <w:rFonts w:asciiTheme="majorBidi" w:hAnsiTheme="majorBidi" w:cstheme="majorBidi"/>
                <w:sz w:val="20"/>
                <w:szCs w:val="20"/>
              </w:rPr>
              <w:t xml:space="preserve">/Infrastructure Non-Government Financing.) This is positive for the </w:t>
            </w:r>
            <w:r w:rsidR="00E34322" w:rsidRPr="00563D71">
              <w:rPr>
                <w:rFonts w:asciiTheme="majorBidi" w:hAnsiTheme="majorBidi" w:cstheme="majorBidi"/>
                <w:sz w:val="20"/>
                <w:szCs w:val="20"/>
              </w:rPr>
              <w:t xml:space="preserve">Program </w:t>
            </w:r>
            <w:r w:rsidRPr="00563D71">
              <w:rPr>
                <w:rFonts w:asciiTheme="majorBidi" w:hAnsiTheme="majorBidi" w:cstheme="majorBidi"/>
                <w:sz w:val="20"/>
                <w:szCs w:val="20"/>
              </w:rPr>
              <w:t xml:space="preserve">as competency </w:t>
            </w:r>
            <w:r w:rsidR="00276B3B" w:rsidRPr="00563D71">
              <w:rPr>
                <w:rFonts w:asciiTheme="majorBidi" w:hAnsiTheme="majorBidi" w:cstheme="majorBidi"/>
                <w:sz w:val="20"/>
                <w:szCs w:val="20"/>
              </w:rPr>
              <w:t xml:space="preserve">training </w:t>
            </w:r>
            <w:r w:rsidRPr="00563D71">
              <w:rPr>
                <w:rFonts w:asciiTheme="majorBidi" w:hAnsiTheme="majorBidi" w:cstheme="majorBidi"/>
                <w:sz w:val="20"/>
                <w:szCs w:val="20"/>
              </w:rPr>
              <w:t xml:space="preserve">for MPWH staffs and incorporating the latest guidelines on land acquisition had already being implemented by BPSDM. </w:t>
            </w:r>
          </w:p>
          <w:p w14:paraId="6D40D64E" w14:textId="38B0F66D" w:rsidR="00EE771E" w:rsidRPr="00563D71" w:rsidRDefault="00EE771E" w:rsidP="007C21EA">
            <w:pPr>
              <w:ind w:left="57" w:right="17" w:firstLine="0"/>
              <w:rPr>
                <w:rFonts w:asciiTheme="majorBidi" w:hAnsiTheme="majorBidi" w:cstheme="majorBidi"/>
                <w:sz w:val="20"/>
                <w:szCs w:val="20"/>
              </w:rPr>
            </w:pPr>
            <w:r w:rsidRPr="00563D71">
              <w:rPr>
                <w:rFonts w:asciiTheme="majorBidi" w:hAnsiTheme="majorBidi" w:cstheme="majorBidi"/>
                <w:sz w:val="20"/>
                <w:szCs w:val="20"/>
              </w:rPr>
              <w:t xml:space="preserve">BPSDM is also looking at the possibility </w:t>
            </w:r>
            <w:r w:rsidR="007C21EA" w:rsidRPr="00563D71">
              <w:rPr>
                <w:rFonts w:asciiTheme="majorBidi" w:hAnsiTheme="majorBidi" w:cstheme="majorBidi"/>
                <w:sz w:val="20"/>
                <w:szCs w:val="20"/>
              </w:rPr>
              <w:t xml:space="preserve">of </w:t>
            </w:r>
            <w:r w:rsidRPr="00563D71">
              <w:rPr>
                <w:rFonts w:asciiTheme="majorBidi" w:hAnsiTheme="majorBidi" w:cstheme="majorBidi"/>
                <w:sz w:val="20"/>
                <w:szCs w:val="20"/>
              </w:rPr>
              <w:t>provid</w:t>
            </w:r>
            <w:r w:rsidR="007C21EA" w:rsidRPr="00563D71">
              <w:rPr>
                <w:rFonts w:asciiTheme="majorBidi" w:hAnsiTheme="majorBidi" w:cstheme="majorBidi"/>
                <w:sz w:val="20"/>
                <w:szCs w:val="20"/>
              </w:rPr>
              <w:t>ing</w:t>
            </w:r>
            <w:r w:rsidRPr="00563D71">
              <w:rPr>
                <w:rFonts w:asciiTheme="majorBidi" w:hAnsiTheme="majorBidi" w:cstheme="majorBidi"/>
                <w:sz w:val="20"/>
                <w:szCs w:val="20"/>
              </w:rPr>
              <w:t xml:space="preserve"> similar training to their consultants and contractors using their well-equipped training facilities in the whole country, </w:t>
            </w:r>
            <w:r w:rsidR="007C21EA" w:rsidRPr="00563D71">
              <w:rPr>
                <w:rFonts w:asciiTheme="majorBidi" w:hAnsiTheme="majorBidi" w:cstheme="majorBidi"/>
                <w:sz w:val="20"/>
                <w:szCs w:val="20"/>
              </w:rPr>
              <w:t xml:space="preserve">their </w:t>
            </w:r>
            <w:r w:rsidRPr="00563D71">
              <w:rPr>
                <w:rFonts w:asciiTheme="majorBidi" w:hAnsiTheme="majorBidi" w:cstheme="majorBidi"/>
                <w:sz w:val="20"/>
                <w:szCs w:val="20"/>
              </w:rPr>
              <w:t>experienced trainers</w:t>
            </w:r>
            <w:r w:rsidR="007C21EA" w:rsidRPr="00563D71">
              <w:rPr>
                <w:rFonts w:asciiTheme="majorBidi" w:hAnsiTheme="majorBidi" w:cstheme="majorBidi"/>
                <w:sz w:val="20"/>
                <w:szCs w:val="20"/>
              </w:rPr>
              <w:t>,</w:t>
            </w:r>
            <w:r w:rsidRPr="00563D71">
              <w:rPr>
                <w:rFonts w:asciiTheme="majorBidi" w:hAnsiTheme="majorBidi" w:cstheme="majorBidi"/>
                <w:sz w:val="20"/>
                <w:szCs w:val="20"/>
              </w:rPr>
              <w:t xml:space="preserve"> and also </w:t>
            </w:r>
            <w:r w:rsidR="007C21EA" w:rsidRPr="00563D71">
              <w:rPr>
                <w:rFonts w:asciiTheme="majorBidi" w:hAnsiTheme="majorBidi" w:cstheme="majorBidi"/>
                <w:sz w:val="20"/>
                <w:szCs w:val="20"/>
              </w:rPr>
              <w:t xml:space="preserve">their </w:t>
            </w:r>
            <w:r w:rsidRPr="00563D71">
              <w:rPr>
                <w:rFonts w:asciiTheme="majorBidi" w:hAnsiTheme="majorBidi" w:cstheme="majorBidi"/>
                <w:sz w:val="20"/>
                <w:szCs w:val="20"/>
              </w:rPr>
              <w:t>well-developed program module</w:t>
            </w:r>
            <w:r w:rsidR="007C21EA" w:rsidRPr="00563D71">
              <w:rPr>
                <w:rFonts w:asciiTheme="majorBidi" w:hAnsiTheme="majorBidi" w:cstheme="majorBidi"/>
                <w:sz w:val="20"/>
                <w:szCs w:val="20"/>
              </w:rPr>
              <w:t>s</w:t>
            </w:r>
            <w:r w:rsidRPr="00563D71">
              <w:rPr>
                <w:rFonts w:asciiTheme="majorBidi" w:hAnsiTheme="majorBidi" w:cstheme="majorBidi"/>
                <w:sz w:val="20"/>
                <w:szCs w:val="20"/>
              </w:rPr>
              <w:t xml:space="preserve"> which </w:t>
            </w:r>
            <w:r w:rsidR="007C21EA" w:rsidRPr="00563D71">
              <w:rPr>
                <w:rFonts w:asciiTheme="majorBidi" w:hAnsiTheme="majorBidi" w:cstheme="majorBidi"/>
                <w:sz w:val="20"/>
                <w:szCs w:val="20"/>
              </w:rPr>
              <w:t xml:space="preserve">are </w:t>
            </w:r>
            <w:r w:rsidRPr="00563D71">
              <w:rPr>
                <w:rFonts w:asciiTheme="majorBidi" w:hAnsiTheme="majorBidi" w:cstheme="majorBidi"/>
                <w:sz w:val="20"/>
                <w:szCs w:val="20"/>
              </w:rPr>
              <w:t xml:space="preserve">based on country systems, best practices and proper procedures </w:t>
            </w:r>
            <w:r w:rsidR="007C21EA" w:rsidRPr="00563D71">
              <w:rPr>
                <w:rFonts w:asciiTheme="majorBidi" w:hAnsiTheme="majorBidi" w:cstheme="majorBidi"/>
                <w:sz w:val="20"/>
                <w:szCs w:val="20"/>
              </w:rPr>
              <w:t xml:space="preserve">for </w:t>
            </w:r>
            <w:r w:rsidRPr="00563D71">
              <w:rPr>
                <w:rFonts w:asciiTheme="majorBidi" w:hAnsiTheme="majorBidi" w:cstheme="majorBidi"/>
                <w:sz w:val="20"/>
                <w:szCs w:val="20"/>
              </w:rPr>
              <w:t>implement</w:t>
            </w:r>
            <w:r w:rsidR="007C21EA" w:rsidRPr="00563D71">
              <w:rPr>
                <w:rFonts w:asciiTheme="majorBidi" w:hAnsiTheme="majorBidi" w:cstheme="majorBidi"/>
                <w:sz w:val="20"/>
                <w:szCs w:val="20"/>
              </w:rPr>
              <w:t>ing</w:t>
            </w:r>
            <w:r w:rsidRPr="00563D71">
              <w:rPr>
                <w:rFonts w:asciiTheme="majorBidi" w:hAnsiTheme="majorBidi" w:cstheme="majorBidi"/>
                <w:sz w:val="20"/>
                <w:szCs w:val="20"/>
              </w:rPr>
              <w:t xml:space="preserve"> AMDAL</w:t>
            </w:r>
            <w:r w:rsidR="007C21EA" w:rsidRPr="00563D71">
              <w:rPr>
                <w:rFonts w:asciiTheme="majorBidi" w:hAnsiTheme="majorBidi" w:cstheme="majorBidi"/>
                <w:sz w:val="20"/>
                <w:szCs w:val="20"/>
              </w:rPr>
              <w:t>s</w:t>
            </w:r>
            <w:r w:rsidRPr="00563D71">
              <w:rPr>
                <w:rFonts w:asciiTheme="majorBidi" w:hAnsiTheme="majorBidi" w:cstheme="majorBidi"/>
                <w:sz w:val="20"/>
                <w:szCs w:val="20"/>
              </w:rPr>
              <w:t xml:space="preserve"> and </w:t>
            </w:r>
            <w:r w:rsidR="00773EF4" w:rsidRPr="00563D71">
              <w:rPr>
                <w:rFonts w:asciiTheme="majorBidi" w:hAnsiTheme="majorBidi" w:cstheme="majorBidi"/>
                <w:sz w:val="20"/>
                <w:szCs w:val="20"/>
              </w:rPr>
              <w:t xml:space="preserve">Abbreviated </w:t>
            </w:r>
            <w:r w:rsidRPr="00563D71">
              <w:rPr>
                <w:rFonts w:asciiTheme="majorBidi" w:hAnsiTheme="majorBidi" w:cstheme="majorBidi"/>
                <w:sz w:val="20"/>
                <w:szCs w:val="20"/>
              </w:rPr>
              <w:t>LARAP</w:t>
            </w:r>
            <w:r w:rsidR="007C21EA" w:rsidRPr="00563D71">
              <w:rPr>
                <w:rFonts w:asciiTheme="majorBidi" w:hAnsiTheme="majorBidi" w:cstheme="majorBidi"/>
                <w:sz w:val="20"/>
                <w:szCs w:val="20"/>
              </w:rPr>
              <w:t>s</w:t>
            </w:r>
            <w:r w:rsidRPr="00563D71">
              <w:rPr>
                <w:rFonts w:asciiTheme="majorBidi" w:hAnsiTheme="majorBidi" w:cstheme="majorBidi"/>
                <w:sz w:val="20"/>
                <w:szCs w:val="20"/>
              </w:rPr>
              <w:t xml:space="preserve"> during project preparation and project operation. They </w:t>
            </w:r>
            <w:r w:rsidR="007C21EA" w:rsidRPr="00563D71">
              <w:rPr>
                <w:rFonts w:asciiTheme="majorBidi" w:hAnsiTheme="majorBidi" w:cstheme="majorBidi"/>
                <w:sz w:val="20"/>
                <w:szCs w:val="20"/>
              </w:rPr>
              <w:t xml:space="preserve">have </w:t>
            </w:r>
            <w:r w:rsidRPr="00563D71">
              <w:rPr>
                <w:rFonts w:asciiTheme="majorBidi" w:hAnsiTheme="majorBidi" w:cstheme="majorBidi"/>
                <w:sz w:val="20"/>
                <w:szCs w:val="20"/>
              </w:rPr>
              <w:t xml:space="preserve">acknowledged the needs and demands from </w:t>
            </w:r>
            <w:r w:rsidR="007C21EA" w:rsidRPr="00563D71">
              <w:rPr>
                <w:rFonts w:asciiTheme="majorBidi" w:hAnsiTheme="majorBidi" w:cstheme="majorBidi"/>
                <w:sz w:val="20"/>
                <w:szCs w:val="20"/>
              </w:rPr>
              <w:t xml:space="preserve">the </w:t>
            </w:r>
            <w:r w:rsidRPr="00563D71">
              <w:rPr>
                <w:rFonts w:asciiTheme="majorBidi" w:hAnsiTheme="majorBidi" w:cstheme="majorBidi"/>
                <w:sz w:val="20"/>
                <w:szCs w:val="20"/>
              </w:rPr>
              <w:t xml:space="preserve">outside public and </w:t>
            </w:r>
            <w:r w:rsidR="007C21EA" w:rsidRPr="00563D71">
              <w:rPr>
                <w:rFonts w:asciiTheme="majorBidi" w:hAnsiTheme="majorBidi" w:cstheme="majorBidi"/>
                <w:sz w:val="20"/>
                <w:szCs w:val="20"/>
              </w:rPr>
              <w:t xml:space="preserve">enabled </w:t>
            </w:r>
            <w:r w:rsidRPr="00563D71">
              <w:rPr>
                <w:rFonts w:asciiTheme="majorBidi" w:hAnsiTheme="majorBidi" w:cstheme="majorBidi"/>
                <w:sz w:val="20"/>
                <w:szCs w:val="20"/>
              </w:rPr>
              <w:t>t</w:t>
            </w:r>
            <w:r w:rsidR="007C21EA" w:rsidRPr="00563D71">
              <w:rPr>
                <w:rFonts w:asciiTheme="majorBidi" w:hAnsiTheme="majorBidi" w:cstheme="majorBidi"/>
                <w:sz w:val="20"/>
                <w:szCs w:val="20"/>
              </w:rPr>
              <w:t>he</w:t>
            </w:r>
            <w:r w:rsidRPr="00563D71">
              <w:rPr>
                <w:rFonts w:asciiTheme="majorBidi" w:hAnsiTheme="majorBidi" w:cstheme="majorBidi"/>
                <w:sz w:val="20"/>
                <w:szCs w:val="20"/>
              </w:rPr>
              <w:t xml:space="preserve"> improve</w:t>
            </w:r>
            <w:r w:rsidR="007C21EA" w:rsidRPr="00563D71">
              <w:rPr>
                <w:rFonts w:asciiTheme="majorBidi" w:hAnsiTheme="majorBidi" w:cstheme="majorBidi"/>
                <w:sz w:val="20"/>
                <w:szCs w:val="20"/>
              </w:rPr>
              <w:t>ment of</w:t>
            </w:r>
            <w:r w:rsidRPr="00563D71">
              <w:rPr>
                <w:rFonts w:asciiTheme="majorBidi" w:hAnsiTheme="majorBidi" w:cstheme="majorBidi"/>
                <w:sz w:val="20"/>
                <w:szCs w:val="20"/>
              </w:rPr>
              <w:t xml:space="preserve"> the work synergy between MPWH supervision staffs, consultants</w:t>
            </w:r>
            <w:r w:rsidR="007C21EA" w:rsidRPr="00563D71">
              <w:rPr>
                <w:rFonts w:asciiTheme="majorBidi" w:hAnsiTheme="majorBidi" w:cstheme="majorBidi"/>
                <w:sz w:val="20"/>
                <w:szCs w:val="20"/>
              </w:rPr>
              <w:t>,</w:t>
            </w:r>
            <w:r w:rsidRPr="00563D71">
              <w:rPr>
                <w:rFonts w:asciiTheme="majorBidi" w:hAnsiTheme="majorBidi" w:cstheme="majorBidi"/>
                <w:sz w:val="20"/>
                <w:szCs w:val="20"/>
              </w:rPr>
              <w:t xml:space="preserve"> and contractors during project implementation. </w:t>
            </w:r>
          </w:p>
          <w:p w14:paraId="6B6A5D61" w14:textId="77777777" w:rsidR="00EE771E" w:rsidRPr="00563D71" w:rsidRDefault="00EE771E" w:rsidP="0006769B">
            <w:pPr>
              <w:ind w:left="57" w:right="17" w:firstLine="0"/>
              <w:rPr>
                <w:rFonts w:asciiTheme="majorBidi" w:hAnsiTheme="majorBidi" w:cstheme="majorBidi"/>
                <w:sz w:val="20"/>
                <w:szCs w:val="20"/>
              </w:rPr>
            </w:pPr>
          </w:p>
        </w:tc>
        <w:tc>
          <w:tcPr>
            <w:tcW w:w="3174" w:type="dxa"/>
          </w:tcPr>
          <w:p w14:paraId="46004014" w14:textId="6A79D4EB" w:rsidR="00EE771E" w:rsidRPr="00563D71" w:rsidRDefault="002A2342" w:rsidP="003D2E29">
            <w:pPr>
              <w:pStyle w:val="ListParagraph"/>
              <w:numPr>
                <w:ilvl w:val="0"/>
                <w:numId w:val="3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No area </w:t>
            </w:r>
            <w:r w:rsidR="00496586" w:rsidRPr="00563D71">
              <w:rPr>
                <w:rFonts w:asciiTheme="majorBidi" w:hAnsiTheme="majorBidi" w:cstheme="majorBidi"/>
                <w:sz w:val="20"/>
                <w:szCs w:val="20"/>
              </w:rPr>
              <w:t>for</w:t>
            </w:r>
            <w:r w:rsidRPr="00563D71">
              <w:rPr>
                <w:rFonts w:asciiTheme="majorBidi" w:hAnsiTheme="majorBidi" w:cstheme="majorBidi"/>
                <w:sz w:val="20"/>
                <w:szCs w:val="20"/>
              </w:rPr>
              <w:t xml:space="preserve"> strengthening. </w:t>
            </w:r>
          </w:p>
        </w:tc>
      </w:tr>
      <w:tr w:rsidR="00EE771E" w:rsidRPr="00563D71" w14:paraId="2A5B115E" w14:textId="77777777" w:rsidTr="003D2E29">
        <w:tc>
          <w:tcPr>
            <w:tcW w:w="3528" w:type="dxa"/>
          </w:tcPr>
          <w:p w14:paraId="31F07629" w14:textId="71797970" w:rsidR="00EE771E" w:rsidRPr="00563D71" w:rsidRDefault="00EE771E" w:rsidP="003D2E29">
            <w:pPr>
              <w:pStyle w:val="ListParagraph"/>
              <w:numPr>
                <w:ilvl w:val="3"/>
                <w:numId w:val="11"/>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lastRenderedPageBreak/>
              <w:t xml:space="preserve">Ministry of </w:t>
            </w:r>
            <w:r w:rsidR="005212A5" w:rsidRPr="00563D71">
              <w:rPr>
                <w:rFonts w:asciiTheme="majorBidi" w:hAnsiTheme="majorBidi" w:cstheme="majorBidi"/>
                <w:sz w:val="20"/>
                <w:szCs w:val="20"/>
              </w:rPr>
              <w:t>Land and Spatial Planning</w:t>
            </w:r>
          </w:p>
          <w:p w14:paraId="70F1C820" w14:textId="77777777" w:rsidR="00EE771E" w:rsidRPr="00563D71" w:rsidRDefault="00EE771E" w:rsidP="0006769B">
            <w:pPr>
              <w:ind w:right="17"/>
              <w:rPr>
                <w:rFonts w:asciiTheme="majorBidi" w:hAnsiTheme="majorBidi" w:cstheme="majorBidi"/>
                <w:sz w:val="20"/>
                <w:szCs w:val="20"/>
              </w:rPr>
            </w:pPr>
          </w:p>
          <w:p w14:paraId="06976D8A" w14:textId="77777777" w:rsidR="00EE771E" w:rsidRPr="00563D71" w:rsidRDefault="00EE771E" w:rsidP="0006769B">
            <w:pPr>
              <w:ind w:right="17"/>
              <w:rPr>
                <w:rFonts w:asciiTheme="majorBidi" w:hAnsiTheme="majorBidi" w:cstheme="majorBidi"/>
                <w:sz w:val="20"/>
                <w:szCs w:val="20"/>
              </w:rPr>
            </w:pPr>
          </w:p>
          <w:p w14:paraId="7A51E89F" w14:textId="77777777" w:rsidR="00EE771E" w:rsidRPr="00563D71" w:rsidRDefault="00EE771E" w:rsidP="0006769B">
            <w:pPr>
              <w:ind w:right="17"/>
              <w:rPr>
                <w:rFonts w:asciiTheme="majorBidi" w:hAnsiTheme="majorBidi" w:cstheme="majorBidi"/>
                <w:sz w:val="20"/>
                <w:szCs w:val="20"/>
              </w:rPr>
            </w:pPr>
          </w:p>
        </w:tc>
        <w:tc>
          <w:tcPr>
            <w:tcW w:w="6237" w:type="dxa"/>
          </w:tcPr>
          <w:p w14:paraId="33562362" w14:textId="34CFDCB6" w:rsidR="00EE771E" w:rsidRPr="00563D71" w:rsidRDefault="00EE771E" w:rsidP="003D2E29">
            <w:pPr>
              <w:pStyle w:val="ListParagraph"/>
              <w:widowControl w:val="0"/>
              <w:spacing w:line="240" w:lineRule="auto"/>
              <w:ind w:left="0"/>
              <w:rPr>
                <w:rFonts w:asciiTheme="majorBidi" w:hAnsiTheme="majorBidi" w:cstheme="majorBidi"/>
                <w:kern w:val="2"/>
                <w:sz w:val="20"/>
                <w:szCs w:val="20"/>
              </w:rPr>
            </w:pPr>
            <w:r w:rsidRPr="00563D71">
              <w:rPr>
                <w:rFonts w:asciiTheme="majorBidi" w:hAnsiTheme="majorBidi" w:cstheme="majorBidi"/>
                <w:sz w:val="20"/>
                <w:szCs w:val="20"/>
              </w:rPr>
              <w:t xml:space="preserve">The capacity </w:t>
            </w:r>
            <w:r w:rsidR="002A2342" w:rsidRPr="00563D71">
              <w:rPr>
                <w:rFonts w:asciiTheme="majorBidi" w:hAnsiTheme="majorBidi" w:cstheme="majorBidi"/>
                <w:sz w:val="20"/>
                <w:szCs w:val="20"/>
              </w:rPr>
              <w:t xml:space="preserve">of the agency </w:t>
            </w:r>
            <w:r w:rsidRPr="00563D71">
              <w:rPr>
                <w:rFonts w:asciiTheme="majorBidi" w:hAnsiTheme="majorBidi" w:cstheme="majorBidi"/>
                <w:sz w:val="20"/>
                <w:szCs w:val="20"/>
              </w:rPr>
              <w:t>is rated strong</w:t>
            </w:r>
            <w:r w:rsidR="005212A5" w:rsidRPr="00563D71">
              <w:rPr>
                <w:rFonts w:asciiTheme="majorBidi" w:hAnsiTheme="majorBidi" w:cstheme="majorBidi"/>
                <w:sz w:val="20"/>
                <w:szCs w:val="20"/>
              </w:rPr>
              <w:t>,</w:t>
            </w:r>
            <w:r w:rsidRPr="00563D71">
              <w:rPr>
                <w:rFonts w:asciiTheme="majorBidi" w:hAnsiTheme="majorBidi" w:cstheme="majorBidi"/>
                <w:sz w:val="20"/>
                <w:szCs w:val="20"/>
              </w:rPr>
              <w:t xml:space="preserve"> as </w:t>
            </w:r>
            <w:r w:rsidR="005212A5" w:rsidRPr="00563D71">
              <w:rPr>
                <w:rFonts w:asciiTheme="majorBidi" w:hAnsiTheme="majorBidi" w:cstheme="majorBidi"/>
                <w:sz w:val="20"/>
                <w:szCs w:val="20"/>
              </w:rPr>
              <w:t xml:space="preserve">it </w:t>
            </w:r>
            <w:r w:rsidRPr="00563D71">
              <w:rPr>
                <w:rFonts w:asciiTheme="majorBidi" w:hAnsiTheme="majorBidi" w:cstheme="majorBidi"/>
                <w:sz w:val="20"/>
                <w:szCs w:val="20"/>
              </w:rPr>
              <w:t>has strong mandates and is supported by directorate</w:t>
            </w:r>
            <w:r w:rsidR="005212A5" w:rsidRPr="00563D71">
              <w:rPr>
                <w:rFonts w:asciiTheme="majorBidi" w:hAnsiTheme="majorBidi" w:cstheme="majorBidi"/>
                <w:sz w:val="20"/>
                <w:szCs w:val="20"/>
              </w:rPr>
              <w:t>s</w:t>
            </w:r>
            <w:r w:rsidRPr="00563D71">
              <w:rPr>
                <w:rFonts w:asciiTheme="majorBidi" w:hAnsiTheme="majorBidi" w:cstheme="majorBidi"/>
                <w:sz w:val="20"/>
                <w:szCs w:val="20"/>
              </w:rPr>
              <w:t xml:space="preserve"> general supporting land acquisition</w:t>
            </w:r>
            <w:r w:rsidR="005212A5" w:rsidRPr="00563D71">
              <w:rPr>
                <w:rFonts w:asciiTheme="majorBidi" w:hAnsiTheme="majorBidi" w:cstheme="majorBidi"/>
                <w:sz w:val="20"/>
                <w:szCs w:val="20"/>
              </w:rPr>
              <w:t>,</w:t>
            </w:r>
            <w:r w:rsidRPr="00563D71">
              <w:rPr>
                <w:rFonts w:asciiTheme="majorBidi" w:hAnsiTheme="majorBidi" w:cstheme="majorBidi"/>
                <w:sz w:val="20"/>
                <w:szCs w:val="20"/>
              </w:rPr>
              <w:t xml:space="preserve"> including</w:t>
            </w:r>
            <w:r w:rsidR="005212A5" w:rsidRPr="00563D71">
              <w:rPr>
                <w:rFonts w:asciiTheme="majorBidi" w:hAnsiTheme="majorBidi" w:cstheme="majorBidi"/>
                <w:sz w:val="20"/>
                <w:szCs w:val="20"/>
              </w:rPr>
              <w:t xml:space="preserve"> the</w:t>
            </w:r>
            <w:r w:rsidRPr="00563D71">
              <w:rPr>
                <w:rFonts w:asciiTheme="majorBidi" w:hAnsiTheme="majorBidi" w:cstheme="majorBidi"/>
                <w:sz w:val="20"/>
                <w:szCs w:val="20"/>
              </w:rPr>
              <w:t xml:space="preserve"> Directorate General of Spatial Planning and </w:t>
            </w:r>
            <w:r w:rsidR="005212A5" w:rsidRPr="00563D71">
              <w:rPr>
                <w:rFonts w:asciiTheme="majorBidi" w:hAnsiTheme="majorBidi" w:cstheme="majorBidi"/>
                <w:sz w:val="20"/>
                <w:szCs w:val="20"/>
              </w:rPr>
              <w:t xml:space="preserve">the </w:t>
            </w:r>
            <w:r w:rsidRPr="00563D71">
              <w:rPr>
                <w:rFonts w:asciiTheme="majorBidi" w:hAnsiTheme="majorBidi" w:cstheme="majorBidi"/>
                <w:sz w:val="20"/>
                <w:szCs w:val="20"/>
              </w:rPr>
              <w:t xml:space="preserve">Directorate General of Land Acquisition. </w:t>
            </w:r>
            <w:r w:rsidR="00792031" w:rsidRPr="00563D71">
              <w:rPr>
                <w:rFonts w:asciiTheme="majorBidi" w:hAnsiTheme="majorBidi" w:cstheme="majorBidi"/>
                <w:sz w:val="20"/>
                <w:szCs w:val="20"/>
              </w:rPr>
              <w:t>It</w:t>
            </w:r>
            <w:r w:rsidRPr="00563D71">
              <w:rPr>
                <w:rFonts w:asciiTheme="majorBidi" w:hAnsiTheme="majorBidi" w:cstheme="majorBidi"/>
                <w:sz w:val="20"/>
                <w:szCs w:val="20"/>
              </w:rPr>
              <w:t xml:space="preserve"> also has a Directorate of Valuation, and</w:t>
            </w:r>
            <w:r w:rsidR="00BC362C" w:rsidRPr="00563D71">
              <w:rPr>
                <w:rFonts w:asciiTheme="majorBidi" w:hAnsiTheme="majorBidi" w:cstheme="majorBidi"/>
                <w:sz w:val="20"/>
                <w:szCs w:val="20"/>
              </w:rPr>
              <w:t xml:space="preserve"> a</w:t>
            </w:r>
            <w:r w:rsidRPr="00563D71">
              <w:rPr>
                <w:rFonts w:asciiTheme="majorBidi" w:hAnsiTheme="majorBidi" w:cstheme="majorBidi"/>
                <w:sz w:val="20"/>
                <w:szCs w:val="20"/>
              </w:rPr>
              <w:t xml:space="preserve"> Center of Legal Study and Public Relation. </w:t>
            </w:r>
          </w:p>
          <w:p w14:paraId="0A9837C1" w14:textId="77777777" w:rsidR="00EE771E" w:rsidRPr="00563D71" w:rsidRDefault="00EE771E" w:rsidP="003D2E29">
            <w:pPr>
              <w:pStyle w:val="ListParagraph"/>
              <w:widowControl w:val="0"/>
              <w:spacing w:line="240" w:lineRule="auto"/>
              <w:ind w:left="0"/>
              <w:rPr>
                <w:rFonts w:asciiTheme="majorBidi" w:hAnsiTheme="majorBidi" w:cstheme="majorBidi"/>
                <w:kern w:val="2"/>
                <w:sz w:val="20"/>
                <w:szCs w:val="20"/>
              </w:rPr>
            </w:pPr>
          </w:p>
          <w:p w14:paraId="0C9F8FBA" w14:textId="7E26C5DD" w:rsidR="00EE771E" w:rsidRPr="00563D71" w:rsidRDefault="00792031" w:rsidP="003D2E29">
            <w:pPr>
              <w:pStyle w:val="ListParagraph"/>
              <w:widowControl w:val="0"/>
              <w:spacing w:line="240" w:lineRule="auto"/>
              <w:ind w:left="0"/>
              <w:rPr>
                <w:rFonts w:asciiTheme="majorBidi" w:hAnsiTheme="majorBidi" w:cstheme="majorBidi"/>
                <w:kern w:val="2"/>
                <w:sz w:val="20"/>
                <w:szCs w:val="20"/>
              </w:rPr>
            </w:pPr>
            <w:r w:rsidRPr="00563D71">
              <w:rPr>
                <w:rFonts w:asciiTheme="majorBidi" w:hAnsiTheme="majorBidi" w:cstheme="majorBidi"/>
                <w:kern w:val="2"/>
                <w:sz w:val="20"/>
                <w:szCs w:val="20"/>
              </w:rPr>
              <w:t>The ministry</w:t>
            </w:r>
            <w:r w:rsidR="00EE771E" w:rsidRPr="00563D71">
              <w:rPr>
                <w:rFonts w:asciiTheme="majorBidi" w:hAnsiTheme="majorBidi" w:cstheme="majorBidi"/>
                <w:kern w:val="2"/>
                <w:sz w:val="20"/>
                <w:szCs w:val="20"/>
              </w:rPr>
              <w:t xml:space="preserve"> is intensively involved in the government coordination for infrastructure development and also involved in the sector agency’s task force for land acquisition. </w:t>
            </w:r>
            <w:bookmarkStart w:id="82" w:name="OLE_LINK2"/>
            <w:r w:rsidRPr="00563D71">
              <w:rPr>
                <w:rFonts w:asciiTheme="majorBidi" w:hAnsiTheme="majorBidi" w:cstheme="majorBidi"/>
                <w:kern w:val="2"/>
                <w:sz w:val="20"/>
                <w:szCs w:val="20"/>
              </w:rPr>
              <w:t>It</w:t>
            </w:r>
            <w:r w:rsidR="00EE771E" w:rsidRPr="00563D71">
              <w:rPr>
                <w:rFonts w:asciiTheme="majorBidi" w:hAnsiTheme="majorBidi" w:cstheme="majorBidi"/>
                <w:kern w:val="2"/>
                <w:sz w:val="20"/>
                <w:szCs w:val="20"/>
              </w:rPr>
              <w:t xml:space="preserve"> </w:t>
            </w:r>
            <w:bookmarkEnd w:id="82"/>
            <w:r w:rsidR="00EE771E" w:rsidRPr="00563D71">
              <w:rPr>
                <w:rFonts w:asciiTheme="majorBidi" w:hAnsiTheme="majorBidi" w:cstheme="majorBidi"/>
                <w:kern w:val="2"/>
                <w:sz w:val="20"/>
                <w:szCs w:val="20"/>
              </w:rPr>
              <w:t xml:space="preserve">has a program for capacity building improvement for staff of regional land offices. Unfortunately, the program is not conducted regularly because of the budget limitation. </w:t>
            </w:r>
          </w:p>
          <w:p w14:paraId="60599747" w14:textId="77777777" w:rsidR="00EE771E" w:rsidRPr="00563D71" w:rsidRDefault="00EE771E" w:rsidP="003D2E29">
            <w:pPr>
              <w:pStyle w:val="ListParagraph"/>
              <w:widowControl w:val="0"/>
              <w:spacing w:line="240" w:lineRule="auto"/>
              <w:ind w:left="0"/>
              <w:rPr>
                <w:rFonts w:asciiTheme="majorBidi" w:hAnsiTheme="majorBidi" w:cstheme="majorBidi"/>
                <w:kern w:val="2"/>
                <w:sz w:val="20"/>
                <w:szCs w:val="20"/>
              </w:rPr>
            </w:pPr>
          </w:p>
          <w:p w14:paraId="339E92FE" w14:textId="7B536736" w:rsidR="002A70BD" w:rsidRPr="00563D71" w:rsidRDefault="00EE771E" w:rsidP="003D2E29">
            <w:pPr>
              <w:pStyle w:val="ListParagraph"/>
              <w:widowControl w:val="0"/>
              <w:spacing w:line="240" w:lineRule="auto"/>
              <w:ind w:left="0"/>
              <w:rPr>
                <w:rFonts w:asciiTheme="majorBidi" w:hAnsiTheme="majorBidi" w:cstheme="majorBidi"/>
                <w:sz w:val="20"/>
                <w:szCs w:val="20"/>
              </w:rPr>
            </w:pPr>
            <w:r w:rsidRPr="00563D71">
              <w:rPr>
                <w:rFonts w:asciiTheme="majorBidi" w:hAnsiTheme="majorBidi" w:cstheme="majorBidi"/>
                <w:kern w:val="2"/>
                <w:sz w:val="20"/>
                <w:szCs w:val="20"/>
              </w:rPr>
              <w:t xml:space="preserve">The number of </w:t>
            </w:r>
            <w:bookmarkStart w:id="83" w:name="OLE_LINK3"/>
            <w:bookmarkStart w:id="84" w:name="OLE_LINK4"/>
            <w:r w:rsidR="00792031" w:rsidRPr="00563D71">
              <w:rPr>
                <w:rFonts w:asciiTheme="majorBidi" w:hAnsiTheme="majorBidi" w:cstheme="majorBidi"/>
                <w:kern w:val="2"/>
                <w:sz w:val="20"/>
                <w:szCs w:val="20"/>
              </w:rPr>
              <w:t>staffers</w:t>
            </w:r>
            <w:r w:rsidRPr="00563D71">
              <w:rPr>
                <w:rFonts w:asciiTheme="majorBidi" w:hAnsiTheme="majorBidi" w:cstheme="majorBidi"/>
                <w:kern w:val="2"/>
                <w:sz w:val="20"/>
                <w:szCs w:val="20"/>
              </w:rPr>
              <w:t xml:space="preserve"> </w:t>
            </w:r>
            <w:bookmarkEnd w:id="83"/>
            <w:bookmarkEnd w:id="84"/>
            <w:r w:rsidRPr="00563D71">
              <w:rPr>
                <w:rFonts w:asciiTheme="majorBidi" w:hAnsiTheme="majorBidi" w:cstheme="majorBidi"/>
                <w:kern w:val="2"/>
                <w:sz w:val="20"/>
                <w:szCs w:val="20"/>
              </w:rPr>
              <w:t xml:space="preserve">at </w:t>
            </w:r>
            <w:r w:rsidR="00792031" w:rsidRPr="00563D71">
              <w:rPr>
                <w:rFonts w:asciiTheme="majorBidi" w:hAnsiTheme="majorBidi" w:cstheme="majorBidi"/>
                <w:kern w:val="2"/>
                <w:sz w:val="20"/>
                <w:szCs w:val="20"/>
              </w:rPr>
              <w:t xml:space="preserve">the </w:t>
            </w:r>
            <w:r w:rsidRPr="00563D71">
              <w:rPr>
                <w:rFonts w:asciiTheme="majorBidi" w:hAnsiTheme="majorBidi" w:cstheme="majorBidi"/>
                <w:kern w:val="2"/>
                <w:sz w:val="20"/>
                <w:szCs w:val="20"/>
              </w:rPr>
              <w:t xml:space="preserve">national level in 2016 is 19,965 persons. Of that number, 60% staff graduated from university (from diploma, bachelor, and post graduate), 33% staff graduated from high school, and the rest graduated from the secondary and elementary school. </w:t>
            </w:r>
            <w:r w:rsidR="00454357" w:rsidRPr="00563D71">
              <w:rPr>
                <w:rFonts w:asciiTheme="majorBidi" w:hAnsiTheme="majorBidi" w:cstheme="majorBidi"/>
                <w:sz w:val="20"/>
                <w:szCs w:val="20"/>
              </w:rPr>
              <w:t xml:space="preserve">However, an undersupply </w:t>
            </w:r>
            <w:r w:rsidRPr="00563D71">
              <w:rPr>
                <w:rFonts w:asciiTheme="majorBidi" w:hAnsiTheme="majorBidi" w:cstheme="majorBidi"/>
                <w:sz w:val="20"/>
                <w:szCs w:val="20"/>
              </w:rPr>
              <w:t>of land surveyor</w:t>
            </w:r>
            <w:r w:rsidR="00454357" w:rsidRPr="00563D71">
              <w:rPr>
                <w:rFonts w:asciiTheme="majorBidi" w:hAnsiTheme="majorBidi" w:cstheme="majorBidi"/>
                <w:sz w:val="20"/>
                <w:szCs w:val="20"/>
              </w:rPr>
              <w:t>s</w:t>
            </w:r>
            <w:r w:rsidRPr="00563D71">
              <w:rPr>
                <w:rFonts w:asciiTheme="majorBidi" w:hAnsiTheme="majorBidi" w:cstheme="majorBidi"/>
                <w:sz w:val="20"/>
                <w:szCs w:val="20"/>
              </w:rPr>
              <w:t xml:space="preserve"> and high demand by the regional/provincial MASP/NLA office to facilitate land acquisition implementation have caused delays in the land acquisition process.   </w:t>
            </w:r>
          </w:p>
          <w:p w14:paraId="4BA91F85" w14:textId="77777777" w:rsidR="002A70BD" w:rsidRPr="00563D71" w:rsidRDefault="002A70BD" w:rsidP="003D2E29">
            <w:pPr>
              <w:pStyle w:val="ListParagraph"/>
              <w:spacing w:line="240" w:lineRule="auto"/>
              <w:ind w:left="0" w:right="15"/>
              <w:rPr>
                <w:rFonts w:asciiTheme="majorBidi" w:eastAsia="Times New Roman" w:hAnsiTheme="majorBidi" w:cstheme="majorBidi"/>
                <w:sz w:val="20"/>
                <w:szCs w:val="20"/>
              </w:rPr>
            </w:pPr>
          </w:p>
          <w:p w14:paraId="664CCB25" w14:textId="26776F32" w:rsidR="00EE771E" w:rsidRPr="00563D71" w:rsidRDefault="002A70BD" w:rsidP="003D2E29">
            <w:pPr>
              <w:pStyle w:val="ListParagraph"/>
              <w:spacing w:line="240" w:lineRule="auto"/>
              <w:ind w:left="0" w:right="15"/>
              <w:rPr>
                <w:rFonts w:asciiTheme="majorBidi" w:hAnsiTheme="majorBidi" w:cstheme="majorBidi"/>
                <w:sz w:val="20"/>
                <w:szCs w:val="20"/>
              </w:rPr>
            </w:pPr>
            <w:r w:rsidRPr="00563D71">
              <w:rPr>
                <w:rFonts w:asciiTheme="majorBidi" w:eastAsia="Times New Roman" w:hAnsiTheme="majorBidi" w:cstheme="majorBidi"/>
                <w:sz w:val="20"/>
                <w:szCs w:val="20"/>
              </w:rPr>
              <w:t xml:space="preserve">The current administration has been endorsing a </w:t>
            </w:r>
            <w:r w:rsidR="00E530AC" w:rsidRPr="00563D71">
              <w:rPr>
                <w:rFonts w:asciiTheme="majorBidi" w:eastAsia="Times New Roman" w:hAnsiTheme="majorBidi" w:cstheme="majorBidi"/>
                <w:sz w:val="20"/>
                <w:szCs w:val="20"/>
              </w:rPr>
              <w:t>large-scale</w:t>
            </w:r>
            <w:r w:rsidRPr="00563D71">
              <w:rPr>
                <w:rFonts w:asciiTheme="majorBidi" w:eastAsia="Times New Roman" w:hAnsiTheme="majorBidi" w:cstheme="majorBidi"/>
                <w:sz w:val="20"/>
                <w:szCs w:val="20"/>
              </w:rPr>
              <w:t xml:space="preserve"> agrarian reform to hand over 12.7 million hectares to the poor including forest</w:t>
            </w:r>
            <w:r w:rsidR="0002151D" w:rsidRPr="00563D71">
              <w:rPr>
                <w:rFonts w:asciiTheme="majorBidi" w:eastAsia="Times New Roman" w:hAnsiTheme="majorBidi" w:cstheme="majorBidi"/>
                <w:sz w:val="20"/>
                <w:szCs w:val="20"/>
              </w:rPr>
              <w:t>-</w:t>
            </w:r>
            <w:r w:rsidRPr="00563D71">
              <w:rPr>
                <w:rFonts w:asciiTheme="majorBidi" w:eastAsia="Times New Roman" w:hAnsiTheme="majorBidi" w:cstheme="majorBidi"/>
                <w:sz w:val="20"/>
                <w:szCs w:val="20"/>
              </w:rPr>
              <w:t xml:space="preserve"> and land</w:t>
            </w:r>
            <w:r w:rsidR="0002151D" w:rsidRPr="00563D71">
              <w:rPr>
                <w:rFonts w:asciiTheme="majorBidi" w:eastAsia="Times New Roman" w:hAnsiTheme="majorBidi" w:cstheme="majorBidi"/>
                <w:sz w:val="20"/>
                <w:szCs w:val="20"/>
              </w:rPr>
              <w:t>-</w:t>
            </w:r>
            <w:r w:rsidRPr="00563D71">
              <w:rPr>
                <w:rFonts w:asciiTheme="majorBidi" w:eastAsia="Times New Roman" w:hAnsiTheme="majorBidi" w:cstheme="majorBidi"/>
                <w:sz w:val="20"/>
                <w:szCs w:val="20"/>
              </w:rPr>
              <w:t xml:space="preserve">dependent </w:t>
            </w:r>
            <w:r w:rsidR="003B1C11" w:rsidRPr="00563D71">
              <w:rPr>
                <w:rFonts w:asciiTheme="majorBidi" w:eastAsia="Times New Roman" w:hAnsiTheme="majorBidi" w:cstheme="majorBidi"/>
                <w:sz w:val="20"/>
                <w:szCs w:val="20"/>
              </w:rPr>
              <w:t>MHA</w:t>
            </w:r>
            <w:r w:rsidRPr="00563D71">
              <w:rPr>
                <w:rFonts w:asciiTheme="majorBidi" w:eastAsia="Times New Roman" w:hAnsiTheme="majorBidi" w:cstheme="majorBidi"/>
                <w:sz w:val="20"/>
                <w:szCs w:val="20"/>
              </w:rPr>
              <w:t xml:space="preserve">. This initiative is currently being led by the </w:t>
            </w:r>
            <w:r w:rsidR="0002151D" w:rsidRPr="00563D71">
              <w:rPr>
                <w:rFonts w:asciiTheme="majorBidi" w:eastAsia="Times New Roman" w:hAnsiTheme="majorBidi" w:cstheme="majorBidi"/>
                <w:sz w:val="20"/>
                <w:szCs w:val="20"/>
              </w:rPr>
              <w:t>ministry</w:t>
            </w:r>
            <w:r w:rsidR="003B1C11" w:rsidRPr="00563D71">
              <w:rPr>
                <w:rFonts w:asciiTheme="majorBidi" w:hAnsiTheme="majorBidi" w:cstheme="majorBidi"/>
                <w:sz w:val="20"/>
                <w:szCs w:val="20"/>
              </w:rPr>
              <w:t xml:space="preserve"> </w:t>
            </w:r>
            <w:r w:rsidRPr="00563D71">
              <w:rPr>
                <w:rFonts w:asciiTheme="majorBidi" w:hAnsiTheme="majorBidi" w:cstheme="majorBidi"/>
                <w:sz w:val="20"/>
                <w:szCs w:val="20"/>
              </w:rPr>
              <w:t>and MOEF through TORA (</w:t>
            </w:r>
            <w:r w:rsidRPr="00563D71">
              <w:rPr>
                <w:rFonts w:asciiTheme="majorBidi" w:hAnsiTheme="majorBidi" w:cstheme="majorBidi"/>
                <w:i/>
                <w:sz w:val="20"/>
                <w:szCs w:val="20"/>
              </w:rPr>
              <w:t xml:space="preserve">Tanah </w:t>
            </w:r>
            <w:r w:rsidR="00E530AC" w:rsidRPr="00563D71">
              <w:rPr>
                <w:rFonts w:asciiTheme="majorBidi" w:hAnsiTheme="majorBidi" w:cstheme="majorBidi"/>
                <w:i/>
                <w:sz w:val="20"/>
                <w:szCs w:val="20"/>
              </w:rPr>
              <w:t>Obyek</w:t>
            </w:r>
            <w:r w:rsidRPr="00563D71">
              <w:rPr>
                <w:rFonts w:asciiTheme="majorBidi" w:hAnsiTheme="majorBidi" w:cstheme="majorBidi"/>
                <w:i/>
                <w:sz w:val="20"/>
                <w:szCs w:val="20"/>
              </w:rPr>
              <w:t xml:space="preserve"> Reformasi Agraria</w:t>
            </w:r>
            <w:r w:rsidRPr="00563D71">
              <w:rPr>
                <w:rFonts w:asciiTheme="majorBidi" w:hAnsiTheme="majorBidi" w:cstheme="majorBidi"/>
                <w:sz w:val="20"/>
                <w:szCs w:val="20"/>
              </w:rPr>
              <w:t xml:space="preserve">/Land Objects for Agrarian reform) and social forestry schemes respectively. However, under Indonesian regulations, recognition of MHAs’ rights over land is conditional upon recognition of their existence by district and/or provincial governments. As indicated in Table </w:t>
            </w:r>
            <w:r w:rsidR="000311AE" w:rsidRPr="00563D71">
              <w:rPr>
                <w:rFonts w:asciiTheme="majorBidi" w:hAnsiTheme="majorBidi" w:cstheme="majorBidi"/>
                <w:sz w:val="20"/>
                <w:szCs w:val="20"/>
              </w:rPr>
              <w:t>9</w:t>
            </w:r>
            <w:r w:rsidRPr="00563D71">
              <w:rPr>
                <w:rFonts w:asciiTheme="majorBidi" w:hAnsiTheme="majorBidi" w:cstheme="majorBidi"/>
                <w:sz w:val="20"/>
                <w:szCs w:val="20"/>
              </w:rPr>
              <w:t>, that the process to getting recognition and rights is a bureaucratic process and historically t</w:t>
            </w:r>
            <w:r w:rsidR="00956479" w:rsidRPr="00563D71">
              <w:rPr>
                <w:rFonts w:asciiTheme="majorBidi" w:hAnsiTheme="majorBidi" w:cstheme="majorBidi"/>
                <w:sz w:val="20"/>
                <w:szCs w:val="20"/>
              </w:rPr>
              <w:t>akes</w:t>
            </w:r>
            <w:r w:rsidRPr="00563D71">
              <w:rPr>
                <w:rFonts w:asciiTheme="majorBidi" w:hAnsiTheme="majorBidi" w:cstheme="majorBidi"/>
                <w:sz w:val="20"/>
                <w:szCs w:val="20"/>
              </w:rPr>
              <w:t xml:space="preserve"> time. Streamlining the process is beyond the scope of this Program.</w:t>
            </w:r>
          </w:p>
        </w:tc>
        <w:tc>
          <w:tcPr>
            <w:tcW w:w="3174" w:type="dxa"/>
          </w:tcPr>
          <w:p w14:paraId="2B1A4879" w14:textId="7CF61146" w:rsidR="00EE771E" w:rsidRPr="00563D71" w:rsidRDefault="002A2342" w:rsidP="003D2E29">
            <w:pPr>
              <w:pStyle w:val="ListParagraph"/>
              <w:numPr>
                <w:ilvl w:val="0"/>
                <w:numId w:val="76"/>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 xml:space="preserve">No area of strengthening needed. </w:t>
            </w:r>
          </w:p>
        </w:tc>
      </w:tr>
      <w:tr w:rsidR="00EE771E" w:rsidRPr="00563D71" w14:paraId="28D31800" w14:textId="77777777" w:rsidTr="003D2E29">
        <w:tc>
          <w:tcPr>
            <w:tcW w:w="3528" w:type="dxa"/>
          </w:tcPr>
          <w:p w14:paraId="02B5FA99" w14:textId="77777777" w:rsidR="00EE771E" w:rsidRPr="00563D71" w:rsidRDefault="00EE771E" w:rsidP="003D2E29">
            <w:pPr>
              <w:pStyle w:val="ListParagraph"/>
              <w:numPr>
                <w:ilvl w:val="3"/>
                <w:numId w:val="11"/>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t xml:space="preserve">Ministry of Tourism </w:t>
            </w:r>
          </w:p>
        </w:tc>
        <w:tc>
          <w:tcPr>
            <w:tcW w:w="6237" w:type="dxa"/>
          </w:tcPr>
          <w:p w14:paraId="1A5B82F2" w14:textId="77777777" w:rsidR="00EE771E" w:rsidRPr="00563D71" w:rsidRDefault="00EE771E" w:rsidP="003D2E29">
            <w:pPr>
              <w:pStyle w:val="ListParagraph"/>
              <w:widowControl w:val="0"/>
              <w:numPr>
                <w:ilvl w:val="0"/>
                <w:numId w:val="80"/>
              </w:numPr>
              <w:spacing w:line="240" w:lineRule="auto"/>
              <w:ind w:left="414" w:hanging="357"/>
              <w:rPr>
                <w:rFonts w:asciiTheme="majorBidi" w:hAnsiTheme="majorBidi" w:cstheme="majorBidi"/>
                <w:sz w:val="20"/>
                <w:szCs w:val="20"/>
              </w:rPr>
            </w:pPr>
            <w:r w:rsidRPr="00563D71">
              <w:rPr>
                <w:rFonts w:asciiTheme="majorBidi" w:hAnsiTheme="majorBidi" w:cstheme="majorBidi"/>
                <w:sz w:val="20"/>
                <w:szCs w:val="20"/>
              </w:rPr>
              <w:t>Directorate General of Infrastructure Development and Tourism Ecosystem</w:t>
            </w:r>
          </w:p>
          <w:p w14:paraId="43BB3CB5" w14:textId="55ABA998" w:rsidR="00EE771E" w:rsidRPr="00563D71" w:rsidRDefault="00EE771E" w:rsidP="00930485">
            <w:pPr>
              <w:widowControl w:val="0"/>
              <w:tabs>
                <w:tab w:val="left" w:pos="90"/>
              </w:tabs>
              <w:spacing w:after="120"/>
              <w:ind w:left="57" w:firstLine="0"/>
              <w:rPr>
                <w:rFonts w:asciiTheme="majorBidi" w:hAnsiTheme="majorBidi" w:cstheme="majorBidi"/>
                <w:sz w:val="20"/>
                <w:szCs w:val="20"/>
              </w:rPr>
            </w:pPr>
            <w:r w:rsidRPr="00563D71">
              <w:rPr>
                <w:rFonts w:asciiTheme="majorBidi" w:hAnsiTheme="majorBidi" w:cstheme="majorBidi"/>
                <w:sz w:val="20"/>
                <w:szCs w:val="20"/>
              </w:rPr>
              <w:t xml:space="preserve">With a strong mandate, </w:t>
            </w:r>
            <w:r w:rsidR="00E62922" w:rsidRPr="00563D71">
              <w:rPr>
                <w:rFonts w:asciiTheme="majorBidi" w:hAnsiTheme="majorBidi" w:cstheme="majorBidi"/>
                <w:sz w:val="20"/>
                <w:szCs w:val="20"/>
              </w:rPr>
              <w:t>the Ministry of Tourism</w:t>
            </w:r>
            <w:r w:rsidRPr="00563D71">
              <w:rPr>
                <w:rFonts w:asciiTheme="majorBidi" w:hAnsiTheme="majorBidi" w:cstheme="majorBidi"/>
                <w:sz w:val="20"/>
                <w:szCs w:val="20"/>
              </w:rPr>
              <w:t xml:space="preserve"> signed </w:t>
            </w:r>
            <w:r w:rsidR="00956479" w:rsidRPr="00563D71">
              <w:rPr>
                <w:rFonts w:asciiTheme="majorBidi" w:hAnsiTheme="majorBidi" w:cstheme="majorBidi"/>
                <w:sz w:val="20"/>
                <w:szCs w:val="20"/>
              </w:rPr>
              <w:t xml:space="preserve">an </w:t>
            </w:r>
            <w:r w:rsidRPr="00563D71">
              <w:rPr>
                <w:rFonts w:asciiTheme="majorBidi" w:hAnsiTheme="majorBidi" w:cstheme="majorBidi"/>
                <w:sz w:val="20"/>
                <w:szCs w:val="20"/>
              </w:rPr>
              <w:t>MOU with UNWTO in September 2016 to promote sustainable competitive growth as part of their national level directional strategy for Indonesia</w:t>
            </w:r>
            <w:r w:rsidR="00956479" w:rsidRPr="00563D71">
              <w:rPr>
                <w:rFonts w:asciiTheme="majorBidi" w:hAnsiTheme="majorBidi" w:cstheme="majorBidi"/>
                <w:sz w:val="20"/>
                <w:szCs w:val="20"/>
              </w:rPr>
              <w:t>n</w:t>
            </w:r>
            <w:r w:rsidRPr="00563D71">
              <w:rPr>
                <w:rFonts w:asciiTheme="majorBidi" w:hAnsiTheme="majorBidi" w:cstheme="majorBidi"/>
                <w:sz w:val="20"/>
                <w:szCs w:val="20"/>
              </w:rPr>
              <w:t xml:space="preserve"> Tourism. In their development concept, for each national tourism destination (DPN)/National Strategic Tourism Area (KSPN) there will be a Sustainable Tourism Observatory (STO). It will act as</w:t>
            </w:r>
            <w:r w:rsidR="00930485" w:rsidRPr="00563D71">
              <w:rPr>
                <w:rFonts w:asciiTheme="majorBidi" w:hAnsiTheme="majorBidi" w:cstheme="majorBidi"/>
                <w:sz w:val="20"/>
                <w:szCs w:val="20"/>
              </w:rPr>
              <w:t xml:space="preserve"> a</w:t>
            </w:r>
            <w:r w:rsidRPr="00563D71">
              <w:rPr>
                <w:rFonts w:asciiTheme="majorBidi" w:hAnsiTheme="majorBidi" w:cstheme="majorBidi"/>
                <w:sz w:val="20"/>
                <w:szCs w:val="20"/>
              </w:rPr>
              <w:t xml:space="preserve"> monitoring team without </w:t>
            </w:r>
            <w:r w:rsidRPr="00563D71">
              <w:rPr>
                <w:rFonts w:asciiTheme="majorBidi" w:hAnsiTheme="majorBidi" w:cstheme="majorBidi"/>
                <w:sz w:val="20"/>
                <w:szCs w:val="20"/>
              </w:rPr>
              <w:lastRenderedPageBreak/>
              <w:t>enforcement authority but engaging local stakeholders as it will consist of local government agencies, universities</w:t>
            </w:r>
            <w:r w:rsidR="00930485" w:rsidRPr="00563D71">
              <w:rPr>
                <w:rFonts w:asciiTheme="majorBidi" w:hAnsiTheme="majorBidi" w:cstheme="majorBidi"/>
                <w:sz w:val="20"/>
                <w:szCs w:val="20"/>
              </w:rPr>
              <w:t>,</w:t>
            </w:r>
            <w:r w:rsidRPr="00563D71">
              <w:rPr>
                <w:rFonts w:asciiTheme="majorBidi" w:hAnsiTheme="majorBidi" w:cstheme="majorBidi"/>
                <w:sz w:val="20"/>
                <w:szCs w:val="20"/>
              </w:rPr>
              <w:t xml:space="preserve"> and NGOs to promote sustainable tourism and programs from the Ministry. In the PforR </w:t>
            </w:r>
            <w:r w:rsidR="003769C7" w:rsidRPr="00563D71">
              <w:rPr>
                <w:rFonts w:asciiTheme="majorBidi" w:hAnsiTheme="majorBidi" w:cstheme="majorBidi"/>
                <w:sz w:val="20"/>
                <w:szCs w:val="20"/>
              </w:rPr>
              <w:t>P</w:t>
            </w:r>
            <w:r w:rsidRPr="00563D71">
              <w:rPr>
                <w:rFonts w:asciiTheme="majorBidi" w:hAnsiTheme="majorBidi" w:cstheme="majorBidi"/>
                <w:sz w:val="20"/>
                <w:szCs w:val="20"/>
              </w:rPr>
              <w:t xml:space="preserve">rogram, as part to support this great initiative from the </w:t>
            </w:r>
            <w:r w:rsidR="00F06297" w:rsidRPr="00563D71">
              <w:rPr>
                <w:rFonts w:asciiTheme="majorBidi" w:hAnsiTheme="majorBidi" w:cstheme="majorBidi"/>
                <w:sz w:val="20"/>
                <w:szCs w:val="20"/>
              </w:rPr>
              <w:t>GoI</w:t>
            </w:r>
            <w:r w:rsidRPr="00563D71">
              <w:rPr>
                <w:rFonts w:asciiTheme="majorBidi" w:hAnsiTheme="majorBidi" w:cstheme="majorBidi"/>
                <w:sz w:val="20"/>
                <w:szCs w:val="20"/>
              </w:rPr>
              <w:t>, it is part of the DLI to achieve a balance of process, monitoring</w:t>
            </w:r>
            <w:r w:rsidR="00930485" w:rsidRPr="00563D71">
              <w:rPr>
                <w:rFonts w:asciiTheme="majorBidi" w:hAnsiTheme="majorBidi" w:cstheme="majorBidi"/>
                <w:sz w:val="20"/>
                <w:szCs w:val="20"/>
              </w:rPr>
              <w:t>,</w:t>
            </w:r>
            <w:r w:rsidRPr="00563D71">
              <w:rPr>
                <w:rFonts w:asciiTheme="majorBidi" w:hAnsiTheme="majorBidi" w:cstheme="majorBidi"/>
                <w:sz w:val="20"/>
                <w:szCs w:val="20"/>
              </w:rPr>
              <w:t xml:space="preserve"> and verification during project implementation. They will   provide periodic monitoring reports and will publish based on </w:t>
            </w:r>
            <w:r w:rsidR="00930485" w:rsidRPr="00563D71">
              <w:rPr>
                <w:rFonts w:asciiTheme="majorBidi" w:hAnsiTheme="majorBidi" w:cstheme="majorBidi"/>
                <w:sz w:val="20"/>
                <w:szCs w:val="20"/>
              </w:rPr>
              <w:t xml:space="preserve">a </w:t>
            </w:r>
            <w:r w:rsidRPr="00563D71">
              <w:rPr>
                <w:rFonts w:asciiTheme="majorBidi" w:hAnsiTheme="majorBidi" w:cstheme="majorBidi"/>
                <w:sz w:val="20"/>
                <w:szCs w:val="20"/>
              </w:rPr>
              <w:t xml:space="preserve">pre-agreed geographic scope of tourism areas and list of critical indicators.  </w:t>
            </w:r>
          </w:p>
          <w:p w14:paraId="0114BE7B" w14:textId="39F8984D" w:rsidR="00EE771E" w:rsidRPr="00563D71" w:rsidRDefault="00EE771E" w:rsidP="00930485">
            <w:pPr>
              <w:ind w:left="0"/>
              <w:rPr>
                <w:rFonts w:asciiTheme="majorBidi" w:hAnsiTheme="majorBidi" w:cstheme="majorBidi"/>
                <w:sz w:val="20"/>
                <w:szCs w:val="20"/>
              </w:rPr>
            </w:pPr>
            <w:r w:rsidRPr="00563D71">
              <w:rPr>
                <w:rFonts w:asciiTheme="majorBidi" w:hAnsiTheme="majorBidi" w:cstheme="majorBidi"/>
                <w:sz w:val="20"/>
                <w:szCs w:val="20"/>
              </w:rPr>
              <w:t>Currently, the first three pilot STOs are housed in three major universities</w:t>
            </w:r>
            <w:r w:rsidR="00930485" w:rsidRPr="00563D71">
              <w:rPr>
                <w:rFonts w:asciiTheme="majorBidi" w:hAnsiTheme="majorBidi" w:cstheme="majorBidi"/>
                <w:sz w:val="20"/>
                <w:szCs w:val="20"/>
              </w:rPr>
              <w:t>—</w:t>
            </w:r>
            <w:r w:rsidRPr="00563D71">
              <w:rPr>
                <w:rFonts w:asciiTheme="majorBidi" w:hAnsiTheme="majorBidi" w:cstheme="majorBidi"/>
                <w:sz w:val="20"/>
                <w:szCs w:val="20"/>
              </w:rPr>
              <w:t>University of Mataram (Lombok), Bandung Institute Technology (</w:t>
            </w:r>
            <w:r w:rsidR="00930485" w:rsidRPr="00563D71">
              <w:rPr>
                <w:rFonts w:asciiTheme="majorBidi" w:hAnsiTheme="majorBidi" w:cstheme="majorBidi"/>
                <w:sz w:val="20"/>
                <w:szCs w:val="20"/>
              </w:rPr>
              <w:t>Bandung</w:t>
            </w:r>
            <w:r w:rsidRPr="00563D71">
              <w:rPr>
                <w:rFonts w:asciiTheme="majorBidi" w:hAnsiTheme="majorBidi" w:cstheme="majorBidi"/>
                <w:sz w:val="20"/>
                <w:szCs w:val="20"/>
              </w:rPr>
              <w:t>, West Java), and Gajah M</w:t>
            </w:r>
            <w:r w:rsidR="00930485" w:rsidRPr="00563D71">
              <w:rPr>
                <w:rFonts w:asciiTheme="majorBidi" w:hAnsiTheme="majorBidi" w:cstheme="majorBidi"/>
                <w:sz w:val="20"/>
                <w:szCs w:val="20"/>
              </w:rPr>
              <w:t>a</w:t>
            </w:r>
            <w:r w:rsidRPr="00563D71">
              <w:rPr>
                <w:rFonts w:asciiTheme="majorBidi" w:hAnsiTheme="majorBidi" w:cstheme="majorBidi"/>
                <w:sz w:val="20"/>
                <w:szCs w:val="20"/>
              </w:rPr>
              <w:t xml:space="preserve">da University (Sleman, Yogyakarta). </w:t>
            </w:r>
            <w:r w:rsidR="00930485" w:rsidRPr="00563D71">
              <w:rPr>
                <w:rFonts w:asciiTheme="majorBidi" w:hAnsiTheme="majorBidi" w:cstheme="majorBidi"/>
                <w:sz w:val="20"/>
                <w:szCs w:val="20"/>
              </w:rPr>
              <w:t xml:space="preserve">The </w:t>
            </w:r>
            <w:r w:rsidRPr="00563D71">
              <w:rPr>
                <w:rFonts w:asciiTheme="majorBidi" w:hAnsiTheme="majorBidi" w:cstheme="majorBidi"/>
                <w:sz w:val="20"/>
                <w:szCs w:val="20"/>
              </w:rPr>
              <w:t xml:space="preserve">collaboration of STO organization </w:t>
            </w:r>
            <w:r w:rsidR="00930485" w:rsidRPr="00563D71">
              <w:rPr>
                <w:rFonts w:asciiTheme="majorBidi" w:hAnsiTheme="majorBidi" w:cstheme="majorBidi"/>
                <w:sz w:val="20"/>
                <w:szCs w:val="20"/>
              </w:rPr>
              <w:t xml:space="preserve">consists </w:t>
            </w:r>
            <w:r w:rsidRPr="00563D71">
              <w:rPr>
                <w:rFonts w:asciiTheme="majorBidi" w:hAnsiTheme="majorBidi" w:cstheme="majorBidi"/>
                <w:sz w:val="20"/>
                <w:szCs w:val="20"/>
              </w:rPr>
              <w:t xml:space="preserve">of </w:t>
            </w:r>
            <w:r w:rsidR="00930485" w:rsidRPr="00563D71">
              <w:rPr>
                <w:rFonts w:asciiTheme="majorBidi" w:hAnsiTheme="majorBidi" w:cstheme="majorBidi"/>
                <w:sz w:val="20"/>
                <w:szCs w:val="20"/>
              </w:rPr>
              <w:t xml:space="preserve">a </w:t>
            </w:r>
            <w:r w:rsidRPr="00563D71">
              <w:rPr>
                <w:rFonts w:asciiTheme="majorBidi" w:hAnsiTheme="majorBidi" w:cstheme="majorBidi"/>
                <w:sz w:val="20"/>
                <w:szCs w:val="20"/>
              </w:rPr>
              <w:t xml:space="preserve">local university, </w:t>
            </w:r>
            <w:r w:rsidR="00930485" w:rsidRPr="00563D71">
              <w:rPr>
                <w:rFonts w:asciiTheme="majorBidi" w:hAnsiTheme="majorBidi" w:cstheme="majorBidi"/>
                <w:sz w:val="20"/>
                <w:szCs w:val="20"/>
              </w:rPr>
              <w:t>local government</w:t>
            </w:r>
            <w:r w:rsidRPr="00563D71">
              <w:rPr>
                <w:rFonts w:asciiTheme="majorBidi" w:hAnsiTheme="majorBidi" w:cstheme="majorBidi"/>
                <w:sz w:val="20"/>
                <w:szCs w:val="20"/>
              </w:rPr>
              <w:t xml:space="preserve">, </w:t>
            </w:r>
            <w:r w:rsidR="00E62922" w:rsidRPr="00563D71">
              <w:rPr>
                <w:rFonts w:asciiTheme="majorBidi" w:hAnsiTheme="majorBidi" w:cstheme="majorBidi"/>
                <w:sz w:val="20"/>
                <w:szCs w:val="20"/>
              </w:rPr>
              <w:t>the Ministry of Tourism</w:t>
            </w:r>
            <w:r w:rsidR="0006769B" w:rsidRPr="00563D71">
              <w:rPr>
                <w:rFonts w:asciiTheme="majorBidi" w:hAnsiTheme="majorBidi" w:cstheme="majorBidi"/>
                <w:sz w:val="20"/>
                <w:szCs w:val="20"/>
              </w:rPr>
              <w:t>,</w:t>
            </w:r>
            <w:r w:rsidRPr="00563D71">
              <w:rPr>
                <w:rFonts w:asciiTheme="majorBidi" w:hAnsiTheme="majorBidi" w:cstheme="majorBidi"/>
                <w:sz w:val="20"/>
                <w:szCs w:val="20"/>
              </w:rPr>
              <w:t xml:space="preserve"> and UNWTO.</w:t>
            </w:r>
          </w:p>
          <w:p w14:paraId="13DC162E" w14:textId="77777777" w:rsidR="00EE771E" w:rsidRPr="00563D71" w:rsidRDefault="00EE771E" w:rsidP="0006769B">
            <w:pPr>
              <w:ind w:left="0"/>
              <w:rPr>
                <w:rFonts w:asciiTheme="majorBidi" w:hAnsiTheme="majorBidi" w:cstheme="majorBidi"/>
                <w:sz w:val="20"/>
                <w:szCs w:val="20"/>
              </w:rPr>
            </w:pPr>
          </w:p>
        </w:tc>
        <w:tc>
          <w:tcPr>
            <w:tcW w:w="3174" w:type="dxa"/>
          </w:tcPr>
          <w:p w14:paraId="0A98B9D4" w14:textId="77777777" w:rsidR="00A905BF" w:rsidRPr="00563D71" w:rsidRDefault="00A905BF" w:rsidP="0006769B">
            <w:pPr>
              <w:spacing w:before="0"/>
              <w:ind w:left="1" w:firstLine="0"/>
              <w:jc w:val="left"/>
              <w:rPr>
                <w:rFonts w:asciiTheme="majorBidi" w:hAnsiTheme="majorBidi" w:cstheme="majorBidi"/>
                <w:sz w:val="20"/>
                <w:szCs w:val="20"/>
              </w:rPr>
            </w:pPr>
            <w:r w:rsidRPr="00563D71">
              <w:rPr>
                <w:rFonts w:asciiTheme="majorBidi" w:hAnsiTheme="majorBidi" w:cstheme="majorBidi"/>
                <w:sz w:val="20"/>
                <w:szCs w:val="20"/>
              </w:rPr>
              <w:lastRenderedPageBreak/>
              <w:t xml:space="preserve">Integrated Tourism Master Plan to define the arrangement (IPF) through stakeholder mapping.  </w:t>
            </w:r>
          </w:p>
          <w:p w14:paraId="201DA5C7" w14:textId="77777777" w:rsidR="00A905BF" w:rsidRPr="00563D71" w:rsidRDefault="00A905BF" w:rsidP="0006769B">
            <w:pPr>
              <w:spacing w:before="0"/>
              <w:ind w:left="1" w:firstLine="0"/>
              <w:jc w:val="left"/>
              <w:rPr>
                <w:rFonts w:asciiTheme="majorBidi" w:hAnsiTheme="majorBidi" w:cstheme="majorBidi"/>
                <w:sz w:val="20"/>
                <w:szCs w:val="20"/>
              </w:rPr>
            </w:pPr>
          </w:p>
          <w:p w14:paraId="2C6D79C4" w14:textId="77777777" w:rsidR="00A905BF" w:rsidRPr="00563D71" w:rsidRDefault="00A905BF" w:rsidP="0006769B">
            <w:pPr>
              <w:spacing w:before="0"/>
              <w:ind w:left="1" w:firstLine="0"/>
              <w:jc w:val="left"/>
              <w:rPr>
                <w:rFonts w:asciiTheme="majorBidi" w:hAnsiTheme="majorBidi" w:cstheme="majorBidi"/>
                <w:sz w:val="20"/>
                <w:szCs w:val="20"/>
              </w:rPr>
            </w:pPr>
            <w:r w:rsidRPr="00563D71">
              <w:rPr>
                <w:rFonts w:asciiTheme="majorBidi" w:hAnsiTheme="majorBidi" w:cstheme="majorBidi"/>
                <w:sz w:val="20"/>
                <w:szCs w:val="20"/>
              </w:rPr>
              <w:t>Establish arrangements as part of Program Action Plan and implementation throughout Program period is incentivized in RA4, where its regular reporting is a DLI.</w:t>
            </w:r>
          </w:p>
          <w:p w14:paraId="7D4B9D9A" w14:textId="5258CB4E" w:rsidR="00EE771E" w:rsidRPr="00563D71" w:rsidRDefault="00292CCB" w:rsidP="0006769B">
            <w:pPr>
              <w:ind w:left="-14" w:right="17" w:firstLine="0"/>
              <w:rPr>
                <w:rFonts w:asciiTheme="majorBidi" w:hAnsiTheme="majorBidi" w:cstheme="majorBidi"/>
                <w:sz w:val="20"/>
                <w:szCs w:val="20"/>
              </w:rPr>
            </w:pPr>
            <w:r w:rsidRPr="00563D71">
              <w:rPr>
                <w:rFonts w:asciiTheme="majorBidi" w:hAnsiTheme="majorBidi" w:cstheme="majorBidi"/>
                <w:color w:val="auto"/>
                <w:sz w:val="20"/>
                <w:szCs w:val="20"/>
              </w:rPr>
              <w:lastRenderedPageBreak/>
              <w:t xml:space="preserve">Program Management Support (through Program Management Support Consultants’ Services financed under the IPF, and/or additional qualified Ministry of Tourism staff) </w:t>
            </w:r>
            <w:r w:rsidR="002A2342" w:rsidRPr="00563D71">
              <w:rPr>
                <w:rFonts w:asciiTheme="majorBidi" w:hAnsiTheme="majorBidi" w:cstheme="majorBidi"/>
                <w:sz w:val="20"/>
                <w:szCs w:val="20"/>
              </w:rPr>
              <w:t>to provid</w:t>
            </w:r>
            <w:r w:rsidRPr="00563D71">
              <w:rPr>
                <w:rFonts w:asciiTheme="majorBidi" w:hAnsiTheme="majorBidi" w:cstheme="majorBidi"/>
                <w:sz w:val="20"/>
                <w:szCs w:val="20"/>
              </w:rPr>
              <w:t>e coordination and training</w:t>
            </w:r>
            <w:r w:rsidR="002A2342" w:rsidRPr="00563D71">
              <w:rPr>
                <w:rFonts w:asciiTheme="majorBidi" w:hAnsiTheme="majorBidi" w:cstheme="majorBidi"/>
                <w:sz w:val="20"/>
                <w:szCs w:val="20"/>
              </w:rPr>
              <w:t xml:space="preserve">. </w:t>
            </w:r>
          </w:p>
          <w:p w14:paraId="58EA1FCE" w14:textId="6090782E" w:rsidR="00EE771E" w:rsidRPr="00563D71" w:rsidRDefault="00EE771E" w:rsidP="00A5064A">
            <w:pPr>
              <w:ind w:left="0" w:right="17"/>
              <w:rPr>
                <w:rFonts w:asciiTheme="majorBidi" w:hAnsiTheme="majorBidi" w:cstheme="majorBidi"/>
                <w:sz w:val="20"/>
                <w:szCs w:val="20"/>
              </w:rPr>
            </w:pPr>
            <w:r w:rsidRPr="00563D71">
              <w:rPr>
                <w:rFonts w:asciiTheme="majorBidi" w:hAnsiTheme="majorBidi" w:cstheme="majorBidi"/>
                <w:sz w:val="20"/>
                <w:szCs w:val="20"/>
              </w:rPr>
              <w:t xml:space="preserve">The strength of the STOs lies </w:t>
            </w:r>
            <w:r w:rsidR="00A5064A" w:rsidRPr="00563D71">
              <w:rPr>
                <w:rFonts w:asciiTheme="majorBidi" w:hAnsiTheme="majorBidi" w:cstheme="majorBidi"/>
                <w:sz w:val="20"/>
                <w:szCs w:val="20"/>
              </w:rPr>
              <w:t xml:space="preserve">in </w:t>
            </w:r>
            <w:r w:rsidRPr="00563D71">
              <w:rPr>
                <w:rFonts w:asciiTheme="majorBidi" w:hAnsiTheme="majorBidi" w:cstheme="majorBidi"/>
                <w:sz w:val="20"/>
                <w:szCs w:val="20"/>
              </w:rPr>
              <w:t xml:space="preserve">the coordination with the </w:t>
            </w:r>
            <w:r w:rsidR="00A5064A" w:rsidRPr="00563D71">
              <w:rPr>
                <w:rFonts w:asciiTheme="majorBidi" w:hAnsiTheme="majorBidi" w:cstheme="majorBidi"/>
                <w:sz w:val="20"/>
                <w:szCs w:val="20"/>
              </w:rPr>
              <w:t xml:space="preserve">university, </w:t>
            </w:r>
            <w:r w:rsidRPr="00563D71">
              <w:rPr>
                <w:rFonts w:asciiTheme="majorBidi" w:hAnsiTheme="majorBidi" w:cstheme="majorBidi"/>
                <w:sz w:val="20"/>
                <w:szCs w:val="20"/>
              </w:rPr>
              <w:t>wh</w:t>
            </w:r>
            <w:r w:rsidR="00A5064A" w:rsidRPr="00563D71">
              <w:rPr>
                <w:rFonts w:asciiTheme="majorBidi" w:hAnsiTheme="majorBidi" w:cstheme="majorBidi"/>
                <w:sz w:val="20"/>
                <w:szCs w:val="20"/>
              </w:rPr>
              <w:t>ich</w:t>
            </w:r>
            <w:r w:rsidRPr="00563D71">
              <w:rPr>
                <w:rFonts w:asciiTheme="majorBidi" w:hAnsiTheme="majorBidi" w:cstheme="majorBidi"/>
                <w:sz w:val="20"/>
                <w:szCs w:val="20"/>
              </w:rPr>
              <w:t xml:space="preserve"> has the necessary technical knowledge and capacity to provide the necessary guidance to local government agencies and act as an “auditor” through the monitoring and verification reports that will be produced throughout the Program cycle. </w:t>
            </w:r>
          </w:p>
        </w:tc>
      </w:tr>
      <w:tr w:rsidR="00EE771E" w:rsidRPr="00563D71" w14:paraId="6E6EE686" w14:textId="77777777" w:rsidTr="003D2E29">
        <w:tc>
          <w:tcPr>
            <w:tcW w:w="3528" w:type="dxa"/>
          </w:tcPr>
          <w:p w14:paraId="454C7CA2" w14:textId="77777777" w:rsidR="00EE771E" w:rsidRPr="00563D71" w:rsidRDefault="00EE771E" w:rsidP="003D2E29">
            <w:pPr>
              <w:pStyle w:val="ListParagraph"/>
              <w:numPr>
                <w:ilvl w:val="3"/>
                <w:numId w:val="11"/>
              </w:numPr>
              <w:spacing w:line="240" w:lineRule="auto"/>
              <w:ind w:left="414" w:right="17" w:hanging="357"/>
              <w:rPr>
                <w:rFonts w:asciiTheme="majorBidi" w:hAnsiTheme="majorBidi" w:cstheme="majorBidi"/>
                <w:sz w:val="20"/>
                <w:szCs w:val="20"/>
              </w:rPr>
            </w:pPr>
            <w:r w:rsidRPr="00563D71">
              <w:rPr>
                <w:rFonts w:asciiTheme="majorBidi" w:hAnsiTheme="majorBidi" w:cstheme="majorBidi"/>
                <w:sz w:val="20"/>
                <w:szCs w:val="20"/>
              </w:rPr>
              <w:lastRenderedPageBreak/>
              <w:t xml:space="preserve">Ministry of Environment and Forestry </w:t>
            </w:r>
          </w:p>
        </w:tc>
        <w:tc>
          <w:tcPr>
            <w:tcW w:w="6237" w:type="dxa"/>
          </w:tcPr>
          <w:p w14:paraId="22563B61" w14:textId="77777777" w:rsidR="00EE771E" w:rsidRPr="00563D71" w:rsidRDefault="00EE771E" w:rsidP="003D2E29">
            <w:pPr>
              <w:pStyle w:val="ListParagraph"/>
              <w:widowControl w:val="0"/>
              <w:numPr>
                <w:ilvl w:val="0"/>
                <w:numId w:val="78"/>
              </w:numPr>
              <w:spacing w:line="240" w:lineRule="auto"/>
              <w:ind w:left="414" w:hanging="357"/>
              <w:rPr>
                <w:rFonts w:asciiTheme="majorBidi" w:hAnsiTheme="majorBidi" w:cstheme="majorBidi"/>
                <w:sz w:val="20"/>
                <w:szCs w:val="20"/>
              </w:rPr>
            </w:pPr>
            <w:r w:rsidRPr="00563D71">
              <w:rPr>
                <w:rFonts w:asciiTheme="majorBidi" w:hAnsiTheme="majorBidi" w:cstheme="majorBidi"/>
                <w:sz w:val="20"/>
                <w:szCs w:val="20"/>
              </w:rPr>
              <w:t xml:space="preserve">Directorate General for Environmental Protection </w:t>
            </w:r>
          </w:p>
          <w:p w14:paraId="6130BAA0" w14:textId="7DC32E4B" w:rsidR="00EE771E" w:rsidRPr="00563D71" w:rsidRDefault="00EE771E" w:rsidP="00CA3C4D">
            <w:pPr>
              <w:widowControl w:val="0"/>
              <w:rPr>
                <w:rFonts w:asciiTheme="majorBidi" w:hAnsiTheme="majorBidi" w:cstheme="majorBidi"/>
                <w:color w:val="auto"/>
                <w:sz w:val="20"/>
                <w:szCs w:val="20"/>
              </w:rPr>
            </w:pPr>
            <w:r w:rsidRPr="00563D71">
              <w:rPr>
                <w:rFonts w:asciiTheme="majorBidi" w:hAnsiTheme="majorBidi" w:cstheme="majorBidi"/>
                <w:color w:val="auto"/>
                <w:sz w:val="20"/>
                <w:szCs w:val="20"/>
              </w:rPr>
              <w:t>Currently, the MOEF has the most relevant and elaborate capacity building system</w:t>
            </w:r>
            <w:r w:rsidR="00D10280" w:rsidRPr="00563D71">
              <w:rPr>
                <w:rFonts w:asciiTheme="majorBidi" w:hAnsiTheme="majorBidi" w:cstheme="majorBidi"/>
                <w:color w:val="auto"/>
                <w:sz w:val="20"/>
                <w:szCs w:val="20"/>
              </w:rPr>
              <w:t>.</w:t>
            </w:r>
            <w:r w:rsidRPr="00563D71">
              <w:rPr>
                <w:rFonts w:asciiTheme="majorBidi" w:hAnsiTheme="majorBidi" w:cstheme="majorBidi"/>
                <w:color w:val="auto"/>
                <w:sz w:val="20"/>
                <w:szCs w:val="20"/>
              </w:rPr>
              <w:t xml:space="preserve"> </w:t>
            </w:r>
            <w:r w:rsidR="00D10280" w:rsidRPr="00563D71">
              <w:rPr>
                <w:rFonts w:asciiTheme="majorBidi" w:hAnsiTheme="majorBidi" w:cstheme="majorBidi"/>
                <w:color w:val="auto"/>
                <w:sz w:val="20"/>
                <w:szCs w:val="20"/>
              </w:rPr>
              <w:t xml:space="preserve">It </w:t>
            </w:r>
            <w:r w:rsidRPr="00563D71">
              <w:rPr>
                <w:rFonts w:asciiTheme="majorBidi" w:hAnsiTheme="majorBidi" w:cstheme="majorBidi"/>
                <w:color w:val="auto"/>
                <w:sz w:val="20"/>
                <w:szCs w:val="20"/>
              </w:rPr>
              <w:t>involves a network of 16 universities accredited to train AMDAL (EIA) compilers and evaluators. The system allows the MOEF to influence the quality of Environmental Assessment</w:t>
            </w:r>
            <w:r w:rsidR="00CA3C4D" w:rsidRPr="00563D71">
              <w:rPr>
                <w:rFonts w:asciiTheme="majorBidi" w:hAnsiTheme="majorBidi" w:cstheme="majorBidi"/>
                <w:color w:val="auto"/>
                <w:sz w:val="20"/>
                <w:szCs w:val="20"/>
              </w:rPr>
              <w:t>s</w:t>
            </w:r>
            <w:r w:rsidRPr="00563D71">
              <w:rPr>
                <w:rFonts w:asciiTheme="majorBidi" w:hAnsiTheme="majorBidi" w:cstheme="majorBidi"/>
                <w:color w:val="auto"/>
                <w:sz w:val="20"/>
                <w:szCs w:val="20"/>
              </w:rPr>
              <w:t xml:space="preserve"> nationwide by accrediting training institutions, standardizing training curricula</w:t>
            </w:r>
            <w:r w:rsidR="00CA3C4D" w:rsidRPr="00563D71">
              <w:rPr>
                <w:rFonts w:asciiTheme="majorBidi" w:hAnsiTheme="majorBidi" w:cstheme="majorBidi"/>
                <w:color w:val="auto"/>
                <w:sz w:val="20"/>
                <w:szCs w:val="20"/>
              </w:rPr>
              <w:t>,</w:t>
            </w:r>
            <w:r w:rsidRPr="00563D71">
              <w:rPr>
                <w:rFonts w:asciiTheme="majorBidi" w:hAnsiTheme="majorBidi" w:cstheme="majorBidi"/>
                <w:color w:val="auto"/>
                <w:sz w:val="20"/>
                <w:szCs w:val="20"/>
              </w:rPr>
              <w:t xml:space="preserve"> and subjecting individual AMDAL professionals (both compiler/preparer and reviewer/evaluator) to an accreditation process. In the three</w:t>
            </w:r>
            <w:r w:rsidR="00CD6942" w:rsidRPr="00563D71">
              <w:rPr>
                <w:rFonts w:asciiTheme="majorBidi" w:hAnsiTheme="majorBidi" w:cstheme="majorBidi"/>
                <w:color w:val="auto"/>
                <w:sz w:val="20"/>
                <w:szCs w:val="20"/>
              </w:rPr>
              <w:t xml:space="preserve"> </w:t>
            </w:r>
            <w:r w:rsidRPr="00563D71">
              <w:rPr>
                <w:rFonts w:asciiTheme="majorBidi" w:hAnsiTheme="majorBidi" w:cstheme="majorBidi"/>
                <w:color w:val="auto"/>
                <w:sz w:val="20"/>
                <w:szCs w:val="20"/>
              </w:rPr>
              <w:t>tourism destination</w:t>
            </w:r>
            <w:r w:rsidR="00CA3C4D" w:rsidRPr="00563D71">
              <w:rPr>
                <w:rFonts w:asciiTheme="majorBidi" w:hAnsiTheme="majorBidi" w:cstheme="majorBidi"/>
                <w:color w:val="auto"/>
                <w:sz w:val="20"/>
                <w:szCs w:val="20"/>
              </w:rPr>
              <w:t>s</w:t>
            </w:r>
            <w:r w:rsidRPr="00563D71">
              <w:rPr>
                <w:rFonts w:asciiTheme="majorBidi" w:hAnsiTheme="majorBidi" w:cstheme="majorBidi"/>
                <w:color w:val="auto"/>
                <w:sz w:val="20"/>
                <w:szCs w:val="20"/>
              </w:rPr>
              <w:t xml:space="preserve">, there are university training centers accredited by MOEF to provide training on AMDAL. In </w:t>
            </w:r>
            <w:r w:rsidR="00CA3C4D" w:rsidRPr="00563D71">
              <w:rPr>
                <w:rFonts w:asciiTheme="majorBidi" w:hAnsiTheme="majorBidi" w:cstheme="majorBidi"/>
                <w:color w:val="auto"/>
                <w:sz w:val="20"/>
                <w:szCs w:val="20"/>
              </w:rPr>
              <w:t>districts</w:t>
            </w:r>
            <w:r w:rsidRPr="00563D71">
              <w:rPr>
                <w:rFonts w:asciiTheme="majorBidi" w:hAnsiTheme="majorBidi" w:cstheme="majorBidi"/>
                <w:color w:val="auto"/>
                <w:sz w:val="20"/>
                <w:szCs w:val="20"/>
              </w:rPr>
              <w:t>/cities, the environmental management structures created by each district or city will or may have either an Environmental Service Agency (</w:t>
            </w:r>
            <w:r w:rsidRPr="00563D71">
              <w:rPr>
                <w:rFonts w:asciiTheme="majorBidi" w:hAnsiTheme="majorBidi" w:cstheme="majorBidi"/>
                <w:i/>
                <w:color w:val="auto"/>
                <w:sz w:val="20"/>
                <w:szCs w:val="20"/>
              </w:rPr>
              <w:t>Dinas Lingkungan Hidup</w:t>
            </w:r>
            <w:r w:rsidRPr="00563D71">
              <w:rPr>
                <w:rFonts w:asciiTheme="majorBidi" w:hAnsiTheme="majorBidi" w:cstheme="majorBidi"/>
                <w:color w:val="auto"/>
                <w:sz w:val="20"/>
                <w:szCs w:val="20"/>
              </w:rPr>
              <w:t>) or Environmental Office (</w:t>
            </w:r>
            <w:r w:rsidRPr="00563D71">
              <w:rPr>
                <w:rFonts w:asciiTheme="majorBidi" w:hAnsiTheme="majorBidi" w:cstheme="majorBidi"/>
                <w:i/>
                <w:color w:val="auto"/>
                <w:sz w:val="20"/>
                <w:szCs w:val="20"/>
              </w:rPr>
              <w:t>Kantor Lingkungan Hidup</w:t>
            </w:r>
            <w:r w:rsidRPr="00563D71">
              <w:rPr>
                <w:rFonts w:asciiTheme="majorBidi" w:hAnsiTheme="majorBidi" w:cstheme="majorBidi"/>
                <w:color w:val="auto"/>
                <w:sz w:val="20"/>
                <w:szCs w:val="20"/>
              </w:rPr>
              <w:t xml:space="preserve">). Environmental service agencies develop technical and operational policies in the field of environmental impact management. </w:t>
            </w:r>
          </w:p>
          <w:p w14:paraId="00E46D80" w14:textId="37E43AB0" w:rsidR="00A339F0" w:rsidRPr="00563D71" w:rsidRDefault="00A339F0" w:rsidP="0006769B">
            <w:pPr>
              <w:widowControl w:val="0"/>
              <w:rPr>
                <w:rFonts w:asciiTheme="majorBidi" w:hAnsiTheme="majorBidi" w:cstheme="majorBidi"/>
                <w:color w:val="auto"/>
                <w:sz w:val="20"/>
                <w:szCs w:val="20"/>
              </w:rPr>
            </w:pPr>
            <w:r w:rsidRPr="00563D71">
              <w:rPr>
                <w:rFonts w:asciiTheme="majorBidi" w:hAnsiTheme="majorBidi" w:cstheme="majorBidi"/>
                <w:color w:val="auto"/>
                <w:sz w:val="20"/>
                <w:szCs w:val="20"/>
              </w:rPr>
              <w:t>Relevant environment departments (provincial or district) do not always have budgets and skilled human resources to provide resources for supervision and enforcement of implementation.</w:t>
            </w:r>
          </w:p>
          <w:p w14:paraId="2574636B" w14:textId="1EDE9F70" w:rsidR="00EE771E" w:rsidRPr="00563D71" w:rsidRDefault="002A70BD" w:rsidP="00CA3C4D">
            <w:pPr>
              <w:widowControl w:val="0"/>
              <w:rPr>
                <w:rFonts w:asciiTheme="majorBidi" w:hAnsiTheme="majorBidi" w:cstheme="majorBidi"/>
                <w:color w:val="auto"/>
                <w:sz w:val="20"/>
                <w:szCs w:val="20"/>
              </w:rPr>
            </w:pPr>
            <w:r w:rsidRPr="00563D71">
              <w:rPr>
                <w:rFonts w:asciiTheme="majorBidi" w:hAnsiTheme="majorBidi" w:cstheme="majorBidi"/>
                <w:color w:val="auto"/>
                <w:sz w:val="20"/>
                <w:szCs w:val="20"/>
              </w:rPr>
              <w:t xml:space="preserve">The MOEF, especially DG Social Forestry and Environmental Partnership, (together with the Ministry of Home Affairs and the Ministry of Agrarian </w:t>
            </w:r>
            <w:r w:rsidRPr="00563D71">
              <w:rPr>
                <w:rFonts w:asciiTheme="majorBidi" w:hAnsiTheme="majorBidi" w:cstheme="majorBidi"/>
                <w:color w:val="auto"/>
                <w:sz w:val="20"/>
                <w:szCs w:val="20"/>
              </w:rPr>
              <w:lastRenderedPageBreak/>
              <w:t xml:space="preserve">and Spatial Development) are mainly responsible for the recognition of the </w:t>
            </w:r>
            <w:r w:rsidRPr="00563D71">
              <w:rPr>
                <w:rFonts w:asciiTheme="majorBidi" w:hAnsiTheme="majorBidi" w:cstheme="majorBidi"/>
                <w:sz w:val="20"/>
                <w:szCs w:val="20"/>
              </w:rPr>
              <w:t xml:space="preserve">MHA </w:t>
            </w:r>
            <w:r w:rsidRPr="00563D71">
              <w:rPr>
                <w:rFonts w:asciiTheme="majorBidi" w:hAnsiTheme="majorBidi" w:cstheme="majorBidi"/>
                <w:color w:val="auto"/>
                <w:sz w:val="20"/>
                <w:szCs w:val="20"/>
              </w:rPr>
              <w:t>rights over land, use of forest, and recognition of the presence of MHA.</w:t>
            </w:r>
            <w:r w:rsidRPr="00563D71">
              <w:rPr>
                <w:rStyle w:val="FootnoteReference"/>
                <w:rFonts w:asciiTheme="majorBidi" w:hAnsiTheme="majorBidi" w:cstheme="majorBidi"/>
                <w:color w:val="auto"/>
                <w:sz w:val="20"/>
                <w:szCs w:val="20"/>
              </w:rPr>
              <w:footnoteReference w:id="50"/>
            </w:r>
          </w:p>
        </w:tc>
        <w:tc>
          <w:tcPr>
            <w:tcW w:w="3174" w:type="dxa"/>
          </w:tcPr>
          <w:p w14:paraId="5B2B4BF3" w14:textId="77777777" w:rsidR="004B4DAD" w:rsidRPr="00563D71" w:rsidRDefault="002A2342" w:rsidP="003D2E29">
            <w:pPr>
              <w:ind w:left="0" w:right="17"/>
              <w:rPr>
                <w:rFonts w:asciiTheme="majorBidi" w:hAnsiTheme="majorBidi" w:cstheme="majorBidi"/>
                <w:sz w:val="20"/>
                <w:szCs w:val="20"/>
              </w:rPr>
            </w:pPr>
            <w:r w:rsidRPr="00563D71">
              <w:rPr>
                <w:rFonts w:asciiTheme="majorBidi" w:hAnsiTheme="majorBidi" w:cstheme="majorBidi"/>
                <w:sz w:val="20"/>
                <w:szCs w:val="20"/>
              </w:rPr>
              <w:lastRenderedPageBreak/>
              <w:t>No area of strengthening needed</w:t>
            </w:r>
            <w:r w:rsidR="004B4DAD" w:rsidRPr="00563D71">
              <w:rPr>
                <w:rFonts w:asciiTheme="majorBidi" w:hAnsiTheme="majorBidi" w:cstheme="majorBidi"/>
                <w:sz w:val="20"/>
                <w:szCs w:val="20"/>
              </w:rPr>
              <w:t xml:space="preserve"> at national level</w:t>
            </w:r>
            <w:r w:rsidRPr="00563D71">
              <w:rPr>
                <w:rFonts w:asciiTheme="majorBidi" w:hAnsiTheme="majorBidi" w:cstheme="majorBidi"/>
                <w:sz w:val="20"/>
                <w:szCs w:val="20"/>
              </w:rPr>
              <w:t>.</w:t>
            </w:r>
          </w:p>
          <w:p w14:paraId="35162ADA" w14:textId="6E116B0D" w:rsidR="00EE771E" w:rsidRPr="00563D71" w:rsidRDefault="004B4DAD" w:rsidP="0006769B">
            <w:pPr>
              <w:ind w:right="17"/>
              <w:rPr>
                <w:rFonts w:asciiTheme="majorBidi" w:hAnsiTheme="majorBidi" w:cstheme="majorBidi"/>
                <w:color w:val="auto"/>
                <w:sz w:val="20"/>
                <w:szCs w:val="20"/>
              </w:rPr>
            </w:pPr>
            <w:r w:rsidRPr="00563D71">
              <w:rPr>
                <w:rFonts w:asciiTheme="majorBidi" w:hAnsiTheme="majorBidi" w:cstheme="majorBidi"/>
                <w:color w:val="auto"/>
                <w:sz w:val="20"/>
                <w:szCs w:val="20"/>
              </w:rPr>
              <w:t xml:space="preserve">At subnational level, training </w:t>
            </w:r>
            <w:r w:rsidR="00A905BF" w:rsidRPr="00563D71">
              <w:rPr>
                <w:rFonts w:asciiTheme="majorBidi" w:hAnsiTheme="majorBidi" w:cstheme="majorBidi"/>
                <w:color w:val="auto"/>
                <w:sz w:val="20"/>
                <w:szCs w:val="20"/>
              </w:rPr>
              <w:t xml:space="preserve">needs </w:t>
            </w:r>
            <w:r w:rsidRPr="00563D71">
              <w:rPr>
                <w:rFonts w:asciiTheme="majorBidi" w:hAnsiTheme="majorBidi" w:cstheme="majorBidi"/>
                <w:color w:val="auto"/>
                <w:sz w:val="20"/>
                <w:szCs w:val="20"/>
              </w:rPr>
              <w:t xml:space="preserve">to be provided. </w:t>
            </w:r>
            <w:r w:rsidR="002A2342" w:rsidRPr="00563D71">
              <w:rPr>
                <w:rFonts w:asciiTheme="majorBidi" w:hAnsiTheme="majorBidi" w:cstheme="majorBidi"/>
                <w:color w:val="auto"/>
                <w:sz w:val="20"/>
                <w:szCs w:val="20"/>
              </w:rPr>
              <w:t xml:space="preserve"> </w:t>
            </w:r>
          </w:p>
          <w:p w14:paraId="1F04DEEE" w14:textId="77777777" w:rsidR="004B4DAD" w:rsidRPr="00563D71" w:rsidRDefault="004B4DAD" w:rsidP="0006769B">
            <w:pPr>
              <w:ind w:right="17"/>
              <w:rPr>
                <w:rFonts w:asciiTheme="majorBidi" w:hAnsiTheme="majorBidi" w:cstheme="majorBidi"/>
                <w:color w:val="auto"/>
                <w:sz w:val="20"/>
                <w:szCs w:val="20"/>
              </w:rPr>
            </w:pPr>
          </w:p>
          <w:p w14:paraId="353FBC1B" w14:textId="77777777" w:rsidR="004B4DAD" w:rsidRPr="00563D71" w:rsidRDefault="004B4DAD" w:rsidP="0006769B">
            <w:pPr>
              <w:ind w:right="17"/>
              <w:rPr>
                <w:rFonts w:asciiTheme="majorBidi" w:hAnsiTheme="majorBidi" w:cstheme="majorBidi"/>
                <w:sz w:val="20"/>
                <w:szCs w:val="20"/>
              </w:rPr>
            </w:pPr>
          </w:p>
          <w:p w14:paraId="7D16CACC" w14:textId="78480DE1" w:rsidR="00EE771E" w:rsidRPr="00563D71" w:rsidRDefault="00EE771E" w:rsidP="0006769B">
            <w:pPr>
              <w:ind w:right="17"/>
              <w:rPr>
                <w:rFonts w:asciiTheme="majorBidi" w:hAnsiTheme="majorBidi" w:cstheme="majorBidi"/>
                <w:sz w:val="20"/>
                <w:szCs w:val="20"/>
              </w:rPr>
            </w:pPr>
          </w:p>
        </w:tc>
      </w:tr>
    </w:tbl>
    <w:p w14:paraId="0A6833C1" w14:textId="625D8CD8" w:rsidR="00EE771E" w:rsidRPr="00563D71" w:rsidRDefault="00CD6942" w:rsidP="003D2E29">
      <w:pPr>
        <w:spacing w:before="0"/>
        <w:ind w:left="0" w:right="14" w:firstLine="0"/>
        <w:rPr>
          <w:rFonts w:asciiTheme="majorBidi" w:hAnsiTheme="majorBidi" w:cstheme="majorBidi"/>
          <w:sz w:val="20"/>
          <w:szCs w:val="20"/>
        </w:rPr>
      </w:pPr>
      <w:r w:rsidRPr="00563D71">
        <w:rPr>
          <w:rFonts w:asciiTheme="majorBidi" w:hAnsiTheme="majorBidi" w:cstheme="majorBidi"/>
          <w:sz w:val="20"/>
          <w:szCs w:val="20"/>
        </w:rPr>
        <w:t>Table Notes</w:t>
      </w:r>
      <w:r w:rsidR="00EE771E" w:rsidRPr="00563D71">
        <w:rPr>
          <w:rFonts w:asciiTheme="majorBidi" w:hAnsiTheme="majorBidi" w:cstheme="majorBidi"/>
          <w:sz w:val="20"/>
          <w:szCs w:val="20"/>
        </w:rPr>
        <w:t>:</w:t>
      </w:r>
    </w:p>
    <w:p w14:paraId="5A96259D" w14:textId="5B19E99D" w:rsidR="00EE771E" w:rsidRPr="00563D71" w:rsidRDefault="00CD6942" w:rsidP="003D2E29">
      <w:pPr>
        <w:spacing w:before="0"/>
        <w:ind w:right="14"/>
        <w:rPr>
          <w:rFonts w:asciiTheme="majorBidi" w:hAnsiTheme="majorBidi" w:cstheme="majorBidi"/>
          <w:sz w:val="20"/>
          <w:szCs w:val="20"/>
        </w:rPr>
      </w:pPr>
      <w:r w:rsidRPr="00563D71">
        <w:rPr>
          <w:rFonts w:asciiTheme="majorBidi" w:hAnsiTheme="majorBidi" w:cstheme="majorBidi"/>
          <w:sz w:val="20"/>
          <w:szCs w:val="20"/>
        </w:rPr>
        <w:t>*R</w:t>
      </w:r>
      <w:r w:rsidR="00EE771E" w:rsidRPr="00563D71">
        <w:rPr>
          <w:rFonts w:asciiTheme="majorBidi" w:hAnsiTheme="majorBidi" w:cstheme="majorBidi"/>
          <w:sz w:val="20"/>
          <w:szCs w:val="20"/>
        </w:rPr>
        <w:t xml:space="preserve">iver Basin Management Planning in Indonesia: Policy and Practice. 2016. Asian Development Bank. </w:t>
      </w:r>
    </w:p>
    <w:p w14:paraId="4D2DE235" w14:textId="43281444" w:rsidR="00EE771E" w:rsidRPr="00563D71" w:rsidRDefault="00CD6942" w:rsidP="003D2E29">
      <w:pPr>
        <w:spacing w:before="0"/>
        <w:ind w:left="0" w:right="14" w:firstLine="0"/>
        <w:rPr>
          <w:rFonts w:asciiTheme="majorBidi" w:hAnsiTheme="majorBidi" w:cstheme="majorBidi"/>
          <w:sz w:val="20"/>
          <w:szCs w:val="20"/>
        </w:rPr>
      </w:pPr>
      <w:r w:rsidRPr="00563D71">
        <w:rPr>
          <w:rFonts w:asciiTheme="majorBidi" w:hAnsiTheme="majorBidi" w:cstheme="majorBidi"/>
          <w:sz w:val="20"/>
          <w:szCs w:val="20"/>
        </w:rPr>
        <w:t>**T</w:t>
      </w:r>
      <w:r w:rsidR="00EE771E" w:rsidRPr="00563D71">
        <w:rPr>
          <w:rFonts w:asciiTheme="majorBidi" w:hAnsiTheme="majorBidi" w:cstheme="majorBidi"/>
          <w:sz w:val="20"/>
          <w:szCs w:val="20"/>
        </w:rPr>
        <w:t xml:space="preserve">raining </w:t>
      </w:r>
      <w:r w:rsidR="003769C7" w:rsidRPr="00563D71">
        <w:rPr>
          <w:rFonts w:asciiTheme="majorBidi" w:hAnsiTheme="majorBidi" w:cstheme="majorBidi"/>
          <w:sz w:val="20"/>
          <w:szCs w:val="20"/>
        </w:rPr>
        <w:t>p</w:t>
      </w:r>
      <w:r w:rsidR="00EE771E" w:rsidRPr="00563D71">
        <w:rPr>
          <w:rFonts w:asciiTheme="majorBidi" w:hAnsiTheme="majorBidi" w:cstheme="majorBidi"/>
          <w:sz w:val="20"/>
          <w:szCs w:val="20"/>
        </w:rPr>
        <w:t>rogram based on the Human Resource Development Agency under MPHW Calendar 2017. Source: Human Resource Development Agency (BPSDM).</w:t>
      </w:r>
    </w:p>
    <w:p w14:paraId="744BF3DA" w14:textId="398D6916" w:rsidR="00EE771E" w:rsidRPr="00563D71" w:rsidRDefault="00EE771E" w:rsidP="003D2E29">
      <w:pPr>
        <w:pStyle w:val="ListParagraph"/>
        <w:numPr>
          <w:ilvl w:val="0"/>
          <w:numId w:val="73"/>
        </w:numPr>
        <w:spacing w:line="240" w:lineRule="auto"/>
        <w:ind w:right="15"/>
        <w:rPr>
          <w:rFonts w:asciiTheme="majorBidi" w:hAnsiTheme="majorBidi" w:cstheme="majorBidi"/>
          <w:sz w:val="24"/>
          <w:szCs w:val="24"/>
        </w:rPr>
      </w:pPr>
      <w:r w:rsidRPr="00563D71">
        <w:rPr>
          <w:rFonts w:asciiTheme="majorBidi" w:hAnsiTheme="majorBidi" w:cstheme="majorBidi"/>
          <w:sz w:val="24"/>
          <w:szCs w:val="24"/>
        </w:rPr>
        <w:t>Destination Level Institutional Arrangement</w:t>
      </w:r>
      <w:r w:rsidR="00104075" w:rsidRPr="00563D71">
        <w:rPr>
          <w:rStyle w:val="FootnoteReference"/>
          <w:rFonts w:asciiTheme="majorBidi" w:hAnsiTheme="majorBidi" w:cstheme="majorBidi"/>
          <w:sz w:val="24"/>
          <w:szCs w:val="24"/>
        </w:rPr>
        <w:footnoteReference w:id="51"/>
      </w:r>
      <w:r w:rsidRPr="00563D71">
        <w:rPr>
          <w:rFonts w:asciiTheme="majorBidi" w:hAnsiTheme="majorBidi" w:cstheme="majorBidi"/>
          <w:sz w:val="24"/>
          <w:szCs w:val="24"/>
        </w:rPr>
        <w:t xml:space="preserve"> </w:t>
      </w:r>
    </w:p>
    <w:tbl>
      <w:tblPr>
        <w:tblStyle w:val="TableGrid0"/>
        <w:tblW w:w="12623" w:type="dxa"/>
        <w:tblLook w:val="04A0" w:firstRow="1" w:lastRow="0" w:firstColumn="1" w:lastColumn="0" w:noHBand="0" w:noVBand="1"/>
      </w:tblPr>
      <w:tblGrid>
        <w:gridCol w:w="3551"/>
        <w:gridCol w:w="6237"/>
        <w:gridCol w:w="2835"/>
      </w:tblGrid>
      <w:tr w:rsidR="00EE771E" w:rsidRPr="00563D71" w14:paraId="4C3038BC" w14:textId="77777777" w:rsidTr="00921C68">
        <w:tc>
          <w:tcPr>
            <w:tcW w:w="3551" w:type="dxa"/>
          </w:tcPr>
          <w:p w14:paraId="20D6E1EA"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t>Destination(s)</w:t>
            </w:r>
          </w:p>
          <w:p w14:paraId="6EA5A140"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63280CE2" w14:textId="77777777" w:rsidR="00EE771E" w:rsidRPr="00563D71" w:rsidRDefault="00EE771E" w:rsidP="0006769B">
            <w:pPr>
              <w:ind w:left="0" w:right="15" w:firstLine="0"/>
              <w:jc w:val="center"/>
              <w:rPr>
                <w:rFonts w:asciiTheme="majorBidi" w:hAnsiTheme="majorBidi" w:cstheme="majorBidi"/>
                <w:sz w:val="20"/>
                <w:szCs w:val="20"/>
              </w:rPr>
            </w:pPr>
            <w:r w:rsidRPr="00563D71">
              <w:rPr>
                <w:rFonts w:asciiTheme="majorBidi" w:hAnsiTheme="majorBidi" w:cstheme="majorBidi"/>
                <w:sz w:val="20"/>
                <w:szCs w:val="20"/>
              </w:rPr>
              <w:t>Institutional capacity to address risks and impacts</w:t>
            </w:r>
          </w:p>
        </w:tc>
        <w:tc>
          <w:tcPr>
            <w:tcW w:w="2835" w:type="dxa"/>
          </w:tcPr>
          <w:p w14:paraId="12832507" w14:textId="77777777" w:rsidR="00EE771E" w:rsidRPr="00563D71" w:rsidRDefault="00EE771E" w:rsidP="0006769B">
            <w:pPr>
              <w:ind w:left="0" w:right="15" w:firstLine="0"/>
              <w:jc w:val="center"/>
              <w:rPr>
                <w:rFonts w:asciiTheme="majorBidi" w:hAnsiTheme="majorBidi" w:cstheme="majorBidi"/>
                <w:sz w:val="20"/>
                <w:szCs w:val="20"/>
              </w:rPr>
            </w:pPr>
            <w:r w:rsidRPr="00563D71">
              <w:rPr>
                <w:rFonts w:asciiTheme="majorBidi" w:hAnsiTheme="majorBidi" w:cstheme="majorBidi"/>
                <w:sz w:val="20"/>
                <w:szCs w:val="20"/>
              </w:rPr>
              <w:t>Area of strengthening</w:t>
            </w:r>
          </w:p>
        </w:tc>
      </w:tr>
      <w:tr w:rsidR="00EE771E" w:rsidRPr="00563D71" w14:paraId="0183EE27" w14:textId="77777777" w:rsidTr="00921C68">
        <w:tc>
          <w:tcPr>
            <w:tcW w:w="3551" w:type="dxa"/>
          </w:tcPr>
          <w:p w14:paraId="70FD712A"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t>Lake Toba</w:t>
            </w:r>
          </w:p>
          <w:p w14:paraId="45EB558A"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703D5D95" w14:textId="77777777" w:rsidR="00EE771E" w:rsidRPr="00563D71" w:rsidRDefault="00EE771E" w:rsidP="0006769B">
            <w:pPr>
              <w:ind w:left="0" w:right="15" w:firstLine="0"/>
              <w:rPr>
                <w:rFonts w:asciiTheme="majorBidi" w:hAnsiTheme="majorBidi" w:cstheme="majorBidi"/>
                <w:sz w:val="20"/>
                <w:szCs w:val="20"/>
              </w:rPr>
            </w:pPr>
          </w:p>
        </w:tc>
        <w:tc>
          <w:tcPr>
            <w:tcW w:w="2835" w:type="dxa"/>
          </w:tcPr>
          <w:p w14:paraId="7D3BFDC8"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4ECB7747" w14:textId="77777777" w:rsidTr="00921C68">
        <w:tc>
          <w:tcPr>
            <w:tcW w:w="3551" w:type="dxa"/>
          </w:tcPr>
          <w:p w14:paraId="3D53F176" w14:textId="5FC76C20" w:rsidR="00EE771E" w:rsidRPr="00563D71" w:rsidRDefault="00EE771E" w:rsidP="00E350A2">
            <w:pPr>
              <w:pStyle w:val="ListParagraph"/>
              <w:numPr>
                <w:ilvl w:val="0"/>
                <w:numId w:val="70"/>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North Sumatera Province </w:t>
            </w:r>
            <w:r w:rsidR="00E350A2">
              <w:rPr>
                <w:rFonts w:asciiTheme="majorBidi" w:hAnsiTheme="majorBidi" w:cstheme="majorBidi"/>
                <w:sz w:val="20"/>
                <w:szCs w:val="20"/>
              </w:rPr>
              <w:t>BAPPEDA</w:t>
            </w:r>
          </w:p>
        </w:tc>
        <w:tc>
          <w:tcPr>
            <w:tcW w:w="6237" w:type="dxa"/>
          </w:tcPr>
          <w:p w14:paraId="69B25B81" w14:textId="0BD0E741" w:rsidR="00EE771E" w:rsidRPr="00563D71" w:rsidRDefault="00EE771E" w:rsidP="00CC2651">
            <w:pPr>
              <w:ind w:left="0" w:right="17" w:firstLine="0"/>
              <w:rPr>
                <w:rFonts w:asciiTheme="majorBidi" w:hAnsiTheme="majorBidi" w:cstheme="majorBidi"/>
                <w:sz w:val="20"/>
                <w:szCs w:val="20"/>
              </w:rPr>
            </w:pPr>
            <w:r w:rsidRPr="00563D71">
              <w:rPr>
                <w:rFonts w:asciiTheme="majorBidi" w:hAnsiTheme="majorBidi" w:cstheme="majorBidi"/>
                <w:sz w:val="20"/>
                <w:szCs w:val="20"/>
              </w:rPr>
              <w:t>One of the three selected provincial government</w:t>
            </w:r>
            <w:r w:rsidR="00A03422" w:rsidRPr="00563D71">
              <w:rPr>
                <w:rFonts w:asciiTheme="majorBidi" w:hAnsiTheme="majorBidi" w:cstheme="majorBidi"/>
                <w:sz w:val="20"/>
                <w:szCs w:val="20"/>
              </w:rPr>
              <w:t>s</w:t>
            </w:r>
            <w:r w:rsidRPr="00563D71">
              <w:rPr>
                <w:rFonts w:asciiTheme="majorBidi" w:hAnsiTheme="majorBidi" w:cstheme="majorBidi"/>
                <w:sz w:val="20"/>
                <w:szCs w:val="20"/>
              </w:rPr>
              <w:t xml:space="preserve"> to be train</w:t>
            </w:r>
            <w:r w:rsidR="00A03422" w:rsidRPr="00563D71">
              <w:rPr>
                <w:rFonts w:asciiTheme="majorBidi" w:hAnsiTheme="majorBidi" w:cstheme="majorBidi"/>
                <w:sz w:val="20"/>
                <w:szCs w:val="20"/>
              </w:rPr>
              <w:t>ed</w:t>
            </w:r>
            <w:r w:rsidRPr="00563D71">
              <w:rPr>
                <w:rFonts w:asciiTheme="majorBidi" w:hAnsiTheme="majorBidi" w:cstheme="majorBidi"/>
                <w:sz w:val="20"/>
                <w:szCs w:val="20"/>
              </w:rPr>
              <w:t xml:space="preserve"> on management of regional development master</w:t>
            </w:r>
            <w:r w:rsidR="00C23CD2" w:rsidRPr="00563D71">
              <w:rPr>
                <w:rFonts w:asciiTheme="majorBidi" w:hAnsiTheme="majorBidi" w:cstheme="majorBidi"/>
                <w:sz w:val="20"/>
                <w:szCs w:val="20"/>
              </w:rPr>
              <w:t xml:space="preserve"> </w:t>
            </w:r>
            <w:r w:rsidRPr="00563D71">
              <w:rPr>
                <w:rFonts w:asciiTheme="majorBidi" w:hAnsiTheme="majorBidi" w:cstheme="majorBidi"/>
                <w:sz w:val="20"/>
                <w:szCs w:val="20"/>
              </w:rPr>
              <w:t>plan</w:t>
            </w:r>
            <w:r w:rsidR="00A03422" w:rsidRPr="00563D71">
              <w:rPr>
                <w:rFonts w:asciiTheme="majorBidi" w:hAnsiTheme="majorBidi" w:cstheme="majorBidi"/>
                <w:sz w:val="20"/>
                <w:szCs w:val="20"/>
              </w:rPr>
              <w:t>s</w:t>
            </w:r>
            <w:r w:rsidRPr="00563D71">
              <w:rPr>
                <w:rFonts w:asciiTheme="majorBidi" w:hAnsiTheme="majorBidi" w:cstheme="majorBidi"/>
                <w:sz w:val="20"/>
                <w:szCs w:val="20"/>
              </w:rPr>
              <w:t xml:space="preserve"> as part of the JICA’s program on technical cooperation support to provide capacity development for local governance. The program cycle was for 8 years (from 2001–2007).</w:t>
            </w:r>
            <w:r w:rsidRPr="00563D71">
              <w:rPr>
                <w:rFonts w:asciiTheme="majorBidi" w:hAnsiTheme="majorBidi" w:cstheme="majorBidi"/>
                <w:sz w:val="20"/>
                <w:szCs w:val="20"/>
                <w:vertAlign w:val="superscript"/>
              </w:rPr>
              <w:t xml:space="preserve"> </w:t>
            </w:r>
            <w:r w:rsidRPr="00563D71">
              <w:rPr>
                <w:rFonts w:asciiTheme="majorBidi" w:hAnsiTheme="majorBidi" w:cstheme="majorBidi"/>
                <w:sz w:val="20"/>
                <w:szCs w:val="20"/>
              </w:rPr>
              <w:t xml:space="preserve">Compilation of good practice cases had been made into manuals to implement the Local Government. However, </w:t>
            </w:r>
            <w:r w:rsidR="00CC2651" w:rsidRPr="00563D71">
              <w:rPr>
                <w:rFonts w:asciiTheme="majorBidi" w:hAnsiTheme="majorBidi" w:cstheme="majorBidi"/>
                <w:sz w:val="20"/>
                <w:szCs w:val="20"/>
              </w:rPr>
              <w:t xml:space="preserve">at the </w:t>
            </w:r>
            <w:r w:rsidRPr="00563D71">
              <w:rPr>
                <w:rFonts w:asciiTheme="majorBidi" w:hAnsiTheme="majorBidi" w:cstheme="majorBidi"/>
                <w:sz w:val="20"/>
                <w:szCs w:val="20"/>
              </w:rPr>
              <w:t>provinc</w:t>
            </w:r>
            <w:r w:rsidR="00CC2651" w:rsidRPr="00563D71">
              <w:rPr>
                <w:rFonts w:asciiTheme="majorBidi" w:hAnsiTheme="majorBidi" w:cstheme="majorBidi"/>
                <w:sz w:val="20"/>
                <w:szCs w:val="20"/>
              </w:rPr>
              <w:t xml:space="preserve">ial </w:t>
            </w:r>
            <w:r w:rsidRPr="00563D71">
              <w:rPr>
                <w:rFonts w:asciiTheme="majorBidi" w:hAnsiTheme="majorBidi" w:cstheme="majorBidi"/>
                <w:sz w:val="20"/>
                <w:szCs w:val="20"/>
              </w:rPr>
              <w:t>level human capacity needs to be constantly strengthened as it is common for experienced and trained staff</w:t>
            </w:r>
            <w:r w:rsidR="00CC2651" w:rsidRPr="00563D71">
              <w:rPr>
                <w:rFonts w:asciiTheme="majorBidi" w:hAnsiTheme="majorBidi" w:cstheme="majorBidi"/>
                <w:sz w:val="20"/>
                <w:szCs w:val="20"/>
              </w:rPr>
              <w:t xml:space="preserve"> to be</w:t>
            </w:r>
            <w:r w:rsidRPr="00563D71">
              <w:rPr>
                <w:rFonts w:asciiTheme="majorBidi" w:hAnsiTheme="majorBidi" w:cstheme="majorBidi"/>
                <w:sz w:val="20"/>
                <w:szCs w:val="20"/>
              </w:rPr>
              <w:t xml:space="preserve"> frequently moved to other divisions/organization</w:t>
            </w:r>
            <w:r w:rsidR="00CC2651" w:rsidRPr="00563D71">
              <w:rPr>
                <w:rFonts w:asciiTheme="majorBidi" w:hAnsiTheme="majorBidi" w:cstheme="majorBidi"/>
                <w:sz w:val="20"/>
                <w:szCs w:val="20"/>
              </w:rPr>
              <w:t>s</w:t>
            </w:r>
            <w:r w:rsidRPr="00563D71">
              <w:rPr>
                <w:rFonts w:asciiTheme="majorBidi" w:hAnsiTheme="majorBidi" w:cstheme="majorBidi"/>
                <w:sz w:val="20"/>
                <w:szCs w:val="20"/>
              </w:rPr>
              <w:t xml:space="preserve">. </w:t>
            </w:r>
          </w:p>
        </w:tc>
        <w:tc>
          <w:tcPr>
            <w:tcW w:w="2835" w:type="dxa"/>
            <w:vMerge w:val="restart"/>
          </w:tcPr>
          <w:p w14:paraId="7A6D4C3C" w14:textId="77777777" w:rsidR="00EE771E" w:rsidRPr="00563D71" w:rsidRDefault="00EE771E" w:rsidP="0006769B">
            <w:pPr>
              <w:ind w:left="0" w:right="15" w:firstLine="0"/>
              <w:rPr>
                <w:rFonts w:asciiTheme="majorBidi" w:hAnsiTheme="majorBidi" w:cstheme="majorBidi"/>
                <w:sz w:val="20"/>
                <w:szCs w:val="20"/>
              </w:rPr>
            </w:pPr>
          </w:p>
          <w:p w14:paraId="7DBA503C" w14:textId="5C3DFE2C" w:rsidR="00EE771E" w:rsidRPr="00563D71" w:rsidRDefault="00535F62" w:rsidP="003D2E29">
            <w:pPr>
              <w:pStyle w:val="ListParagraph"/>
              <w:numPr>
                <w:ilvl w:val="0"/>
                <w:numId w:val="76"/>
              </w:numPr>
              <w:spacing w:line="240" w:lineRule="auto"/>
              <w:ind w:left="305" w:right="15"/>
              <w:rPr>
                <w:rFonts w:asciiTheme="majorBidi" w:hAnsiTheme="majorBidi" w:cstheme="majorBidi"/>
                <w:sz w:val="20"/>
                <w:szCs w:val="20"/>
              </w:rPr>
            </w:pPr>
            <w:r w:rsidRPr="00563D71">
              <w:rPr>
                <w:rFonts w:asciiTheme="majorBidi" w:hAnsiTheme="majorBidi" w:cstheme="majorBidi"/>
                <w:sz w:val="20"/>
                <w:szCs w:val="20"/>
              </w:rPr>
              <w:t xml:space="preserve">No area of strengthening needed. </w:t>
            </w:r>
          </w:p>
          <w:p w14:paraId="6FA4F87E" w14:textId="52D28E55" w:rsidR="00EE771E" w:rsidRPr="00563D71" w:rsidRDefault="00EE771E" w:rsidP="00CC2651">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The Program will incorporate recommendations based on a </w:t>
            </w:r>
            <w:r w:rsidR="00CF0687" w:rsidRPr="00563D71">
              <w:rPr>
                <w:rFonts w:asciiTheme="majorBidi" w:hAnsiTheme="majorBidi" w:cstheme="majorBidi"/>
                <w:sz w:val="20"/>
                <w:szCs w:val="20"/>
              </w:rPr>
              <w:t>study</w:t>
            </w:r>
            <w:r w:rsidRPr="00563D71">
              <w:rPr>
                <w:rFonts w:asciiTheme="majorBidi" w:hAnsiTheme="majorBidi" w:cstheme="majorBidi"/>
                <w:sz w:val="20"/>
                <w:szCs w:val="20"/>
              </w:rPr>
              <w:t xml:space="preserve"> (in preparation) </w:t>
            </w:r>
            <w:r w:rsidR="00CF0687" w:rsidRPr="00563D71">
              <w:rPr>
                <w:rFonts w:asciiTheme="majorBidi" w:hAnsiTheme="majorBidi" w:cstheme="majorBidi"/>
                <w:sz w:val="20"/>
                <w:szCs w:val="20"/>
              </w:rPr>
              <w:t xml:space="preserve">on </w:t>
            </w:r>
            <w:r w:rsidR="00CC2651" w:rsidRPr="00563D71">
              <w:rPr>
                <w:rFonts w:asciiTheme="majorBidi" w:hAnsiTheme="majorBidi" w:cstheme="majorBidi"/>
                <w:sz w:val="20"/>
                <w:szCs w:val="20"/>
              </w:rPr>
              <w:t xml:space="preserve">a </w:t>
            </w:r>
            <w:r w:rsidRPr="00563D71">
              <w:rPr>
                <w:rFonts w:asciiTheme="majorBidi" w:hAnsiTheme="majorBidi" w:cstheme="majorBidi"/>
                <w:sz w:val="20"/>
                <w:szCs w:val="20"/>
              </w:rPr>
              <w:t xml:space="preserve">targeted infrastructure program </w:t>
            </w:r>
            <w:r w:rsidR="00CC2651" w:rsidRPr="00563D71">
              <w:rPr>
                <w:rFonts w:asciiTheme="majorBidi" w:hAnsiTheme="majorBidi" w:cstheme="majorBidi"/>
                <w:sz w:val="20"/>
                <w:szCs w:val="20"/>
              </w:rPr>
              <w:lastRenderedPageBreak/>
              <w:t xml:space="preserve">for </w:t>
            </w:r>
            <w:r w:rsidRPr="00563D71">
              <w:rPr>
                <w:rFonts w:asciiTheme="majorBidi" w:hAnsiTheme="majorBidi" w:cstheme="majorBidi"/>
                <w:sz w:val="20"/>
                <w:szCs w:val="20"/>
              </w:rPr>
              <w:t>improving the water quality and managing the impact of growth of tourism or other industries in the Lake Toba area. It is part of a technical study titled “Advisory services on developing a roadmap for improving water quality of Lake Toba Tourism Destination</w:t>
            </w:r>
            <w:r w:rsidR="00CC2651" w:rsidRPr="00563D71">
              <w:rPr>
                <w:rFonts w:asciiTheme="majorBidi" w:hAnsiTheme="majorBidi" w:cstheme="majorBidi"/>
                <w:sz w:val="20"/>
                <w:szCs w:val="20"/>
              </w:rPr>
              <w:t>.</w:t>
            </w:r>
            <w:r w:rsidRPr="00563D71">
              <w:rPr>
                <w:rFonts w:asciiTheme="majorBidi" w:hAnsiTheme="majorBidi" w:cstheme="majorBidi"/>
                <w:sz w:val="20"/>
                <w:szCs w:val="20"/>
              </w:rPr>
              <w:t xml:space="preserve">” The technical study aimed to facilitate a stakeholder process to involve all relevant stakeholders and the necessary infrastructure and monitoring budget for ensuring the carrying capacity of the ecosystem is protected. </w:t>
            </w:r>
          </w:p>
          <w:p w14:paraId="26DDECCA" w14:textId="77777777" w:rsidR="00EE771E" w:rsidRPr="00563D71" w:rsidRDefault="00EE771E" w:rsidP="0006769B">
            <w:pPr>
              <w:ind w:left="0" w:right="15" w:firstLine="0"/>
              <w:rPr>
                <w:rFonts w:asciiTheme="majorBidi" w:hAnsiTheme="majorBidi" w:cstheme="majorBidi"/>
                <w:sz w:val="20"/>
                <w:szCs w:val="20"/>
              </w:rPr>
            </w:pPr>
          </w:p>
          <w:p w14:paraId="2AD1D454" w14:textId="07B63E67" w:rsidR="00EE771E" w:rsidRPr="00563D71" w:rsidRDefault="00EE771E" w:rsidP="0006769B">
            <w:pPr>
              <w:ind w:left="0" w:right="15" w:firstLine="0"/>
              <w:rPr>
                <w:rFonts w:asciiTheme="majorBidi" w:hAnsiTheme="majorBidi" w:cstheme="majorBidi"/>
                <w:sz w:val="20"/>
                <w:szCs w:val="20"/>
              </w:rPr>
            </w:pPr>
          </w:p>
        </w:tc>
      </w:tr>
      <w:tr w:rsidR="00EE771E" w:rsidRPr="00563D71" w14:paraId="63B15AE5" w14:textId="77777777" w:rsidTr="00921C68">
        <w:tc>
          <w:tcPr>
            <w:tcW w:w="3551" w:type="dxa"/>
          </w:tcPr>
          <w:p w14:paraId="6EABB3AF" w14:textId="77777777" w:rsidR="00EE771E" w:rsidRPr="00563D71" w:rsidRDefault="00EE771E" w:rsidP="003D2E29">
            <w:pPr>
              <w:pStyle w:val="ListParagraph"/>
              <w:numPr>
                <w:ilvl w:val="0"/>
                <w:numId w:val="70"/>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lastRenderedPageBreak/>
              <w:t>Authority Board of Toba Area (</w:t>
            </w:r>
            <w:r w:rsidRPr="00563D71">
              <w:rPr>
                <w:rFonts w:asciiTheme="majorBidi" w:hAnsiTheme="majorBidi" w:cstheme="majorBidi"/>
                <w:i/>
                <w:sz w:val="20"/>
                <w:szCs w:val="20"/>
              </w:rPr>
              <w:t>Badan Otorita Danau Toba</w:t>
            </w:r>
            <w:r w:rsidRPr="00563D71">
              <w:rPr>
                <w:rFonts w:asciiTheme="majorBidi" w:hAnsiTheme="majorBidi" w:cstheme="majorBidi"/>
                <w:sz w:val="20"/>
                <w:szCs w:val="20"/>
              </w:rPr>
              <w:t xml:space="preserve">) </w:t>
            </w:r>
          </w:p>
        </w:tc>
        <w:tc>
          <w:tcPr>
            <w:tcW w:w="6237" w:type="dxa"/>
          </w:tcPr>
          <w:p w14:paraId="4C19390F" w14:textId="67C417B7" w:rsidR="00EE771E" w:rsidRPr="00563D71" w:rsidRDefault="00EE771E" w:rsidP="00CC2651">
            <w:pPr>
              <w:ind w:left="0" w:right="17" w:firstLine="0"/>
              <w:rPr>
                <w:rFonts w:asciiTheme="majorBidi" w:hAnsiTheme="majorBidi" w:cstheme="majorBidi"/>
                <w:sz w:val="20"/>
                <w:szCs w:val="20"/>
              </w:rPr>
            </w:pPr>
            <w:r w:rsidRPr="00563D71">
              <w:rPr>
                <w:rFonts w:asciiTheme="majorBidi" w:hAnsiTheme="majorBidi" w:cstheme="majorBidi"/>
                <w:sz w:val="20"/>
                <w:szCs w:val="20"/>
              </w:rPr>
              <w:t>The Authority Board had been set up with the mandate (Presidential Decree No. 49</w:t>
            </w:r>
            <w:r w:rsidR="0006769B" w:rsidRPr="00563D71">
              <w:rPr>
                <w:rFonts w:asciiTheme="majorBidi" w:hAnsiTheme="majorBidi" w:cstheme="majorBidi"/>
                <w:sz w:val="20"/>
                <w:szCs w:val="20"/>
              </w:rPr>
              <w:t xml:space="preserve"> Year</w:t>
            </w:r>
            <w:r w:rsidRPr="00563D71">
              <w:rPr>
                <w:rFonts w:asciiTheme="majorBidi" w:hAnsiTheme="majorBidi" w:cstheme="majorBidi"/>
                <w:sz w:val="20"/>
                <w:szCs w:val="20"/>
              </w:rPr>
              <w:t xml:space="preserve"> 2016) to function as Implementing Agency under Ministry of Tourism. </w:t>
            </w:r>
            <w:r w:rsidR="00CC2651" w:rsidRPr="00563D71">
              <w:rPr>
                <w:rFonts w:asciiTheme="majorBidi" w:hAnsiTheme="majorBidi" w:cstheme="majorBidi"/>
                <w:sz w:val="20"/>
                <w:szCs w:val="20"/>
              </w:rPr>
              <w:t>I</w:t>
            </w:r>
            <w:r w:rsidRPr="00563D71">
              <w:rPr>
                <w:rFonts w:asciiTheme="majorBidi" w:hAnsiTheme="majorBidi" w:cstheme="majorBidi"/>
                <w:sz w:val="20"/>
                <w:szCs w:val="20"/>
              </w:rPr>
              <w:t>ts main tasks consisted of a) coordination, synchronization and facilitation of planning, developing, construction</w:t>
            </w:r>
            <w:r w:rsidR="00CC2651" w:rsidRPr="00563D71">
              <w:rPr>
                <w:rFonts w:asciiTheme="majorBidi" w:hAnsiTheme="majorBidi" w:cstheme="majorBidi"/>
                <w:sz w:val="20"/>
                <w:szCs w:val="20"/>
              </w:rPr>
              <w:t>,</w:t>
            </w:r>
            <w:r w:rsidRPr="00563D71">
              <w:rPr>
                <w:rFonts w:asciiTheme="majorBidi" w:hAnsiTheme="majorBidi" w:cstheme="majorBidi"/>
                <w:sz w:val="20"/>
                <w:szCs w:val="20"/>
              </w:rPr>
              <w:t xml:space="preserve"> and management in the tourism area </w:t>
            </w:r>
            <w:r w:rsidR="00CC2651" w:rsidRPr="00563D71">
              <w:rPr>
                <w:rFonts w:asciiTheme="majorBidi" w:hAnsiTheme="majorBidi" w:cstheme="majorBidi"/>
                <w:sz w:val="20"/>
                <w:szCs w:val="20"/>
              </w:rPr>
              <w:t xml:space="preserve">of </w:t>
            </w:r>
            <w:r w:rsidRPr="00563D71">
              <w:rPr>
                <w:rFonts w:asciiTheme="majorBidi" w:hAnsiTheme="majorBidi" w:cstheme="majorBidi"/>
                <w:sz w:val="20"/>
                <w:szCs w:val="20"/>
              </w:rPr>
              <w:t>Lake Toba; and b) prepar</w:t>
            </w:r>
            <w:r w:rsidR="00CC2651" w:rsidRPr="00563D71">
              <w:rPr>
                <w:rFonts w:asciiTheme="majorBidi" w:hAnsiTheme="majorBidi" w:cstheme="majorBidi"/>
                <w:sz w:val="20"/>
                <w:szCs w:val="20"/>
              </w:rPr>
              <w:t>ing</w:t>
            </w:r>
            <w:r w:rsidRPr="00563D71">
              <w:rPr>
                <w:rFonts w:asciiTheme="majorBidi" w:hAnsiTheme="majorBidi" w:cstheme="majorBidi"/>
                <w:sz w:val="20"/>
                <w:szCs w:val="20"/>
              </w:rPr>
              <w:t xml:space="preserve"> planning, development, construction</w:t>
            </w:r>
            <w:r w:rsidR="00CC2651" w:rsidRPr="00563D71">
              <w:rPr>
                <w:rFonts w:asciiTheme="majorBidi" w:hAnsiTheme="majorBidi" w:cstheme="majorBidi"/>
                <w:sz w:val="20"/>
                <w:szCs w:val="20"/>
              </w:rPr>
              <w:t>,</w:t>
            </w:r>
            <w:r w:rsidRPr="00563D71">
              <w:rPr>
                <w:rFonts w:asciiTheme="majorBidi" w:hAnsiTheme="majorBidi" w:cstheme="majorBidi"/>
                <w:sz w:val="20"/>
                <w:szCs w:val="20"/>
              </w:rPr>
              <w:t xml:space="preserve"> and management and control in the zone of the Lake Toba Tourism Authority. </w:t>
            </w:r>
          </w:p>
          <w:p w14:paraId="139FB962" w14:textId="1DF1448A" w:rsidR="00EE771E" w:rsidRPr="00563D71" w:rsidRDefault="00EE771E" w:rsidP="0006769B">
            <w:pPr>
              <w:ind w:left="0" w:right="17" w:firstLine="0"/>
              <w:rPr>
                <w:rFonts w:asciiTheme="majorBidi" w:hAnsiTheme="majorBidi" w:cstheme="majorBidi"/>
                <w:sz w:val="20"/>
                <w:szCs w:val="20"/>
              </w:rPr>
            </w:pPr>
            <w:r w:rsidRPr="00563D71">
              <w:rPr>
                <w:rFonts w:asciiTheme="majorBidi" w:hAnsiTheme="majorBidi" w:cstheme="majorBidi"/>
                <w:sz w:val="20"/>
                <w:szCs w:val="20"/>
              </w:rPr>
              <w:t>Two previous successful major post-disaster reconstruction operations in Indonesia had been based on organizations set up as “Authority Board” by the G</w:t>
            </w:r>
            <w:r w:rsidR="00F06297" w:rsidRPr="00563D71">
              <w:rPr>
                <w:rFonts w:asciiTheme="majorBidi" w:hAnsiTheme="majorBidi" w:cstheme="majorBidi"/>
                <w:sz w:val="20"/>
                <w:szCs w:val="20"/>
              </w:rPr>
              <w:t>o</w:t>
            </w:r>
            <w:r w:rsidRPr="00563D71">
              <w:rPr>
                <w:rFonts w:asciiTheme="majorBidi" w:hAnsiTheme="majorBidi" w:cstheme="majorBidi"/>
                <w:sz w:val="20"/>
                <w:szCs w:val="20"/>
              </w:rPr>
              <w:t xml:space="preserve">I in responding to the Aceh Tsunami in 2004 and Earthquake in Jogjakarta and Central Java in 2006. The strengths of the Authority Board from previous experiences were: 1) </w:t>
            </w:r>
            <w:r w:rsidR="00CC2651" w:rsidRPr="00563D71">
              <w:rPr>
                <w:rFonts w:asciiTheme="majorBidi" w:hAnsiTheme="majorBidi" w:cstheme="majorBidi"/>
                <w:sz w:val="20"/>
                <w:szCs w:val="20"/>
              </w:rPr>
              <w:t>t</w:t>
            </w:r>
            <w:r w:rsidRPr="00563D71">
              <w:rPr>
                <w:rFonts w:asciiTheme="majorBidi" w:hAnsiTheme="majorBidi" w:cstheme="majorBidi"/>
                <w:sz w:val="20"/>
                <w:szCs w:val="20"/>
              </w:rPr>
              <w:t xml:space="preserve">he Board had coordination and execution functions and its own annual budget; 2) </w:t>
            </w:r>
            <w:r w:rsidR="00CC2651" w:rsidRPr="00563D71">
              <w:rPr>
                <w:rFonts w:asciiTheme="majorBidi" w:hAnsiTheme="majorBidi" w:cstheme="majorBidi"/>
                <w:sz w:val="20"/>
                <w:szCs w:val="20"/>
              </w:rPr>
              <w:t>i</w:t>
            </w:r>
            <w:r w:rsidRPr="00563D71">
              <w:rPr>
                <w:rFonts w:asciiTheme="majorBidi" w:hAnsiTheme="majorBidi" w:cstheme="majorBidi"/>
                <w:sz w:val="20"/>
                <w:szCs w:val="20"/>
              </w:rPr>
              <w:t xml:space="preserve">t had direct reporting to the President; 3) determined and prepared the strategy steps to deal with obstacles in planning and implementation; 4) conducted monthly meeting to assess the progress of the project. </w:t>
            </w:r>
          </w:p>
        </w:tc>
        <w:tc>
          <w:tcPr>
            <w:tcW w:w="2835" w:type="dxa"/>
            <w:vMerge/>
          </w:tcPr>
          <w:p w14:paraId="7197B2C0"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28CC65AF" w14:textId="77777777" w:rsidTr="00921C68">
        <w:tc>
          <w:tcPr>
            <w:tcW w:w="3551" w:type="dxa"/>
          </w:tcPr>
          <w:p w14:paraId="25F8F9CE" w14:textId="2610FC05" w:rsidR="00EE771E" w:rsidRPr="00563D71" w:rsidRDefault="00EE771E" w:rsidP="003D2E29">
            <w:pPr>
              <w:pStyle w:val="ListParagraph"/>
              <w:numPr>
                <w:ilvl w:val="0"/>
                <w:numId w:val="70"/>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MOEF North Sumatera/ Environmental Management Agency (BLH/BPLHD)</w:t>
            </w:r>
          </w:p>
        </w:tc>
        <w:tc>
          <w:tcPr>
            <w:tcW w:w="6237" w:type="dxa"/>
          </w:tcPr>
          <w:p w14:paraId="5B941BEA" w14:textId="0EC03058" w:rsidR="00EE771E" w:rsidRPr="00563D71" w:rsidRDefault="00EE771E" w:rsidP="00CC2651">
            <w:pPr>
              <w:ind w:left="0" w:right="15" w:firstLine="0"/>
              <w:rPr>
                <w:rFonts w:asciiTheme="majorBidi" w:hAnsiTheme="majorBidi" w:cstheme="majorBidi"/>
                <w:sz w:val="20"/>
                <w:szCs w:val="20"/>
              </w:rPr>
            </w:pPr>
            <w:r w:rsidRPr="00563D71">
              <w:rPr>
                <w:rFonts w:asciiTheme="majorBidi" w:hAnsiTheme="majorBidi" w:cstheme="majorBidi"/>
                <w:sz w:val="20"/>
                <w:szCs w:val="20"/>
              </w:rPr>
              <w:t>One of the agenc</w:t>
            </w:r>
            <w:r w:rsidR="00CC2651" w:rsidRPr="00563D71">
              <w:rPr>
                <w:rFonts w:asciiTheme="majorBidi" w:hAnsiTheme="majorBidi" w:cstheme="majorBidi"/>
                <w:sz w:val="20"/>
                <w:szCs w:val="20"/>
              </w:rPr>
              <w:t>ies</w:t>
            </w:r>
            <w:r w:rsidRPr="00563D71">
              <w:rPr>
                <w:rFonts w:asciiTheme="majorBidi" w:hAnsiTheme="majorBidi" w:cstheme="majorBidi"/>
                <w:sz w:val="20"/>
                <w:szCs w:val="20"/>
              </w:rPr>
              <w:t xml:space="preserve"> that is actively playing an important role in maintaining and managing the area of Lake Toba. They have strong capacity in terms of researchers and they also have a technical unit that is monitoring the water quality of Lake Toba (BLH North Sumatera). They ha</w:t>
            </w:r>
            <w:r w:rsidR="00CC2651" w:rsidRPr="00563D71">
              <w:rPr>
                <w:rFonts w:asciiTheme="majorBidi" w:hAnsiTheme="majorBidi" w:cstheme="majorBidi"/>
                <w:sz w:val="20"/>
                <w:szCs w:val="20"/>
              </w:rPr>
              <w:t>ve</w:t>
            </w:r>
            <w:r w:rsidRPr="00563D71">
              <w:rPr>
                <w:rFonts w:asciiTheme="majorBidi" w:hAnsiTheme="majorBidi" w:cstheme="majorBidi"/>
                <w:sz w:val="20"/>
                <w:szCs w:val="20"/>
              </w:rPr>
              <w:t xml:space="preserve"> conducted monitoring operational program </w:t>
            </w:r>
            <w:r w:rsidR="00CC2651" w:rsidRPr="00563D71">
              <w:rPr>
                <w:rFonts w:asciiTheme="majorBidi" w:hAnsiTheme="majorBidi" w:cstheme="majorBidi"/>
                <w:sz w:val="20"/>
                <w:szCs w:val="20"/>
              </w:rPr>
              <w:t xml:space="preserve">since 2012 </w:t>
            </w:r>
            <w:r w:rsidRPr="00563D71">
              <w:rPr>
                <w:rFonts w:asciiTheme="majorBidi" w:hAnsiTheme="majorBidi" w:cstheme="majorBidi"/>
                <w:sz w:val="20"/>
                <w:szCs w:val="20"/>
              </w:rPr>
              <w:t xml:space="preserve">as part of their routine monitoring water quality program. The program also </w:t>
            </w:r>
            <w:r w:rsidR="00CC2651" w:rsidRPr="00563D71">
              <w:rPr>
                <w:rFonts w:asciiTheme="majorBidi" w:hAnsiTheme="majorBidi" w:cstheme="majorBidi"/>
                <w:sz w:val="20"/>
                <w:szCs w:val="20"/>
              </w:rPr>
              <w:t xml:space="preserve">includes </w:t>
            </w:r>
            <w:r w:rsidRPr="00563D71">
              <w:rPr>
                <w:rFonts w:asciiTheme="majorBidi" w:hAnsiTheme="majorBidi" w:cstheme="majorBidi"/>
                <w:sz w:val="20"/>
                <w:szCs w:val="20"/>
              </w:rPr>
              <w:t>education and awareness to local people on cleanliness and registration of local industry and local business through questionnaire to identify the type of potential source of water p</w:t>
            </w:r>
            <w:r w:rsidR="009C5233" w:rsidRPr="00563D71">
              <w:rPr>
                <w:rFonts w:asciiTheme="majorBidi" w:hAnsiTheme="majorBidi" w:cstheme="majorBidi"/>
                <w:sz w:val="20"/>
                <w:szCs w:val="20"/>
              </w:rPr>
              <w:t>ollution. They do regular check</w:t>
            </w:r>
            <w:r w:rsidR="00FF16D7" w:rsidRPr="00563D71">
              <w:rPr>
                <w:rFonts w:asciiTheme="majorBidi" w:hAnsiTheme="majorBidi" w:cstheme="majorBidi"/>
                <w:sz w:val="20"/>
                <w:szCs w:val="20"/>
              </w:rPr>
              <w:t>-</w:t>
            </w:r>
            <w:r w:rsidRPr="00563D71">
              <w:rPr>
                <w:rFonts w:asciiTheme="majorBidi" w:hAnsiTheme="majorBidi" w:cstheme="majorBidi"/>
                <w:sz w:val="20"/>
                <w:szCs w:val="20"/>
              </w:rPr>
              <w:t>ups on the septic tanks and wastewater outlet</w:t>
            </w:r>
            <w:r w:rsidR="0016289D" w:rsidRPr="00563D71">
              <w:rPr>
                <w:rFonts w:asciiTheme="majorBidi" w:hAnsiTheme="majorBidi" w:cstheme="majorBidi"/>
                <w:sz w:val="20"/>
                <w:szCs w:val="20"/>
              </w:rPr>
              <w:t>s</w:t>
            </w:r>
            <w:r w:rsidRPr="00563D71">
              <w:rPr>
                <w:rFonts w:asciiTheme="majorBidi" w:hAnsiTheme="majorBidi" w:cstheme="majorBidi"/>
                <w:sz w:val="20"/>
                <w:szCs w:val="20"/>
              </w:rPr>
              <w:t xml:space="preserve"> from industry and human settlements. </w:t>
            </w:r>
          </w:p>
          <w:p w14:paraId="5BFFD62B" w14:textId="77777777" w:rsidR="00EE771E" w:rsidRPr="00563D71" w:rsidRDefault="00EE771E" w:rsidP="0006769B">
            <w:pPr>
              <w:ind w:left="0" w:right="15" w:firstLine="0"/>
              <w:rPr>
                <w:rFonts w:asciiTheme="majorBidi" w:hAnsiTheme="majorBidi" w:cstheme="majorBidi"/>
                <w:sz w:val="20"/>
                <w:szCs w:val="20"/>
              </w:rPr>
            </w:pPr>
          </w:p>
          <w:p w14:paraId="23E6D17D" w14:textId="0F63B379" w:rsidR="00EE771E" w:rsidRPr="00563D71" w:rsidRDefault="00EE771E" w:rsidP="000F1595">
            <w:pPr>
              <w:ind w:left="0" w:right="15" w:firstLine="0"/>
              <w:rPr>
                <w:rFonts w:asciiTheme="majorBidi" w:hAnsiTheme="majorBidi" w:cstheme="majorBidi"/>
                <w:sz w:val="20"/>
                <w:szCs w:val="20"/>
              </w:rPr>
            </w:pPr>
            <w:r w:rsidRPr="00563D71">
              <w:rPr>
                <w:rFonts w:asciiTheme="majorBidi" w:hAnsiTheme="majorBidi" w:cstheme="majorBidi"/>
                <w:sz w:val="20"/>
                <w:szCs w:val="20"/>
              </w:rPr>
              <w:t>Every year, they publish yearly report on the Operational Technical Unit activities for managing water quality</w:t>
            </w:r>
            <w:r w:rsidR="0016289D" w:rsidRPr="00563D71">
              <w:rPr>
                <w:rFonts w:asciiTheme="majorBidi" w:hAnsiTheme="majorBidi" w:cstheme="majorBidi"/>
                <w:sz w:val="20"/>
                <w:szCs w:val="20"/>
              </w:rPr>
              <w:t xml:space="preserve"> in</w:t>
            </w:r>
            <w:r w:rsidRPr="00563D71">
              <w:rPr>
                <w:rFonts w:asciiTheme="majorBidi" w:hAnsiTheme="majorBidi" w:cstheme="majorBidi"/>
                <w:sz w:val="20"/>
                <w:szCs w:val="20"/>
              </w:rPr>
              <w:t xml:space="preserve"> Lake Toba and it is shared with the </w:t>
            </w:r>
            <w:r w:rsidR="00E350A2">
              <w:rPr>
                <w:rFonts w:asciiTheme="majorBidi" w:hAnsiTheme="majorBidi" w:cstheme="majorBidi"/>
                <w:sz w:val="20"/>
                <w:szCs w:val="20"/>
              </w:rPr>
              <w:t>BAPPEDA</w:t>
            </w:r>
            <w:r w:rsidR="00EE558D" w:rsidRPr="00563D71">
              <w:rPr>
                <w:rFonts w:asciiTheme="majorBidi" w:hAnsiTheme="majorBidi" w:cstheme="majorBidi"/>
                <w:sz w:val="20"/>
                <w:szCs w:val="20"/>
              </w:rPr>
              <w:t xml:space="preserve"> of </w:t>
            </w:r>
            <w:r w:rsidRPr="00563D71">
              <w:rPr>
                <w:rFonts w:asciiTheme="majorBidi" w:hAnsiTheme="majorBidi" w:cstheme="majorBidi"/>
                <w:sz w:val="20"/>
                <w:szCs w:val="20"/>
              </w:rPr>
              <w:t>North Sumatera Province. It is noted in each report, there was evidence of declining water quality over the past few years due to pollutants from such as human settlements, hillslope erosions from surrounding aquaculture</w:t>
            </w:r>
            <w:r w:rsidR="000F1595" w:rsidRPr="00563D71">
              <w:rPr>
                <w:rFonts w:asciiTheme="majorBidi" w:hAnsiTheme="majorBidi" w:cstheme="majorBidi"/>
                <w:sz w:val="20"/>
                <w:szCs w:val="20"/>
              </w:rPr>
              <w:t xml:space="preserve"> and</w:t>
            </w:r>
            <w:r w:rsidRPr="00563D71">
              <w:rPr>
                <w:rFonts w:asciiTheme="majorBidi" w:hAnsiTheme="majorBidi" w:cstheme="majorBidi"/>
                <w:sz w:val="20"/>
                <w:szCs w:val="20"/>
              </w:rPr>
              <w:t xml:space="preserve"> pig farms</w:t>
            </w:r>
            <w:r w:rsidR="000F1595" w:rsidRPr="00563D71">
              <w:rPr>
                <w:rFonts w:asciiTheme="majorBidi" w:hAnsiTheme="majorBidi" w:cstheme="majorBidi"/>
                <w:sz w:val="20"/>
                <w:szCs w:val="20"/>
              </w:rPr>
              <w:t>,</w:t>
            </w:r>
            <w:r w:rsidRPr="00563D71">
              <w:rPr>
                <w:rFonts w:asciiTheme="majorBidi" w:hAnsiTheme="majorBidi" w:cstheme="majorBidi"/>
                <w:sz w:val="20"/>
                <w:szCs w:val="20"/>
              </w:rPr>
              <w:t xml:space="preserve"> and also boat operators. In terms of technical capacity for human resources, they have substantial and well</w:t>
            </w:r>
            <w:r w:rsidR="000F1595" w:rsidRPr="00563D71">
              <w:rPr>
                <w:rFonts w:asciiTheme="majorBidi" w:hAnsiTheme="majorBidi" w:cstheme="majorBidi"/>
                <w:sz w:val="20"/>
                <w:szCs w:val="20"/>
              </w:rPr>
              <w:t>-</w:t>
            </w:r>
            <w:r w:rsidRPr="00563D71">
              <w:rPr>
                <w:rFonts w:asciiTheme="majorBidi" w:hAnsiTheme="majorBidi" w:cstheme="majorBidi"/>
                <w:sz w:val="20"/>
                <w:szCs w:val="20"/>
              </w:rPr>
              <w:t xml:space="preserve">trained staff. To ensure effective coordination and implementation capabilities, </w:t>
            </w:r>
            <w:r w:rsidR="000F1595" w:rsidRPr="00563D71">
              <w:rPr>
                <w:rFonts w:asciiTheme="majorBidi" w:hAnsiTheme="majorBidi" w:cstheme="majorBidi"/>
                <w:sz w:val="20"/>
                <w:szCs w:val="20"/>
              </w:rPr>
              <w:t xml:space="preserve">an </w:t>
            </w:r>
            <w:r w:rsidRPr="00563D71">
              <w:rPr>
                <w:rFonts w:asciiTheme="majorBidi" w:hAnsiTheme="majorBidi" w:cstheme="majorBidi"/>
                <w:sz w:val="20"/>
                <w:szCs w:val="20"/>
              </w:rPr>
              <w:t>adequate budget is important for them to do regul</w:t>
            </w:r>
            <w:r w:rsidR="00E524AC" w:rsidRPr="00563D71">
              <w:rPr>
                <w:rFonts w:asciiTheme="majorBidi" w:hAnsiTheme="majorBidi" w:cstheme="majorBidi"/>
                <w:sz w:val="20"/>
                <w:szCs w:val="20"/>
              </w:rPr>
              <w:t xml:space="preserve">ar monitoring and enforcement. </w:t>
            </w:r>
          </w:p>
        </w:tc>
        <w:tc>
          <w:tcPr>
            <w:tcW w:w="2835" w:type="dxa"/>
            <w:vMerge/>
          </w:tcPr>
          <w:p w14:paraId="68FF64D6"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365BDAE3" w14:textId="77777777" w:rsidTr="00921C68">
        <w:tc>
          <w:tcPr>
            <w:tcW w:w="3551" w:type="dxa"/>
          </w:tcPr>
          <w:p w14:paraId="4465B700" w14:textId="77777777" w:rsidR="00EE771E" w:rsidRPr="00563D71" w:rsidRDefault="00EE771E" w:rsidP="003D2E29">
            <w:pPr>
              <w:pStyle w:val="ListParagraph"/>
              <w:numPr>
                <w:ilvl w:val="0"/>
                <w:numId w:val="70"/>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lastRenderedPageBreak/>
              <w:t xml:space="preserve">MPWH North Sumatera </w:t>
            </w:r>
          </w:p>
          <w:p w14:paraId="0D2A5F55" w14:textId="4DBA87EC" w:rsidR="00EE771E" w:rsidRPr="00563D71" w:rsidRDefault="00EE771E" w:rsidP="003D2E29">
            <w:pPr>
              <w:pStyle w:val="ListParagraph"/>
              <w:spacing w:line="240" w:lineRule="auto"/>
              <w:ind w:left="349" w:right="15"/>
              <w:rPr>
                <w:rFonts w:asciiTheme="majorBidi" w:hAnsiTheme="majorBidi" w:cstheme="majorBidi"/>
                <w:sz w:val="20"/>
                <w:szCs w:val="20"/>
              </w:rPr>
            </w:pPr>
            <w:r w:rsidRPr="00563D71">
              <w:rPr>
                <w:rFonts w:asciiTheme="majorBidi" w:hAnsiTheme="majorBidi" w:cstheme="majorBidi"/>
                <w:sz w:val="20"/>
                <w:szCs w:val="20"/>
              </w:rPr>
              <w:t>(DG Water Resources)</w:t>
            </w:r>
            <w:r w:rsidR="003504DF" w:rsidRPr="00563D71">
              <w:rPr>
                <w:rFonts w:asciiTheme="majorBidi" w:hAnsiTheme="majorBidi" w:cstheme="majorBidi"/>
                <w:sz w:val="20"/>
                <w:szCs w:val="20"/>
              </w:rPr>
              <w:t xml:space="preserve"> </w:t>
            </w:r>
            <w:r w:rsidRPr="00563D71">
              <w:rPr>
                <w:rFonts w:asciiTheme="majorBidi" w:hAnsiTheme="majorBidi" w:cstheme="majorBidi"/>
                <w:sz w:val="20"/>
                <w:szCs w:val="20"/>
              </w:rPr>
              <w:t>– Balai Wilayah Sungai II.</w:t>
            </w:r>
          </w:p>
        </w:tc>
        <w:tc>
          <w:tcPr>
            <w:tcW w:w="6237" w:type="dxa"/>
          </w:tcPr>
          <w:p w14:paraId="3A9ECD60" w14:textId="13053142" w:rsidR="00EE771E" w:rsidRPr="00563D71" w:rsidRDefault="00EE771E" w:rsidP="00C64CD1">
            <w:pPr>
              <w:ind w:left="0" w:right="15" w:firstLine="0"/>
              <w:rPr>
                <w:rFonts w:asciiTheme="majorBidi" w:hAnsiTheme="majorBidi" w:cstheme="majorBidi"/>
                <w:sz w:val="20"/>
                <w:szCs w:val="20"/>
              </w:rPr>
            </w:pPr>
            <w:r w:rsidRPr="00563D71">
              <w:rPr>
                <w:rFonts w:asciiTheme="majorBidi" w:hAnsiTheme="majorBidi" w:cstheme="majorBidi"/>
                <w:sz w:val="20"/>
                <w:szCs w:val="20"/>
              </w:rPr>
              <w:t>Lake Toba is part of the program of Institutional Strengthening for IWRM under the program by G</w:t>
            </w:r>
            <w:r w:rsidR="00F06297" w:rsidRPr="00563D71">
              <w:rPr>
                <w:rFonts w:asciiTheme="majorBidi" w:hAnsiTheme="majorBidi" w:cstheme="majorBidi"/>
                <w:sz w:val="20"/>
                <w:szCs w:val="20"/>
              </w:rPr>
              <w:t>o</w:t>
            </w:r>
            <w:r w:rsidRPr="00563D71">
              <w:rPr>
                <w:rFonts w:asciiTheme="majorBidi" w:hAnsiTheme="majorBidi" w:cstheme="majorBidi"/>
                <w:sz w:val="20"/>
                <w:szCs w:val="20"/>
              </w:rPr>
              <w:t>I under MPWH. The outcome of the program is the Pola (Strategic WRM plan) and Rencana (River Basin Master</w:t>
            </w:r>
            <w:r w:rsidR="00C23CD2" w:rsidRPr="00563D71">
              <w:rPr>
                <w:rFonts w:asciiTheme="majorBidi" w:hAnsiTheme="majorBidi" w:cstheme="majorBidi"/>
                <w:sz w:val="20"/>
                <w:szCs w:val="20"/>
              </w:rPr>
              <w:t xml:space="preserve"> P</w:t>
            </w:r>
            <w:r w:rsidRPr="00563D71">
              <w:rPr>
                <w:rFonts w:asciiTheme="majorBidi" w:hAnsiTheme="majorBidi" w:cstheme="majorBidi"/>
                <w:sz w:val="20"/>
                <w:szCs w:val="20"/>
              </w:rPr>
              <w:t>lan) for Lake Toba-Asahan water management district.</w:t>
            </w:r>
            <w:r w:rsidR="00BE415C" w:rsidRPr="00563D71">
              <w:rPr>
                <w:rFonts w:asciiTheme="majorBidi" w:hAnsiTheme="majorBidi" w:cstheme="majorBidi"/>
                <w:sz w:val="20"/>
                <w:szCs w:val="20"/>
              </w:rPr>
              <w:t xml:space="preserve"> It</w:t>
            </w:r>
            <w:r w:rsidRPr="00563D71">
              <w:rPr>
                <w:rFonts w:asciiTheme="majorBidi" w:hAnsiTheme="majorBidi" w:cstheme="majorBidi"/>
                <w:sz w:val="20"/>
                <w:szCs w:val="20"/>
              </w:rPr>
              <w:t xml:space="preserve"> </w:t>
            </w:r>
            <w:r w:rsidR="00BE415C" w:rsidRPr="00563D71">
              <w:rPr>
                <w:rFonts w:asciiTheme="majorBidi" w:hAnsiTheme="majorBidi" w:cstheme="majorBidi"/>
                <w:sz w:val="20"/>
                <w:szCs w:val="20"/>
              </w:rPr>
              <w:t>has t</w:t>
            </w:r>
            <w:r w:rsidRPr="00563D71">
              <w:rPr>
                <w:rFonts w:asciiTheme="majorBidi" w:hAnsiTheme="majorBidi" w:cstheme="majorBidi"/>
                <w:sz w:val="20"/>
                <w:szCs w:val="20"/>
              </w:rPr>
              <w:t xml:space="preserve">wo coordination platforms: one for Water Resources Management (TKPSDA, Tim Koordinasi Pengelolaan Sumber Daya Air) will be guided by national regulations for Pola and Rencana, and </w:t>
            </w:r>
            <w:r w:rsidR="00401398" w:rsidRPr="00563D71">
              <w:rPr>
                <w:rFonts w:asciiTheme="majorBidi" w:hAnsiTheme="majorBidi" w:cstheme="majorBidi"/>
                <w:sz w:val="20"/>
                <w:szCs w:val="20"/>
              </w:rPr>
              <w:t xml:space="preserve">the other </w:t>
            </w:r>
            <w:r w:rsidRPr="00563D71">
              <w:rPr>
                <w:rFonts w:asciiTheme="majorBidi" w:hAnsiTheme="majorBidi" w:cstheme="majorBidi"/>
                <w:sz w:val="20"/>
                <w:szCs w:val="20"/>
              </w:rPr>
              <w:t xml:space="preserve">for Environmental Sustainability (Badan Koordinasi Perlestarian Ekosistem Danau Toba – BKPEDT) is a special body established by Governor of North Sumatera. The outcome of the consultant services included spatial planning and </w:t>
            </w:r>
            <w:r w:rsidR="00C64CD1" w:rsidRPr="00563D71">
              <w:rPr>
                <w:rFonts w:asciiTheme="majorBidi" w:hAnsiTheme="majorBidi" w:cstheme="majorBidi"/>
                <w:sz w:val="20"/>
                <w:szCs w:val="20"/>
              </w:rPr>
              <w:t xml:space="preserve">development </w:t>
            </w:r>
            <w:r w:rsidRPr="00563D71">
              <w:rPr>
                <w:rFonts w:asciiTheme="majorBidi" w:hAnsiTheme="majorBidi" w:cstheme="majorBidi"/>
                <w:sz w:val="20"/>
                <w:szCs w:val="20"/>
              </w:rPr>
              <w:t>of key policies and strategies for IWRM. One of their roles is also to ensure the water quality of the lake for drinking water.</w:t>
            </w:r>
          </w:p>
        </w:tc>
        <w:tc>
          <w:tcPr>
            <w:tcW w:w="2835" w:type="dxa"/>
            <w:vMerge/>
          </w:tcPr>
          <w:p w14:paraId="7939B82F"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2E986735" w14:textId="77777777" w:rsidTr="00921C68">
        <w:tc>
          <w:tcPr>
            <w:tcW w:w="3551" w:type="dxa"/>
          </w:tcPr>
          <w:p w14:paraId="6307E75D"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t>Lombok</w:t>
            </w:r>
          </w:p>
          <w:p w14:paraId="4143BC31"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5E9782BC" w14:textId="77777777" w:rsidR="00EE771E" w:rsidRPr="00563D71" w:rsidRDefault="00EE771E" w:rsidP="0006769B">
            <w:pPr>
              <w:ind w:left="0" w:right="15" w:firstLine="0"/>
              <w:rPr>
                <w:rFonts w:asciiTheme="majorBidi" w:hAnsiTheme="majorBidi" w:cstheme="majorBidi"/>
                <w:sz w:val="20"/>
                <w:szCs w:val="20"/>
              </w:rPr>
            </w:pPr>
          </w:p>
        </w:tc>
        <w:tc>
          <w:tcPr>
            <w:tcW w:w="2835" w:type="dxa"/>
          </w:tcPr>
          <w:p w14:paraId="757F4574"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7A7F6E70" w14:textId="77777777" w:rsidTr="00921C68">
        <w:tc>
          <w:tcPr>
            <w:tcW w:w="3551" w:type="dxa"/>
          </w:tcPr>
          <w:p w14:paraId="27BC1DAB" w14:textId="77777777" w:rsidR="00EE771E" w:rsidRPr="00563D71" w:rsidRDefault="00EE771E" w:rsidP="0006769B">
            <w:pPr>
              <w:ind w:left="0" w:right="15" w:firstLine="0"/>
              <w:jc w:val="left"/>
              <w:rPr>
                <w:rFonts w:asciiTheme="majorBidi" w:hAnsiTheme="majorBidi" w:cstheme="majorBidi"/>
                <w:sz w:val="20"/>
                <w:szCs w:val="20"/>
              </w:rPr>
            </w:pPr>
            <w:r w:rsidRPr="00563D71">
              <w:rPr>
                <w:rFonts w:asciiTheme="majorBidi" w:hAnsiTheme="majorBidi" w:cstheme="majorBidi"/>
                <w:sz w:val="20"/>
                <w:szCs w:val="20"/>
              </w:rPr>
              <w:t>1) Environmental and Research Agency, Province West Nusa Tenggara (</w:t>
            </w:r>
            <w:r w:rsidRPr="00563D71">
              <w:rPr>
                <w:rFonts w:asciiTheme="majorBidi" w:hAnsiTheme="majorBidi" w:cstheme="majorBidi"/>
                <w:i/>
                <w:sz w:val="20"/>
                <w:szCs w:val="20"/>
              </w:rPr>
              <w:t>Nusa Tenggara Barat</w:t>
            </w:r>
            <w:r w:rsidRPr="00563D71">
              <w:rPr>
                <w:rFonts w:asciiTheme="majorBidi" w:hAnsiTheme="majorBidi" w:cstheme="majorBidi"/>
                <w:sz w:val="20"/>
                <w:szCs w:val="20"/>
              </w:rPr>
              <w:t xml:space="preserve">) </w:t>
            </w:r>
          </w:p>
          <w:p w14:paraId="76CAF28C"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62C7E55C" w14:textId="2B76870A" w:rsidR="00EE771E" w:rsidRPr="00563D71" w:rsidRDefault="00EE771E" w:rsidP="003D2E29">
            <w:pPr>
              <w:spacing w:after="160"/>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The province has their own AMDAL commission and technical team with cooperation with universities</w:t>
            </w:r>
            <w:r w:rsidR="000F1595" w:rsidRPr="00563D71">
              <w:rPr>
                <w:rFonts w:asciiTheme="majorBidi" w:eastAsiaTheme="minorHAnsi" w:hAnsiTheme="majorBidi" w:cstheme="majorBidi"/>
                <w:color w:val="auto"/>
                <w:sz w:val="20"/>
                <w:szCs w:val="20"/>
              </w:rPr>
              <w:t>,</w:t>
            </w:r>
            <w:r w:rsidRPr="00563D71">
              <w:rPr>
                <w:rFonts w:asciiTheme="majorBidi" w:eastAsiaTheme="minorHAnsi" w:hAnsiTheme="majorBidi" w:cstheme="majorBidi"/>
                <w:color w:val="auto"/>
                <w:sz w:val="20"/>
                <w:szCs w:val="20"/>
              </w:rPr>
              <w:t xml:space="preserve"> and it is a strong team as they do have license of competency. They also support other local governments as AMDAL reviewer</w:t>
            </w:r>
            <w:r w:rsidR="000F1595"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for </w:t>
            </w:r>
            <w:r w:rsidR="000F1595" w:rsidRPr="00563D71">
              <w:rPr>
                <w:rFonts w:asciiTheme="majorBidi" w:eastAsiaTheme="minorHAnsi" w:hAnsiTheme="majorBidi" w:cstheme="majorBidi"/>
                <w:iCs/>
                <w:color w:val="auto"/>
                <w:sz w:val="20"/>
                <w:szCs w:val="20"/>
              </w:rPr>
              <w:t>local governments in</w:t>
            </w:r>
            <w:r w:rsidRPr="00563D71">
              <w:rPr>
                <w:rFonts w:asciiTheme="majorBidi" w:eastAsiaTheme="minorHAnsi" w:hAnsiTheme="majorBidi" w:cstheme="majorBidi"/>
                <w:i/>
                <w:color w:val="auto"/>
                <w:sz w:val="20"/>
                <w:szCs w:val="20"/>
              </w:rPr>
              <w:t xml:space="preserve"> </w:t>
            </w:r>
            <w:r w:rsidRPr="00563D71">
              <w:rPr>
                <w:rFonts w:asciiTheme="majorBidi" w:eastAsiaTheme="minorHAnsi" w:hAnsiTheme="majorBidi" w:cstheme="majorBidi"/>
                <w:color w:val="auto"/>
                <w:sz w:val="20"/>
                <w:szCs w:val="20"/>
              </w:rPr>
              <w:t xml:space="preserve">Lombok when needed. </w:t>
            </w:r>
            <w:r w:rsidR="000F1595" w:rsidRPr="00563D71">
              <w:rPr>
                <w:rFonts w:asciiTheme="majorBidi" w:eastAsiaTheme="minorHAnsi" w:hAnsiTheme="majorBidi" w:cstheme="majorBidi"/>
                <w:color w:val="auto"/>
                <w:sz w:val="20"/>
                <w:szCs w:val="20"/>
              </w:rPr>
              <w:t>The s</w:t>
            </w:r>
            <w:r w:rsidRPr="00563D71">
              <w:rPr>
                <w:rFonts w:asciiTheme="majorBidi" w:eastAsiaTheme="minorHAnsi" w:hAnsiTheme="majorBidi" w:cstheme="majorBidi"/>
                <w:color w:val="auto"/>
                <w:sz w:val="20"/>
                <w:szCs w:val="20"/>
              </w:rPr>
              <w:t>trength of the provincial staff team is their fulfillment of the standard requirements for reviewing AMDAL, UKL-UPL</w:t>
            </w:r>
            <w:r w:rsidR="000F1595" w:rsidRPr="00563D71">
              <w:rPr>
                <w:rFonts w:asciiTheme="majorBidi" w:eastAsiaTheme="minorHAnsi" w:hAnsiTheme="majorBidi" w:cstheme="majorBidi"/>
                <w:color w:val="auto"/>
                <w:sz w:val="20"/>
                <w:szCs w:val="20"/>
              </w:rPr>
              <w:t>,</w:t>
            </w:r>
            <w:r w:rsidRPr="00563D71">
              <w:rPr>
                <w:rFonts w:asciiTheme="majorBidi" w:eastAsiaTheme="minorHAnsi" w:hAnsiTheme="majorBidi" w:cstheme="majorBidi"/>
                <w:color w:val="auto"/>
                <w:sz w:val="20"/>
                <w:szCs w:val="20"/>
              </w:rPr>
              <w:t xml:space="preserve"> and SPPL documents. However</w:t>
            </w:r>
            <w:r w:rsidR="000F1595" w:rsidRPr="00563D71">
              <w:rPr>
                <w:rFonts w:asciiTheme="majorBidi" w:eastAsiaTheme="minorHAnsi" w:hAnsiTheme="majorBidi" w:cstheme="majorBidi"/>
                <w:color w:val="auto"/>
                <w:sz w:val="20"/>
                <w:szCs w:val="20"/>
              </w:rPr>
              <w:t>,</w:t>
            </w:r>
            <w:r w:rsidRPr="00563D71">
              <w:rPr>
                <w:rFonts w:asciiTheme="majorBidi" w:eastAsiaTheme="minorHAnsi" w:hAnsiTheme="majorBidi" w:cstheme="majorBidi"/>
                <w:color w:val="auto"/>
                <w:sz w:val="20"/>
                <w:szCs w:val="20"/>
              </w:rPr>
              <w:t xml:space="preserve"> there is still need for strengthening effort</w:t>
            </w:r>
            <w:r w:rsidR="000F1595"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in building the capacity and certification of competency for local consultants. </w:t>
            </w:r>
          </w:p>
          <w:p w14:paraId="29B6E80B" w14:textId="224A54EF" w:rsidR="00EE771E" w:rsidRPr="00563D71" w:rsidRDefault="00EE771E" w:rsidP="003D2E29">
            <w:pPr>
              <w:spacing w:after="160"/>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In terms of facilities and instruments, their laboratory had been set up and human resource</w:t>
            </w:r>
            <w:r w:rsidR="000F1595"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w:t>
            </w:r>
            <w:r w:rsidR="000F1595" w:rsidRPr="00563D71">
              <w:rPr>
                <w:rFonts w:asciiTheme="majorBidi" w:eastAsiaTheme="minorHAnsi" w:hAnsiTheme="majorBidi" w:cstheme="majorBidi"/>
                <w:color w:val="auto"/>
                <w:sz w:val="20"/>
                <w:szCs w:val="20"/>
              </w:rPr>
              <w:t xml:space="preserve">are </w:t>
            </w:r>
            <w:r w:rsidRPr="00563D71">
              <w:rPr>
                <w:rFonts w:asciiTheme="majorBidi" w:eastAsiaTheme="minorHAnsi" w:hAnsiTheme="majorBidi" w:cstheme="majorBidi"/>
                <w:color w:val="auto"/>
                <w:sz w:val="20"/>
                <w:szCs w:val="20"/>
              </w:rPr>
              <w:t xml:space="preserve">currently being trained. </w:t>
            </w:r>
            <w:r w:rsidR="00636B18" w:rsidRPr="00563D71">
              <w:rPr>
                <w:rFonts w:asciiTheme="majorBidi" w:eastAsiaTheme="minorHAnsi" w:hAnsiTheme="majorBidi" w:cstheme="majorBidi"/>
                <w:color w:val="auto"/>
                <w:sz w:val="20"/>
                <w:szCs w:val="20"/>
              </w:rPr>
              <w:t>It is targeted to</w:t>
            </w:r>
            <w:r w:rsidRPr="00563D71">
              <w:rPr>
                <w:rFonts w:asciiTheme="majorBidi" w:eastAsiaTheme="minorHAnsi" w:hAnsiTheme="majorBidi" w:cstheme="majorBidi"/>
                <w:color w:val="auto"/>
                <w:sz w:val="20"/>
                <w:szCs w:val="20"/>
              </w:rPr>
              <w:t xml:space="preserve"> be in operation next year. The lab was funded the central government and it is based on national standard</w:t>
            </w:r>
            <w:r w:rsidR="00B63DD7"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compliance. It will function as a reference lab in the West Nusa Tenggara province for all </w:t>
            </w:r>
            <w:r w:rsidR="00B63DD7" w:rsidRPr="00563D71">
              <w:rPr>
                <w:rFonts w:asciiTheme="majorBidi" w:eastAsiaTheme="minorHAnsi" w:hAnsiTheme="majorBidi" w:cstheme="majorBidi"/>
                <w:iCs/>
                <w:color w:val="auto"/>
                <w:sz w:val="20"/>
                <w:szCs w:val="20"/>
              </w:rPr>
              <w:t>local governments</w:t>
            </w:r>
            <w:r w:rsidRPr="00563D71">
              <w:rPr>
                <w:rFonts w:asciiTheme="majorBidi" w:eastAsiaTheme="minorHAnsi" w:hAnsiTheme="majorBidi" w:cstheme="majorBidi"/>
                <w:color w:val="auto"/>
                <w:sz w:val="20"/>
                <w:szCs w:val="20"/>
              </w:rPr>
              <w:t xml:space="preserve">, </w:t>
            </w:r>
            <w:r w:rsidR="00B63DD7" w:rsidRPr="00563D71">
              <w:rPr>
                <w:rFonts w:asciiTheme="majorBidi" w:eastAsiaTheme="minorHAnsi" w:hAnsiTheme="majorBidi" w:cstheme="majorBidi"/>
                <w:color w:val="auto"/>
                <w:sz w:val="20"/>
                <w:szCs w:val="20"/>
              </w:rPr>
              <w:t xml:space="preserve">as well as </w:t>
            </w:r>
            <w:r w:rsidRPr="00563D71">
              <w:rPr>
                <w:rFonts w:asciiTheme="majorBidi" w:eastAsiaTheme="minorHAnsi" w:hAnsiTheme="majorBidi" w:cstheme="majorBidi"/>
                <w:color w:val="auto"/>
                <w:sz w:val="20"/>
                <w:szCs w:val="20"/>
              </w:rPr>
              <w:t>for the neighboring province, East Nusa Tenggara (NTT).</w:t>
            </w:r>
          </w:p>
          <w:p w14:paraId="68F0BDDE" w14:textId="66E652C6" w:rsidR="00EE771E" w:rsidRPr="00563D71" w:rsidRDefault="00EE771E" w:rsidP="003D2E29">
            <w:pPr>
              <w:spacing w:after="160"/>
              <w:rPr>
                <w:rFonts w:asciiTheme="majorBidi" w:hAnsiTheme="majorBidi" w:cstheme="majorBidi"/>
                <w:sz w:val="20"/>
                <w:szCs w:val="20"/>
              </w:rPr>
            </w:pPr>
            <w:r w:rsidRPr="00563D71">
              <w:rPr>
                <w:rFonts w:asciiTheme="majorBidi" w:eastAsiaTheme="minorHAnsi" w:hAnsiTheme="majorBidi" w:cstheme="majorBidi"/>
                <w:color w:val="auto"/>
                <w:sz w:val="20"/>
                <w:szCs w:val="20"/>
              </w:rPr>
              <w:t xml:space="preserve">In terms of processing and issuance of environmental permits, the same agency has their own office which ensures all permit issuing is based on law and regulations. This ensures the smooth process and reduces bottlenecks in paperwork. </w:t>
            </w:r>
          </w:p>
        </w:tc>
        <w:tc>
          <w:tcPr>
            <w:tcW w:w="2835" w:type="dxa"/>
          </w:tcPr>
          <w:p w14:paraId="76B0DF9D" w14:textId="62830DAD" w:rsidR="00EE771E" w:rsidRPr="00563D71" w:rsidRDefault="00535F62" w:rsidP="003D2E29">
            <w:pPr>
              <w:pStyle w:val="ListParagraph"/>
              <w:spacing w:line="240" w:lineRule="auto"/>
              <w:ind w:left="-5" w:right="15"/>
              <w:rPr>
                <w:rFonts w:asciiTheme="majorBidi" w:hAnsiTheme="majorBidi" w:cstheme="majorBidi"/>
                <w:sz w:val="20"/>
                <w:szCs w:val="20"/>
              </w:rPr>
            </w:pPr>
            <w:r w:rsidRPr="00563D71">
              <w:rPr>
                <w:rFonts w:asciiTheme="majorBidi" w:hAnsiTheme="majorBidi" w:cstheme="majorBidi"/>
                <w:sz w:val="20"/>
                <w:szCs w:val="20"/>
              </w:rPr>
              <w:t xml:space="preserve">No area of strengthening needed. </w:t>
            </w:r>
          </w:p>
        </w:tc>
      </w:tr>
      <w:tr w:rsidR="00EE771E" w:rsidRPr="00563D71" w14:paraId="57D87644" w14:textId="77777777" w:rsidTr="00921C68">
        <w:tc>
          <w:tcPr>
            <w:tcW w:w="3551" w:type="dxa"/>
          </w:tcPr>
          <w:p w14:paraId="05BCA7D1"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t>2) Tourism Agency, Province West Nusa Tenggara (</w:t>
            </w:r>
            <w:r w:rsidRPr="00563D71">
              <w:rPr>
                <w:rFonts w:asciiTheme="majorBidi" w:hAnsiTheme="majorBidi" w:cstheme="majorBidi"/>
                <w:i/>
                <w:sz w:val="20"/>
                <w:szCs w:val="20"/>
              </w:rPr>
              <w:t>Nusa Tenggara Barat</w:t>
            </w:r>
            <w:r w:rsidRPr="00563D71">
              <w:rPr>
                <w:rFonts w:asciiTheme="majorBidi" w:hAnsiTheme="majorBidi" w:cstheme="majorBidi"/>
                <w:sz w:val="20"/>
                <w:szCs w:val="20"/>
              </w:rPr>
              <w:t xml:space="preserve">, NTB) </w:t>
            </w:r>
          </w:p>
          <w:p w14:paraId="317EAA69"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6461017D" w14:textId="50A127A1" w:rsidR="00EE771E" w:rsidRPr="00563D71" w:rsidRDefault="00DA6641" w:rsidP="00376D32">
            <w:pPr>
              <w:spacing w:after="160"/>
              <w:jc w:val="left"/>
              <w:rPr>
                <w:rFonts w:asciiTheme="majorBidi" w:hAnsiTheme="majorBidi" w:cstheme="majorBidi"/>
                <w:sz w:val="20"/>
                <w:szCs w:val="20"/>
              </w:rPr>
            </w:pPr>
            <w:r w:rsidRPr="00563D71">
              <w:rPr>
                <w:rFonts w:asciiTheme="majorBidi" w:eastAsiaTheme="minorHAnsi" w:hAnsiTheme="majorBidi" w:cstheme="majorBidi"/>
                <w:color w:val="auto"/>
                <w:sz w:val="20"/>
                <w:szCs w:val="20"/>
              </w:rPr>
              <w:lastRenderedPageBreak/>
              <w:t xml:space="preserve">The tourism </w:t>
            </w:r>
            <w:bookmarkStart w:id="85" w:name="OLE_LINK9"/>
            <w:r w:rsidRPr="00563D71">
              <w:rPr>
                <w:rFonts w:asciiTheme="majorBidi" w:eastAsiaTheme="minorHAnsi" w:hAnsiTheme="majorBidi" w:cstheme="majorBidi"/>
                <w:color w:val="auto"/>
                <w:sz w:val="20"/>
                <w:szCs w:val="20"/>
              </w:rPr>
              <w:t>agency staffs totaled</w:t>
            </w:r>
            <w:r w:rsidR="008218E1" w:rsidRPr="00563D71">
              <w:rPr>
                <w:rFonts w:asciiTheme="majorBidi" w:eastAsiaTheme="minorHAnsi" w:hAnsiTheme="majorBidi" w:cstheme="majorBidi"/>
                <w:color w:val="auto"/>
                <w:sz w:val="20"/>
                <w:szCs w:val="20"/>
              </w:rPr>
              <w:t xml:space="preserve"> </w:t>
            </w:r>
            <w:r w:rsidR="00B63DD7" w:rsidRPr="00563D71">
              <w:rPr>
                <w:rFonts w:asciiTheme="majorBidi" w:eastAsiaTheme="minorHAnsi" w:hAnsiTheme="majorBidi" w:cstheme="majorBidi"/>
                <w:color w:val="auto"/>
                <w:sz w:val="20"/>
                <w:szCs w:val="20"/>
              </w:rPr>
              <w:t>161</w:t>
            </w:r>
            <w:r w:rsidRPr="00563D71">
              <w:rPr>
                <w:rFonts w:asciiTheme="majorBidi" w:eastAsiaTheme="minorHAnsi" w:hAnsiTheme="majorBidi" w:cstheme="majorBidi"/>
                <w:color w:val="auto"/>
                <w:sz w:val="20"/>
                <w:szCs w:val="20"/>
              </w:rPr>
              <w:t xml:space="preserve"> people</w:t>
            </w:r>
            <w:r w:rsidR="00B63DD7" w:rsidRPr="00563D71">
              <w:rPr>
                <w:rFonts w:asciiTheme="majorBidi" w:eastAsiaTheme="minorHAnsi" w:hAnsiTheme="majorBidi" w:cstheme="majorBidi"/>
                <w:color w:val="auto"/>
                <w:sz w:val="20"/>
                <w:szCs w:val="20"/>
              </w:rPr>
              <w:t xml:space="preserve">. </w:t>
            </w:r>
            <w:bookmarkEnd w:id="85"/>
            <w:r w:rsidR="00376D32" w:rsidRPr="00563D71">
              <w:rPr>
                <w:rFonts w:asciiTheme="majorBidi" w:eastAsiaTheme="minorHAnsi" w:hAnsiTheme="majorBidi" w:cstheme="majorBidi"/>
                <w:color w:val="auto"/>
                <w:sz w:val="20"/>
                <w:szCs w:val="20"/>
              </w:rPr>
              <w:t>Staff is allocating into</w:t>
            </w:r>
            <w:r w:rsidRPr="00563D71">
              <w:rPr>
                <w:rFonts w:asciiTheme="majorBidi" w:eastAsiaTheme="minorHAnsi" w:hAnsiTheme="majorBidi" w:cstheme="majorBidi"/>
                <w:color w:val="auto"/>
                <w:sz w:val="20"/>
                <w:szCs w:val="20"/>
              </w:rPr>
              <w:t xml:space="preserve"> to tourism, museum</w:t>
            </w:r>
            <w:r w:rsidR="00376D32"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and cultural parks. There is no mentioned o</w:t>
            </w:r>
            <w:r w:rsidR="00376D32" w:rsidRPr="00563D71">
              <w:rPr>
                <w:rFonts w:asciiTheme="majorBidi" w:eastAsiaTheme="minorHAnsi" w:hAnsiTheme="majorBidi" w:cstheme="majorBidi"/>
                <w:color w:val="auto"/>
                <w:sz w:val="20"/>
                <w:szCs w:val="20"/>
              </w:rPr>
              <w:t>f</w:t>
            </w:r>
            <w:r w:rsidRPr="00563D71">
              <w:rPr>
                <w:rFonts w:asciiTheme="majorBidi" w:eastAsiaTheme="minorHAnsi" w:hAnsiTheme="majorBidi" w:cstheme="majorBidi"/>
                <w:color w:val="auto"/>
                <w:sz w:val="20"/>
                <w:szCs w:val="20"/>
              </w:rPr>
              <w:t xml:space="preserve"> staff </w:t>
            </w:r>
            <w:r w:rsidRPr="00563D71">
              <w:rPr>
                <w:rFonts w:asciiTheme="majorBidi" w:eastAsiaTheme="minorHAnsi" w:hAnsiTheme="majorBidi" w:cstheme="majorBidi"/>
                <w:color w:val="auto"/>
                <w:sz w:val="20"/>
                <w:szCs w:val="20"/>
              </w:rPr>
              <w:lastRenderedPageBreak/>
              <w:t>training</w:t>
            </w:r>
            <w:r w:rsidR="00376D32" w:rsidRPr="00563D71">
              <w:rPr>
                <w:rFonts w:asciiTheme="majorBidi" w:eastAsiaTheme="minorHAnsi" w:hAnsiTheme="majorBidi" w:cstheme="majorBidi"/>
                <w:color w:val="auto"/>
                <w:sz w:val="20"/>
                <w:szCs w:val="20"/>
              </w:rPr>
              <w:t>,</w:t>
            </w:r>
            <w:r w:rsidRPr="00563D71">
              <w:rPr>
                <w:rFonts w:asciiTheme="majorBidi" w:eastAsiaTheme="minorHAnsi" w:hAnsiTheme="majorBidi" w:cstheme="majorBidi"/>
                <w:color w:val="auto"/>
                <w:sz w:val="20"/>
                <w:szCs w:val="20"/>
              </w:rPr>
              <w:t xml:space="preserve"> especially on managing sustainable tourism or managing integrated master</w:t>
            </w:r>
            <w:r w:rsidR="00376D32" w:rsidRPr="00563D71">
              <w:rPr>
                <w:rFonts w:asciiTheme="majorBidi" w:eastAsiaTheme="minorHAnsi" w:hAnsiTheme="majorBidi" w:cstheme="majorBidi"/>
                <w:color w:val="auto"/>
                <w:sz w:val="20"/>
                <w:szCs w:val="20"/>
              </w:rPr>
              <w:t xml:space="preserve"> </w:t>
            </w:r>
            <w:r w:rsidRPr="00563D71">
              <w:rPr>
                <w:rFonts w:asciiTheme="majorBidi" w:eastAsiaTheme="minorHAnsi" w:hAnsiTheme="majorBidi" w:cstheme="majorBidi"/>
                <w:color w:val="auto"/>
                <w:sz w:val="20"/>
                <w:szCs w:val="20"/>
              </w:rPr>
              <w:t xml:space="preserve">plan tourism-related skill improvement programs. </w:t>
            </w:r>
          </w:p>
        </w:tc>
        <w:tc>
          <w:tcPr>
            <w:tcW w:w="2835" w:type="dxa"/>
          </w:tcPr>
          <w:p w14:paraId="78831563" w14:textId="2669FC3B" w:rsidR="00EE771E" w:rsidRPr="00563D71" w:rsidRDefault="00E524AC" w:rsidP="0006769B">
            <w:pPr>
              <w:ind w:left="0" w:right="17"/>
              <w:rPr>
                <w:rFonts w:asciiTheme="majorBidi" w:hAnsiTheme="majorBidi" w:cstheme="majorBidi"/>
                <w:sz w:val="20"/>
                <w:szCs w:val="20"/>
              </w:rPr>
            </w:pPr>
            <w:r w:rsidRPr="00563D71">
              <w:rPr>
                <w:rFonts w:asciiTheme="majorBidi" w:hAnsiTheme="majorBidi" w:cstheme="majorBidi"/>
                <w:sz w:val="20"/>
                <w:szCs w:val="20"/>
              </w:rPr>
              <w:lastRenderedPageBreak/>
              <w:t xml:space="preserve">Program Management Support (through Program Management Support Consultants’ Services </w:t>
            </w:r>
            <w:r w:rsidRPr="00563D71">
              <w:rPr>
                <w:rFonts w:asciiTheme="majorBidi" w:hAnsiTheme="majorBidi" w:cstheme="majorBidi"/>
                <w:sz w:val="20"/>
                <w:szCs w:val="20"/>
              </w:rPr>
              <w:lastRenderedPageBreak/>
              <w:t xml:space="preserve">financed under the IPF, and/or additional qualified MPWH staff) 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vide coordination and training</w:t>
            </w:r>
            <w:r w:rsidR="00535F62" w:rsidRPr="00563D71">
              <w:rPr>
                <w:rFonts w:asciiTheme="majorBidi" w:hAnsiTheme="majorBidi" w:cstheme="majorBidi"/>
                <w:sz w:val="20"/>
                <w:szCs w:val="20"/>
              </w:rPr>
              <w:t xml:space="preserve">.  </w:t>
            </w:r>
          </w:p>
        </w:tc>
      </w:tr>
      <w:tr w:rsidR="00EE771E" w:rsidRPr="00563D71" w14:paraId="4A50DE03" w14:textId="77777777" w:rsidTr="00921C68">
        <w:tc>
          <w:tcPr>
            <w:tcW w:w="3551" w:type="dxa"/>
          </w:tcPr>
          <w:p w14:paraId="263DFFEC" w14:textId="77777777"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lastRenderedPageBreak/>
              <w:t>3) Public Works Agency, Province West Nusa Tenggara (</w:t>
            </w:r>
            <w:r w:rsidRPr="00563D71">
              <w:rPr>
                <w:rFonts w:asciiTheme="majorBidi" w:hAnsiTheme="majorBidi" w:cstheme="majorBidi"/>
                <w:i/>
                <w:sz w:val="20"/>
                <w:szCs w:val="20"/>
              </w:rPr>
              <w:t>Nusa Tenggara Barat</w:t>
            </w:r>
            <w:r w:rsidRPr="00563D71">
              <w:rPr>
                <w:rFonts w:asciiTheme="majorBidi" w:hAnsiTheme="majorBidi" w:cstheme="majorBidi"/>
                <w:sz w:val="20"/>
                <w:szCs w:val="20"/>
              </w:rPr>
              <w:t>, NTB)</w:t>
            </w:r>
          </w:p>
          <w:p w14:paraId="338FC5D2"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2DA4CEE6" w14:textId="12BE355F" w:rsidR="00EE771E" w:rsidRPr="00563D71" w:rsidRDefault="00EE771E" w:rsidP="00C20D41">
            <w:pPr>
              <w:ind w:left="0" w:firstLine="0"/>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 xml:space="preserve">As mentioned earlier, all staffs of MPHW needs to be trained according to the same training module determined by BPSDM. This helps to centralize the law and regulation especially for environmental documentations. All projects have to fulfil the </w:t>
            </w:r>
            <w:r w:rsidR="00C20D41" w:rsidRPr="00563D71">
              <w:rPr>
                <w:rFonts w:asciiTheme="majorBidi" w:eastAsiaTheme="minorHAnsi" w:hAnsiTheme="majorBidi" w:cstheme="majorBidi"/>
                <w:color w:val="auto"/>
                <w:sz w:val="20"/>
                <w:szCs w:val="20"/>
              </w:rPr>
              <w:t xml:space="preserve">required </w:t>
            </w:r>
            <w:r w:rsidRPr="00563D71">
              <w:rPr>
                <w:rFonts w:asciiTheme="majorBidi" w:eastAsiaTheme="minorHAnsi" w:hAnsiTheme="majorBidi" w:cstheme="majorBidi"/>
                <w:color w:val="auto"/>
                <w:sz w:val="20"/>
                <w:szCs w:val="20"/>
              </w:rPr>
              <w:t xml:space="preserve">environmental documentation prior to the construction including SPPL, UKL-UPL </w:t>
            </w:r>
            <w:r w:rsidR="00C20D41" w:rsidRPr="00563D71">
              <w:rPr>
                <w:rFonts w:asciiTheme="majorBidi" w:eastAsiaTheme="minorHAnsi" w:hAnsiTheme="majorBidi" w:cstheme="majorBidi"/>
                <w:color w:val="auto"/>
                <w:sz w:val="20"/>
                <w:szCs w:val="20"/>
              </w:rPr>
              <w:t xml:space="preserve">or </w:t>
            </w:r>
            <w:r w:rsidRPr="00563D71">
              <w:rPr>
                <w:rFonts w:asciiTheme="majorBidi" w:eastAsiaTheme="minorHAnsi" w:hAnsiTheme="majorBidi" w:cstheme="majorBidi"/>
                <w:color w:val="auto"/>
                <w:sz w:val="20"/>
                <w:szCs w:val="20"/>
              </w:rPr>
              <w:t xml:space="preserve">AMDAL depending on the size of the projects. </w:t>
            </w:r>
          </w:p>
          <w:p w14:paraId="3455904E" w14:textId="6C87667B" w:rsidR="00EE771E" w:rsidRPr="00563D71" w:rsidRDefault="00EE771E" w:rsidP="0006769B">
            <w:pPr>
              <w:ind w:left="0" w:firstLine="0"/>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The agency has 3 staff that possess AMDAL certificate</w:t>
            </w:r>
            <w:r w:rsidR="00B55344"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but none has</w:t>
            </w:r>
            <w:r w:rsidR="00B55344" w:rsidRPr="00563D71">
              <w:rPr>
                <w:rFonts w:asciiTheme="majorBidi" w:eastAsiaTheme="minorHAnsi" w:hAnsiTheme="majorBidi" w:cstheme="majorBidi"/>
                <w:color w:val="auto"/>
                <w:sz w:val="20"/>
                <w:szCs w:val="20"/>
              </w:rPr>
              <w:t xml:space="preserve"> a</w:t>
            </w:r>
            <w:r w:rsidRPr="00563D71">
              <w:rPr>
                <w:rFonts w:asciiTheme="majorBidi" w:eastAsiaTheme="minorHAnsi" w:hAnsiTheme="majorBidi" w:cstheme="majorBidi"/>
                <w:color w:val="auto"/>
                <w:sz w:val="20"/>
                <w:szCs w:val="20"/>
              </w:rPr>
              <w:t xml:space="preserve"> competency certificate. </w:t>
            </w:r>
          </w:p>
        </w:tc>
        <w:tc>
          <w:tcPr>
            <w:tcW w:w="2835" w:type="dxa"/>
          </w:tcPr>
          <w:p w14:paraId="518DDC7F" w14:textId="119DB547" w:rsidR="00EE771E" w:rsidRPr="00563D71" w:rsidRDefault="00535F62" w:rsidP="003D2E29">
            <w:pPr>
              <w:pStyle w:val="ListParagraph"/>
              <w:spacing w:line="240" w:lineRule="auto"/>
              <w:ind w:left="-5" w:right="17"/>
              <w:rPr>
                <w:rFonts w:asciiTheme="majorBidi" w:hAnsiTheme="majorBidi" w:cstheme="majorBidi"/>
                <w:sz w:val="20"/>
                <w:szCs w:val="20"/>
              </w:rPr>
            </w:pPr>
            <w:r w:rsidRPr="00563D71">
              <w:rPr>
                <w:rFonts w:asciiTheme="majorBidi" w:hAnsiTheme="majorBidi" w:cstheme="majorBidi"/>
                <w:sz w:val="20"/>
                <w:szCs w:val="20"/>
              </w:rPr>
              <w:t xml:space="preserve">No area of strengthening needed. </w:t>
            </w:r>
          </w:p>
        </w:tc>
      </w:tr>
      <w:tr w:rsidR="00EE771E" w:rsidRPr="00563D71" w14:paraId="00D62B6F" w14:textId="77777777" w:rsidTr="00921C68">
        <w:tc>
          <w:tcPr>
            <w:tcW w:w="3551" w:type="dxa"/>
          </w:tcPr>
          <w:p w14:paraId="1B61E5D2" w14:textId="77777777" w:rsidR="00EE771E" w:rsidRPr="00563D71" w:rsidRDefault="00EE771E" w:rsidP="003D2E29">
            <w:pPr>
              <w:pStyle w:val="ListParagraph"/>
              <w:numPr>
                <w:ilvl w:val="0"/>
                <w:numId w:val="8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Environmental Agency, Lombok Barat </w:t>
            </w:r>
          </w:p>
        </w:tc>
        <w:tc>
          <w:tcPr>
            <w:tcW w:w="6237" w:type="dxa"/>
          </w:tcPr>
          <w:p w14:paraId="29859CE0" w14:textId="6F0AEA8E" w:rsidR="00EE771E" w:rsidRPr="00563D71" w:rsidRDefault="00EE771E" w:rsidP="00B55344">
            <w:pPr>
              <w:ind w:left="0" w:right="15" w:firstLine="0"/>
              <w:rPr>
                <w:rFonts w:asciiTheme="majorBidi" w:hAnsiTheme="majorBidi" w:cstheme="majorBidi"/>
                <w:sz w:val="20"/>
                <w:szCs w:val="20"/>
              </w:rPr>
            </w:pPr>
            <w:r w:rsidRPr="00563D71">
              <w:rPr>
                <w:rFonts w:asciiTheme="majorBidi" w:hAnsiTheme="majorBidi" w:cstheme="majorBidi"/>
                <w:sz w:val="20"/>
                <w:szCs w:val="20"/>
              </w:rPr>
              <w:t>With a total of 38 staff, the team consist</w:t>
            </w:r>
            <w:r w:rsidR="00B55344" w:rsidRPr="00563D71">
              <w:rPr>
                <w:rFonts w:asciiTheme="majorBidi" w:hAnsiTheme="majorBidi" w:cstheme="majorBidi"/>
                <w:sz w:val="20"/>
                <w:szCs w:val="20"/>
              </w:rPr>
              <w:t>s</w:t>
            </w:r>
            <w:r w:rsidRPr="00563D71">
              <w:rPr>
                <w:rFonts w:asciiTheme="majorBidi" w:hAnsiTheme="majorBidi" w:cstheme="majorBidi"/>
                <w:sz w:val="20"/>
                <w:szCs w:val="20"/>
              </w:rPr>
              <w:t xml:space="preserve"> of 22 undergraduates and 4 post-graduates</w:t>
            </w:r>
            <w:r w:rsidR="00B55344" w:rsidRPr="00563D71">
              <w:rPr>
                <w:rFonts w:asciiTheme="majorBidi" w:hAnsiTheme="majorBidi" w:cstheme="majorBidi"/>
                <w:sz w:val="20"/>
                <w:szCs w:val="20"/>
              </w:rPr>
              <w:t>,</w:t>
            </w:r>
            <w:r w:rsidRPr="00563D71">
              <w:rPr>
                <w:rFonts w:asciiTheme="majorBidi" w:hAnsiTheme="majorBidi" w:cstheme="majorBidi"/>
                <w:sz w:val="20"/>
                <w:szCs w:val="20"/>
              </w:rPr>
              <w:t xml:space="preserve"> and is still understaffed for the tasks and responsibilit</w:t>
            </w:r>
            <w:r w:rsidR="00B55344" w:rsidRPr="00563D71">
              <w:rPr>
                <w:rFonts w:asciiTheme="majorBidi" w:hAnsiTheme="majorBidi" w:cstheme="majorBidi"/>
                <w:sz w:val="20"/>
                <w:szCs w:val="20"/>
              </w:rPr>
              <w:t>ies</w:t>
            </w:r>
            <w:r w:rsidRPr="00563D71">
              <w:rPr>
                <w:rFonts w:asciiTheme="majorBidi" w:hAnsiTheme="majorBidi" w:cstheme="majorBidi"/>
                <w:sz w:val="20"/>
                <w:szCs w:val="20"/>
              </w:rPr>
              <w:t xml:space="preserve"> of managing the agency</w:t>
            </w:r>
            <w:r w:rsidR="00B55344" w:rsidRPr="00563D71">
              <w:rPr>
                <w:rFonts w:asciiTheme="majorBidi" w:hAnsiTheme="majorBidi" w:cstheme="majorBidi"/>
                <w:sz w:val="20"/>
                <w:szCs w:val="20"/>
              </w:rPr>
              <w:t>,</w:t>
            </w:r>
            <w:r w:rsidRPr="00563D71">
              <w:rPr>
                <w:rFonts w:asciiTheme="majorBidi" w:hAnsiTheme="majorBidi" w:cstheme="majorBidi"/>
                <w:sz w:val="20"/>
                <w:szCs w:val="20"/>
              </w:rPr>
              <w:t xml:space="preserve"> especially in the field</w:t>
            </w:r>
            <w:r w:rsidR="00B55344" w:rsidRPr="00563D71">
              <w:rPr>
                <w:rFonts w:asciiTheme="majorBidi" w:hAnsiTheme="majorBidi" w:cstheme="majorBidi"/>
                <w:sz w:val="20"/>
                <w:szCs w:val="20"/>
              </w:rPr>
              <w:t>s</w:t>
            </w:r>
            <w:r w:rsidRPr="00563D71">
              <w:rPr>
                <w:rFonts w:asciiTheme="majorBidi" w:hAnsiTheme="majorBidi" w:cstheme="majorBidi"/>
                <w:sz w:val="20"/>
                <w:szCs w:val="20"/>
              </w:rPr>
              <w:t xml:space="preserve"> of IT and laboratory testing. Only one staff is certified with the AMDAL commission. Their laboratory has been in operation </w:t>
            </w:r>
            <w:r w:rsidR="00B55344" w:rsidRPr="00563D71">
              <w:rPr>
                <w:rFonts w:asciiTheme="majorBidi" w:hAnsiTheme="majorBidi" w:cstheme="majorBidi"/>
                <w:sz w:val="20"/>
                <w:szCs w:val="20"/>
              </w:rPr>
              <w:t xml:space="preserve">since </w:t>
            </w:r>
            <w:r w:rsidRPr="00563D71">
              <w:rPr>
                <w:rFonts w:asciiTheme="majorBidi" w:hAnsiTheme="majorBidi" w:cstheme="majorBidi"/>
                <w:sz w:val="20"/>
                <w:szCs w:val="20"/>
              </w:rPr>
              <w:t>2012 and equipped with selective instruments and portable ones for use in field.</w:t>
            </w:r>
          </w:p>
        </w:tc>
        <w:tc>
          <w:tcPr>
            <w:tcW w:w="2835" w:type="dxa"/>
          </w:tcPr>
          <w:p w14:paraId="05E016C5" w14:textId="3344E531" w:rsidR="00EE771E" w:rsidRPr="00563D71" w:rsidRDefault="00E524AC" w:rsidP="0006769B">
            <w:pPr>
              <w:ind w:left="0" w:right="17"/>
              <w:rPr>
                <w:rFonts w:asciiTheme="majorBidi" w:hAnsiTheme="majorBidi" w:cstheme="majorBidi"/>
                <w:sz w:val="20"/>
                <w:szCs w:val="20"/>
              </w:rPr>
            </w:pPr>
            <w:r w:rsidRPr="00563D71">
              <w:rPr>
                <w:rFonts w:asciiTheme="majorBidi" w:hAnsiTheme="majorBidi" w:cstheme="majorBidi"/>
                <w:sz w:val="20"/>
                <w:szCs w:val="20"/>
              </w:rPr>
              <w:t xml:space="preserve">Program Management Support (through Program Management Support Consultants’ Services financed under the IPF, and/or additional qualified MPWH staff) 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 xml:space="preserve">vide coordination and training. </w:t>
            </w:r>
          </w:p>
        </w:tc>
      </w:tr>
      <w:tr w:rsidR="00EE771E" w:rsidRPr="00563D71" w14:paraId="71E0F9E7" w14:textId="77777777" w:rsidTr="00921C68">
        <w:tc>
          <w:tcPr>
            <w:tcW w:w="3551" w:type="dxa"/>
          </w:tcPr>
          <w:p w14:paraId="334CE6B7" w14:textId="77777777" w:rsidR="00EE771E" w:rsidRPr="00563D71" w:rsidRDefault="00EE771E" w:rsidP="003D2E29">
            <w:pPr>
              <w:pStyle w:val="ListParagraph"/>
              <w:numPr>
                <w:ilvl w:val="0"/>
                <w:numId w:val="8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Tourism Agency, Lombok Barat</w:t>
            </w:r>
          </w:p>
        </w:tc>
        <w:tc>
          <w:tcPr>
            <w:tcW w:w="6237" w:type="dxa"/>
          </w:tcPr>
          <w:p w14:paraId="183962E4" w14:textId="75A27FD9" w:rsidR="00EE771E" w:rsidRPr="00563D71" w:rsidRDefault="00EE771E" w:rsidP="00B55344">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The agency is part of the AMDAL commission, although none of the staff has </w:t>
            </w:r>
            <w:r w:rsidR="00B55344" w:rsidRPr="00563D71">
              <w:rPr>
                <w:rFonts w:asciiTheme="majorBidi" w:hAnsiTheme="majorBidi" w:cstheme="majorBidi"/>
                <w:sz w:val="20"/>
                <w:szCs w:val="20"/>
              </w:rPr>
              <w:t xml:space="preserve">a </w:t>
            </w:r>
            <w:r w:rsidRPr="00563D71">
              <w:rPr>
                <w:rFonts w:asciiTheme="majorBidi" w:hAnsiTheme="majorBidi" w:cstheme="majorBidi"/>
                <w:sz w:val="20"/>
                <w:szCs w:val="20"/>
              </w:rPr>
              <w:t xml:space="preserve">certificate </w:t>
            </w:r>
            <w:r w:rsidR="00B55344" w:rsidRPr="00563D71">
              <w:rPr>
                <w:rFonts w:asciiTheme="majorBidi" w:hAnsiTheme="majorBidi" w:cstheme="majorBidi"/>
                <w:sz w:val="20"/>
                <w:szCs w:val="20"/>
              </w:rPr>
              <w:t xml:space="preserve">to </w:t>
            </w:r>
            <w:r w:rsidR="00535F62" w:rsidRPr="00563D71">
              <w:rPr>
                <w:rFonts w:asciiTheme="majorBidi" w:hAnsiTheme="majorBidi" w:cstheme="majorBidi"/>
                <w:sz w:val="20"/>
                <w:szCs w:val="20"/>
              </w:rPr>
              <w:t>prepar</w:t>
            </w:r>
            <w:r w:rsidR="00B55344" w:rsidRPr="00563D71">
              <w:rPr>
                <w:rFonts w:asciiTheme="majorBidi" w:hAnsiTheme="majorBidi" w:cstheme="majorBidi"/>
                <w:sz w:val="20"/>
                <w:szCs w:val="20"/>
              </w:rPr>
              <w:t>e</w:t>
            </w:r>
            <w:r w:rsidR="00535F62" w:rsidRPr="00563D71">
              <w:rPr>
                <w:rFonts w:asciiTheme="majorBidi" w:hAnsiTheme="majorBidi" w:cstheme="majorBidi"/>
                <w:sz w:val="20"/>
                <w:szCs w:val="20"/>
              </w:rPr>
              <w:t xml:space="preserve"> or review</w:t>
            </w:r>
            <w:r w:rsidRPr="00563D71">
              <w:rPr>
                <w:rFonts w:asciiTheme="majorBidi" w:hAnsiTheme="majorBidi" w:cstheme="majorBidi"/>
                <w:sz w:val="20"/>
                <w:szCs w:val="20"/>
              </w:rPr>
              <w:t xml:space="preserve"> </w:t>
            </w:r>
            <w:r w:rsidR="00535F62" w:rsidRPr="00563D71">
              <w:rPr>
                <w:rFonts w:asciiTheme="majorBidi" w:hAnsiTheme="majorBidi" w:cstheme="majorBidi"/>
                <w:sz w:val="20"/>
                <w:szCs w:val="20"/>
              </w:rPr>
              <w:t xml:space="preserve">AMDAL </w:t>
            </w:r>
            <w:r w:rsidRPr="00563D71">
              <w:rPr>
                <w:rFonts w:asciiTheme="majorBidi" w:hAnsiTheme="majorBidi" w:cstheme="majorBidi"/>
                <w:sz w:val="20"/>
                <w:szCs w:val="20"/>
              </w:rPr>
              <w:t>documents. Their main role is to provide recommendation</w:t>
            </w:r>
            <w:r w:rsidR="00B55344" w:rsidRPr="00563D71">
              <w:rPr>
                <w:rFonts w:asciiTheme="majorBidi" w:hAnsiTheme="majorBidi" w:cstheme="majorBidi"/>
                <w:sz w:val="20"/>
                <w:szCs w:val="20"/>
              </w:rPr>
              <w:t>s</w:t>
            </w:r>
            <w:r w:rsidRPr="00563D71">
              <w:rPr>
                <w:rFonts w:asciiTheme="majorBidi" w:hAnsiTheme="majorBidi" w:cstheme="majorBidi"/>
                <w:sz w:val="20"/>
                <w:szCs w:val="20"/>
              </w:rPr>
              <w:t xml:space="preserve"> in the tourism sector. The capacity of the agency could be increase</w:t>
            </w:r>
            <w:r w:rsidR="00B55344" w:rsidRPr="00563D71">
              <w:rPr>
                <w:rFonts w:asciiTheme="majorBidi" w:hAnsiTheme="majorBidi" w:cstheme="majorBidi"/>
                <w:sz w:val="20"/>
                <w:szCs w:val="20"/>
              </w:rPr>
              <w:t>d</w:t>
            </w:r>
            <w:r w:rsidRPr="00563D71">
              <w:rPr>
                <w:rFonts w:asciiTheme="majorBidi" w:hAnsiTheme="majorBidi" w:cstheme="majorBidi"/>
                <w:sz w:val="20"/>
                <w:szCs w:val="20"/>
              </w:rPr>
              <w:t xml:space="preserve"> through training f</w:t>
            </w:r>
            <w:r w:rsidR="00535F62" w:rsidRPr="00563D71">
              <w:rPr>
                <w:rFonts w:asciiTheme="majorBidi" w:hAnsiTheme="majorBidi" w:cstheme="majorBidi"/>
                <w:sz w:val="20"/>
                <w:szCs w:val="20"/>
              </w:rPr>
              <w:t xml:space="preserve">ocusing on sustainable tourism and </w:t>
            </w:r>
            <w:r w:rsidRPr="00563D71">
              <w:rPr>
                <w:rFonts w:asciiTheme="majorBidi" w:hAnsiTheme="majorBidi" w:cstheme="majorBidi"/>
                <w:sz w:val="20"/>
                <w:szCs w:val="20"/>
              </w:rPr>
              <w:t>basic traini</w:t>
            </w:r>
            <w:r w:rsidR="00535F62" w:rsidRPr="00563D71">
              <w:rPr>
                <w:rFonts w:asciiTheme="majorBidi" w:hAnsiTheme="majorBidi" w:cstheme="majorBidi"/>
                <w:sz w:val="20"/>
                <w:szCs w:val="20"/>
              </w:rPr>
              <w:t>ng UKL-UPL.</w:t>
            </w:r>
          </w:p>
        </w:tc>
        <w:tc>
          <w:tcPr>
            <w:tcW w:w="2835" w:type="dxa"/>
          </w:tcPr>
          <w:p w14:paraId="6C9381A1" w14:textId="63281E40" w:rsidR="00EE771E" w:rsidRPr="00563D71" w:rsidRDefault="00E524AC" w:rsidP="0006769B">
            <w:pPr>
              <w:ind w:left="0" w:right="17"/>
              <w:rPr>
                <w:rFonts w:asciiTheme="majorBidi" w:hAnsiTheme="majorBidi" w:cstheme="majorBidi"/>
                <w:sz w:val="20"/>
                <w:szCs w:val="20"/>
              </w:rPr>
            </w:pPr>
            <w:r w:rsidRPr="00563D71">
              <w:rPr>
                <w:rFonts w:asciiTheme="majorBidi" w:hAnsiTheme="majorBidi" w:cstheme="majorBidi"/>
                <w:sz w:val="20"/>
                <w:szCs w:val="20"/>
              </w:rPr>
              <w:t xml:space="preserve">Program Management Support (through Program Management Support Consultants’ Services financed under the IPF, and/or additional qualified MPWH staff) 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 xml:space="preserve">vide coordination and training.  </w:t>
            </w:r>
          </w:p>
        </w:tc>
      </w:tr>
      <w:tr w:rsidR="00EE771E" w:rsidRPr="00563D71" w14:paraId="29542E6D" w14:textId="77777777" w:rsidTr="00921C68">
        <w:tc>
          <w:tcPr>
            <w:tcW w:w="3551" w:type="dxa"/>
          </w:tcPr>
          <w:p w14:paraId="5EE0179D" w14:textId="77777777" w:rsidR="00EE771E" w:rsidRPr="00563D71" w:rsidRDefault="00EE771E" w:rsidP="003D2E29">
            <w:pPr>
              <w:pStyle w:val="ListParagraph"/>
              <w:numPr>
                <w:ilvl w:val="0"/>
                <w:numId w:val="8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Public Works Agency, Lombok Barat</w:t>
            </w:r>
          </w:p>
        </w:tc>
        <w:tc>
          <w:tcPr>
            <w:tcW w:w="6237" w:type="dxa"/>
          </w:tcPr>
          <w:p w14:paraId="79862485" w14:textId="096F96F0" w:rsidR="00EE771E" w:rsidRPr="00563D71" w:rsidRDefault="00EE771E" w:rsidP="00865314">
            <w:pPr>
              <w:ind w:left="0" w:right="15" w:firstLine="0"/>
              <w:rPr>
                <w:rFonts w:asciiTheme="majorBidi" w:hAnsiTheme="majorBidi" w:cstheme="majorBidi"/>
                <w:sz w:val="20"/>
                <w:szCs w:val="20"/>
              </w:rPr>
            </w:pPr>
            <w:r w:rsidRPr="00563D71">
              <w:rPr>
                <w:rFonts w:asciiTheme="majorBidi" w:hAnsiTheme="majorBidi" w:cstheme="majorBidi"/>
                <w:sz w:val="20"/>
                <w:szCs w:val="20"/>
              </w:rPr>
              <w:t>The agency has 256 staff</w:t>
            </w:r>
            <w:r w:rsidR="0045551E" w:rsidRPr="00563D71">
              <w:rPr>
                <w:rFonts w:asciiTheme="majorBidi" w:hAnsiTheme="majorBidi" w:cstheme="majorBidi"/>
                <w:sz w:val="20"/>
                <w:szCs w:val="20"/>
              </w:rPr>
              <w:t>,</w:t>
            </w:r>
            <w:r w:rsidRPr="00563D71">
              <w:rPr>
                <w:rFonts w:asciiTheme="majorBidi" w:hAnsiTheme="majorBidi" w:cstheme="majorBidi"/>
                <w:sz w:val="20"/>
                <w:szCs w:val="20"/>
              </w:rPr>
              <w:t xml:space="preserve"> with approximately 20% </w:t>
            </w:r>
            <w:r w:rsidR="0045551E" w:rsidRPr="00563D71">
              <w:rPr>
                <w:rFonts w:asciiTheme="majorBidi" w:hAnsiTheme="majorBidi" w:cstheme="majorBidi"/>
                <w:sz w:val="20"/>
                <w:szCs w:val="20"/>
              </w:rPr>
              <w:t xml:space="preserve">having </w:t>
            </w:r>
            <w:r w:rsidRPr="00563D71">
              <w:rPr>
                <w:rFonts w:asciiTheme="majorBidi" w:hAnsiTheme="majorBidi" w:cstheme="majorBidi"/>
                <w:sz w:val="20"/>
                <w:szCs w:val="20"/>
              </w:rPr>
              <w:t>completed undergraduate studies</w:t>
            </w:r>
            <w:r w:rsidR="0045551E" w:rsidRPr="00563D71">
              <w:rPr>
                <w:rFonts w:asciiTheme="majorBidi" w:hAnsiTheme="majorBidi" w:cstheme="majorBidi"/>
                <w:sz w:val="20"/>
                <w:szCs w:val="20"/>
              </w:rPr>
              <w:t>,</w:t>
            </w:r>
            <w:r w:rsidRPr="00563D71">
              <w:rPr>
                <w:rFonts w:asciiTheme="majorBidi" w:hAnsiTheme="majorBidi" w:cstheme="majorBidi"/>
                <w:sz w:val="20"/>
                <w:szCs w:val="20"/>
              </w:rPr>
              <w:t xml:space="preserve"> and about 80% ha</w:t>
            </w:r>
            <w:r w:rsidR="0045551E" w:rsidRPr="00563D71">
              <w:rPr>
                <w:rFonts w:asciiTheme="majorBidi" w:hAnsiTheme="majorBidi" w:cstheme="majorBidi"/>
                <w:sz w:val="20"/>
                <w:szCs w:val="20"/>
              </w:rPr>
              <w:t>ving</w:t>
            </w:r>
            <w:r w:rsidRPr="00563D71">
              <w:rPr>
                <w:rFonts w:asciiTheme="majorBidi" w:hAnsiTheme="majorBidi" w:cstheme="majorBidi"/>
                <w:sz w:val="20"/>
                <w:szCs w:val="20"/>
              </w:rPr>
              <w:t xml:space="preserve"> completed high school and elementary studies. The current projects under the agency mainly required UKL-UPL </w:t>
            </w:r>
            <w:r w:rsidR="00535F62" w:rsidRPr="00563D71">
              <w:rPr>
                <w:rFonts w:asciiTheme="majorBidi" w:hAnsiTheme="majorBidi" w:cstheme="majorBidi"/>
                <w:sz w:val="20"/>
                <w:szCs w:val="20"/>
              </w:rPr>
              <w:t xml:space="preserve">and </w:t>
            </w:r>
            <w:r w:rsidR="0045551E" w:rsidRPr="00563D71">
              <w:rPr>
                <w:rFonts w:asciiTheme="majorBidi" w:hAnsiTheme="majorBidi" w:cstheme="majorBidi"/>
                <w:sz w:val="20"/>
                <w:szCs w:val="20"/>
              </w:rPr>
              <w:t xml:space="preserve">are done </w:t>
            </w:r>
            <w:r w:rsidRPr="00563D71">
              <w:rPr>
                <w:rFonts w:asciiTheme="majorBidi" w:hAnsiTheme="majorBidi" w:cstheme="majorBidi"/>
                <w:sz w:val="20"/>
                <w:szCs w:val="20"/>
              </w:rPr>
              <w:t xml:space="preserve">by the agency. The agency has no staff </w:t>
            </w:r>
            <w:r w:rsidR="0045551E" w:rsidRPr="00563D71">
              <w:rPr>
                <w:rFonts w:asciiTheme="majorBidi" w:hAnsiTheme="majorBidi" w:cstheme="majorBidi"/>
                <w:sz w:val="20"/>
                <w:szCs w:val="20"/>
              </w:rPr>
              <w:t xml:space="preserve">members </w:t>
            </w:r>
            <w:r w:rsidRPr="00563D71">
              <w:rPr>
                <w:rFonts w:asciiTheme="majorBidi" w:hAnsiTheme="majorBidi" w:cstheme="majorBidi"/>
                <w:sz w:val="20"/>
                <w:szCs w:val="20"/>
              </w:rPr>
              <w:t xml:space="preserve">who </w:t>
            </w:r>
            <w:r w:rsidR="0045551E" w:rsidRPr="00563D71">
              <w:rPr>
                <w:rFonts w:asciiTheme="majorBidi" w:hAnsiTheme="majorBidi" w:cstheme="majorBidi"/>
                <w:sz w:val="20"/>
                <w:szCs w:val="20"/>
              </w:rPr>
              <w:t xml:space="preserve">are </w:t>
            </w:r>
            <w:r w:rsidRPr="00563D71">
              <w:rPr>
                <w:rFonts w:asciiTheme="majorBidi" w:hAnsiTheme="majorBidi" w:cstheme="majorBidi"/>
                <w:sz w:val="20"/>
                <w:szCs w:val="20"/>
              </w:rPr>
              <w:t xml:space="preserve">AMDAL certified, </w:t>
            </w:r>
            <w:r w:rsidR="00C520FD" w:rsidRPr="00563D71">
              <w:rPr>
                <w:rFonts w:asciiTheme="majorBidi" w:hAnsiTheme="majorBidi" w:cstheme="majorBidi"/>
                <w:sz w:val="20"/>
                <w:szCs w:val="20"/>
              </w:rPr>
              <w:t xml:space="preserve">except for </w:t>
            </w:r>
            <w:r w:rsidRPr="00563D71">
              <w:rPr>
                <w:rFonts w:asciiTheme="majorBidi" w:hAnsiTheme="majorBidi" w:cstheme="majorBidi"/>
                <w:sz w:val="20"/>
                <w:szCs w:val="20"/>
              </w:rPr>
              <w:t xml:space="preserve">the </w:t>
            </w:r>
            <w:r w:rsidR="00C520FD" w:rsidRPr="00563D71">
              <w:rPr>
                <w:rFonts w:asciiTheme="majorBidi" w:hAnsiTheme="majorBidi" w:cstheme="majorBidi"/>
                <w:sz w:val="20"/>
                <w:szCs w:val="20"/>
              </w:rPr>
              <w:t>acting Head of the Agency (</w:t>
            </w:r>
            <w:r w:rsidRPr="00563D71">
              <w:rPr>
                <w:rFonts w:asciiTheme="majorBidi" w:hAnsiTheme="majorBidi" w:cstheme="majorBidi"/>
                <w:i/>
                <w:sz w:val="20"/>
                <w:szCs w:val="20"/>
              </w:rPr>
              <w:t>Plt Kadis</w:t>
            </w:r>
            <w:r w:rsidR="00C520FD" w:rsidRPr="00563D71">
              <w:rPr>
                <w:rFonts w:asciiTheme="majorBidi" w:hAnsiTheme="majorBidi" w:cstheme="majorBidi"/>
                <w:i/>
                <w:sz w:val="20"/>
                <w:szCs w:val="20"/>
              </w:rPr>
              <w:t>).</w:t>
            </w:r>
            <w:r w:rsidR="00C520FD" w:rsidRPr="00563D71" w:rsidDel="00C520FD">
              <w:rPr>
                <w:rFonts w:asciiTheme="majorBidi" w:hAnsiTheme="majorBidi" w:cstheme="majorBidi"/>
                <w:i/>
                <w:sz w:val="20"/>
                <w:szCs w:val="20"/>
              </w:rPr>
              <w:t xml:space="preserve"> </w:t>
            </w:r>
            <w:r w:rsidR="00865314" w:rsidRPr="00563D71">
              <w:rPr>
                <w:rFonts w:asciiTheme="majorBidi" w:hAnsiTheme="majorBidi" w:cstheme="majorBidi"/>
                <w:sz w:val="20"/>
                <w:szCs w:val="20"/>
              </w:rPr>
              <w:t xml:space="preserve">They also support other local agencies by providing inputs on environmental related meetings. </w:t>
            </w:r>
          </w:p>
        </w:tc>
        <w:tc>
          <w:tcPr>
            <w:tcW w:w="2835" w:type="dxa"/>
          </w:tcPr>
          <w:p w14:paraId="2A340944" w14:textId="7B264579" w:rsidR="00EE771E" w:rsidRPr="00563D71" w:rsidRDefault="00535F62" w:rsidP="008328DE">
            <w:pPr>
              <w:pStyle w:val="ListParagraph"/>
              <w:spacing w:line="240" w:lineRule="auto"/>
              <w:ind w:left="0" w:right="15"/>
              <w:rPr>
                <w:rFonts w:asciiTheme="majorBidi" w:hAnsiTheme="majorBidi" w:cstheme="majorBidi"/>
                <w:sz w:val="20"/>
                <w:szCs w:val="20"/>
              </w:rPr>
            </w:pPr>
            <w:r w:rsidRPr="00563D71">
              <w:rPr>
                <w:rFonts w:asciiTheme="majorBidi" w:hAnsiTheme="majorBidi" w:cstheme="majorBidi"/>
                <w:sz w:val="20"/>
                <w:szCs w:val="20"/>
              </w:rPr>
              <w:t xml:space="preserve">No area of strengthening needed. </w:t>
            </w:r>
          </w:p>
        </w:tc>
      </w:tr>
      <w:tr w:rsidR="00EE771E" w:rsidRPr="00563D71" w14:paraId="083DA96B" w14:textId="77777777" w:rsidTr="00921C68">
        <w:tc>
          <w:tcPr>
            <w:tcW w:w="3551" w:type="dxa"/>
          </w:tcPr>
          <w:p w14:paraId="1D85D255" w14:textId="11983CFF" w:rsidR="00EE771E" w:rsidRPr="00563D71" w:rsidRDefault="00EE771E" w:rsidP="003D2E29">
            <w:pPr>
              <w:pStyle w:val="ListParagraph"/>
              <w:numPr>
                <w:ilvl w:val="0"/>
                <w:numId w:val="87"/>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Sustainable Tourism </w:t>
            </w:r>
            <w:r w:rsidR="000800A6" w:rsidRPr="00563D71">
              <w:rPr>
                <w:rFonts w:asciiTheme="majorBidi" w:hAnsiTheme="majorBidi" w:cstheme="majorBidi"/>
                <w:sz w:val="20"/>
                <w:szCs w:val="20"/>
              </w:rPr>
              <w:t>Organization</w:t>
            </w:r>
            <w:r w:rsidRPr="00563D71">
              <w:rPr>
                <w:rFonts w:asciiTheme="majorBidi" w:hAnsiTheme="majorBidi" w:cstheme="majorBidi"/>
                <w:sz w:val="20"/>
                <w:szCs w:val="20"/>
              </w:rPr>
              <w:t xml:space="preserve"> (University of Mataram, Lombok)</w:t>
            </w:r>
          </w:p>
        </w:tc>
        <w:tc>
          <w:tcPr>
            <w:tcW w:w="6237" w:type="dxa"/>
          </w:tcPr>
          <w:p w14:paraId="31E2CC57" w14:textId="46044F82" w:rsidR="00EE771E" w:rsidRPr="00563D71" w:rsidRDefault="00EE771E" w:rsidP="00130663">
            <w:pPr>
              <w:ind w:left="0" w:right="15" w:firstLine="0"/>
              <w:rPr>
                <w:rFonts w:asciiTheme="majorBidi" w:hAnsiTheme="majorBidi" w:cstheme="majorBidi"/>
                <w:sz w:val="20"/>
                <w:szCs w:val="20"/>
              </w:rPr>
            </w:pPr>
            <w:r w:rsidRPr="00563D71">
              <w:rPr>
                <w:rFonts w:asciiTheme="majorBidi" w:hAnsiTheme="majorBidi" w:cstheme="majorBidi"/>
                <w:sz w:val="20"/>
                <w:szCs w:val="20"/>
              </w:rPr>
              <w:t>The establishment of STOs for three pilot chosen destination</w:t>
            </w:r>
            <w:r w:rsidR="00EB4BB4" w:rsidRPr="00563D71">
              <w:rPr>
                <w:rFonts w:asciiTheme="majorBidi" w:hAnsiTheme="majorBidi" w:cstheme="majorBidi"/>
                <w:sz w:val="20"/>
                <w:szCs w:val="20"/>
              </w:rPr>
              <w:t>s</w:t>
            </w:r>
            <w:r w:rsidRPr="00563D71">
              <w:rPr>
                <w:rFonts w:asciiTheme="majorBidi" w:hAnsiTheme="majorBidi" w:cstheme="majorBidi"/>
                <w:sz w:val="20"/>
                <w:szCs w:val="20"/>
              </w:rPr>
              <w:t xml:space="preserve"> (Sesaot, Lombok; Sleman, Yogyakarta and Pangandaran, West Java) was formalized through an MOU signed between UNWTO and </w:t>
            </w:r>
            <w:r w:rsidR="00E62922" w:rsidRPr="00563D71">
              <w:rPr>
                <w:rFonts w:asciiTheme="majorBidi" w:hAnsiTheme="majorBidi" w:cstheme="majorBidi"/>
                <w:sz w:val="20"/>
                <w:szCs w:val="20"/>
              </w:rPr>
              <w:t>the Ministry of Tourism</w:t>
            </w:r>
            <w:r w:rsidRPr="00563D71">
              <w:rPr>
                <w:rFonts w:asciiTheme="majorBidi" w:hAnsiTheme="majorBidi" w:cstheme="majorBidi"/>
                <w:sz w:val="20"/>
                <w:szCs w:val="20"/>
              </w:rPr>
              <w:t xml:space="preserve"> in </w:t>
            </w:r>
            <w:r w:rsidRPr="00563D71">
              <w:rPr>
                <w:rFonts w:asciiTheme="majorBidi" w:hAnsiTheme="majorBidi" w:cstheme="majorBidi"/>
                <w:sz w:val="20"/>
                <w:szCs w:val="20"/>
              </w:rPr>
              <w:lastRenderedPageBreak/>
              <w:t xml:space="preserve">Jakarta </w:t>
            </w:r>
            <w:r w:rsidR="00EB4BB4" w:rsidRPr="00563D71">
              <w:rPr>
                <w:rFonts w:asciiTheme="majorBidi" w:hAnsiTheme="majorBidi" w:cstheme="majorBidi"/>
                <w:sz w:val="20"/>
                <w:szCs w:val="20"/>
              </w:rPr>
              <w:t>i</w:t>
            </w:r>
            <w:r w:rsidRPr="00563D71">
              <w:rPr>
                <w:rFonts w:asciiTheme="majorBidi" w:hAnsiTheme="majorBidi" w:cstheme="majorBidi"/>
                <w:sz w:val="20"/>
                <w:szCs w:val="20"/>
              </w:rPr>
              <w:t xml:space="preserve">n September 2016. The Sesaot STO currently has support from the </w:t>
            </w:r>
            <w:r w:rsidR="00FA5ABC" w:rsidRPr="00563D71">
              <w:rPr>
                <w:rFonts w:asciiTheme="majorBidi" w:hAnsiTheme="majorBidi" w:cstheme="majorBidi"/>
                <w:sz w:val="20"/>
                <w:szCs w:val="20"/>
              </w:rPr>
              <w:t xml:space="preserve">West Lombok </w:t>
            </w:r>
            <w:r w:rsidR="00EB4BB4" w:rsidRPr="00563D71">
              <w:rPr>
                <w:rFonts w:asciiTheme="majorBidi" w:hAnsiTheme="majorBidi" w:cstheme="majorBidi"/>
                <w:sz w:val="20"/>
                <w:szCs w:val="20"/>
              </w:rPr>
              <w:t>government</w:t>
            </w:r>
            <w:r w:rsidRPr="00563D71">
              <w:rPr>
                <w:rFonts w:asciiTheme="majorBidi" w:hAnsiTheme="majorBidi" w:cstheme="majorBidi"/>
                <w:sz w:val="20"/>
                <w:szCs w:val="20"/>
              </w:rPr>
              <w:t xml:space="preserve">, </w:t>
            </w:r>
            <w:r w:rsidR="00EB4BB4" w:rsidRPr="00563D71">
              <w:rPr>
                <w:rFonts w:asciiTheme="majorBidi" w:hAnsiTheme="majorBidi" w:cstheme="majorBidi"/>
                <w:sz w:val="20"/>
                <w:szCs w:val="20"/>
              </w:rPr>
              <w:t>Tourism Agency,</w:t>
            </w:r>
            <w:r w:rsidRPr="00563D71">
              <w:rPr>
                <w:rFonts w:asciiTheme="majorBidi" w:hAnsiTheme="majorBidi" w:cstheme="majorBidi"/>
                <w:sz w:val="20"/>
                <w:szCs w:val="20"/>
              </w:rPr>
              <w:t xml:space="preserve"> and </w:t>
            </w:r>
            <w:r w:rsidR="00E350A2">
              <w:rPr>
                <w:rFonts w:asciiTheme="majorBidi" w:hAnsiTheme="majorBidi" w:cstheme="majorBidi"/>
                <w:sz w:val="20"/>
                <w:szCs w:val="20"/>
              </w:rPr>
              <w:t>BAPPEDA</w:t>
            </w:r>
            <w:r w:rsidRPr="00563D71">
              <w:rPr>
                <w:rFonts w:asciiTheme="majorBidi" w:hAnsiTheme="majorBidi" w:cstheme="majorBidi"/>
                <w:sz w:val="20"/>
                <w:szCs w:val="20"/>
              </w:rPr>
              <w:t xml:space="preserve"> who come together in the </w:t>
            </w:r>
            <w:r w:rsidRPr="00563D71">
              <w:rPr>
                <w:rFonts w:asciiTheme="majorBidi" w:hAnsiTheme="majorBidi" w:cstheme="majorBidi"/>
                <w:i/>
                <w:sz w:val="20"/>
                <w:szCs w:val="20"/>
              </w:rPr>
              <w:t>Forum Tata Kawasan Pariwisata</w:t>
            </w:r>
            <w:r w:rsidR="00EB4BB4" w:rsidRPr="00563D71">
              <w:rPr>
                <w:rFonts w:asciiTheme="majorBidi" w:hAnsiTheme="majorBidi" w:cstheme="majorBidi"/>
                <w:sz w:val="20"/>
                <w:szCs w:val="20"/>
              </w:rPr>
              <w:t>.</w:t>
            </w:r>
            <w:r w:rsidRPr="00563D71">
              <w:rPr>
                <w:rFonts w:asciiTheme="majorBidi" w:hAnsiTheme="majorBidi" w:cstheme="majorBidi"/>
                <w:sz w:val="20"/>
                <w:szCs w:val="20"/>
              </w:rPr>
              <w:t xml:space="preserve"> However</w:t>
            </w:r>
            <w:r w:rsidR="00EB4BB4" w:rsidRPr="00563D71">
              <w:rPr>
                <w:rFonts w:asciiTheme="majorBidi" w:hAnsiTheme="majorBidi" w:cstheme="majorBidi"/>
                <w:sz w:val="20"/>
                <w:szCs w:val="20"/>
              </w:rPr>
              <w:t>,</w:t>
            </w:r>
            <w:r w:rsidRPr="00563D71">
              <w:rPr>
                <w:rFonts w:asciiTheme="majorBidi" w:hAnsiTheme="majorBidi" w:cstheme="majorBidi"/>
                <w:sz w:val="20"/>
                <w:szCs w:val="20"/>
              </w:rPr>
              <w:t xml:space="preserve"> there is still work to be done to expand the STO outreach </w:t>
            </w:r>
            <w:r w:rsidR="00130663" w:rsidRPr="00563D71">
              <w:rPr>
                <w:rFonts w:asciiTheme="majorBidi" w:hAnsiTheme="majorBidi" w:cstheme="majorBidi"/>
                <w:sz w:val="20"/>
                <w:szCs w:val="20"/>
              </w:rPr>
              <w:t>including</w:t>
            </w:r>
            <w:r w:rsidRPr="00563D71">
              <w:rPr>
                <w:rFonts w:asciiTheme="majorBidi" w:hAnsiTheme="majorBidi" w:cstheme="majorBidi"/>
                <w:sz w:val="20"/>
                <w:szCs w:val="20"/>
              </w:rPr>
              <w:t>:</w:t>
            </w:r>
          </w:p>
          <w:p w14:paraId="64C5E7B1" w14:textId="35CE7A72" w:rsidR="00EE771E" w:rsidRPr="00563D71" w:rsidRDefault="00EE771E" w:rsidP="00130663">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a) the mandate needs to be strengthen by the Governor </w:t>
            </w:r>
            <w:r w:rsidR="00130663" w:rsidRPr="00563D71">
              <w:rPr>
                <w:rFonts w:asciiTheme="majorBidi" w:hAnsiTheme="majorBidi" w:cstheme="majorBidi"/>
                <w:sz w:val="20"/>
                <w:szCs w:val="20"/>
              </w:rPr>
              <w:t xml:space="preserve">to </w:t>
            </w:r>
            <w:r w:rsidRPr="00563D71">
              <w:rPr>
                <w:rFonts w:asciiTheme="majorBidi" w:hAnsiTheme="majorBidi" w:cstheme="majorBidi"/>
                <w:sz w:val="20"/>
                <w:szCs w:val="20"/>
              </w:rPr>
              <w:t>extend the legal framework of the Forum to include other regencies to support sustainable tourism;</w:t>
            </w:r>
          </w:p>
          <w:p w14:paraId="17565316" w14:textId="02D43243" w:rsidR="00EE771E" w:rsidRPr="00563D71" w:rsidRDefault="00EE771E" w:rsidP="00130663">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b) sufficient allocation of budget/funding to STOs to develop their </w:t>
            </w:r>
            <w:r w:rsidR="00E530AC" w:rsidRPr="00563D71">
              <w:rPr>
                <w:rFonts w:asciiTheme="majorBidi" w:hAnsiTheme="majorBidi" w:cstheme="majorBidi"/>
                <w:sz w:val="20"/>
                <w:szCs w:val="20"/>
              </w:rPr>
              <w:t>five-year</w:t>
            </w:r>
            <w:r w:rsidRPr="00563D71">
              <w:rPr>
                <w:rFonts w:asciiTheme="majorBidi" w:hAnsiTheme="majorBidi" w:cstheme="majorBidi"/>
                <w:sz w:val="20"/>
                <w:szCs w:val="20"/>
              </w:rPr>
              <w:t xml:space="preserve"> plans for green sustainable results need to </w:t>
            </w:r>
            <w:r w:rsidR="00130663" w:rsidRPr="00563D71">
              <w:rPr>
                <w:rFonts w:asciiTheme="majorBidi" w:hAnsiTheme="majorBidi" w:cstheme="majorBidi"/>
                <w:sz w:val="20"/>
                <w:szCs w:val="20"/>
              </w:rPr>
              <w:t>be agreed upon by</w:t>
            </w:r>
            <w:r w:rsidRPr="00563D71">
              <w:rPr>
                <w:rFonts w:asciiTheme="majorBidi" w:hAnsiTheme="majorBidi" w:cstheme="majorBidi"/>
                <w:sz w:val="20"/>
                <w:szCs w:val="20"/>
              </w:rPr>
              <w:t xml:space="preserve"> different stakeholders;</w:t>
            </w:r>
          </w:p>
          <w:p w14:paraId="65BE280A" w14:textId="263C94B4" w:rsidR="00EE771E" w:rsidRPr="00563D71" w:rsidRDefault="00EE771E" w:rsidP="00130663">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c) the environmental monitoring for water quality assessments can be conducted jointly with the University of Mataram and </w:t>
            </w:r>
            <w:r w:rsidRPr="00563D71">
              <w:rPr>
                <w:rFonts w:asciiTheme="majorBidi" w:hAnsiTheme="majorBidi" w:cstheme="majorBidi"/>
                <w:i/>
                <w:sz w:val="20"/>
                <w:szCs w:val="20"/>
              </w:rPr>
              <w:t>Badan Lingkungan Hidup</w:t>
            </w:r>
            <w:r w:rsidRPr="00563D71">
              <w:rPr>
                <w:rFonts w:asciiTheme="majorBidi" w:hAnsiTheme="majorBidi" w:cstheme="majorBidi"/>
                <w:sz w:val="20"/>
                <w:szCs w:val="20"/>
              </w:rPr>
              <w:t xml:space="preserve"> (BLH) in Lombok Barat. </w:t>
            </w:r>
          </w:p>
          <w:p w14:paraId="31D608CC" w14:textId="3E51171E" w:rsidR="00EE771E" w:rsidRPr="00563D71" w:rsidRDefault="00EE771E" w:rsidP="0006769B">
            <w:pPr>
              <w:ind w:left="0" w:right="15" w:firstLine="0"/>
              <w:rPr>
                <w:rFonts w:asciiTheme="majorBidi" w:hAnsiTheme="majorBidi" w:cstheme="majorBidi"/>
                <w:sz w:val="20"/>
                <w:szCs w:val="20"/>
              </w:rPr>
            </w:pPr>
          </w:p>
        </w:tc>
        <w:tc>
          <w:tcPr>
            <w:tcW w:w="2835" w:type="dxa"/>
          </w:tcPr>
          <w:p w14:paraId="2A8EF043" w14:textId="2388A92C" w:rsidR="00E25AE9" w:rsidRPr="00563D71" w:rsidRDefault="00E25AE9" w:rsidP="008328DE">
            <w:pPr>
              <w:spacing w:after="160"/>
              <w:ind w:left="0" w:right="17" w:firstLine="0"/>
              <w:contextualSpacing/>
              <w:rPr>
                <w:rFonts w:asciiTheme="majorBidi" w:eastAsiaTheme="minorEastAsia" w:hAnsiTheme="majorBidi" w:cstheme="majorBidi"/>
                <w:color w:val="auto"/>
                <w:sz w:val="20"/>
                <w:szCs w:val="20"/>
              </w:rPr>
            </w:pPr>
            <w:r w:rsidRPr="00563D71">
              <w:rPr>
                <w:rFonts w:asciiTheme="majorBidi" w:hAnsiTheme="majorBidi" w:cstheme="majorBidi"/>
                <w:color w:val="auto"/>
                <w:sz w:val="20"/>
                <w:szCs w:val="20"/>
              </w:rPr>
              <w:lastRenderedPageBreak/>
              <w:t xml:space="preserve">Program Management Support (through Program Management Support Consultants’ Services financed under the IPF, and/or </w:t>
            </w:r>
            <w:r w:rsidRPr="00563D71">
              <w:rPr>
                <w:rFonts w:asciiTheme="majorBidi" w:hAnsiTheme="majorBidi" w:cstheme="majorBidi"/>
                <w:color w:val="auto"/>
                <w:sz w:val="20"/>
                <w:szCs w:val="20"/>
              </w:rPr>
              <w:lastRenderedPageBreak/>
              <w:t xml:space="preserve">additional qualified MPWH staff) </w:t>
            </w:r>
            <w:r w:rsidRPr="00563D71">
              <w:rPr>
                <w:rFonts w:asciiTheme="majorBidi" w:hAnsiTheme="majorBidi" w:cstheme="majorBidi"/>
                <w:sz w:val="20"/>
                <w:szCs w:val="20"/>
              </w:rPr>
              <w:t xml:space="preserve">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 xml:space="preserve">vide coordination.  </w:t>
            </w:r>
          </w:p>
          <w:p w14:paraId="184D3459" w14:textId="5575FD9A" w:rsidR="00A905BF" w:rsidRPr="00563D71" w:rsidRDefault="00A905BF" w:rsidP="008328DE">
            <w:pPr>
              <w:spacing w:after="160"/>
              <w:ind w:left="0" w:right="17" w:firstLine="0"/>
              <w:contextualSpacing/>
              <w:rPr>
                <w:rFonts w:asciiTheme="majorBidi" w:eastAsiaTheme="minorEastAsia" w:hAnsiTheme="majorBidi" w:cstheme="majorBidi"/>
                <w:color w:val="auto"/>
                <w:sz w:val="20"/>
                <w:szCs w:val="20"/>
              </w:rPr>
            </w:pPr>
            <w:r w:rsidRPr="00563D71">
              <w:rPr>
                <w:rFonts w:asciiTheme="majorBidi" w:eastAsiaTheme="minorEastAsia" w:hAnsiTheme="majorBidi" w:cstheme="majorBidi"/>
                <w:color w:val="auto"/>
                <w:sz w:val="20"/>
                <w:szCs w:val="20"/>
              </w:rPr>
              <w:t xml:space="preserve">Ministry of Tourism to provide sufficient financing and training. </w:t>
            </w:r>
          </w:p>
          <w:p w14:paraId="7B1C5033" w14:textId="77777777" w:rsidR="00EE771E" w:rsidRPr="00563D71" w:rsidRDefault="00EE771E" w:rsidP="008328DE">
            <w:pPr>
              <w:ind w:left="0" w:right="15" w:firstLine="0"/>
              <w:rPr>
                <w:rFonts w:asciiTheme="majorBidi" w:hAnsiTheme="majorBidi" w:cstheme="majorBidi"/>
                <w:sz w:val="20"/>
                <w:szCs w:val="20"/>
              </w:rPr>
            </w:pPr>
          </w:p>
        </w:tc>
      </w:tr>
      <w:tr w:rsidR="00EE771E" w:rsidRPr="00563D71" w14:paraId="00C1B3DB" w14:textId="77777777" w:rsidTr="00921C68">
        <w:tc>
          <w:tcPr>
            <w:tcW w:w="3551" w:type="dxa"/>
          </w:tcPr>
          <w:p w14:paraId="6CFE2340" w14:textId="47F0A580" w:rsidR="00EE771E" w:rsidRPr="00563D71" w:rsidRDefault="00EE771E" w:rsidP="0006769B">
            <w:pPr>
              <w:ind w:left="0" w:right="15" w:firstLine="0"/>
              <w:rPr>
                <w:rFonts w:asciiTheme="majorBidi" w:hAnsiTheme="majorBidi" w:cstheme="majorBidi"/>
                <w:sz w:val="20"/>
                <w:szCs w:val="20"/>
              </w:rPr>
            </w:pPr>
            <w:r w:rsidRPr="00563D71">
              <w:rPr>
                <w:rFonts w:asciiTheme="majorBidi" w:hAnsiTheme="majorBidi" w:cstheme="majorBidi"/>
                <w:sz w:val="20"/>
                <w:szCs w:val="20"/>
              </w:rPr>
              <w:lastRenderedPageBreak/>
              <w:t>Borobudur/</w:t>
            </w:r>
            <w:r w:rsidR="00DC4ED0" w:rsidRPr="00563D71">
              <w:rPr>
                <w:rFonts w:asciiTheme="majorBidi" w:hAnsiTheme="majorBidi" w:cstheme="majorBidi"/>
                <w:sz w:val="20"/>
                <w:szCs w:val="20"/>
              </w:rPr>
              <w:t>Yogyakarta</w:t>
            </w:r>
            <w:r w:rsidRPr="00563D71">
              <w:rPr>
                <w:rFonts w:asciiTheme="majorBidi" w:hAnsiTheme="majorBidi" w:cstheme="majorBidi"/>
                <w:sz w:val="20"/>
                <w:szCs w:val="20"/>
              </w:rPr>
              <w:t>/Prambanan</w:t>
            </w:r>
          </w:p>
          <w:p w14:paraId="6C9B472F" w14:textId="77777777" w:rsidR="00EE771E" w:rsidRPr="00563D71" w:rsidRDefault="00EE771E" w:rsidP="0006769B">
            <w:pPr>
              <w:ind w:left="0" w:right="15" w:firstLine="0"/>
              <w:rPr>
                <w:rFonts w:asciiTheme="majorBidi" w:hAnsiTheme="majorBidi" w:cstheme="majorBidi"/>
                <w:sz w:val="20"/>
                <w:szCs w:val="20"/>
              </w:rPr>
            </w:pPr>
          </w:p>
        </w:tc>
        <w:tc>
          <w:tcPr>
            <w:tcW w:w="6237" w:type="dxa"/>
          </w:tcPr>
          <w:p w14:paraId="1C06B682" w14:textId="77777777" w:rsidR="00EE771E" w:rsidRPr="00563D71" w:rsidRDefault="00EE771E" w:rsidP="0006769B">
            <w:pPr>
              <w:ind w:right="15"/>
              <w:rPr>
                <w:rFonts w:asciiTheme="majorBidi" w:hAnsiTheme="majorBidi" w:cstheme="majorBidi"/>
                <w:sz w:val="20"/>
                <w:szCs w:val="20"/>
              </w:rPr>
            </w:pPr>
          </w:p>
        </w:tc>
        <w:tc>
          <w:tcPr>
            <w:tcW w:w="2835" w:type="dxa"/>
          </w:tcPr>
          <w:p w14:paraId="48946A60" w14:textId="77777777" w:rsidR="00EE771E" w:rsidRPr="00563D71" w:rsidRDefault="00EE771E" w:rsidP="0006769B">
            <w:pPr>
              <w:ind w:left="0" w:right="15" w:firstLine="0"/>
              <w:rPr>
                <w:rFonts w:asciiTheme="majorBidi" w:hAnsiTheme="majorBidi" w:cstheme="majorBidi"/>
                <w:sz w:val="20"/>
                <w:szCs w:val="20"/>
              </w:rPr>
            </w:pPr>
          </w:p>
        </w:tc>
      </w:tr>
      <w:tr w:rsidR="00EE771E" w:rsidRPr="00563D71" w14:paraId="18F49FF7" w14:textId="77777777" w:rsidTr="00921C68">
        <w:tc>
          <w:tcPr>
            <w:tcW w:w="3551" w:type="dxa"/>
          </w:tcPr>
          <w:p w14:paraId="31B7A443" w14:textId="596C5981" w:rsidR="00EE771E" w:rsidRPr="00563D71" w:rsidRDefault="00EE771E" w:rsidP="003D2E29">
            <w:pPr>
              <w:pStyle w:val="ListParagraph"/>
              <w:numPr>
                <w:ilvl w:val="0"/>
                <w:numId w:val="72"/>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Yogyakarta Special Region </w:t>
            </w:r>
            <w:r w:rsidR="00E350A2">
              <w:rPr>
                <w:rFonts w:asciiTheme="majorBidi" w:hAnsiTheme="majorBidi" w:cstheme="majorBidi"/>
                <w:sz w:val="20"/>
                <w:szCs w:val="20"/>
              </w:rPr>
              <w:t>BAPPEDA</w:t>
            </w:r>
          </w:p>
        </w:tc>
        <w:tc>
          <w:tcPr>
            <w:tcW w:w="6237" w:type="dxa"/>
          </w:tcPr>
          <w:p w14:paraId="4DB4BA18" w14:textId="1223B250" w:rsidR="00EE771E" w:rsidRPr="00563D71" w:rsidRDefault="00130663" w:rsidP="00130663">
            <w:pPr>
              <w:ind w:left="0" w:right="15" w:firstLine="0"/>
              <w:rPr>
                <w:rFonts w:asciiTheme="majorBidi" w:hAnsiTheme="majorBidi" w:cstheme="majorBidi"/>
                <w:sz w:val="20"/>
                <w:szCs w:val="20"/>
              </w:rPr>
            </w:pPr>
            <w:r w:rsidRPr="00563D71">
              <w:rPr>
                <w:rFonts w:asciiTheme="majorBidi" w:hAnsiTheme="majorBidi" w:cstheme="majorBidi"/>
                <w:sz w:val="20"/>
                <w:szCs w:val="20"/>
              </w:rPr>
              <w:t>This is o</w:t>
            </w:r>
            <w:r w:rsidR="00EE771E" w:rsidRPr="00563D71">
              <w:rPr>
                <w:rFonts w:asciiTheme="majorBidi" w:hAnsiTheme="majorBidi" w:cstheme="majorBidi"/>
                <w:sz w:val="20"/>
                <w:szCs w:val="20"/>
              </w:rPr>
              <w:t xml:space="preserve">ne of the few provinces in Java </w:t>
            </w:r>
            <w:r w:rsidRPr="00563D71">
              <w:rPr>
                <w:rFonts w:asciiTheme="majorBidi" w:hAnsiTheme="majorBidi" w:cstheme="majorBidi"/>
                <w:sz w:val="20"/>
                <w:szCs w:val="20"/>
              </w:rPr>
              <w:t xml:space="preserve">that </w:t>
            </w:r>
            <w:r w:rsidR="00EE771E" w:rsidRPr="00563D71">
              <w:rPr>
                <w:rFonts w:asciiTheme="majorBidi" w:hAnsiTheme="majorBidi" w:cstheme="majorBidi"/>
                <w:sz w:val="20"/>
                <w:szCs w:val="20"/>
              </w:rPr>
              <w:t xml:space="preserve">has been selected for </w:t>
            </w:r>
            <w:r w:rsidRPr="00563D71">
              <w:rPr>
                <w:rFonts w:asciiTheme="majorBidi" w:hAnsiTheme="majorBidi" w:cstheme="majorBidi"/>
                <w:sz w:val="20"/>
                <w:szCs w:val="20"/>
              </w:rPr>
              <w:t xml:space="preserve">a </w:t>
            </w:r>
            <w:r w:rsidR="00EE771E" w:rsidRPr="00563D71">
              <w:rPr>
                <w:rFonts w:asciiTheme="majorBidi" w:hAnsiTheme="majorBidi" w:cstheme="majorBidi"/>
                <w:sz w:val="20"/>
                <w:szCs w:val="20"/>
              </w:rPr>
              <w:t>few integrated master plan</w:t>
            </w:r>
            <w:r w:rsidRPr="00563D71">
              <w:rPr>
                <w:rFonts w:asciiTheme="majorBidi" w:hAnsiTheme="majorBidi" w:cstheme="majorBidi"/>
                <w:sz w:val="20"/>
                <w:szCs w:val="20"/>
              </w:rPr>
              <w:t>s,</w:t>
            </w:r>
            <w:r w:rsidR="00EE771E" w:rsidRPr="00563D71">
              <w:rPr>
                <w:rFonts w:asciiTheme="majorBidi" w:hAnsiTheme="majorBidi" w:cstheme="majorBidi"/>
                <w:sz w:val="20"/>
                <w:szCs w:val="20"/>
              </w:rPr>
              <w:t xml:space="preserve"> including connectivity (e.g. establishment harbors, ports) </w:t>
            </w:r>
            <w:r w:rsidRPr="00563D71">
              <w:rPr>
                <w:rFonts w:asciiTheme="majorBidi" w:hAnsiTheme="majorBidi" w:cstheme="majorBidi"/>
                <w:sz w:val="20"/>
                <w:szCs w:val="20"/>
              </w:rPr>
              <w:t xml:space="preserve">and </w:t>
            </w:r>
            <w:r w:rsidR="00EE771E" w:rsidRPr="00563D71">
              <w:rPr>
                <w:rFonts w:asciiTheme="majorBidi" w:hAnsiTheme="majorBidi" w:cstheme="majorBidi"/>
                <w:sz w:val="20"/>
                <w:szCs w:val="20"/>
              </w:rPr>
              <w:t xml:space="preserve">road and railway </w:t>
            </w:r>
            <w:r w:rsidRPr="00563D71">
              <w:rPr>
                <w:rFonts w:asciiTheme="majorBidi" w:hAnsiTheme="majorBidi" w:cstheme="majorBidi"/>
                <w:sz w:val="20"/>
                <w:szCs w:val="20"/>
              </w:rPr>
              <w:t xml:space="preserve">accessibility </w:t>
            </w:r>
            <w:r w:rsidR="00EE771E" w:rsidRPr="00563D71">
              <w:rPr>
                <w:rFonts w:asciiTheme="majorBidi" w:hAnsiTheme="majorBidi" w:cstheme="majorBidi"/>
                <w:sz w:val="20"/>
                <w:szCs w:val="20"/>
              </w:rPr>
              <w:t xml:space="preserve">with </w:t>
            </w:r>
            <w:r w:rsidRPr="00563D71">
              <w:rPr>
                <w:rFonts w:asciiTheme="majorBidi" w:hAnsiTheme="majorBidi" w:cstheme="majorBidi"/>
                <w:sz w:val="20"/>
                <w:szCs w:val="20"/>
              </w:rPr>
              <w:t>MPWH</w:t>
            </w:r>
            <w:r w:rsidR="00EE771E" w:rsidRPr="00563D71">
              <w:rPr>
                <w:rFonts w:asciiTheme="majorBidi" w:hAnsiTheme="majorBidi" w:cstheme="majorBidi"/>
                <w:sz w:val="20"/>
                <w:szCs w:val="20"/>
              </w:rPr>
              <w:t xml:space="preserve">. They </w:t>
            </w:r>
            <w:r w:rsidRPr="00563D71">
              <w:rPr>
                <w:rFonts w:asciiTheme="majorBidi" w:hAnsiTheme="majorBidi" w:cstheme="majorBidi"/>
                <w:sz w:val="20"/>
                <w:szCs w:val="20"/>
              </w:rPr>
              <w:t xml:space="preserve">are </w:t>
            </w:r>
            <w:r w:rsidR="00EE771E" w:rsidRPr="00563D71">
              <w:rPr>
                <w:rFonts w:asciiTheme="majorBidi" w:hAnsiTheme="majorBidi" w:cstheme="majorBidi"/>
                <w:sz w:val="20"/>
                <w:szCs w:val="20"/>
              </w:rPr>
              <w:t xml:space="preserve">also currently working on </w:t>
            </w:r>
            <w:r w:rsidRPr="00563D71">
              <w:rPr>
                <w:rFonts w:asciiTheme="majorBidi" w:hAnsiTheme="majorBidi" w:cstheme="majorBidi"/>
                <w:sz w:val="20"/>
                <w:szCs w:val="20"/>
              </w:rPr>
              <w:t xml:space="preserve">an </w:t>
            </w:r>
            <w:r w:rsidR="00EE771E" w:rsidRPr="00563D71">
              <w:rPr>
                <w:rFonts w:asciiTheme="majorBidi" w:hAnsiTheme="majorBidi" w:cstheme="majorBidi"/>
                <w:sz w:val="20"/>
                <w:szCs w:val="20"/>
              </w:rPr>
              <w:t>integrated solid waste feasibility study for three major cities (Solo, Semarang and Yog</w:t>
            </w:r>
            <w:r w:rsidRPr="00563D71">
              <w:rPr>
                <w:rFonts w:asciiTheme="majorBidi" w:hAnsiTheme="majorBidi" w:cstheme="majorBidi"/>
                <w:sz w:val="20"/>
                <w:szCs w:val="20"/>
              </w:rPr>
              <w:t>y</w:t>
            </w:r>
            <w:r w:rsidR="00EE771E" w:rsidRPr="00563D71">
              <w:rPr>
                <w:rFonts w:asciiTheme="majorBidi" w:hAnsiTheme="majorBidi" w:cstheme="majorBidi"/>
                <w:sz w:val="20"/>
                <w:szCs w:val="20"/>
              </w:rPr>
              <w:t>akarta). This shows their management capacity and their understanding o</w:t>
            </w:r>
            <w:r w:rsidRPr="00563D71">
              <w:rPr>
                <w:rFonts w:asciiTheme="majorBidi" w:hAnsiTheme="majorBidi" w:cstheme="majorBidi"/>
                <w:sz w:val="20"/>
                <w:szCs w:val="20"/>
              </w:rPr>
              <w:t>f</w:t>
            </w:r>
            <w:r w:rsidR="00EE771E" w:rsidRPr="00563D71">
              <w:rPr>
                <w:rFonts w:asciiTheme="majorBidi" w:hAnsiTheme="majorBidi" w:cstheme="majorBidi"/>
                <w:sz w:val="20"/>
                <w:szCs w:val="20"/>
              </w:rPr>
              <w:t xml:space="preserve"> regional development master</w:t>
            </w:r>
            <w:r w:rsidR="00C23CD2" w:rsidRPr="00563D71">
              <w:rPr>
                <w:rFonts w:asciiTheme="majorBidi" w:hAnsiTheme="majorBidi" w:cstheme="majorBidi"/>
                <w:sz w:val="20"/>
                <w:szCs w:val="20"/>
              </w:rPr>
              <w:t xml:space="preserve"> </w:t>
            </w:r>
            <w:r w:rsidR="00EE771E" w:rsidRPr="00563D71">
              <w:rPr>
                <w:rFonts w:asciiTheme="majorBidi" w:hAnsiTheme="majorBidi" w:cstheme="majorBidi"/>
                <w:sz w:val="20"/>
                <w:szCs w:val="20"/>
              </w:rPr>
              <w:t>plan</w:t>
            </w:r>
            <w:r w:rsidRPr="00563D71">
              <w:rPr>
                <w:rFonts w:asciiTheme="majorBidi" w:hAnsiTheme="majorBidi" w:cstheme="majorBidi"/>
                <w:sz w:val="20"/>
                <w:szCs w:val="20"/>
              </w:rPr>
              <w:t>ning</w:t>
            </w:r>
            <w:r w:rsidR="00EE771E" w:rsidRPr="00563D71">
              <w:rPr>
                <w:rFonts w:asciiTheme="majorBidi" w:hAnsiTheme="majorBidi" w:cstheme="majorBidi"/>
                <w:sz w:val="20"/>
                <w:szCs w:val="20"/>
              </w:rPr>
              <w:t>.</w:t>
            </w:r>
          </w:p>
        </w:tc>
        <w:tc>
          <w:tcPr>
            <w:tcW w:w="2835" w:type="dxa"/>
          </w:tcPr>
          <w:p w14:paraId="29540FF3" w14:textId="152D2E63" w:rsidR="00EE771E" w:rsidRPr="00563D71" w:rsidRDefault="000800A6" w:rsidP="008328DE">
            <w:pPr>
              <w:pStyle w:val="ListParagraph"/>
              <w:spacing w:line="240" w:lineRule="auto"/>
              <w:ind w:left="0" w:right="15"/>
              <w:rPr>
                <w:rFonts w:asciiTheme="majorBidi" w:hAnsiTheme="majorBidi" w:cstheme="majorBidi"/>
                <w:sz w:val="20"/>
                <w:szCs w:val="20"/>
              </w:rPr>
            </w:pPr>
            <w:r w:rsidRPr="00563D71">
              <w:rPr>
                <w:rFonts w:asciiTheme="majorBidi" w:hAnsiTheme="majorBidi" w:cstheme="majorBidi"/>
                <w:sz w:val="20"/>
                <w:szCs w:val="20"/>
              </w:rPr>
              <w:t>No area of strengthening</w:t>
            </w:r>
            <w:r w:rsidR="00D41F63" w:rsidRPr="00563D71">
              <w:rPr>
                <w:rFonts w:asciiTheme="majorBidi" w:hAnsiTheme="majorBidi" w:cstheme="majorBidi"/>
                <w:sz w:val="20"/>
                <w:szCs w:val="20"/>
              </w:rPr>
              <w:t>.</w:t>
            </w:r>
          </w:p>
        </w:tc>
      </w:tr>
      <w:tr w:rsidR="00EE771E" w:rsidRPr="00563D71" w14:paraId="3866EB2C" w14:textId="77777777" w:rsidTr="00921C68">
        <w:tc>
          <w:tcPr>
            <w:tcW w:w="3551" w:type="dxa"/>
          </w:tcPr>
          <w:p w14:paraId="7BA99387" w14:textId="6402F647" w:rsidR="00EE771E" w:rsidRPr="00563D71" w:rsidRDefault="00EE771E" w:rsidP="003D2E29">
            <w:pPr>
              <w:pStyle w:val="ListParagraph"/>
              <w:numPr>
                <w:ilvl w:val="0"/>
                <w:numId w:val="72"/>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t xml:space="preserve">MOEF </w:t>
            </w:r>
            <w:r w:rsidR="000800A6" w:rsidRPr="00563D71">
              <w:rPr>
                <w:rFonts w:asciiTheme="majorBidi" w:hAnsiTheme="majorBidi" w:cstheme="majorBidi"/>
                <w:sz w:val="20"/>
                <w:szCs w:val="20"/>
              </w:rPr>
              <w:t>Kabupaten Magelang</w:t>
            </w:r>
          </w:p>
        </w:tc>
        <w:tc>
          <w:tcPr>
            <w:tcW w:w="6237" w:type="dxa"/>
          </w:tcPr>
          <w:p w14:paraId="338DA937" w14:textId="678C47A5" w:rsidR="00E567F1" w:rsidRPr="00563D71" w:rsidRDefault="000800A6" w:rsidP="00F864DC">
            <w:pPr>
              <w:ind w:left="0" w:right="15" w:firstLine="0"/>
              <w:rPr>
                <w:rFonts w:asciiTheme="majorBidi" w:hAnsiTheme="majorBidi" w:cstheme="majorBidi"/>
                <w:sz w:val="20"/>
                <w:szCs w:val="20"/>
              </w:rPr>
            </w:pPr>
            <w:r w:rsidRPr="00563D71">
              <w:rPr>
                <w:rFonts w:asciiTheme="majorBidi" w:hAnsiTheme="majorBidi" w:cstheme="majorBidi"/>
                <w:sz w:val="20"/>
                <w:szCs w:val="20"/>
              </w:rPr>
              <w:t>With a totaled of 81 staff</w:t>
            </w:r>
            <w:r w:rsidR="0014119F" w:rsidRPr="00563D71">
              <w:rPr>
                <w:rFonts w:asciiTheme="majorBidi" w:hAnsiTheme="majorBidi" w:cstheme="majorBidi"/>
                <w:sz w:val="20"/>
                <w:szCs w:val="20"/>
              </w:rPr>
              <w:t xml:space="preserve"> member</w:t>
            </w:r>
            <w:r w:rsidRPr="00563D71">
              <w:rPr>
                <w:rFonts w:asciiTheme="majorBidi" w:hAnsiTheme="majorBidi" w:cstheme="majorBidi"/>
                <w:sz w:val="20"/>
                <w:szCs w:val="20"/>
              </w:rPr>
              <w:t xml:space="preserve">s, the team </w:t>
            </w:r>
            <w:r w:rsidR="00E567F1" w:rsidRPr="00563D71">
              <w:rPr>
                <w:rFonts w:asciiTheme="majorBidi" w:hAnsiTheme="majorBidi" w:cstheme="majorBidi"/>
                <w:sz w:val="20"/>
                <w:szCs w:val="20"/>
              </w:rPr>
              <w:t xml:space="preserve">has two </w:t>
            </w:r>
            <w:r w:rsidRPr="00563D71">
              <w:rPr>
                <w:rFonts w:asciiTheme="majorBidi" w:hAnsiTheme="majorBidi" w:cstheme="majorBidi"/>
                <w:sz w:val="20"/>
                <w:szCs w:val="20"/>
              </w:rPr>
              <w:t>staff</w:t>
            </w:r>
            <w:r w:rsidR="00E567F1" w:rsidRPr="00563D71">
              <w:rPr>
                <w:rFonts w:asciiTheme="majorBidi" w:hAnsiTheme="majorBidi" w:cstheme="majorBidi"/>
                <w:sz w:val="20"/>
                <w:szCs w:val="20"/>
              </w:rPr>
              <w:t xml:space="preserve"> </w:t>
            </w:r>
            <w:r w:rsidR="00B04E23" w:rsidRPr="00563D71">
              <w:rPr>
                <w:rFonts w:asciiTheme="majorBidi" w:hAnsiTheme="majorBidi" w:cstheme="majorBidi"/>
                <w:sz w:val="20"/>
                <w:szCs w:val="20"/>
              </w:rPr>
              <w:t>with</w:t>
            </w:r>
            <w:r w:rsidR="00E567F1" w:rsidRPr="00563D71">
              <w:rPr>
                <w:rFonts w:asciiTheme="majorBidi" w:hAnsiTheme="majorBidi" w:cstheme="majorBidi"/>
                <w:sz w:val="20"/>
                <w:szCs w:val="20"/>
              </w:rPr>
              <w:t xml:space="preserve"> AMDAL certificate</w:t>
            </w:r>
            <w:r w:rsidR="00B04E23" w:rsidRPr="00563D71">
              <w:rPr>
                <w:rFonts w:asciiTheme="majorBidi" w:hAnsiTheme="majorBidi" w:cstheme="majorBidi"/>
                <w:sz w:val="20"/>
                <w:szCs w:val="20"/>
              </w:rPr>
              <w:t>s</w:t>
            </w:r>
            <w:r w:rsidR="00E567F1" w:rsidRPr="00563D71">
              <w:rPr>
                <w:rFonts w:asciiTheme="majorBidi" w:hAnsiTheme="majorBidi" w:cstheme="majorBidi"/>
                <w:sz w:val="20"/>
                <w:szCs w:val="20"/>
              </w:rPr>
              <w:t xml:space="preserve">. </w:t>
            </w:r>
            <w:r w:rsidR="00B04E23" w:rsidRPr="00563D71">
              <w:rPr>
                <w:rFonts w:asciiTheme="majorBidi" w:hAnsiTheme="majorBidi" w:cstheme="majorBidi"/>
                <w:sz w:val="20"/>
                <w:szCs w:val="20"/>
              </w:rPr>
              <w:t>T</w:t>
            </w:r>
            <w:r w:rsidR="00E567F1" w:rsidRPr="00563D71">
              <w:rPr>
                <w:rFonts w:asciiTheme="majorBidi" w:hAnsiTheme="majorBidi" w:cstheme="majorBidi"/>
                <w:sz w:val="20"/>
                <w:szCs w:val="20"/>
              </w:rPr>
              <w:t xml:space="preserve">hey </w:t>
            </w:r>
            <w:r w:rsidR="00B04E23" w:rsidRPr="00563D71">
              <w:rPr>
                <w:rFonts w:asciiTheme="majorBidi" w:hAnsiTheme="majorBidi" w:cstheme="majorBidi"/>
                <w:sz w:val="20"/>
                <w:szCs w:val="20"/>
              </w:rPr>
              <w:t xml:space="preserve">have </w:t>
            </w:r>
            <w:r w:rsidR="00E567F1" w:rsidRPr="00563D71">
              <w:rPr>
                <w:rFonts w:asciiTheme="majorBidi" w:hAnsiTheme="majorBidi" w:cstheme="majorBidi"/>
                <w:sz w:val="20"/>
                <w:szCs w:val="20"/>
              </w:rPr>
              <w:t xml:space="preserve">enough skilled staff to process the UKL-UPL documents and also the SPPL documents. They </w:t>
            </w:r>
            <w:r w:rsidR="000174B8" w:rsidRPr="00563D71">
              <w:rPr>
                <w:rFonts w:asciiTheme="majorBidi" w:hAnsiTheme="majorBidi" w:cstheme="majorBidi"/>
                <w:sz w:val="20"/>
                <w:szCs w:val="20"/>
              </w:rPr>
              <w:t xml:space="preserve">are </w:t>
            </w:r>
            <w:r w:rsidR="00E567F1" w:rsidRPr="00563D71">
              <w:rPr>
                <w:rFonts w:asciiTheme="majorBidi" w:hAnsiTheme="majorBidi" w:cstheme="majorBidi"/>
                <w:sz w:val="20"/>
                <w:szCs w:val="20"/>
              </w:rPr>
              <w:t xml:space="preserve">also preparing local regulations on solid waste management and currently waiting for the approval from the </w:t>
            </w:r>
            <w:r w:rsidR="000174B8" w:rsidRPr="00563D71">
              <w:rPr>
                <w:rFonts w:asciiTheme="majorBidi" w:hAnsiTheme="majorBidi" w:cstheme="majorBidi"/>
                <w:sz w:val="20"/>
                <w:szCs w:val="20"/>
              </w:rPr>
              <w:t xml:space="preserve">district </w:t>
            </w:r>
            <w:r w:rsidR="00E567F1" w:rsidRPr="00563D71">
              <w:rPr>
                <w:rFonts w:asciiTheme="majorBidi" w:hAnsiTheme="majorBidi" w:cstheme="majorBidi"/>
                <w:sz w:val="20"/>
                <w:szCs w:val="20"/>
              </w:rPr>
              <w:t xml:space="preserve">level. They also published their technical management booklet on solid waste management in 2016 together with </w:t>
            </w:r>
            <w:r w:rsidR="000174B8" w:rsidRPr="00563D71">
              <w:rPr>
                <w:rFonts w:asciiTheme="majorBidi" w:hAnsiTheme="majorBidi" w:cstheme="majorBidi"/>
                <w:sz w:val="20"/>
                <w:szCs w:val="20"/>
              </w:rPr>
              <w:t xml:space="preserve">a </w:t>
            </w:r>
            <w:r w:rsidR="00E567F1" w:rsidRPr="00563D71">
              <w:rPr>
                <w:rFonts w:asciiTheme="majorBidi" w:hAnsiTheme="majorBidi" w:cstheme="majorBidi"/>
                <w:sz w:val="20"/>
                <w:szCs w:val="20"/>
              </w:rPr>
              <w:t xml:space="preserve">feasibility study and AMDAL done by the province for the </w:t>
            </w:r>
            <w:r w:rsidR="00D41F63" w:rsidRPr="00563D71">
              <w:rPr>
                <w:rFonts w:asciiTheme="majorBidi" w:hAnsiTheme="majorBidi" w:cstheme="majorBidi"/>
                <w:sz w:val="20"/>
                <w:szCs w:val="20"/>
              </w:rPr>
              <w:t xml:space="preserve">final disposal area. There </w:t>
            </w:r>
            <w:r w:rsidR="000174B8" w:rsidRPr="00563D71">
              <w:rPr>
                <w:rFonts w:asciiTheme="majorBidi" w:hAnsiTheme="majorBidi" w:cstheme="majorBidi"/>
                <w:sz w:val="20"/>
                <w:szCs w:val="20"/>
              </w:rPr>
              <w:t>are critical needs</w:t>
            </w:r>
            <w:r w:rsidR="00B04E23" w:rsidRPr="00563D71">
              <w:rPr>
                <w:rFonts w:asciiTheme="majorBidi" w:hAnsiTheme="majorBidi" w:cstheme="majorBidi"/>
                <w:sz w:val="20"/>
                <w:szCs w:val="20"/>
              </w:rPr>
              <w:t xml:space="preserve"> at</w:t>
            </w:r>
            <w:r w:rsidR="00D41F63" w:rsidRPr="00563D71">
              <w:rPr>
                <w:rFonts w:asciiTheme="majorBidi" w:hAnsiTheme="majorBidi" w:cstheme="majorBidi"/>
                <w:sz w:val="20"/>
                <w:szCs w:val="20"/>
              </w:rPr>
              <w:t xml:space="preserve"> the temporary disposal locations </w:t>
            </w:r>
            <w:r w:rsidR="00B04E23" w:rsidRPr="00563D71">
              <w:rPr>
                <w:rFonts w:asciiTheme="majorBidi" w:hAnsiTheme="majorBidi" w:cstheme="majorBidi"/>
                <w:sz w:val="20"/>
                <w:szCs w:val="20"/>
              </w:rPr>
              <w:t xml:space="preserve">to </w:t>
            </w:r>
            <w:r w:rsidR="00C34821" w:rsidRPr="00563D71">
              <w:rPr>
                <w:rFonts w:asciiTheme="majorBidi" w:hAnsiTheme="majorBidi" w:cstheme="majorBidi"/>
                <w:sz w:val="20"/>
                <w:szCs w:val="20"/>
              </w:rPr>
              <w:t>implement the</w:t>
            </w:r>
            <w:r w:rsidR="00D41F63" w:rsidRPr="00563D71">
              <w:rPr>
                <w:rFonts w:asciiTheme="majorBidi" w:hAnsiTheme="majorBidi" w:cstheme="majorBidi"/>
                <w:sz w:val="20"/>
                <w:szCs w:val="20"/>
              </w:rPr>
              <w:t xml:space="preserve"> 3R approach </w:t>
            </w:r>
            <w:r w:rsidR="00B04E23" w:rsidRPr="00563D71">
              <w:rPr>
                <w:rFonts w:asciiTheme="majorBidi" w:hAnsiTheme="majorBidi" w:cstheme="majorBidi"/>
                <w:sz w:val="20"/>
                <w:szCs w:val="20"/>
              </w:rPr>
              <w:t xml:space="preserve">to waste management </w:t>
            </w:r>
            <w:r w:rsidR="00D41F63" w:rsidRPr="00563D71">
              <w:rPr>
                <w:rFonts w:asciiTheme="majorBidi" w:hAnsiTheme="majorBidi" w:cstheme="majorBidi"/>
                <w:sz w:val="20"/>
                <w:szCs w:val="20"/>
              </w:rPr>
              <w:t xml:space="preserve">prior to the final disposal at the landfill.  </w:t>
            </w:r>
          </w:p>
        </w:tc>
        <w:tc>
          <w:tcPr>
            <w:tcW w:w="2835" w:type="dxa"/>
          </w:tcPr>
          <w:p w14:paraId="5CA17088" w14:textId="2FF415F6" w:rsidR="00EE771E" w:rsidRPr="00563D71" w:rsidRDefault="00D41F63" w:rsidP="008328DE">
            <w:pPr>
              <w:pStyle w:val="ListParagraph"/>
              <w:spacing w:line="240" w:lineRule="auto"/>
              <w:ind w:left="0" w:right="15"/>
              <w:rPr>
                <w:rFonts w:asciiTheme="majorBidi" w:hAnsiTheme="majorBidi" w:cstheme="majorBidi"/>
                <w:sz w:val="20"/>
                <w:szCs w:val="20"/>
              </w:rPr>
            </w:pPr>
            <w:r w:rsidRPr="00563D71">
              <w:rPr>
                <w:rFonts w:asciiTheme="majorBidi" w:hAnsiTheme="majorBidi" w:cstheme="majorBidi"/>
                <w:sz w:val="20"/>
                <w:szCs w:val="20"/>
              </w:rPr>
              <w:t>No area of strengthening.</w:t>
            </w:r>
          </w:p>
        </w:tc>
      </w:tr>
      <w:tr w:rsidR="00EE771E" w:rsidRPr="00563D71" w14:paraId="7DBFDED5" w14:textId="77777777" w:rsidTr="00921C68">
        <w:tc>
          <w:tcPr>
            <w:tcW w:w="3551" w:type="dxa"/>
          </w:tcPr>
          <w:p w14:paraId="5F58C1B0" w14:textId="1EA21AE4" w:rsidR="00EE771E" w:rsidRPr="00563D71" w:rsidRDefault="00EE771E" w:rsidP="003D2E29">
            <w:pPr>
              <w:pStyle w:val="ListParagraph"/>
              <w:numPr>
                <w:ilvl w:val="0"/>
                <w:numId w:val="72"/>
              </w:numPr>
              <w:spacing w:line="240" w:lineRule="auto"/>
              <w:ind w:right="15"/>
              <w:rPr>
                <w:rFonts w:asciiTheme="majorBidi" w:hAnsiTheme="majorBidi" w:cstheme="majorBidi"/>
                <w:sz w:val="20"/>
                <w:szCs w:val="20"/>
              </w:rPr>
            </w:pPr>
            <w:r w:rsidRPr="00563D71">
              <w:rPr>
                <w:rFonts w:asciiTheme="majorBidi" w:hAnsiTheme="majorBidi" w:cstheme="majorBidi"/>
                <w:sz w:val="20"/>
                <w:szCs w:val="20"/>
              </w:rPr>
              <w:lastRenderedPageBreak/>
              <w:t>MPWH</w:t>
            </w:r>
            <w:r w:rsidR="00D41F63" w:rsidRPr="00563D71">
              <w:rPr>
                <w:rFonts w:asciiTheme="majorBidi" w:hAnsiTheme="majorBidi" w:cstheme="majorBidi"/>
                <w:sz w:val="20"/>
                <w:szCs w:val="20"/>
              </w:rPr>
              <w:t xml:space="preserve">, Yogyakarta Providence. </w:t>
            </w:r>
            <w:r w:rsidRPr="00563D71">
              <w:rPr>
                <w:rFonts w:asciiTheme="majorBidi" w:hAnsiTheme="majorBidi" w:cstheme="majorBidi"/>
                <w:sz w:val="20"/>
                <w:szCs w:val="20"/>
              </w:rPr>
              <w:t xml:space="preserve"> </w:t>
            </w:r>
          </w:p>
        </w:tc>
        <w:tc>
          <w:tcPr>
            <w:tcW w:w="6237" w:type="dxa"/>
          </w:tcPr>
          <w:p w14:paraId="0E73CE45" w14:textId="2198D755" w:rsidR="00EC09F5" w:rsidRPr="00563D71" w:rsidRDefault="00EC09F5" w:rsidP="008E14F3">
            <w:pPr>
              <w:ind w:left="0" w:right="15" w:firstLine="0"/>
              <w:rPr>
                <w:rFonts w:asciiTheme="majorBidi" w:hAnsiTheme="majorBidi" w:cstheme="majorBidi"/>
                <w:sz w:val="20"/>
                <w:szCs w:val="20"/>
              </w:rPr>
            </w:pPr>
            <w:r w:rsidRPr="00563D71">
              <w:rPr>
                <w:rFonts w:asciiTheme="majorBidi" w:hAnsiTheme="majorBidi" w:cstheme="majorBidi"/>
                <w:sz w:val="20"/>
                <w:szCs w:val="20"/>
              </w:rPr>
              <w:t xml:space="preserve">For the training for the local MPHW staff </w:t>
            </w:r>
            <w:r w:rsidR="00376D32" w:rsidRPr="00563D71">
              <w:rPr>
                <w:rFonts w:asciiTheme="majorBidi" w:hAnsiTheme="majorBidi" w:cstheme="majorBidi"/>
                <w:sz w:val="20"/>
                <w:szCs w:val="20"/>
              </w:rPr>
              <w:t>in</w:t>
            </w:r>
            <w:r w:rsidRPr="00563D71">
              <w:rPr>
                <w:rFonts w:asciiTheme="majorBidi" w:hAnsiTheme="majorBidi" w:cstheme="majorBidi"/>
                <w:sz w:val="20"/>
                <w:szCs w:val="20"/>
              </w:rPr>
              <w:t xml:space="preserve"> Yogyakarta, it is done through the training center (B</w:t>
            </w:r>
            <w:r w:rsidR="00E65766" w:rsidRPr="00563D71">
              <w:rPr>
                <w:rFonts w:asciiTheme="majorBidi" w:hAnsiTheme="majorBidi" w:cstheme="majorBidi"/>
                <w:sz w:val="20"/>
                <w:szCs w:val="20"/>
              </w:rPr>
              <w:t xml:space="preserve">alai) </w:t>
            </w:r>
            <w:r w:rsidR="00E65766" w:rsidRPr="00563D71">
              <w:rPr>
                <w:rFonts w:asciiTheme="majorBidi" w:eastAsiaTheme="minorHAnsi" w:hAnsiTheme="majorBidi" w:cstheme="majorBidi"/>
                <w:color w:val="auto"/>
                <w:sz w:val="20"/>
                <w:szCs w:val="20"/>
              </w:rPr>
              <w:t>and trained according to the same training module determined by BPSDM</w:t>
            </w:r>
            <w:r w:rsidRPr="00563D71">
              <w:rPr>
                <w:rFonts w:asciiTheme="majorBidi" w:hAnsiTheme="majorBidi" w:cstheme="majorBidi"/>
                <w:sz w:val="20"/>
                <w:szCs w:val="20"/>
              </w:rPr>
              <w:t>. Different DGs of MPHW (</w:t>
            </w:r>
            <w:r w:rsidR="00E530AC" w:rsidRPr="00563D71">
              <w:rPr>
                <w:rFonts w:asciiTheme="majorBidi" w:hAnsiTheme="majorBidi" w:cstheme="majorBidi"/>
                <w:sz w:val="20"/>
                <w:szCs w:val="20"/>
              </w:rPr>
              <w:t>e.g.</w:t>
            </w:r>
            <w:r w:rsidRPr="00563D71">
              <w:rPr>
                <w:rFonts w:asciiTheme="majorBidi" w:hAnsiTheme="majorBidi" w:cstheme="majorBidi"/>
                <w:sz w:val="20"/>
                <w:szCs w:val="20"/>
              </w:rPr>
              <w:t xml:space="preserve"> Highway – </w:t>
            </w:r>
            <w:r w:rsidRPr="00563D71">
              <w:rPr>
                <w:rFonts w:asciiTheme="majorBidi" w:hAnsiTheme="majorBidi" w:cstheme="majorBidi"/>
                <w:i/>
                <w:iCs/>
                <w:sz w:val="20"/>
                <w:szCs w:val="20"/>
              </w:rPr>
              <w:t>Bina Marga</w:t>
            </w:r>
            <w:r w:rsidRPr="00563D71">
              <w:rPr>
                <w:rFonts w:asciiTheme="majorBidi" w:hAnsiTheme="majorBidi" w:cstheme="majorBidi"/>
                <w:sz w:val="20"/>
                <w:szCs w:val="20"/>
              </w:rPr>
              <w:t xml:space="preserve">, Water Resources, Human Settlements – </w:t>
            </w:r>
            <w:r w:rsidRPr="00563D71">
              <w:rPr>
                <w:rFonts w:asciiTheme="majorBidi" w:hAnsiTheme="majorBidi" w:cstheme="majorBidi"/>
                <w:i/>
                <w:iCs/>
                <w:sz w:val="20"/>
                <w:szCs w:val="20"/>
              </w:rPr>
              <w:t>Cipta Karya</w:t>
            </w:r>
            <w:r w:rsidRPr="00563D71">
              <w:rPr>
                <w:rFonts w:asciiTheme="majorBidi" w:hAnsiTheme="majorBidi" w:cstheme="majorBidi"/>
                <w:sz w:val="20"/>
                <w:szCs w:val="20"/>
              </w:rPr>
              <w:t>) staff have training organized by the Balai</w:t>
            </w:r>
            <w:r w:rsidR="00376D32" w:rsidRPr="00563D71">
              <w:rPr>
                <w:rFonts w:asciiTheme="majorBidi" w:hAnsiTheme="majorBidi" w:cstheme="majorBidi"/>
                <w:sz w:val="20"/>
                <w:szCs w:val="20"/>
              </w:rPr>
              <w:t>,</w:t>
            </w:r>
            <w:r w:rsidR="00EA42BC" w:rsidRPr="00563D71">
              <w:rPr>
                <w:rFonts w:asciiTheme="majorBidi" w:hAnsiTheme="majorBidi" w:cstheme="majorBidi"/>
                <w:sz w:val="20"/>
                <w:szCs w:val="20"/>
              </w:rPr>
              <w:t xml:space="preserve"> which cover</w:t>
            </w:r>
            <w:r w:rsidR="00376D32" w:rsidRPr="00563D71">
              <w:rPr>
                <w:rFonts w:asciiTheme="majorBidi" w:hAnsiTheme="majorBidi" w:cstheme="majorBidi"/>
                <w:sz w:val="20"/>
                <w:szCs w:val="20"/>
              </w:rPr>
              <w:t>ing</w:t>
            </w:r>
            <w:r w:rsidR="00EA42BC" w:rsidRPr="00563D71">
              <w:rPr>
                <w:rFonts w:asciiTheme="majorBidi" w:hAnsiTheme="majorBidi" w:cstheme="majorBidi"/>
                <w:sz w:val="20"/>
                <w:szCs w:val="20"/>
              </w:rPr>
              <w:t xml:space="preserve"> environment</w:t>
            </w:r>
            <w:r w:rsidR="00376D32" w:rsidRPr="00563D71">
              <w:rPr>
                <w:rFonts w:asciiTheme="majorBidi" w:hAnsiTheme="majorBidi" w:cstheme="majorBidi"/>
                <w:sz w:val="20"/>
                <w:szCs w:val="20"/>
              </w:rPr>
              <w:t>al</w:t>
            </w:r>
            <w:r w:rsidR="00EA42BC" w:rsidRPr="00563D71">
              <w:rPr>
                <w:rFonts w:asciiTheme="majorBidi" w:hAnsiTheme="majorBidi" w:cstheme="majorBidi"/>
                <w:sz w:val="20"/>
                <w:szCs w:val="20"/>
              </w:rPr>
              <w:t xml:space="preserve"> and social topics including land acquisition</w:t>
            </w:r>
            <w:r w:rsidR="003734CD" w:rsidRPr="00563D71">
              <w:rPr>
                <w:rFonts w:asciiTheme="majorBidi" w:hAnsiTheme="majorBidi" w:cstheme="majorBidi"/>
                <w:sz w:val="20"/>
                <w:szCs w:val="20"/>
              </w:rPr>
              <w:t xml:space="preserve"> and environment</w:t>
            </w:r>
            <w:r w:rsidR="00376D32" w:rsidRPr="00563D71">
              <w:rPr>
                <w:rFonts w:asciiTheme="majorBidi" w:hAnsiTheme="majorBidi" w:cstheme="majorBidi"/>
                <w:sz w:val="20"/>
                <w:szCs w:val="20"/>
              </w:rPr>
              <w:t>al</w:t>
            </w:r>
            <w:r w:rsidR="003734CD" w:rsidRPr="00563D71">
              <w:rPr>
                <w:rFonts w:asciiTheme="majorBidi" w:hAnsiTheme="majorBidi" w:cstheme="majorBidi"/>
                <w:sz w:val="20"/>
                <w:szCs w:val="20"/>
              </w:rPr>
              <w:t xml:space="preserve"> documents for </w:t>
            </w:r>
            <w:r w:rsidR="00EA42BC" w:rsidRPr="00563D71">
              <w:rPr>
                <w:rFonts w:asciiTheme="majorBidi" w:hAnsiTheme="majorBidi" w:cstheme="majorBidi"/>
                <w:sz w:val="20"/>
                <w:szCs w:val="20"/>
              </w:rPr>
              <w:t>UKL-UPL/ SPPL</w:t>
            </w:r>
            <w:r w:rsidR="003734CD" w:rsidRPr="00563D71">
              <w:rPr>
                <w:rFonts w:asciiTheme="majorBidi" w:hAnsiTheme="majorBidi" w:cstheme="majorBidi"/>
                <w:sz w:val="20"/>
                <w:szCs w:val="20"/>
              </w:rPr>
              <w:t xml:space="preserve"> activities</w:t>
            </w:r>
            <w:r w:rsidR="00EA42BC" w:rsidRPr="00563D71">
              <w:rPr>
                <w:rFonts w:asciiTheme="majorBidi" w:hAnsiTheme="majorBidi" w:cstheme="majorBidi"/>
                <w:sz w:val="20"/>
                <w:szCs w:val="20"/>
              </w:rPr>
              <w:t>. The working relationship with the central MPWH and PWH agencies at</w:t>
            </w:r>
            <w:r w:rsidR="00376D32" w:rsidRPr="00563D71">
              <w:rPr>
                <w:rFonts w:asciiTheme="majorBidi" w:hAnsiTheme="majorBidi" w:cstheme="majorBidi"/>
                <w:sz w:val="20"/>
                <w:szCs w:val="20"/>
              </w:rPr>
              <w:t xml:space="preserve"> the</w:t>
            </w:r>
            <w:r w:rsidR="00EA42BC" w:rsidRPr="00563D71">
              <w:rPr>
                <w:rFonts w:asciiTheme="majorBidi" w:hAnsiTheme="majorBidi" w:cstheme="majorBidi"/>
                <w:sz w:val="20"/>
                <w:szCs w:val="20"/>
              </w:rPr>
              <w:t xml:space="preserve"> provinc</w:t>
            </w:r>
            <w:r w:rsidR="00376D32" w:rsidRPr="00563D71">
              <w:rPr>
                <w:rFonts w:asciiTheme="majorBidi" w:hAnsiTheme="majorBidi" w:cstheme="majorBidi"/>
                <w:sz w:val="20"/>
                <w:szCs w:val="20"/>
              </w:rPr>
              <w:t>ial</w:t>
            </w:r>
            <w:r w:rsidR="00EA42BC" w:rsidRPr="00563D71">
              <w:rPr>
                <w:rFonts w:asciiTheme="majorBidi" w:hAnsiTheme="majorBidi" w:cstheme="majorBidi"/>
                <w:sz w:val="20"/>
                <w:szCs w:val="20"/>
              </w:rPr>
              <w:t xml:space="preserve"> level </w:t>
            </w:r>
            <w:r w:rsidR="00376D32" w:rsidRPr="00563D71">
              <w:rPr>
                <w:rFonts w:asciiTheme="majorBidi" w:hAnsiTheme="majorBidi" w:cstheme="majorBidi"/>
                <w:sz w:val="20"/>
                <w:szCs w:val="20"/>
              </w:rPr>
              <w:t>is</w:t>
            </w:r>
            <w:r w:rsidR="00EA42BC" w:rsidRPr="00563D71">
              <w:rPr>
                <w:rFonts w:asciiTheme="majorBidi" w:hAnsiTheme="majorBidi" w:cstheme="majorBidi"/>
                <w:sz w:val="20"/>
                <w:szCs w:val="20"/>
              </w:rPr>
              <w:t xml:space="preserve"> good in t</w:t>
            </w:r>
            <w:r w:rsidR="00E65766" w:rsidRPr="00563D71">
              <w:rPr>
                <w:rFonts w:asciiTheme="majorBidi" w:hAnsiTheme="majorBidi" w:cstheme="majorBidi"/>
                <w:sz w:val="20"/>
                <w:szCs w:val="20"/>
              </w:rPr>
              <w:t>erms of program implementation.</w:t>
            </w:r>
          </w:p>
          <w:p w14:paraId="6B0B5A72" w14:textId="4804B30F" w:rsidR="00EE771E" w:rsidRPr="00563D71" w:rsidRDefault="00EE771E" w:rsidP="0006769B">
            <w:pPr>
              <w:ind w:left="0" w:right="15" w:firstLine="0"/>
              <w:rPr>
                <w:rFonts w:asciiTheme="majorBidi" w:hAnsiTheme="majorBidi" w:cstheme="majorBidi"/>
                <w:sz w:val="20"/>
                <w:szCs w:val="20"/>
              </w:rPr>
            </w:pPr>
          </w:p>
        </w:tc>
        <w:tc>
          <w:tcPr>
            <w:tcW w:w="2835" w:type="dxa"/>
          </w:tcPr>
          <w:p w14:paraId="78FC5F71" w14:textId="77777777" w:rsidR="00EE771E" w:rsidRPr="00563D71" w:rsidRDefault="008C4549" w:rsidP="008328DE">
            <w:pPr>
              <w:pStyle w:val="ListParagraph"/>
              <w:spacing w:line="240" w:lineRule="auto"/>
              <w:ind w:left="84" w:right="15"/>
              <w:rPr>
                <w:rFonts w:asciiTheme="majorBidi" w:hAnsiTheme="majorBidi" w:cstheme="majorBidi"/>
                <w:sz w:val="20"/>
                <w:szCs w:val="20"/>
              </w:rPr>
            </w:pPr>
            <w:r w:rsidRPr="00563D71">
              <w:rPr>
                <w:rFonts w:asciiTheme="majorBidi" w:hAnsiTheme="majorBidi" w:cstheme="majorBidi"/>
                <w:sz w:val="20"/>
                <w:szCs w:val="20"/>
              </w:rPr>
              <w:t xml:space="preserve">No area of strengthening is needed. </w:t>
            </w:r>
          </w:p>
          <w:p w14:paraId="2D99BBA1" w14:textId="351FD951" w:rsidR="000800A6" w:rsidRPr="00563D71" w:rsidRDefault="00E25AE9" w:rsidP="008328DE">
            <w:pPr>
              <w:ind w:left="84" w:right="15"/>
              <w:rPr>
                <w:rFonts w:asciiTheme="majorBidi" w:hAnsiTheme="majorBidi" w:cstheme="majorBidi"/>
                <w:sz w:val="20"/>
                <w:szCs w:val="20"/>
              </w:rPr>
            </w:pPr>
            <w:r w:rsidRPr="00563D71">
              <w:rPr>
                <w:rFonts w:asciiTheme="majorBidi" w:hAnsiTheme="majorBidi" w:cstheme="majorBidi"/>
                <w:sz w:val="20"/>
                <w:szCs w:val="20"/>
              </w:rPr>
              <w:t xml:space="preserve">Program Management Support (through Program Management Support Consultants’ Services financed under the IPF, and/or additional qualified MPWH staff) 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 xml:space="preserve">vide coordination and training.  </w:t>
            </w:r>
          </w:p>
        </w:tc>
      </w:tr>
      <w:tr w:rsidR="00EE771E" w:rsidRPr="00563D71" w14:paraId="384C301C" w14:textId="77777777" w:rsidTr="00921C68">
        <w:tc>
          <w:tcPr>
            <w:tcW w:w="3551" w:type="dxa"/>
          </w:tcPr>
          <w:p w14:paraId="1124B147" w14:textId="77777777" w:rsidR="00EE771E" w:rsidRPr="00563D71" w:rsidRDefault="00EE771E" w:rsidP="003D2E29">
            <w:pPr>
              <w:pStyle w:val="ListParagraph"/>
              <w:numPr>
                <w:ilvl w:val="0"/>
                <w:numId w:val="72"/>
              </w:numPr>
              <w:spacing w:line="240" w:lineRule="auto"/>
              <w:ind w:right="15"/>
              <w:jc w:val="left"/>
              <w:rPr>
                <w:rFonts w:asciiTheme="majorBidi" w:hAnsiTheme="majorBidi" w:cstheme="majorBidi"/>
                <w:sz w:val="20"/>
                <w:szCs w:val="20"/>
              </w:rPr>
            </w:pPr>
            <w:r w:rsidRPr="00563D71">
              <w:rPr>
                <w:rFonts w:asciiTheme="majorBidi" w:hAnsiTheme="majorBidi" w:cstheme="majorBidi"/>
                <w:sz w:val="20"/>
                <w:szCs w:val="20"/>
              </w:rPr>
              <w:t xml:space="preserve">Borobudur Heritage Conservation Institution </w:t>
            </w:r>
          </w:p>
        </w:tc>
        <w:tc>
          <w:tcPr>
            <w:tcW w:w="6237" w:type="dxa"/>
          </w:tcPr>
          <w:p w14:paraId="47B1AA90" w14:textId="504F5F42" w:rsidR="00EE771E" w:rsidRPr="00563D71" w:rsidRDefault="00EE771E" w:rsidP="0006769B">
            <w:pPr>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The current monitoring and maintenance implementation plan by the Conservation Agency are as follows:</w:t>
            </w:r>
          </w:p>
          <w:p w14:paraId="05E931E1" w14:textId="02097966" w:rsidR="00EE771E" w:rsidRPr="00563D71" w:rsidRDefault="00EE771E" w:rsidP="003D2E29">
            <w:pPr>
              <w:numPr>
                <w:ilvl w:val="0"/>
                <w:numId w:val="88"/>
              </w:numPr>
              <w:spacing w:after="160"/>
              <w:ind w:left="305" w:hanging="283"/>
              <w:contextualSpacing/>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 xml:space="preserve">They have their own team that is focused on carrying out restoration and conservation of the Borobudur Temple. All workers were trained under the UNESCO program and they were sent to Cambodia to learn </w:t>
            </w:r>
            <w:r w:rsidR="000174B8" w:rsidRPr="00563D71">
              <w:rPr>
                <w:rFonts w:asciiTheme="majorBidi" w:eastAsiaTheme="minorHAnsi" w:hAnsiTheme="majorBidi" w:cstheme="majorBidi"/>
                <w:color w:val="auto"/>
                <w:sz w:val="20"/>
                <w:szCs w:val="20"/>
              </w:rPr>
              <w:t xml:space="preserve">about </w:t>
            </w:r>
            <w:r w:rsidRPr="00563D71">
              <w:rPr>
                <w:rFonts w:asciiTheme="majorBidi" w:eastAsiaTheme="minorHAnsi" w:hAnsiTheme="majorBidi" w:cstheme="majorBidi"/>
                <w:color w:val="auto"/>
                <w:sz w:val="20"/>
                <w:szCs w:val="20"/>
              </w:rPr>
              <w:t xml:space="preserve">the restoration process in Angkor Wat. They have a joint training with </w:t>
            </w:r>
            <w:r w:rsidR="00E233BA" w:rsidRPr="00563D71">
              <w:rPr>
                <w:rFonts w:asciiTheme="majorBidi" w:eastAsiaTheme="minorHAnsi" w:hAnsiTheme="majorBidi" w:cstheme="majorBidi"/>
                <w:color w:val="auto"/>
                <w:sz w:val="20"/>
                <w:szCs w:val="20"/>
              </w:rPr>
              <w:t xml:space="preserve">UNESCO </w:t>
            </w:r>
            <w:r w:rsidRPr="00563D71">
              <w:rPr>
                <w:rFonts w:asciiTheme="majorBidi" w:eastAsiaTheme="minorHAnsi" w:hAnsiTheme="majorBidi" w:cstheme="majorBidi"/>
                <w:color w:val="auto"/>
                <w:sz w:val="20"/>
                <w:szCs w:val="20"/>
              </w:rPr>
              <w:t>on conservation technique</w:t>
            </w:r>
            <w:r w:rsidR="000174B8"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and the training is held at the Borobudur Conservation Agency. </w:t>
            </w:r>
          </w:p>
          <w:p w14:paraId="5E2B36DD" w14:textId="601E883D" w:rsidR="00EE771E" w:rsidRPr="00563D71" w:rsidRDefault="00EE771E" w:rsidP="003D2E29">
            <w:pPr>
              <w:numPr>
                <w:ilvl w:val="0"/>
                <w:numId w:val="88"/>
              </w:numPr>
              <w:spacing w:after="160"/>
              <w:ind w:left="305"/>
              <w:contextualSpacing/>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Monthly report</w:t>
            </w:r>
            <w:r w:rsidR="00143F50" w:rsidRPr="00563D71">
              <w:rPr>
                <w:rFonts w:asciiTheme="majorBidi" w:eastAsiaTheme="minorHAnsi" w:hAnsiTheme="majorBidi" w:cstheme="majorBidi"/>
                <w:color w:val="auto"/>
                <w:sz w:val="20"/>
                <w:szCs w:val="20"/>
              </w:rPr>
              <w:t>s</w:t>
            </w:r>
            <w:r w:rsidRPr="00563D71">
              <w:rPr>
                <w:rFonts w:asciiTheme="majorBidi" w:eastAsiaTheme="minorHAnsi" w:hAnsiTheme="majorBidi" w:cstheme="majorBidi"/>
                <w:color w:val="auto"/>
                <w:sz w:val="20"/>
                <w:szCs w:val="20"/>
              </w:rPr>
              <w:t xml:space="preserve"> on micro-climate data </w:t>
            </w:r>
            <w:r w:rsidR="00143F50" w:rsidRPr="00563D71">
              <w:rPr>
                <w:rFonts w:asciiTheme="majorBidi" w:eastAsiaTheme="minorHAnsi" w:hAnsiTheme="majorBidi" w:cstheme="majorBidi"/>
                <w:color w:val="auto"/>
                <w:sz w:val="20"/>
                <w:szCs w:val="20"/>
              </w:rPr>
              <w:t xml:space="preserve">are </w:t>
            </w:r>
            <w:r w:rsidRPr="00563D71">
              <w:rPr>
                <w:rFonts w:asciiTheme="majorBidi" w:eastAsiaTheme="minorHAnsi" w:hAnsiTheme="majorBidi" w:cstheme="majorBidi"/>
                <w:color w:val="auto"/>
                <w:sz w:val="20"/>
                <w:szCs w:val="20"/>
              </w:rPr>
              <w:t xml:space="preserve">compiled and sent to </w:t>
            </w:r>
            <w:r w:rsidR="00E233BA" w:rsidRPr="00563D71">
              <w:rPr>
                <w:rFonts w:asciiTheme="majorBidi" w:eastAsiaTheme="minorHAnsi" w:hAnsiTheme="majorBidi" w:cstheme="majorBidi"/>
                <w:color w:val="auto"/>
                <w:sz w:val="20"/>
                <w:szCs w:val="20"/>
              </w:rPr>
              <w:t xml:space="preserve">UNESCO </w:t>
            </w:r>
            <w:r w:rsidRPr="00563D71">
              <w:rPr>
                <w:rFonts w:asciiTheme="majorBidi" w:eastAsiaTheme="minorHAnsi" w:hAnsiTheme="majorBidi" w:cstheme="majorBidi"/>
                <w:color w:val="auto"/>
                <w:sz w:val="20"/>
                <w:szCs w:val="20"/>
              </w:rPr>
              <w:t>periodically and the weather station is being managed by the conservation agency team.</w:t>
            </w:r>
          </w:p>
          <w:p w14:paraId="3AE4A9FB" w14:textId="77777777" w:rsidR="00EE771E" w:rsidRPr="00563D71" w:rsidRDefault="00EE771E" w:rsidP="003D2E29">
            <w:pPr>
              <w:numPr>
                <w:ilvl w:val="0"/>
                <w:numId w:val="88"/>
              </w:numPr>
              <w:spacing w:after="160"/>
              <w:ind w:left="305"/>
              <w:contextualSpacing/>
              <w:rPr>
                <w:rFonts w:asciiTheme="majorBidi" w:eastAsiaTheme="minorHAnsi" w:hAnsiTheme="majorBidi" w:cstheme="majorBidi"/>
                <w:color w:val="auto"/>
                <w:sz w:val="20"/>
                <w:szCs w:val="20"/>
              </w:rPr>
            </w:pPr>
            <w:r w:rsidRPr="00563D71">
              <w:rPr>
                <w:rFonts w:asciiTheme="majorBidi" w:eastAsiaTheme="minorHAnsi" w:hAnsiTheme="majorBidi" w:cstheme="majorBidi"/>
                <w:color w:val="auto"/>
                <w:sz w:val="20"/>
                <w:szCs w:val="20"/>
              </w:rPr>
              <w:t>A team of cleaning and protection workers that works round the clock to clean and cover the stupas of the Borobudur Temple each time there is volcanic eruption from Mount Merapi.</w:t>
            </w:r>
          </w:p>
          <w:p w14:paraId="7159D906" w14:textId="6D2CED92" w:rsidR="00EE771E" w:rsidRPr="00563D71" w:rsidRDefault="00EE771E" w:rsidP="00143F50">
            <w:pPr>
              <w:ind w:right="15"/>
              <w:rPr>
                <w:rFonts w:asciiTheme="majorBidi" w:hAnsiTheme="majorBidi" w:cstheme="majorBidi"/>
                <w:sz w:val="20"/>
                <w:szCs w:val="20"/>
              </w:rPr>
            </w:pPr>
            <w:r w:rsidRPr="00563D71">
              <w:rPr>
                <w:rFonts w:asciiTheme="majorBidi" w:eastAsiaTheme="minorHAnsi" w:hAnsiTheme="majorBidi" w:cstheme="majorBidi"/>
                <w:color w:val="auto"/>
                <w:sz w:val="20"/>
                <w:szCs w:val="20"/>
              </w:rPr>
              <w:t>Currently there is no restriction on</w:t>
            </w:r>
            <w:r w:rsidR="00143F50" w:rsidRPr="00563D71">
              <w:rPr>
                <w:rFonts w:asciiTheme="majorBidi" w:eastAsiaTheme="minorHAnsi" w:hAnsiTheme="majorBidi" w:cstheme="majorBidi"/>
                <w:color w:val="auto"/>
                <w:sz w:val="20"/>
                <w:szCs w:val="20"/>
              </w:rPr>
              <w:t xml:space="preserve"> the</w:t>
            </w:r>
            <w:r w:rsidRPr="00563D71">
              <w:rPr>
                <w:rFonts w:asciiTheme="majorBidi" w:eastAsiaTheme="minorHAnsi" w:hAnsiTheme="majorBidi" w:cstheme="majorBidi"/>
                <w:color w:val="auto"/>
                <w:sz w:val="20"/>
                <w:szCs w:val="20"/>
              </w:rPr>
              <w:t xml:space="preserve"> number of tourist that can visit the Borobudur Temple each day. They can only report and submit any environmental impacts report to the </w:t>
            </w:r>
            <w:r w:rsidR="00143F50" w:rsidRPr="00563D71">
              <w:rPr>
                <w:rFonts w:asciiTheme="majorBidi" w:eastAsiaTheme="minorHAnsi" w:hAnsiTheme="majorBidi" w:cstheme="majorBidi"/>
                <w:color w:val="auto"/>
                <w:sz w:val="20"/>
                <w:szCs w:val="20"/>
              </w:rPr>
              <w:t>p</w:t>
            </w:r>
            <w:r w:rsidRPr="00563D71">
              <w:rPr>
                <w:rFonts w:asciiTheme="majorBidi" w:eastAsiaTheme="minorHAnsi" w:hAnsiTheme="majorBidi" w:cstheme="majorBidi"/>
                <w:color w:val="auto"/>
                <w:sz w:val="20"/>
                <w:szCs w:val="20"/>
              </w:rPr>
              <w:t>rovinc</w:t>
            </w:r>
            <w:r w:rsidR="00143F50" w:rsidRPr="00563D71">
              <w:rPr>
                <w:rFonts w:asciiTheme="majorBidi" w:eastAsiaTheme="minorHAnsi" w:hAnsiTheme="majorBidi" w:cstheme="majorBidi"/>
                <w:color w:val="auto"/>
                <w:sz w:val="20"/>
                <w:szCs w:val="20"/>
              </w:rPr>
              <w:t>ial</w:t>
            </w:r>
            <w:r w:rsidRPr="00563D71">
              <w:rPr>
                <w:rFonts w:asciiTheme="majorBidi" w:eastAsiaTheme="minorHAnsi" w:hAnsiTheme="majorBidi" w:cstheme="majorBidi"/>
                <w:color w:val="auto"/>
                <w:sz w:val="20"/>
                <w:szCs w:val="20"/>
              </w:rPr>
              <w:t xml:space="preserve"> level. Their cost of restoration is about 4-5 million </w:t>
            </w:r>
            <w:r w:rsidR="00143F50" w:rsidRPr="00563D71">
              <w:rPr>
                <w:rFonts w:asciiTheme="majorBidi" w:eastAsiaTheme="minorHAnsi" w:hAnsiTheme="majorBidi" w:cstheme="majorBidi"/>
                <w:color w:val="auto"/>
                <w:sz w:val="20"/>
                <w:szCs w:val="20"/>
              </w:rPr>
              <w:t xml:space="preserve">IDR </w:t>
            </w:r>
            <w:r w:rsidRPr="00563D71">
              <w:rPr>
                <w:rFonts w:asciiTheme="majorBidi" w:eastAsiaTheme="minorHAnsi" w:hAnsiTheme="majorBidi" w:cstheme="majorBidi"/>
                <w:color w:val="auto"/>
                <w:sz w:val="20"/>
                <w:szCs w:val="20"/>
              </w:rPr>
              <w:t>each year</w:t>
            </w:r>
            <w:r w:rsidR="00143F50" w:rsidRPr="00563D71">
              <w:rPr>
                <w:rFonts w:asciiTheme="majorBidi" w:eastAsiaTheme="minorHAnsi" w:hAnsiTheme="majorBidi" w:cstheme="majorBidi"/>
                <w:color w:val="auto"/>
                <w:sz w:val="20"/>
                <w:szCs w:val="20"/>
              </w:rPr>
              <w:t>;</w:t>
            </w:r>
            <w:r w:rsidRPr="00563D71">
              <w:rPr>
                <w:rFonts w:asciiTheme="majorBidi" w:eastAsiaTheme="minorHAnsi" w:hAnsiTheme="majorBidi" w:cstheme="majorBidi"/>
                <w:color w:val="auto"/>
                <w:sz w:val="20"/>
                <w:szCs w:val="20"/>
              </w:rPr>
              <w:t xml:space="preserve"> this includes the cost of instruments/tools, manpower</w:t>
            </w:r>
            <w:r w:rsidR="00143F50" w:rsidRPr="00563D71">
              <w:rPr>
                <w:rFonts w:asciiTheme="majorBidi" w:eastAsiaTheme="minorHAnsi" w:hAnsiTheme="majorBidi" w:cstheme="majorBidi"/>
                <w:color w:val="auto"/>
                <w:sz w:val="20"/>
                <w:szCs w:val="20"/>
              </w:rPr>
              <w:t xml:space="preserve">, </w:t>
            </w:r>
            <w:r w:rsidRPr="00563D71">
              <w:rPr>
                <w:rFonts w:asciiTheme="majorBidi" w:eastAsiaTheme="minorHAnsi" w:hAnsiTheme="majorBidi" w:cstheme="majorBidi"/>
                <w:color w:val="auto"/>
                <w:sz w:val="20"/>
                <w:szCs w:val="20"/>
              </w:rPr>
              <w:t>and projects with local communities. In total, the agency currently has about 137 staff</w:t>
            </w:r>
            <w:r w:rsidR="00E233BA" w:rsidRPr="00563D71">
              <w:rPr>
                <w:rFonts w:asciiTheme="majorBidi" w:eastAsiaTheme="minorHAnsi" w:hAnsiTheme="majorBidi" w:cstheme="majorBidi"/>
                <w:color w:val="auto"/>
                <w:sz w:val="20"/>
                <w:szCs w:val="20"/>
              </w:rPr>
              <w:t xml:space="preserve"> members</w:t>
            </w:r>
            <w:r w:rsidRPr="00563D71">
              <w:rPr>
                <w:rFonts w:asciiTheme="majorBidi" w:eastAsiaTheme="minorHAnsi" w:hAnsiTheme="majorBidi" w:cstheme="majorBidi"/>
                <w:color w:val="auto"/>
                <w:sz w:val="20"/>
                <w:szCs w:val="20"/>
              </w:rPr>
              <w:t xml:space="preserve"> and about 21% of the staffs have completed university. Their research units also published own conservation journal and complied conservation report to World Heritage committee. </w:t>
            </w:r>
          </w:p>
        </w:tc>
        <w:tc>
          <w:tcPr>
            <w:tcW w:w="2835" w:type="dxa"/>
          </w:tcPr>
          <w:p w14:paraId="6AB8E63A" w14:textId="77777777" w:rsidR="00EE771E" w:rsidRPr="00563D71" w:rsidRDefault="00747F44" w:rsidP="008328DE">
            <w:pPr>
              <w:pStyle w:val="ListParagraph"/>
              <w:spacing w:line="240" w:lineRule="auto"/>
              <w:ind w:left="84" w:right="15"/>
              <w:rPr>
                <w:rFonts w:asciiTheme="majorBidi" w:hAnsiTheme="majorBidi" w:cstheme="majorBidi"/>
                <w:sz w:val="20"/>
                <w:szCs w:val="20"/>
              </w:rPr>
            </w:pPr>
            <w:r w:rsidRPr="00563D71">
              <w:rPr>
                <w:rFonts w:asciiTheme="majorBidi" w:hAnsiTheme="majorBidi" w:cstheme="majorBidi"/>
                <w:sz w:val="20"/>
                <w:szCs w:val="20"/>
              </w:rPr>
              <w:t xml:space="preserve">No area of strengthening is needed. </w:t>
            </w:r>
          </w:p>
          <w:p w14:paraId="1EE7A907" w14:textId="499EA47C" w:rsidR="000800A6" w:rsidRPr="00563D71" w:rsidRDefault="00E25AE9" w:rsidP="008328DE">
            <w:pPr>
              <w:spacing w:after="160"/>
              <w:ind w:left="84" w:right="17"/>
              <w:contextualSpacing/>
              <w:rPr>
                <w:rFonts w:asciiTheme="majorBidi" w:hAnsiTheme="majorBidi" w:cstheme="majorBidi"/>
                <w:sz w:val="20"/>
                <w:szCs w:val="20"/>
              </w:rPr>
            </w:pPr>
            <w:r w:rsidRPr="00563D71">
              <w:rPr>
                <w:rFonts w:asciiTheme="majorBidi" w:hAnsiTheme="majorBidi" w:cstheme="majorBidi"/>
                <w:sz w:val="20"/>
                <w:szCs w:val="20"/>
              </w:rPr>
              <w:t xml:space="preserve">Program Management Support (through Program Management Support Consultants’ Services financed under the IPF, and/or additional qualified MPWH staff or possible UNESCO support) to </w:t>
            </w:r>
            <w:r w:rsidR="00535F62" w:rsidRPr="00563D71">
              <w:rPr>
                <w:rFonts w:asciiTheme="majorBidi" w:hAnsiTheme="majorBidi" w:cstheme="majorBidi"/>
                <w:sz w:val="20"/>
                <w:szCs w:val="20"/>
              </w:rPr>
              <w:t>pro</w:t>
            </w:r>
            <w:r w:rsidRPr="00563D71">
              <w:rPr>
                <w:rFonts w:asciiTheme="majorBidi" w:hAnsiTheme="majorBidi" w:cstheme="majorBidi"/>
                <w:sz w:val="20"/>
                <w:szCs w:val="20"/>
              </w:rPr>
              <w:t xml:space="preserve">vide coordination and training.  </w:t>
            </w:r>
          </w:p>
        </w:tc>
      </w:tr>
    </w:tbl>
    <w:p w14:paraId="3962869E" w14:textId="7E523CCE" w:rsidR="00EE771E" w:rsidRPr="00563D71" w:rsidRDefault="00143F50" w:rsidP="00104075">
      <w:pPr>
        <w:spacing w:before="0"/>
        <w:ind w:left="0" w:right="14" w:firstLine="0"/>
        <w:rPr>
          <w:sz w:val="18"/>
          <w:szCs w:val="18"/>
        </w:rPr>
      </w:pPr>
      <w:r w:rsidRPr="00563D71">
        <w:rPr>
          <w:sz w:val="18"/>
          <w:szCs w:val="18"/>
        </w:rPr>
        <w:t>Table Notes</w:t>
      </w:r>
      <w:r w:rsidR="00EE771E" w:rsidRPr="00563D71">
        <w:rPr>
          <w:sz w:val="18"/>
          <w:szCs w:val="18"/>
        </w:rPr>
        <w:t xml:space="preserve">: </w:t>
      </w:r>
    </w:p>
    <w:p w14:paraId="13D33AB6" w14:textId="77777777" w:rsidR="00EE771E" w:rsidRPr="00563D71" w:rsidRDefault="00EE771E" w:rsidP="00104075">
      <w:pPr>
        <w:spacing w:before="0"/>
        <w:ind w:left="0" w:right="14" w:firstLine="0"/>
        <w:rPr>
          <w:sz w:val="18"/>
          <w:szCs w:val="18"/>
        </w:rPr>
      </w:pPr>
      <w:r w:rsidRPr="00563D71">
        <w:rPr>
          <w:sz w:val="18"/>
          <w:szCs w:val="18"/>
          <w:vertAlign w:val="superscript"/>
        </w:rPr>
        <w:t>1</w:t>
      </w:r>
      <w:r w:rsidRPr="00563D71">
        <w:rPr>
          <w:sz w:val="18"/>
          <w:szCs w:val="18"/>
        </w:rPr>
        <w:t xml:space="preserve"> JICA. </w:t>
      </w:r>
      <w:r w:rsidRPr="00563D71">
        <w:rPr>
          <w:i/>
          <w:sz w:val="18"/>
          <w:szCs w:val="18"/>
        </w:rPr>
        <w:t>Ex-Post Evaluation Study on Regional Development Policies for Local Governments Report</w:t>
      </w:r>
      <w:r w:rsidRPr="00563D71">
        <w:rPr>
          <w:sz w:val="18"/>
          <w:szCs w:val="18"/>
        </w:rPr>
        <w:t xml:space="preserve">. March 2008. PT. Indokoei International, Indonesia. </w:t>
      </w:r>
    </w:p>
    <w:p w14:paraId="29800D65" w14:textId="77777777" w:rsidR="00EE771E" w:rsidRPr="00563D71" w:rsidRDefault="00EE771E" w:rsidP="00104075">
      <w:pPr>
        <w:spacing w:before="0"/>
        <w:ind w:left="0" w:right="14" w:firstLine="0"/>
        <w:rPr>
          <w:sz w:val="18"/>
          <w:szCs w:val="18"/>
        </w:rPr>
      </w:pPr>
      <w:r w:rsidRPr="00563D71">
        <w:rPr>
          <w:sz w:val="18"/>
          <w:szCs w:val="18"/>
          <w:vertAlign w:val="superscript"/>
        </w:rPr>
        <w:t>2</w:t>
      </w:r>
      <w:r w:rsidRPr="00563D71">
        <w:rPr>
          <w:sz w:val="18"/>
          <w:szCs w:val="18"/>
        </w:rPr>
        <w:t xml:space="preserve"> Deltares. Institutional strengthening for IWRM in 6 Ci’s river basin territory, Indonesia Package B. Government of Indonesia. 2009 – 2012. </w:t>
      </w:r>
    </w:p>
    <w:p w14:paraId="308E94CA" w14:textId="77777777" w:rsidR="00EE771E" w:rsidRPr="00563D71" w:rsidRDefault="00EE771E" w:rsidP="00104075">
      <w:pPr>
        <w:spacing w:before="0"/>
        <w:ind w:left="0" w:right="14" w:firstLine="0"/>
        <w:rPr>
          <w:sz w:val="18"/>
          <w:szCs w:val="18"/>
        </w:rPr>
      </w:pPr>
      <w:r w:rsidRPr="00563D71">
        <w:rPr>
          <w:sz w:val="18"/>
          <w:szCs w:val="18"/>
          <w:vertAlign w:val="superscript"/>
        </w:rPr>
        <w:t>3</w:t>
      </w:r>
      <w:r w:rsidRPr="00563D71">
        <w:rPr>
          <w:sz w:val="18"/>
          <w:szCs w:val="18"/>
        </w:rPr>
        <w:t xml:space="preserve">Operational activity report for BLH North Sumatera (Technical Unit for Monitoring Water Quality Lake Toba) Year 2012 – 2015. </w:t>
      </w:r>
    </w:p>
    <w:p w14:paraId="0CE13768" w14:textId="029E43B1" w:rsidR="00EF0E9F" w:rsidRPr="00563D71" w:rsidRDefault="00EF0E9F"/>
    <w:p w14:paraId="11A57508" w14:textId="77777777" w:rsidR="00EF0E9F" w:rsidRPr="00563D71" w:rsidRDefault="00EF0E9F" w:rsidP="00473836">
      <w:pPr>
        <w:pStyle w:val="Heading1"/>
        <w:ind w:left="0" w:firstLine="0"/>
        <w:sectPr w:rsidR="00EF0E9F" w:rsidRPr="00563D71" w:rsidSect="00EF0E9F">
          <w:footerReference w:type="even" r:id="rId18"/>
          <w:footerReference w:type="default" r:id="rId19"/>
          <w:footerReference w:type="first" r:id="rId20"/>
          <w:type w:val="continuous"/>
          <w:pgSz w:w="15840" w:h="12240" w:orient="landscape"/>
          <w:pgMar w:top="1440" w:right="1440" w:bottom="1440" w:left="1440" w:header="720" w:footer="718" w:gutter="0"/>
          <w:cols w:space="720"/>
        </w:sectPr>
      </w:pPr>
    </w:p>
    <w:p w14:paraId="2282212A" w14:textId="709171B9" w:rsidR="00E92BBA" w:rsidRPr="00563D71" w:rsidRDefault="00D04B10" w:rsidP="00104075">
      <w:pPr>
        <w:pStyle w:val="Heading1"/>
        <w:jc w:val="center"/>
      </w:pPr>
      <w:bookmarkStart w:id="86" w:name="_Toc481484057"/>
      <w:bookmarkStart w:id="87" w:name="_Toc485831037"/>
      <w:r w:rsidRPr="00563D71">
        <w:lastRenderedPageBreak/>
        <w:t>6</w:t>
      </w:r>
      <w:r w:rsidRPr="00563D71">
        <w:rPr>
          <w:rFonts w:ascii="Arial" w:eastAsia="Arial" w:hAnsi="Arial" w:cs="Arial"/>
        </w:rPr>
        <w:t xml:space="preserve"> </w:t>
      </w:r>
      <w:r w:rsidRPr="00563D71">
        <w:t xml:space="preserve">  INPUTS TO THE PROGRAM’S </w:t>
      </w:r>
      <w:r w:rsidR="00930D2E" w:rsidRPr="00563D71">
        <w:t xml:space="preserve">DESIGN AND </w:t>
      </w:r>
      <w:r w:rsidRPr="00563D71">
        <w:t>ACTION PLAN</w:t>
      </w:r>
      <w:bookmarkEnd w:id="79"/>
      <w:bookmarkEnd w:id="86"/>
      <w:bookmarkEnd w:id="87"/>
      <w:r w:rsidR="00930D2E" w:rsidRPr="00563D71">
        <w:t xml:space="preserve"> </w:t>
      </w:r>
    </w:p>
    <w:p w14:paraId="3CA13122" w14:textId="66191398" w:rsidR="00245F03" w:rsidRPr="00563D71" w:rsidRDefault="00D04B10" w:rsidP="0032029F">
      <w:pPr>
        <w:pStyle w:val="MainParanoChapter-Ch3"/>
      </w:pPr>
      <w:r w:rsidRPr="00563D71">
        <w:t>Based on the Program Environmental and Social System</w:t>
      </w:r>
      <w:r w:rsidR="00CF0687" w:rsidRPr="00563D71">
        <w:t>s</w:t>
      </w:r>
      <w:r w:rsidRPr="00563D71">
        <w:t xml:space="preserve"> As</w:t>
      </w:r>
      <w:r w:rsidR="007B5CF9" w:rsidRPr="00563D71">
        <w:t>sessment, gaps identified</w:t>
      </w:r>
      <w:r w:rsidRPr="00563D71">
        <w:t xml:space="preserve"> with </w:t>
      </w:r>
      <w:r w:rsidR="007B5CF9" w:rsidRPr="00563D71">
        <w:t>respect to the PforR Policy</w:t>
      </w:r>
      <w:r w:rsidRPr="00563D71">
        <w:t xml:space="preserve">, data collected during site visits conducted to </w:t>
      </w:r>
      <w:r w:rsidR="007B5CF9" w:rsidRPr="00563D71">
        <w:t>potential</w:t>
      </w:r>
      <w:r w:rsidRPr="00563D71">
        <w:t xml:space="preserve"> Program </w:t>
      </w:r>
      <w:r w:rsidR="007B5CF9" w:rsidRPr="00563D71">
        <w:t xml:space="preserve">locations, </w:t>
      </w:r>
      <w:r w:rsidRPr="00563D71">
        <w:t xml:space="preserve">and consultations with </w:t>
      </w:r>
      <w:r w:rsidR="00A6516B" w:rsidRPr="00563D71">
        <w:t>various stakeholders</w:t>
      </w:r>
      <w:r w:rsidRPr="00563D71">
        <w:t xml:space="preserve">, the measures </w:t>
      </w:r>
      <w:r w:rsidR="00A6516B" w:rsidRPr="00563D71">
        <w:t xml:space="preserve">summarized in Table </w:t>
      </w:r>
      <w:r w:rsidR="000311AE" w:rsidRPr="00563D71">
        <w:t>11</w:t>
      </w:r>
      <w:r w:rsidR="00A6516B" w:rsidRPr="00563D71">
        <w:t xml:space="preserve"> </w:t>
      </w:r>
      <w:r w:rsidRPr="00563D71">
        <w:t xml:space="preserve">are proposed to improve the performance of the environmental and social management system </w:t>
      </w:r>
      <w:r w:rsidR="00A6516B" w:rsidRPr="00563D71">
        <w:t>for</w:t>
      </w:r>
      <w:r w:rsidRPr="00563D71">
        <w:t xml:space="preserve"> the Program.  The proposed measures will be</w:t>
      </w:r>
      <w:r w:rsidR="00A6516B" w:rsidRPr="00563D71">
        <w:t xml:space="preserve"> implemented in </w:t>
      </w:r>
      <w:r w:rsidR="00594EA9" w:rsidRPr="00563D71">
        <w:t xml:space="preserve">one or more of </w:t>
      </w:r>
      <w:r w:rsidR="00A6516B" w:rsidRPr="00563D71">
        <w:t>three different ways as indicated in the table: as part of Results Area</w:t>
      </w:r>
      <w:r w:rsidR="00594EA9" w:rsidRPr="00563D71">
        <w:t>s 2 and</w:t>
      </w:r>
      <w:r w:rsidR="00A6516B" w:rsidRPr="00563D71">
        <w:t xml:space="preserve"> 4, by inclusion in the </w:t>
      </w:r>
      <w:r w:rsidR="00CF0687" w:rsidRPr="00563D71">
        <w:t xml:space="preserve">IPF </w:t>
      </w:r>
      <w:r w:rsidR="00A6516B" w:rsidRPr="00563D71">
        <w:t>component</w:t>
      </w:r>
      <w:r w:rsidR="00CF0687" w:rsidRPr="00563D71">
        <w:t xml:space="preserve"> of the Operation</w:t>
      </w:r>
      <w:r w:rsidR="00A6516B" w:rsidRPr="00563D71">
        <w:t xml:space="preserve">, or as </w:t>
      </w:r>
      <w:r w:rsidRPr="00563D71">
        <w:t xml:space="preserve">part of the Program Action Plan (PAP). </w:t>
      </w:r>
    </w:p>
    <w:p w14:paraId="533B4239" w14:textId="77777777" w:rsidR="0072722D" w:rsidRPr="00563D71" w:rsidRDefault="0072722D" w:rsidP="0032029F">
      <w:pPr>
        <w:pStyle w:val="MainParanoChapter-Ch3"/>
        <w:numPr>
          <w:ilvl w:val="0"/>
          <w:numId w:val="0"/>
        </w:numPr>
      </w:pPr>
    </w:p>
    <w:p w14:paraId="14BA9549" w14:textId="073E32AA" w:rsidR="00411C69" w:rsidRPr="00563D71" w:rsidRDefault="00135C34" w:rsidP="0032029F">
      <w:pPr>
        <w:pStyle w:val="MainParanoChapter-Ch3"/>
      </w:pPr>
      <w:r w:rsidRPr="00563D71">
        <w:t>The MPWH (</w:t>
      </w:r>
      <w:r w:rsidR="00411C69" w:rsidRPr="00563D71">
        <w:t>RIDA</w:t>
      </w:r>
      <w:r w:rsidRPr="00563D71">
        <w:t>)</w:t>
      </w:r>
      <w:r w:rsidR="00411C69" w:rsidRPr="00563D71">
        <w:t xml:space="preserve"> will be </w:t>
      </w:r>
      <w:r w:rsidR="00B344F2" w:rsidRPr="00563D71">
        <w:t>allocating Program Management Support Consultants’ Services financed under the IPF, and/or additional qualified MPWH staff</w:t>
      </w:r>
      <w:r w:rsidR="00B344F2" w:rsidRPr="00563D71" w:rsidDel="00B344F2">
        <w:t xml:space="preserve"> </w:t>
      </w:r>
      <w:r w:rsidR="00411C69" w:rsidRPr="00563D71">
        <w:t>to the following tasks:</w:t>
      </w:r>
    </w:p>
    <w:p w14:paraId="54FDD6E7" w14:textId="27752D0B" w:rsidR="00411C69" w:rsidRPr="00563D71" w:rsidRDefault="00411C69" w:rsidP="0032029F">
      <w:pPr>
        <w:numPr>
          <w:ilvl w:val="0"/>
          <w:numId w:val="121"/>
        </w:numPr>
        <w:ind w:left="1080" w:right="15"/>
      </w:pPr>
      <w:r w:rsidRPr="00563D71">
        <w:t>Providing assistance to the RIDA Team in the coordination and synergy of program implementation related to the Tourism Development Program;</w:t>
      </w:r>
    </w:p>
    <w:p w14:paraId="548257F5" w14:textId="18F1E1F4" w:rsidR="00411C69" w:rsidRPr="00563D71" w:rsidRDefault="00411C69" w:rsidP="0032029F">
      <w:pPr>
        <w:numPr>
          <w:ilvl w:val="0"/>
          <w:numId w:val="121"/>
        </w:numPr>
        <w:ind w:left="1080" w:right="15"/>
      </w:pPr>
      <w:r w:rsidRPr="00563D71">
        <w:t>Assisting the RIDA Team in conducting activities and compiling documents (including preparation of the UKL-UPL/AMDAL documents and preparation of the Social Environmental Strategic Assessment (SESA)</w:t>
      </w:r>
      <w:r w:rsidR="00135C34" w:rsidRPr="00563D71">
        <w:t>)</w:t>
      </w:r>
      <w:r w:rsidRPr="00563D71">
        <w:t>. This is also related to the other activities component of the Tourism Development Program;</w:t>
      </w:r>
    </w:p>
    <w:p w14:paraId="554DCD12" w14:textId="0CAE77F3" w:rsidR="00411C69" w:rsidRPr="00563D71" w:rsidRDefault="00411C69" w:rsidP="0032029F">
      <w:pPr>
        <w:numPr>
          <w:ilvl w:val="0"/>
          <w:numId w:val="121"/>
        </w:numPr>
        <w:ind w:left="1080" w:right="15"/>
      </w:pPr>
      <w:r w:rsidRPr="00563D71">
        <w:t>Preparing and submitting reports on the implementation of their duties to the Head of RIDA through coordination with the RIDA Team.</w:t>
      </w:r>
    </w:p>
    <w:p w14:paraId="55B7BC0C" w14:textId="77777777" w:rsidR="0072722D" w:rsidRPr="00563D71" w:rsidRDefault="0072722D" w:rsidP="0032029F">
      <w:pPr>
        <w:ind w:left="0" w:right="15" w:firstLine="0"/>
      </w:pPr>
    </w:p>
    <w:p w14:paraId="1D84DA11" w14:textId="235ECE72" w:rsidR="00411C69" w:rsidRPr="00563D71" w:rsidRDefault="00411C69" w:rsidP="00E350A2">
      <w:pPr>
        <w:pStyle w:val="MainParanoChapter-Ch3"/>
      </w:pPr>
      <w:r w:rsidRPr="00563D71">
        <w:t>The capacities and capacity-building needs of other national agencies involved in the PforR and provincial and local government agencies that will be responsible for activities supported by the Program are described in the ESSA. The implementation and types of capacity building training programs for other key ministries to be funded under the IPF component of the Operation are described in the ESMF and will not be repeated in the ESSA.</w:t>
      </w:r>
      <w:r w:rsidRPr="00563D71">
        <w:rPr>
          <w:color w:val="000000"/>
        </w:rPr>
        <w:t xml:space="preserve"> </w:t>
      </w:r>
    </w:p>
    <w:p w14:paraId="21B5EF05" w14:textId="77777777" w:rsidR="00A9759F" w:rsidRPr="00563D71" w:rsidRDefault="00A9759F" w:rsidP="003D2E29">
      <w:pPr>
        <w:ind w:left="0" w:right="15" w:firstLine="0"/>
      </w:pPr>
    </w:p>
    <w:p w14:paraId="3210D643" w14:textId="21268DD8" w:rsidR="0004727C" w:rsidRPr="00563D71" w:rsidRDefault="00D04B10" w:rsidP="003D2E29">
      <w:pPr>
        <w:pStyle w:val="NoSpacing"/>
        <w:jc w:val="center"/>
      </w:pPr>
      <w:bookmarkStart w:id="88" w:name="_Toc485824772"/>
      <w:r w:rsidRPr="00563D71">
        <w:t xml:space="preserve">Table </w:t>
      </w:r>
      <w:r w:rsidR="00704623" w:rsidRPr="00563D71">
        <w:t>11</w:t>
      </w:r>
      <w:r w:rsidRPr="00563D71">
        <w:t xml:space="preserve">. Environmental and Social Measures for the Program </w:t>
      </w:r>
      <w:r w:rsidR="0005768B" w:rsidRPr="00563D71">
        <w:t xml:space="preserve">Design and </w:t>
      </w:r>
      <w:r w:rsidRPr="00563D71">
        <w:t>Action Plan.</w:t>
      </w:r>
      <w:bookmarkEnd w:id="88"/>
    </w:p>
    <w:p w14:paraId="5F1C4C37" w14:textId="4AF153A7" w:rsidR="00F864DC" w:rsidRPr="00563D71" w:rsidRDefault="00F864DC" w:rsidP="003D2E29">
      <w:pPr>
        <w:pStyle w:val="NoSpacing"/>
        <w:jc w:val="center"/>
      </w:pPr>
    </w:p>
    <w:tbl>
      <w:tblPr>
        <w:tblStyle w:val="TableGrid"/>
        <w:tblW w:w="9559" w:type="dxa"/>
        <w:tblInd w:w="-95" w:type="dxa"/>
        <w:tblCellMar>
          <w:top w:w="3" w:type="dxa"/>
          <w:left w:w="104" w:type="dxa"/>
          <w:right w:w="94" w:type="dxa"/>
        </w:tblCellMar>
        <w:tblLook w:val="04A0" w:firstRow="1" w:lastRow="0" w:firstColumn="1" w:lastColumn="0" w:noHBand="0" w:noVBand="1"/>
      </w:tblPr>
      <w:tblGrid>
        <w:gridCol w:w="2121"/>
        <w:gridCol w:w="2433"/>
        <w:gridCol w:w="2028"/>
        <w:gridCol w:w="1574"/>
        <w:gridCol w:w="1403"/>
      </w:tblGrid>
      <w:tr w:rsidR="009341AC" w:rsidRPr="00563D71" w14:paraId="705F445F" w14:textId="77777777" w:rsidTr="00B57DAC">
        <w:trPr>
          <w:trHeight w:val="473"/>
        </w:trPr>
        <w:tc>
          <w:tcPr>
            <w:tcW w:w="212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5FF02B9" w14:textId="77777777" w:rsidR="009341AC" w:rsidRPr="00563D71" w:rsidRDefault="009341AC" w:rsidP="00B57DAC">
            <w:pPr>
              <w:spacing w:before="0"/>
              <w:ind w:left="0" w:firstLine="0"/>
              <w:jc w:val="left"/>
              <w:rPr>
                <w:b/>
                <w:sz w:val="20"/>
                <w:szCs w:val="20"/>
              </w:rPr>
            </w:pPr>
            <w:r w:rsidRPr="00563D71">
              <w:rPr>
                <w:b/>
                <w:sz w:val="20"/>
                <w:szCs w:val="20"/>
              </w:rPr>
              <w:t>Objective</w:t>
            </w:r>
          </w:p>
        </w:tc>
        <w:tc>
          <w:tcPr>
            <w:tcW w:w="243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3181E23" w14:textId="77777777" w:rsidR="009341AC" w:rsidRPr="00563D71" w:rsidRDefault="009341AC" w:rsidP="00B57DAC">
            <w:pPr>
              <w:spacing w:before="0"/>
              <w:ind w:left="1" w:firstLine="0"/>
              <w:jc w:val="left"/>
              <w:rPr>
                <w:b/>
                <w:sz w:val="20"/>
                <w:szCs w:val="20"/>
              </w:rPr>
            </w:pPr>
            <w:r w:rsidRPr="00563D71">
              <w:rPr>
                <w:b/>
                <w:sz w:val="20"/>
                <w:szCs w:val="20"/>
              </w:rPr>
              <w:t>Environmental and Social Actions</w:t>
            </w:r>
          </w:p>
        </w:tc>
        <w:tc>
          <w:tcPr>
            <w:tcW w:w="202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F4927FC" w14:textId="77777777" w:rsidR="009341AC" w:rsidRPr="00563D71" w:rsidRDefault="009341AC" w:rsidP="00B57DAC">
            <w:pPr>
              <w:spacing w:before="0"/>
              <w:ind w:left="1" w:firstLine="0"/>
              <w:jc w:val="left"/>
              <w:rPr>
                <w:sz w:val="20"/>
                <w:szCs w:val="20"/>
              </w:rPr>
            </w:pPr>
            <w:r w:rsidRPr="00563D71">
              <w:rPr>
                <w:b/>
                <w:sz w:val="20"/>
                <w:szCs w:val="20"/>
              </w:rPr>
              <w:t>Implementation via</w:t>
            </w:r>
          </w:p>
        </w:tc>
        <w:tc>
          <w:tcPr>
            <w:tcW w:w="157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48FF7BE" w14:textId="77777777" w:rsidR="009341AC" w:rsidRPr="00563D71" w:rsidRDefault="009341AC" w:rsidP="00B57DAC">
            <w:pPr>
              <w:spacing w:before="0"/>
              <w:ind w:left="1" w:firstLine="0"/>
              <w:jc w:val="left"/>
              <w:rPr>
                <w:sz w:val="20"/>
                <w:szCs w:val="20"/>
              </w:rPr>
            </w:pPr>
            <w:r w:rsidRPr="00563D71">
              <w:rPr>
                <w:b/>
                <w:sz w:val="20"/>
                <w:szCs w:val="20"/>
              </w:rPr>
              <w:t>Timing</w:t>
            </w:r>
          </w:p>
        </w:tc>
        <w:tc>
          <w:tcPr>
            <w:tcW w:w="140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21FFDFB" w14:textId="77777777" w:rsidR="009341AC" w:rsidRPr="00563D71" w:rsidRDefault="009341AC" w:rsidP="00B57DAC">
            <w:pPr>
              <w:spacing w:before="0"/>
              <w:ind w:left="1" w:firstLine="0"/>
              <w:jc w:val="left"/>
              <w:rPr>
                <w:sz w:val="20"/>
                <w:szCs w:val="20"/>
              </w:rPr>
            </w:pPr>
            <w:r w:rsidRPr="00563D71">
              <w:rPr>
                <w:b/>
                <w:sz w:val="20"/>
                <w:szCs w:val="20"/>
              </w:rPr>
              <w:t>Responsible</w:t>
            </w:r>
          </w:p>
        </w:tc>
      </w:tr>
      <w:tr w:rsidR="009341AC" w:rsidRPr="00563D71" w14:paraId="6ED04B3E" w14:textId="77777777" w:rsidTr="00B57DAC">
        <w:trPr>
          <w:trHeight w:val="3407"/>
        </w:trPr>
        <w:tc>
          <w:tcPr>
            <w:tcW w:w="2121" w:type="dxa"/>
            <w:tcBorders>
              <w:top w:val="single" w:sz="4" w:space="0" w:color="000000"/>
              <w:left w:val="single" w:sz="4" w:space="0" w:color="000000"/>
              <w:bottom w:val="single" w:sz="4" w:space="0" w:color="000000"/>
              <w:right w:val="single" w:sz="4" w:space="0" w:color="000000"/>
            </w:tcBorders>
            <w:vAlign w:val="center"/>
          </w:tcPr>
          <w:p w14:paraId="11CEE793" w14:textId="77777777" w:rsidR="009341AC" w:rsidRPr="00563D71" w:rsidRDefault="009341AC" w:rsidP="00B57DAC">
            <w:pPr>
              <w:spacing w:before="0"/>
              <w:ind w:left="0" w:right="61" w:firstLine="0"/>
              <w:jc w:val="left"/>
              <w:rPr>
                <w:sz w:val="20"/>
                <w:szCs w:val="20"/>
              </w:rPr>
            </w:pPr>
            <w:r w:rsidRPr="00563D71">
              <w:rPr>
                <w:sz w:val="20"/>
                <w:szCs w:val="20"/>
              </w:rPr>
              <w:t>Ensure integrated development of tourism facilities and supporting infrastructure</w:t>
            </w:r>
          </w:p>
        </w:tc>
        <w:tc>
          <w:tcPr>
            <w:tcW w:w="2433" w:type="dxa"/>
            <w:vMerge w:val="restart"/>
            <w:tcBorders>
              <w:top w:val="single" w:sz="4" w:space="0" w:color="000000"/>
              <w:left w:val="single" w:sz="4" w:space="0" w:color="000000"/>
              <w:right w:val="single" w:sz="4" w:space="0" w:color="000000"/>
            </w:tcBorders>
            <w:vAlign w:val="center"/>
          </w:tcPr>
          <w:p w14:paraId="4996BE01" w14:textId="77777777" w:rsidR="009341AC" w:rsidRPr="00563D71" w:rsidRDefault="009341AC" w:rsidP="00B57DAC">
            <w:pPr>
              <w:spacing w:before="0"/>
              <w:ind w:left="1" w:firstLine="0"/>
              <w:jc w:val="left"/>
              <w:rPr>
                <w:sz w:val="20"/>
                <w:szCs w:val="20"/>
              </w:rPr>
            </w:pPr>
            <w:r w:rsidRPr="00563D71">
              <w:rPr>
                <w:sz w:val="20"/>
                <w:szCs w:val="20"/>
              </w:rPr>
              <w:t>Prepare Integrated Tourism Master Plans (ITMPs) for each destination.</w:t>
            </w:r>
          </w:p>
          <w:p w14:paraId="370410C5" w14:textId="77777777" w:rsidR="009341AC" w:rsidRPr="00563D71" w:rsidRDefault="009341AC" w:rsidP="00B57DAC">
            <w:pPr>
              <w:spacing w:before="0"/>
              <w:ind w:left="1" w:firstLine="0"/>
              <w:jc w:val="left"/>
              <w:rPr>
                <w:sz w:val="20"/>
                <w:szCs w:val="20"/>
              </w:rPr>
            </w:pPr>
          </w:p>
          <w:p w14:paraId="32041854" w14:textId="77777777" w:rsidR="009341AC" w:rsidRPr="00563D71" w:rsidRDefault="009341AC" w:rsidP="00B57DAC">
            <w:pPr>
              <w:tabs>
                <w:tab w:val="left" w:pos="0"/>
              </w:tabs>
              <w:spacing w:before="0"/>
              <w:ind w:left="0"/>
              <w:jc w:val="left"/>
              <w:rPr>
                <w:sz w:val="20"/>
                <w:szCs w:val="20"/>
              </w:rPr>
            </w:pPr>
            <w:r w:rsidRPr="00563D71">
              <w:rPr>
                <w:sz w:val="20"/>
                <w:szCs w:val="20"/>
              </w:rPr>
              <w:t>Undertake free, prior, informed consultations that lead to broad community support during the preparation of the ITMPs and downstream plans ensuring the cultural appropriateness of, and equitable access to, Program benefits.</w:t>
            </w:r>
          </w:p>
          <w:p w14:paraId="62262249" w14:textId="77777777" w:rsidR="009341AC" w:rsidRPr="00563D71" w:rsidRDefault="009341AC" w:rsidP="00B57DAC">
            <w:pPr>
              <w:tabs>
                <w:tab w:val="left" w:pos="0"/>
              </w:tabs>
              <w:spacing w:before="0"/>
              <w:ind w:left="0"/>
              <w:jc w:val="left"/>
              <w:rPr>
                <w:sz w:val="20"/>
                <w:szCs w:val="20"/>
              </w:rPr>
            </w:pPr>
          </w:p>
          <w:p w14:paraId="6BFE2734" w14:textId="5139BDBE" w:rsidR="009341AC" w:rsidRPr="00563D71" w:rsidRDefault="009341AC" w:rsidP="00B57DAC">
            <w:pPr>
              <w:tabs>
                <w:tab w:val="left" w:pos="0"/>
              </w:tabs>
              <w:spacing w:before="0"/>
              <w:ind w:left="0"/>
              <w:jc w:val="left"/>
              <w:rPr>
                <w:sz w:val="20"/>
                <w:szCs w:val="20"/>
              </w:rPr>
            </w:pPr>
            <w:r w:rsidRPr="00563D71">
              <w:rPr>
                <w:sz w:val="20"/>
                <w:szCs w:val="20"/>
              </w:rPr>
              <w:t xml:space="preserve">Provide training and assistance to involved agencies implementing the investments in areas </w:t>
            </w:r>
            <w:r w:rsidR="009831B3">
              <w:rPr>
                <w:sz w:val="20"/>
                <w:szCs w:val="20"/>
              </w:rPr>
              <w:t xml:space="preserve">where there is IPs presence in </w:t>
            </w:r>
            <w:r w:rsidRPr="00563D71">
              <w:rPr>
                <w:sz w:val="20"/>
                <w:szCs w:val="20"/>
              </w:rPr>
              <w:t>carrying out a free, prior, informed consultations that lead to broad community support to the Program during the social assessment and to empower the affected IPs in benefitting from the Program and address potential impacts through the development of the Indigenous Peoples Plan (IPP).</w:t>
            </w:r>
            <w:r w:rsidRPr="00563D71">
              <w:rPr>
                <w:rStyle w:val="FootnoteReference"/>
                <w:sz w:val="20"/>
                <w:szCs w:val="20"/>
              </w:rPr>
              <w:footnoteReference w:id="52"/>
            </w:r>
            <w:r w:rsidRPr="00563D71">
              <w:rPr>
                <w:sz w:val="20"/>
                <w:szCs w:val="20"/>
              </w:rPr>
              <w:t xml:space="preserve"> </w:t>
            </w:r>
          </w:p>
          <w:p w14:paraId="1032EA2F" w14:textId="77777777" w:rsidR="009341AC" w:rsidRPr="00563D71" w:rsidRDefault="009341AC" w:rsidP="00B57DAC">
            <w:pPr>
              <w:tabs>
                <w:tab w:val="left" w:pos="0"/>
              </w:tabs>
              <w:spacing w:before="0"/>
              <w:ind w:left="0"/>
              <w:jc w:val="left"/>
              <w:rPr>
                <w:sz w:val="20"/>
                <w:szCs w:val="20"/>
              </w:rPr>
            </w:pPr>
          </w:p>
          <w:p w14:paraId="0C4EBCF5" w14:textId="77777777" w:rsidR="009341AC" w:rsidRPr="00563D71" w:rsidRDefault="009341AC" w:rsidP="00B57DAC">
            <w:pPr>
              <w:jc w:val="left"/>
              <w:rPr>
                <w:sz w:val="20"/>
                <w:szCs w:val="20"/>
              </w:rPr>
            </w:pPr>
            <w:r w:rsidRPr="00563D71">
              <w:rPr>
                <w:sz w:val="20"/>
                <w:szCs w:val="20"/>
              </w:rPr>
              <w:t>Assist and facilitate the collaborative efforts of various agencies responsible for IPs empowerment.</w:t>
            </w:r>
            <w:r w:rsidRPr="00563D71" w:rsidDel="0004026E">
              <w:rPr>
                <w:sz w:val="20"/>
                <w:szCs w:val="20"/>
              </w:rPr>
              <w:t xml:space="preserve"> </w:t>
            </w:r>
          </w:p>
        </w:tc>
        <w:tc>
          <w:tcPr>
            <w:tcW w:w="2028" w:type="dxa"/>
            <w:vMerge w:val="restart"/>
            <w:tcBorders>
              <w:top w:val="single" w:sz="4" w:space="0" w:color="000000"/>
              <w:left w:val="single" w:sz="4" w:space="0" w:color="000000"/>
              <w:right w:val="single" w:sz="4" w:space="0" w:color="000000"/>
            </w:tcBorders>
            <w:vAlign w:val="center"/>
          </w:tcPr>
          <w:p w14:paraId="43B3B91A" w14:textId="77777777" w:rsidR="009341AC" w:rsidRPr="00563D71" w:rsidRDefault="009341AC" w:rsidP="00B57DAC">
            <w:pPr>
              <w:spacing w:before="0"/>
              <w:ind w:left="0" w:firstLine="0"/>
              <w:jc w:val="left"/>
              <w:rPr>
                <w:sz w:val="20"/>
                <w:szCs w:val="20"/>
              </w:rPr>
            </w:pPr>
            <w:r w:rsidRPr="00563D71">
              <w:rPr>
                <w:sz w:val="20"/>
                <w:szCs w:val="20"/>
              </w:rPr>
              <w:lastRenderedPageBreak/>
              <w:t>IPF (technical assistance) component of the Operation, especially the Integrated Tourism Master Plan (ITMP) Consultants’ Services, and downstream plans.</w:t>
            </w:r>
          </w:p>
          <w:p w14:paraId="60D0F9D4" w14:textId="77777777" w:rsidR="009341AC" w:rsidRPr="00563D71" w:rsidRDefault="009341AC" w:rsidP="00B57DAC">
            <w:pPr>
              <w:spacing w:before="0"/>
              <w:jc w:val="left"/>
              <w:rPr>
                <w:sz w:val="20"/>
                <w:szCs w:val="20"/>
              </w:rPr>
            </w:pPr>
          </w:p>
          <w:p w14:paraId="4C0D1C9F" w14:textId="77777777" w:rsidR="009341AC" w:rsidRPr="00563D71" w:rsidRDefault="009341AC" w:rsidP="00B57DAC">
            <w:pPr>
              <w:spacing w:before="0"/>
              <w:ind w:left="0" w:firstLine="0"/>
              <w:jc w:val="left"/>
              <w:rPr>
                <w:sz w:val="20"/>
                <w:szCs w:val="20"/>
              </w:rPr>
            </w:pPr>
            <w:r w:rsidRPr="00563D71">
              <w:rPr>
                <w:sz w:val="20"/>
                <w:szCs w:val="20"/>
              </w:rPr>
              <w:lastRenderedPageBreak/>
              <w:t>Program Management Support</w:t>
            </w:r>
            <w:r w:rsidRPr="00563D71">
              <w:rPr>
                <w:rStyle w:val="FootnoteReference"/>
                <w:sz w:val="20"/>
                <w:szCs w:val="20"/>
              </w:rPr>
              <w:footnoteReference w:id="53"/>
            </w:r>
            <w:r w:rsidRPr="00563D71">
              <w:rPr>
                <w:sz w:val="20"/>
                <w:szCs w:val="20"/>
              </w:rPr>
              <w:t xml:space="preserve"> to provide training, review IPPs, monitor their implementation, </w:t>
            </w:r>
          </w:p>
          <w:p w14:paraId="2E0FDB1A" w14:textId="77777777" w:rsidR="009341AC" w:rsidRPr="00563D71" w:rsidRDefault="009341AC" w:rsidP="00B57DAC">
            <w:pPr>
              <w:spacing w:before="0"/>
              <w:ind w:left="1" w:firstLine="0"/>
              <w:jc w:val="left"/>
              <w:rPr>
                <w:sz w:val="20"/>
                <w:szCs w:val="20"/>
              </w:rPr>
            </w:pPr>
            <w:r w:rsidRPr="00563D71">
              <w:rPr>
                <w:sz w:val="20"/>
                <w:szCs w:val="20"/>
              </w:rPr>
              <w:t>and facilitate collaboration among involved agencies.</w:t>
            </w:r>
          </w:p>
        </w:tc>
        <w:tc>
          <w:tcPr>
            <w:tcW w:w="1574" w:type="dxa"/>
            <w:vMerge w:val="restart"/>
            <w:tcBorders>
              <w:top w:val="single" w:sz="4" w:space="0" w:color="000000"/>
              <w:left w:val="single" w:sz="4" w:space="0" w:color="000000"/>
              <w:right w:val="single" w:sz="4" w:space="0" w:color="000000"/>
            </w:tcBorders>
            <w:vAlign w:val="center"/>
          </w:tcPr>
          <w:p w14:paraId="31553808" w14:textId="77777777" w:rsidR="009341AC" w:rsidRPr="00563D71" w:rsidRDefault="009341AC" w:rsidP="00B57DAC">
            <w:pPr>
              <w:spacing w:before="0"/>
              <w:ind w:left="1" w:firstLine="0"/>
              <w:jc w:val="left"/>
              <w:rPr>
                <w:sz w:val="20"/>
                <w:szCs w:val="20"/>
              </w:rPr>
            </w:pPr>
            <w:r w:rsidRPr="00563D71">
              <w:rPr>
                <w:sz w:val="20"/>
                <w:szCs w:val="20"/>
              </w:rPr>
              <w:lastRenderedPageBreak/>
              <w:t>ITMP by August 2018, with interim deliverable to inform the 2018 expenditure program.</w:t>
            </w:r>
          </w:p>
          <w:p w14:paraId="2D535E9A" w14:textId="77777777" w:rsidR="009341AC" w:rsidRPr="00563D71" w:rsidRDefault="009341AC" w:rsidP="00B57DAC">
            <w:pPr>
              <w:spacing w:before="0"/>
              <w:ind w:left="1" w:firstLine="0"/>
              <w:jc w:val="left"/>
              <w:rPr>
                <w:sz w:val="20"/>
                <w:szCs w:val="20"/>
              </w:rPr>
            </w:pPr>
          </w:p>
          <w:p w14:paraId="72610FA9" w14:textId="77777777" w:rsidR="009341AC" w:rsidRPr="00563D71" w:rsidRDefault="009341AC" w:rsidP="00B57DAC">
            <w:pPr>
              <w:spacing w:before="0"/>
              <w:ind w:left="1" w:firstLine="0"/>
              <w:jc w:val="left"/>
              <w:rPr>
                <w:sz w:val="20"/>
                <w:szCs w:val="20"/>
              </w:rPr>
            </w:pPr>
            <w:r w:rsidRPr="00563D71">
              <w:rPr>
                <w:sz w:val="20"/>
                <w:szCs w:val="20"/>
              </w:rPr>
              <w:t xml:space="preserve">During the implementation of the PforR. </w:t>
            </w:r>
          </w:p>
          <w:p w14:paraId="10A2BECF" w14:textId="77777777" w:rsidR="009341AC" w:rsidRPr="00563D71" w:rsidRDefault="009341AC" w:rsidP="00B57DAC">
            <w:pPr>
              <w:spacing w:before="0"/>
              <w:ind w:left="1" w:firstLine="0"/>
              <w:jc w:val="left"/>
              <w:rPr>
                <w:sz w:val="20"/>
                <w:szCs w:val="20"/>
              </w:rPr>
            </w:pPr>
          </w:p>
        </w:tc>
        <w:tc>
          <w:tcPr>
            <w:tcW w:w="1403" w:type="dxa"/>
            <w:vMerge w:val="restart"/>
            <w:tcBorders>
              <w:top w:val="single" w:sz="4" w:space="0" w:color="000000"/>
              <w:left w:val="single" w:sz="4" w:space="0" w:color="000000"/>
              <w:right w:val="single" w:sz="4" w:space="0" w:color="000000"/>
            </w:tcBorders>
            <w:vAlign w:val="center"/>
          </w:tcPr>
          <w:p w14:paraId="4E7EBAC7" w14:textId="77777777" w:rsidR="009341AC" w:rsidRPr="00563D71" w:rsidRDefault="009341AC" w:rsidP="00B57DAC">
            <w:pPr>
              <w:spacing w:before="0"/>
              <w:ind w:left="0" w:right="16" w:firstLine="0"/>
              <w:jc w:val="left"/>
              <w:rPr>
                <w:sz w:val="20"/>
                <w:szCs w:val="20"/>
              </w:rPr>
            </w:pPr>
            <w:r w:rsidRPr="00563D71">
              <w:rPr>
                <w:sz w:val="20"/>
                <w:szCs w:val="20"/>
              </w:rPr>
              <w:t>MPWH</w:t>
            </w:r>
          </w:p>
        </w:tc>
      </w:tr>
      <w:tr w:rsidR="009341AC" w:rsidRPr="00563D71" w14:paraId="3A1EEBF7" w14:textId="77777777" w:rsidTr="00B57DAC">
        <w:trPr>
          <w:trHeight w:val="1193"/>
        </w:trPr>
        <w:tc>
          <w:tcPr>
            <w:tcW w:w="2121" w:type="dxa"/>
            <w:tcBorders>
              <w:top w:val="single" w:sz="4" w:space="0" w:color="000000"/>
              <w:left w:val="single" w:sz="4" w:space="0" w:color="000000"/>
              <w:bottom w:val="single" w:sz="4" w:space="0" w:color="000000"/>
              <w:right w:val="single" w:sz="4" w:space="0" w:color="000000"/>
            </w:tcBorders>
            <w:vAlign w:val="center"/>
          </w:tcPr>
          <w:p w14:paraId="47E37964" w14:textId="77777777" w:rsidR="009341AC" w:rsidRPr="00563D71" w:rsidRDefault="009341AC" w:rsidP="00B57DAC">
            <w:pPr>
              <w:spacing w:before="0"/>
              <w:ind w:left="0" w:right="61" w:firstLine="0"/>
              <w:jc w:val="left"/>
              <w:rPr>
                <w:sz w:val="20"/>
                <w:szCs w:val="20"/>
              </w:rPr>
            </w:pPr>
            <w:r w:rsidRPr="00563D71">
              <w:rPr>
                <w:sz w:val="20"/>
                <w:szCs w:val="20"/>
              </w:rPr>
              <w:lastRenderedPageBreak/>
              <w:t>Ensure that the destination’s environmental, social, and cultural opportunities and constraints are considered in development planning</w:t>
            </w:r>
          </w:p>
        </w:tc>
        <w:tc>
          <w:tcPr>
            <w:tcW w:w="2433" w:type="dxa"/>
            <w:vMerge/>
            <w:tcBorders>
              <w:left w:val="single" w:sz="4" w:space="0" w:color="000000"/>
              <w:right w:val="single" w:sz="4" w:space="0" w:color="000000"/>
            </w:tcBorders>
            <w:vAlign w:val="center"/>
          </w:tcPr>
          <w:p w14:paraId="7CB4D282" w14:textId="77777777" w:rsidR="009341AC" w:rsidRPr="00563D71" w:rsidRDefault="009341AC" w:rsidP="00B57DAC">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3FFCB59F" w14:textId="77777777" w:rsidR="009341AC" w:rsidRPr="00563D71" w:rsidRDefault="009341AC" w:rsidP="00B57DAC">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5CD059EB" w14:textId="77777777" w:rsidR="009341AC" w:rsidRPr="00563D71" w:rsidRDefault="009341AC" w:rsidP="00B57DAC">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40167F50" w14:textId="77777777" w:rsidR="009341AC" w:rsidRPr="00563D71" w:rsidRDefault="009341AC" w:rsidP="00B57DAC">
            <w:pPr>
              <w:spacing w:before="0"/>
              <w:ind w:left="0" w:right="16" w:firstLine="0"/>
              <w:jc w:val="left"/>
              <w:rPr>
                <w:sz w:val="20"/>
                <w:szCs w:val="20"/>
              </w:rPr>
            </w:pPr>
          </w:p>
        </w:tc>
      </w:tr>
      <w:tr w:rsidR="009341AC" w:rsidRPr="00563D71" w14:paraId="7FD48312" w14:textId="77777777" w:rsidTr="00B57DAC">
        <w:trPr>
          <w:trHeight w:val="527"/>
        </w:trPr>
        <w:tc>
          <w:tcPr>
            <w:tcW w:w="2121" w:type="dxa"/>
            <w:tcBorders>
              <w:top w:val="single" w:sz="4" w:space="0" w:color="000000"/>
              <w:left w:val="single" w:sz="4" w:space="0" w:color="000000"/>
              <w:bottom w:val="single" w:sz="4" w:space="0" w:color="000000"/>
              <w:right w:val="single" w:sz="4" w:space="0" w:color="000000"/>
            </w:tcBorders>
            <w:vAlign w:val="center"/>
          </w:tcPr>
          <w:p w14:paraId="4F4F3CA5" w14:textId="77777777" w:rsidR="009341AC" w:rsidRPr="00563D71" w:rsidRDefault="009341AC" w:rsidP="00B57DAC">
            <w:pPr>
              <w:spacing w:before="0"/>
              <w:ind w:left="0" w:right="61" w:firstLine="0"/>
              <w:jc w:val="left"/>
              <w:rPr>
                <w:sz w:val="20"/>
                <w:szCs w:val="20"/>
              </w:rPr>
            </w:pPr>
            <w:r w:rsidRPr="00563D71">
              <w:rPr>
                <w:sz w:val="20"/>
                <w:szCs w:val="20"/>
              </w:rPr>
              <w:t>Avoid locating infrastructure in disaster-prone areas</w:t>
            </w:r>
          </w:p>
        </w:tc>
        <w:tc>
          <w:tcPr>
            <w:tcW w:w="2433" w:type="dxa"/>
            <w:vMerge/>
            <w:tcBorders>
              <w:left w:val="single" w:sz="4" w:space="0" w:color="000000"/>
              <w:right w:val="single" w:sz="4" w:space="0" w:color="000000"/>
            </w:tcBorders>
            <w:vAlign w:val="center"/>
          </w:tcPr>
          <w:p w14:paraId="2DD65E95" w14:textId="77777777" w:rsidR="009341AC" w:rsidRPr="00563D71" w:rsidRDefault="009341AC" w:rsidP="00B57DAC">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13F74F66" w14:textId="77777777" w:rsidR="009341AC" w:rsidRPr="00563D71" w:rsidRDefault="009341AC" w:rsidP="00B57DAC">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11ADCAA8" w14:textId="77777777" w:rsidR="009341AC" w:rsidRPr="00563D71" w:rsidRDefault="009341AC" w:rsidP="00B57DAC">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53445743" w14:textId="77777777" w:rsidR="009341AC" w:rsidRPr="00563D71" w:rsidRDefault="009341AC" w:rsidP="00B57DAC">
            <w:pPr>
              <w:spacing w:before="0"/>
              <w:ind w:left="0" w:right="16" w:firstLine="0"/>
              <w:jc w:val="left"/>
              <w:rPr>
                <w:sz w:val="20"/>
                <w:szCs w:val="20"/>
              </w:rPr>
            </w:pPr>
          </w:p>
        </w:tc>
      </w:tr>
      <w:tr w:rsidR="009341AC" w:rsidRPr="00563D71" w14:paraId="174A6A75" w14:textId="77777777" w:rsidTr="00B57DAC">
        <w:trPr>
          <w:trHeight w:val="1418"/>
        </w:trPr>
        <w:tc>
          <w:tcPr>
            <w:tcW w:w="2121" w:type="dxa"/>
            <w:tcBorders>
              <w:top w:val="single" w:sz="4" w:space="0" w:color="000000"/>
              <w:left w:val="single" w:sz="4" w:space="0" w:color="000000"/>
              <w:bottom w:val="single" w:sz="4" w:space="0" w:color="000000"/>
              <w:right w:val="single" w:sz="4" w:space="0" w:color="000000"/>
            </w:tcBorders>
            <w:vAlign w:val="center"/>
          </w:tcPr>
          <w:p w14:paraId="16B552A9" w14:textId="77777777" w:rsidR="009341AC" w:rsidRPr="00563D71" w:rsidRDefault="009341AC" w:rsidP="00B57DAC">
            <w:pPr>
              <w:spacing w:before="0"/>
              <w:ind w:left="0" w:right="61" w:firstLine="0"/>
              <w:jc w:val="left"/>
              <w:rPr>
                <w:sz w:val="20"/>
                <w:szCs w:val="20"/>
              </w:rPr>
            </w:pPr>
            <w:r w:rsidRPr="00563D71">
              <w:rPr>
                <w:sz w:val="20"/>
                <w:szCs w:val="20"/>
              </w:rPr>
              <w:t>Provide opportunities for stakeholders, including indigenous peoples (IPs) and vulnerable groups, to participate in the planning process</w:t>
            </w:r>
          </w:p>
        </w:tc>
        <w:tc>
          <w:tcPr>
            <w:tcW w:w="2433" w:type="dxa"/>
            <w:vMerge/>
            <w:tcBorders>
              <w:left w:val="single" w:sz="4" w:space="0" w:color="000000"/>
              <w:right w:val="single" w:sz="4" w:space="0" w:color="000000"/>
            </w:tcBorders>
            <w:vAlign w:val="center"/>
          </w:tcPr>
          <w:p w14:paraId="4530E075" w14:textId="77777777" w:rsidR="009341AC" w:rsidRPr="00563D71" w:rsidRDefault="009341AC" w:rsidP="00B57DAC">
            <w:pPr>
              <w:spacing w:before="0"/>
              <w:ind w:left="1" w:firstLine="0"/>
              <w:jc w:val="left"/>
              <w:rPr>
                <w:sz w:val="20"/>
                <w:szCs w:val="20"/>
              </w:rPr>
            </w:pPr>
          </w:p>
        </w:tc>
        <w:tc>
          <w:tcPr>
            <w:tcW w:w="2028" w:type="dxa"/>
            <w:vMerge/>
            <w:tcBorders>
              <w:left w:val="single" w:sz="4" w:space="0" w:color="000000"/>
              <w:right w:val="single" w:sz="4" w:space="0" w:color="000000"/>
            </w:tcBorders>
            <w:vAlign w:val="center"/>
          </w:tcPr>
          <w:p w14:paraId="7F1FB1C8" w14:textId="77777777" w:rsidR="009341AC" w:rsidRPr="00563D71" w:rsidRDefault="009341AC" w:rsidP="00B57DAC">
            <w:pPr>
              <w:spacing w:before="0"/>
              <w:ind w:left="1" w:firstLine="0"/>
              <w:jc w:val="left"/>
              <w:rPr>
                <w:sz w:val="20"/>
                <w:szCs w:val="20"/>
              </w:rPr>
            </w:pPr>
          </w:p>
        </w:tc>
        <w:tc>
          <w:tcPr>
            <w:tcW w:w="1574" w:type="dxa"/>
            <w:vMerge/>
            <w:tcBorders>
              <w:left w:val="single" w:sz="4" w:space="0" w:color="000000"/>
              <w:right w:val="single" w:sz="4" w:space="0" w:color="000000"/>
            </w:tcBorders>
            <w:vAlign w:val="center"/>
          </w:tcPr>
          <w:p w14:paraId="7DF43838" w14:textId="77777777" w:rsidR="009341AC" w:rsidRPr="00563D71" w:rsidRDefault="009341AC" w:rsidP="00B57DAC">
            <w:pPr>
              <w:spacing w:before="0"/>
              <w:ind w:left="1" w:firstLine="0"/>
              <w:jc w:val="left"/>
              <w:rPr>
                <w:sz w:val="20"/>
                <w:szCs w:val="20"/>
              </w:rPr>
            </w:pPr>
          </w:p>
        </w:tc>
        <w:tc>
          <w:tcPr>
            <w:tcW w:w="1403" w:type="dxa"/>
            <w:vMerge/>
            <w:tcBorders>
              <w:left w:val="single" w:sz="4" w:space="0" w:color="000000"/>
              <w:right w:val="single" w:sz="4" w:space="0" w:color="000000"/>
            </w:tcBorders>
            <w:vAlign w:val="center"/>
          </w:tcPr>
          <w:p w14:paraId="1D1DB235" w14:textId="77777777" w:rsidR="009341AC" w:rsidRPr="00563D71" w:rsidRDefault="009341AC" w:rsidP="00B57DAC">
            <w:pPr>
              <w:spacing w:before="0"/>
              <w:ind w:left="0" w:right="16" w:firstLine="0"/>
              <w:jc w:val="left"/>
              <w:rPr>
                <w:sz w:val="20"/>
                <w:szCs w:val="20"/>
              </w:rPr>
            </w:pPr>
          </w:p>
        </w:tc>
      </w:tr>
      <w:tr w:rsidR="009341AC" w:rsidRPr="00563D71" w14:paraId="14CE7078" w14:textId="77777777" w:rsidTr="00B57DAC">
        <w:trPr>
          <w:trHeight w:val="5657"/>
        </w:trPr>
        <w:tc>
          <w:tcPr>
            <w:tcW w:w="2121" w:type="dxa"/>
            <w:tcBorders>
              <w:top w:val="single" w:sz="4" w:space="0" w:color="000000"/>
              <w:left w:val="single" w:sz="4" w:space="0" w:color="000000"/>
              <w:bottom w:val="single" w:sz="4" w:space="0" w:color="000000"/>
              <w:right w:val="single" w:sz="4" w:space="0" w:color="000000"/>
            </w:tcBorders>
            <w:vAlign w:val="center"/>
          </w:tcPr>
          <w:p w14:paraId="1CE2BDC2" w14:textId="77777777" w:rsidR="009341AC" w:rsidRPr="00563D71" w:rsidRDefault="009341AC" w:rsidP="00B57DAC">
            <w:pPr>
              <w:spacing w:before="0"/>
              <w:ind w:left="0" w:right="61" w:firstLine="0"/>
              <w:jc w:val="left"/>
              <w:rPr>
                <w:sz w:val="20"/>
                <w:szCs w:val="20"/>
              </w:rPr>
            </w:pPr>
            <w:r w:rsidRPr="00563D71">
              <w:rPr>
                <w:sz w:val="20"/>
                <w:szCs w:val="20"/>
              </w:rPr>
              <w:lastRenderedPageBreak/>
              <w:t>Mitigate risk that actions of tourism development itself will not degrade the natural and cultural resources that attract the visitors.</w:t>
            </w:r>
          </w:p>
          <w:p w14:paraId="4196783E" w14:textId="77777777" w:rsidR="009341AC" w:rsidRPr="00563D71" w:rsidRDefault="009341AC" w:rsidP="00B57DAC">
            <w:pPr>
              <w:spacing w:before="0"/>
              <w:ind w:left="0" w:right="61" w:firstLine="0"/>
              <w:jc w:val="left"/>
              <w:rPr>
                <w:sz w:val="20"/>
                <w:szCs w:val="20"/>
              </w:rPr>
            </w:pPr>
          </w:p>
          <w:p w14:paraId="448FC847" w14:textId="77777777" w:rsidR="009341AC" w:rsidRPr="00563D71" w:rsidRDefault="009341AC" w:rsidP="00B57DAC">
            <w:pPr>
              <w:spacing w:before="0"/>
              <w:ind w:left="0" w:right="61" w:firstLine="0"/>
              <w:jc w:val="left"/>
              <w:rPr>
                <w:sz w:val="20"/>
                <w:szCs w:val="20"/>
              </w:rPr>
            </w:pPr>
            <w:r w:rsidRPr="00563D71">
              <w:rPr>
                <w:sz w:val="20"/>
                <w:szCs w:val="20"/>
              </w:rPr>
              <w:t xml:space="preserve">Mitigate risk that natural and cultural resources that IPs depend on for their living and customary practices become more limited or restricted. </w:t>
            </w:r>
          </w:p>
        </w:tc>
        <w:tc>
          <w:tcPr>
            <w:tcW w:w="2433" w:type="dxa"/>
            <w:tcBorders>
              <w:top w:val="single" w:sz="4" w:space="0" w:color="000000"/>
              <w:left w:val="single" w:sz="4" w:space="0" w:color="000000"/>
              <w:bottom w:val="single" w:sz="4" w:space="0" w:color="000000"/>
              <w:right w:val="single" w:sz="4" w:space="0" w:color="000000"/>
            </w:tcBorders>
            <w:vAlign w:val="center"/>
          </w:tcPr>
          <w:p w14:paraId="5B0318E5" w14:textId="77777777" w:rsidR="009341AC" w:rsidRPr="00563D71" w:rsidRDefault="009341AC" w:rsidP="00B57DAC">
            <w:pPr>
              <w:spacing w:before="0"/>
              <w:ind w:left="1" w:firstLine="0"/>
              <w:jc w:val="left"/>
              <w:rPr>
                <w:sz w:val="20"/>
                <w:szCs w:val="20"/>
              </w:rPr>
            </w:pPr>
            <w:r w:rsidRPr="00563D71">
              <w:rPr>
                <w:sz w:val="20"/>
                <w:szCs w:val="20"/>
              </w:rPr>
              <w:t xml:space="preserve">Establish arrangements or strengthen emerging arrangements, such as Sustainable Tourism Observatories (STOs), as part of UNWTO International Network of Sustainable Tourism Observatories (INSTO), for monitoring and protection of natural and cultural assets at each destination. </w:t>
            </w:r>
          </w:p>
        </w:tc>
        <w:tc>
          <w:tcPr>
            <w:tcW w:w="2028" w:type="dxa"/>
            <w:tcBorders>
              <w:top w:val="single" w:sz="4" w:space="0" w:color="000000"/>
              <w:left w:val="single" w:sz="4" w:space="0" w:color="000000"/>
              <w:bottom w:val="single" w:sz="4" w:space="0" w:color="000000"/>
              <w:right w:val="single" w:sz="4" w:space="0" w:color="000000"/>
            </w:tcBorders>
            <w:vAlign w:val="center"/>
          </w:tcPr>
          <w:p w14:paraId="20DEDF83" w14:textId="77777777" w:rsidR="009341AC" w:rsidRPr="00563D71" w:rsidRDefault="009341AC" w:rsidP="00B57DAC">
            <w:pPr>
              <w:spacing w:before="0"/>
              <w:ind w:left="1" w:firstLine="0"/>
              <w:jc w:val="left"/>
              <w:rPr>
                <w:sz w:val="20"/>
                <w:szCs w:val="20"/>
              </w:rPr>
            </w:pPr>
            <w:r w:rsidRPr="00563D71">
              <w:rPr>
                <w:sz w:val="20"/>
                <w:szCs w:val="20"/>
              </w:rPr>
              <w:t>ITMP to recommend the arrangement through stakeholder mapping.</w:t>
            </w:r>
          </w:p>
          <w:p w14:paraId="213161A9" w14:textId="77777777" w:rsidR="009341AC" w:rsidRPr="00563D71" w:rsidRDefault="009341AC" w:rsidP="00B57DAC">
            <w:pPr>
              <w:spacing w:before="0"/>
              <w:ind w:left="1" w:firstLine="0"/>
              <w:jc w:val="left"/>
              <w:rPr>
                <w:sz w:val="20"/>
                <w:szCs w:val="20"/>
              </w:rPr>
            </w:pPr>
          </w:p>
          <w:p w14:paraId="7E7C454A" w14:textId="77777777" w:rsidR="009341AC" w:rsidRPr="00563D71" w:rsidRDefault="009341AC" w:rsidP="00B57DAC">
            <w:pPr>
              <w:spacing w:before="0"/>
              <w:ind w:left="1" w:firstLine="0"/>
              <w:jc w:val="left"/>
              <w:rPr>
                <w:sz w:val="20"/>
                <w:szCs w:val="20"/>
              </w:rPr>
            </w:pPr>
            <w:r w:rsidRPr="00563D71">
              <w:rPr>
                <w:sz w:val="20"/>
                <w:szCs w:val="20"/>
              </w:rPr>
              <w:t>Establish arrangements as part of Program Action Plan and implementation throughout Program period is incentivized in Results Area 4, where its regular reporting is a DLI.</w:t>
            </w:r>
          </w:p>
          <w:p w14:paraId="007B313B" w14:textId="77777777" w:rsidR="009341AC" w:rsidRPr="00563D71" w:rsidRDefault="009341AC" w:rsidP="00B57DAC">
            <w:pPr>
              <w:spacing w:before="0"/>
              <w:ind w:left="1" w:firstLine="0"/>
              <w:jc w:val="left"/>
              <w:rPr>
                <w:sz w:val="20"/>
                <w:szCs w:val="20"/>
              </w:rPr>
            </w:pPr>
          </w:p>
          <w:p w14:paraId="111C55F7" w14:textId="77777777" w:rsidR="009341AC" w:rsidRPr="00563D71" w:rsidRDefault="009341AC" w:rsidP="00B57DAC">
            <w:pPr>
              <w:spacing w:before="0"/>
              <w:ind w:left="1" w:firstLine="0"/>
              <w:jc w:val="left"/>
              <w:rPr>
                <w:sz w:val="20"/>
                <w:szCs w:val="20"/>
              </w:rPr>
            </w:pPr>
            <w:r w:rsidRPr="00563D71">
              <w:rPr>
                <w:sz w:val="20"/>
                <w:szCs w:val="20"/>
              </w:rPr>
              <w:t>Program Management Support</w:t>
            </w:r>
            <w:r w:rsidRPr="00563D71">
              <w:rPr>
                <w:rStyle w:val="FootnoteReference"/>
                <w:sz w:val="20"/>
                <w:szCs w:val="20"/>
              </w:rPr>
              <w:footnoteReference w:id="54"/>
            </w:r>
            <w:r w:rsidRPr="00563D71">
              <w:rPr>
                <w:sz w:val="20"/>
                <w:szCs w:val="20"/>
              </w:rPr>
              <w:t xml:space="preserve"> to provide training to protection agencies.</w:t>
            </w:r>
          </w:p>
          <w:p w14:paraId="071A9AAF" w14:textId="77777777" w:rsidR="009341AC" w:rsidRPr="00563D71" w:rsidRDefault="009341AC" w:rsidP="00B57DAC">
            <w:pPr>
              <w:spacing w:before="0"/>
              <w:ind w:left="1" w:firstLine="0"/>
              <w:jc w:val="left"/>
              <w:rPr>
                <w:sz w:val="20"/>
                <w:szCs w:val="20"/>
              </w:rPr>
            </w:pPr>
          </w:p>
          <w:p w14:paraId="22ACE229" w14:textId="77777777" w:rsidR="009341AC" w:rsidRPr="00563D71" w:rsidRDefault="009341AC" w:rsidP="00B57DAC">
            <w:pPr>
              <w:spacing w:before="0"/>
              <w:ind w:left="1" w:firstLine="0"/>
              <w:jc w:val="left"/>
              <w:rPr>
                <w:sz w:val="20"/>
                <w:szCs w:val="20"/>
              </w:rPr>
            </w:pPr>
            <w:r w:rsidRPr="00563D71">
              <w:rPr>
                <w:sz w:val="20"/>
                <w:szCs w:val="20"/>
              </w:rPr>
              <w:t>Community satisfaction surveys.</w:t>
            </w:r>
            <w:r w:rsidRPr="00563D71">
              <w:rPr>
                <w:rStyle w:val="FootnoteReference"/>
                <w:sz w:val="20"/>
                <w:szCs w:val="20"/>
              </w:rPr>
              <w:t xml:space="preserve"> </w:t>
            </w:r>
            <w:r w:rsidRPr="00563D71">
              <w:rPr>
                <w:rStyle w:val="FootnoteReference"/>
                <w:sz w:val="20"/>
                <w:szCs w:val="20"/>
              </w:rPr>
              <w:footnoteReference w:id="55"/>
            </w:r>
          </w:p>
        </w:tc>
        <w:tc>
          <w:tcPr>
            <w:tcW w:w="1574" w:type="dxa"/>
            <w:tcBorders>
              <w:top w:val="single" w:sz="4" w:space="0" w:color="000000"/>
              <w:left w:val="single" w:sz="4" w:space="0" w:color="000000"/>
              <w:bottom w:val="single" w:sz="4" w:space="0" w:color="000000"/>
              <w:right w:val="single" w:sz="4" w:space="0" w:color="000000"/>
            </w:tcBorders>
            <w:vAlign w:val="center"/>
          </w:tcPr>
          <w:p w14:paraId="5D6D1207" w14:textId="77777777" w:rsidR="009341AC" w:rsidRPr="00563D71" w:rsidRDefault="009341AC" w:rsidP="00B57DAC">
            <w:pPr>
              <w:spacing w:before="0"/>
              <w:ind w:left="1" w:firstLine="0"/>
              <w:jc w:val="left"/>
              <w:rPr>
                <w:sz w:val="20"/>
                <w:szCs w:val="20"/>
              </w:rPr>
            </w:pPr>
            <w:r w:rsidRPr="00563D71">
              <w:rPr>
                <w:sz w:val="20"/>
                <w:szCs w:val="20"/>
              </w:rPr>
              <w:t xml:space="preserve">Arrangements established end 2017; </w:t>
            </w:r>
          </w:p>
          <w:p w14:paraId="3C59718B" w14:textId="77777777" w:rsidR="009341AC" w:rsidRPr="00563D71" w:rsidRDefault="009341AC" w:rsidP="00B57DAC">
            <w:pPr>
              <w:spacing w:before="0"/>
              <w:ind w:left="1" w:firstLine="0"/>
              <w:jc w:val="left"/>
              <w:rPr>
                <w:sz w:val="20"/>
                <w:szCs w:val="20"/>
              </w:rPr>
            </w:pPr>
            <w:r w:rsidRPr="00563D71">
              <w:rPr>
                <w:sz w:val="20"/>
                <w:szCs w:val="20"/>
              </w:rPr>
              <w:t>Ongoing implementation</w:t>
            </w:r>
          </w:p>
        </w:tc>
        <w:tc>
          <w:tcPr>
            <w:tcW w:w="1403" w:type="dxa"/>
            <w:tcBorders>
              <w:top w:val="single" w:sz="4" w:space="0" w:color="000000"/>
              <w:left w:val="single" w:sz="4" w:space="0" w:color="000000"/>
              <w:bottom w:val="single" w:sz="4" w:space="0" w:color="000000"/>
              <w:right w:val="single" w:sz="4" w:space="0" w:color="000000"/>
            </w:tcBorders>
            <w:vAlign w:val="center"/>
          </w:tcPr>
          <w:p w14:paraId="4E65BF4E" w14:textId="77777777" w:rsidR="009341AC" w:rsidRPr="00563D71" w:rsidRDefault="009341AC" w:rsidP="00B57DAC">
            <w:pPr>
              <w:spacing w:before="0"/>
              <w:ind w:left="0" w:right="16" w:firstLine="0"/>
              <w:jc w:val="left"/>
              <w:rPr>
                <w:sz w:val="20"/>
                <w:szCs w:val="20"/>
              </w:rPr>
            </w:pPr>
            <w:r w:rsidRPr="00563D71">
              <w:rPr>
                <w:sz w:val="20"/>
                <w:szCs w:val="20"/>
              </w:rPr>
              <w:t>MPWH</w:t>
            </w:r>
          </w:p>
          <w:p w14:paraId="3068FD10" w14:textId="77777777" w:rsidR="009341AC" w:rsidRPr="00563D71" w:rsidRDefault="009341AC" w:rsidP="00B57DAC">
            <w:pPr>
              <w:spacing w:before="0"/>
              <w:ind w:left="0" w:right="16" w:firstLine="0"/>
              <w:jc w:val="left"/>
              <w:rPr>
                <w:sz w:val="20"/>
                <w:szCs w:val="20"/>
              </w:rPr>
            </w:pPr>
            <w:r w:rsidRPr="00563D71">
              <w:rPr>
                <w:sz w:val="20"/>
                <w:szCs w:val="20"/>
              </w:rPr>
              <w:t>Ministry of Tourism</w:t>
            </w:r>
          </w:p>
          <w:p w14:paraId="46C10D9A" w14:textId="77777777" w:rsidR="009341AC" w:rsidRPr="00563D71" w:rsidRDefault="009341AC" w:rsidP="00B57DAC">
            <w:pPr>
              <w:spacing w:before="0"/>
              <w:ind w:left="0" w:right="16" w:firstLine="0"/>
              <w:jc w:val="left"/>
              <w:rPr>
                <w:sz w:val="20"/>
                <w:szCs w:val="20"/>
              </w:rPr>
            </w:pPr>
            <w:r w:rsidRPr="00563D71">
              <w:rPr>
                <w:sz w:val="20"/>
                <w:szCs w:val="20"/>
              </w:rPr>
              <w:t>Universities</w:t>
            </w:r>
          </w:p>
          <w:p w14:paraId="7733AF06" w14:textId="77777777" w:rsidR="009341AC" w:rsidRPr="00563D71" w:rsidRDefault="009341AC" w:rsidP="00B57DAC">
            <w:pPr>
              <w:spacing w:before="0"/>
              <w:ind w:left="0" w:right="16" w:firstLine="0"/>
              <w:jc w:val="left"/>
              <w:rPr>
                <w:sz w:val="20"/>
                <w:szCs w:val="20"/>
              </w:rPr>
            </w:pPr>
            <w:r w:rsidRPr="00563D71">
              <w:rPr>
                <w:sz w:val="20"/>
                <w:szCs w:val="20"/>
              </w:rPr>
              <w:t>Environmental Management Agency (BLH)</w:t>
            </w:r>
          </w:p>
        </w:tc>
      </w:tr>
      <w:tr w:rsidR="009341AC" w:rsidRPr="00563D71" w14:paraId="331890BC" w14:textId="77777777" w:rsidTr="00B57DAC">
        <w:trPr>
          <w:trHeight w:val="1407"/>
        </w:trPr>
        <w:tc>
          <w:tcPr>
            <w:tcW w:w="2121" w:type="dxa"/>
            <w:vMerge w:val="restart"/>
            <w:tcBorders>
              <w:top w:val="single" w:sz="4" w:space="0" w:color="000000"/>
              <w:left w:val="single" w:sz="4" w:space="0" w:color="000000"/>
              <w:right w:val="single" w:sz="4" w:space="0" w:color="000000"/>
            </w:tcBorders>
            <w:vAlign w:val="center"/>
          </w:tcPr>
          <w:p w14:paraId="4EBD65AA" w14:textId="77777777" w:rsidR="009341AC" w:rsidRPr="00563D71" w:rsidRDefault="009341AC" w:rsidP="00B57DAC">
            <w:pPr>
              <w:spacing w:before="0"/>
              <w:ind w:left="0" w:right="61" w:firstLine="0"/>
              <w:jc w:val="left"/>
              <w:rPr>
                <w:sz w:val="20"/>
                <w:szCs w:val="20"/>
              </w:rPr>
            </w:pPr>
            <w:r w:rsidRPr="00563D71">
              <w:rPr>
                <w:sz w:val="20"/>
                <w:szCs w:val="20"/>
              </w:rPr>
              <w:t>Avoid social conflict that could occur as a result of tourism development</w:t>
            </w:r>
          </w:p>
        </w:tc>
        <w:tc>
          <w:tcPr>
            <w:tcW w:w="2433" w:type="dxa"/>
            <w:tcBorders>
              <w:top w:val="single" w:sz="4" w:space="0" w:color="000000"/>
              <w:left w:val="single" w:sz="4" w:space="0" w:color="000000"/>
              <w:bottom w:val="single" w:sz="4" w:space="0" w:color="000000"/>
              <w:right w:val="single" w:sz="4" w:space="0" w:color="000000"/>
            </w:tcBorders>
            <w:vAlign w:val="center"/>
          </w:tcPr>
          <w:p w14:paraId="52F1FBD4" w14:textId="77777777" w:rsidR="009341AC" w:rsidRPr="00563D71" w:rsidRDefault="009341AC" w:rsidP="00B57DAC">
            <w:pPr>
              <w:spacing w:before="0"/>
              <w:ind w:left="1" w:firstLine="0"/>
              <w:jc w:val="left"/>
              <w:rPr>
                <w:sz w:val="20"/>
                <w:szCs w:val="20"/>
              </w:rPr>
            </w:pPr>
            <w:r w:rsidRPr="00563D71">
              <w:rPr>
                <w:sz w:val="20"/>
                <w:szCs w:val="20"/>
              </w:rPr>
              <w:t xml:space="preserve">Anticipate potential for social conflict and provide for conflict management in Integrated Tourism Master Plans. </w:t>
            </w:r>
          </w:p>
        </w:tc>
        <w:tc>
          <w:tcPr>
            <w:tcW w:w="2028" w:type="dxa"/>
            <w:vMerge w:val="restart"/>
            <w:tcBorders>
              <w:top w:val="single" w:sz="4" w:space="0" w:color="000000"/>
              <w:left w:val="single" w:sz="4" w:space="0" w:color="000000"/>
              <w:right w:val="single" w:sz="4" w:space="0" w:color="000000"/>
            </w:tcBorders>
            <w:vAlign w:val="center"/>
          </w:tcPr>
          <w:p w14:paraId="2856E263" w14:textId="77777777" w:rsidR="009341AC" w:rsidRPr="00563D71" w:rsidRDefault="009341AC" w:rsidP="00B57DAC">
            <w:pPr>
              <w:spacing w:before="0"/>
              <w:ind w:left="1" w:firstLine="0"/>
              <w:jc w:val="left"/>
              <w:rPr>
                <w:sz w:val="20"/>
                <w:szCs w:val="20"/>
              </w:rPr>
            </w:pPr>
            <w:r w:rsidRPr="00563D71">
              <w:rPr>
                <w:sz w:val="20"/>
                <w:szCs w:val="20"/>
              </w:rPr>
              <w:t xml:space="preserve">Integrated Tourism Master Plans (IPF); </w:t>
            </w:r>
          </w:p>
          <w:p w14:paraId="2837B8CC" w14:textId="77777777" w:rsidR="009341AC" w:rsidRPr="00563D71" w:rsidRDefault="009341AC" w:rsidP="00B57DAC">
            <w:pPr>
              <w:spacing w:before="0"/>
              <w:ind w:left="1" w:firstLine="0"/>
              <w:jc w:val="left"/>
              <w:rPr>
                <w:sz w:val="20"/>
                <w:szCs w:val="20"/>
              </w:rPr>
            </w:pPr>
            <w:r w:rsidRPr="00563D71">
              <w:rPr>
                <w:sz w:val="20"/>
                <w:szCs w:val="20"/>
              </w:rPr>
              <w:t>RA4 financing and results indicators for community awareness raising programs and community feedback surveys.</w:t>
            </w:r>
          </w:p>
        </w:tc>
        <w:tc>
          <w:tcPr>
            <w:tcW w:w="1574" w:type="dxa"/>
            <w:vMerge w:val="restart"/>
            <w:tcBorders>
              <w:top w:val="single" w:sz="4" w:space="0" w:color="000000"/>
              <w:left w:val="single" w:sz="4" w:space="0" w:color="000000"/>
              <w:right w:val="single" w:sz="4" w:space="0" w:color="000000"/>
            </w:tcBorders>
            <w:vAlign w:val="center"/>
          </w:tcPr>
          <w:p w14:paraId="7CB932DD" w14:textId="77777777" w:rsidR="009341AC" w:rsidRPr="00563D71" w:rsidRDefault="009341AC" w:rsidP="00B57DAC">
            <w:pPr>
              <w:spacing w:before="0"/>
              <w:ind w:left="-42"/>
              <w:jc w:val="left"/>
              <w:rPr>
                <w:sz w:val="20"/>
                <w:szCs w:val="20"/>
              </w:rPr>
            </w:pPr>
            <w:r w:rsidRPr="00563D71">
              <w:rPr>
                <w:sz w:val="20"/>
                <w:szCs w:val="20"/>
              </w:rPr>
              <w:t>During the implementation of the PforR</w:t>
            </w:r>
          </w:p>
          <w:p w14:paraId="67E1306F" w14:textId="77777777" w:rsidR="009341AC" w:rsidRPr="00563D71" w:rsidRDefault="009341AC" w:rsidP="00B57DAC">
            <w:pPr>
              <w:spacing w:before="0"/>
              <w:jc w:val="left"/>
              <w:rPr>
                <w:sz w:val="20"/>
                <w:szCs w:val="20"/>
              </w:rPr>
            </w:pPr>
          </w:p>
        </w:tc>
        <w:tc>
          <w:tcPr>
            <w:tcW w:w="1403" w:type="dxa"/>
            <w:vMerge w:val="restart"/>
            <w:tcBorders>
              <w:top w:val="single" w:sz="4" w:space="0" w:color="000000"/>
              <w:left w:val="single" w:sz="4" w:space="0" w:color="000000"/>
              <w:right w:val="single" w:sz="4" w:space="0" w:color="000000"/>
            </w:tcBorders>
            <w:vAlign w:val="center"/>
          </w:tcPr>
          <w:p w14:paraId="450BFEBF" w14:textId="77777777" w:rsidR="009341AC" w:rsidRPr="00563D71" w:rsidRDefault="009341AC" w:rsidP="00B57DAC">
            <w:pPr>
              <w:spacing w:before="0"/>
              <w:ind w:left="0" w:right="16" w:firstLine="0"/>
              <w:jc w:val="left"/>
              <w:rPr>
                <w:sz w:val="20"/>
                <w:szCs w:val="20"/>
              </w:rPr>
            </w:pPr>
            <w:r w:rsidRPr="00563D71">
              <w:rPr>
                <w:sz w:val="20"/>
                <w:szCs w:val="20"/>
              </w:rPr>
              <w:t>MPWH</w:t>
            </w:r>
          </w:p>
          <w:p w14:paraId="7838B8DB" w14:textId="77777777" w:rsidR="009341AC" w:rsidRPr="00563D71" w:rsidRDefault="009341AC" w:rsidP="00B57DAC">
            <w:pPr>
              <w:spacing w:before="0"/>
              <w:ind w:left="0" w:right="16" w:firstLine="0"/>
              <w:jc w:val="left"/>
              <w:rPr>
                <w:sz w:val="20"/>
                <w:szCs w:val="20"/>
              </w:rPr>
            </w:pPr>
            <w:r w:rsidRPr="00563D71">
              <w:rPr>
                <w:sz w:val="20"/>
                <w:szCs w:val="20"/>
              </w:rPr>
              <w:t>Ministry of Tourism</w:t>
            </w:r>
          </w:p>
        </w:tc>
      </w:tr>
      <w:tr w:rsidR="009341AC" w:rsidRPr="00563D71" w14:paraId="507A823E" w14:textId="77777777" w:rsidTr="00B57DAC">
        <w:trPr>
          <w:trHeight w:val="527"/>
        </w:trPr>
        <w:tc>
          <w:tcPr>
            <w:tcW w:w="2121" w:type="dxa"/>
            <w:vMerge/>
            <w:tcBorders>
              <w:left w:val="single" w:sz="4" w:space="0" w:color="000000"/>
              <w:bottom w:val="single" w:sz="4" w:space="0" w:color="000000"/>
              <w:right w:val="single" w:sz="4" w:space="0" w:color="000000"/>
            </w:tcBorders>
            <w:vAlign w:val="center"/>
          </w:tcPr>
          <w:p w14:paraId="50755AC8" w14:textId="77777777" w:rsidR="009341AC" w:rsidRPr="00563D71" w:rsidRDefault="009341AC" w:rsidP="00B57DAC">
            <w:pPr>
              <w:spacing w:before="0"/>
              <w:ind w:left="0" w:right="61" w:firstLine="0"/>
              <w:jc w:val="left"/>
              <w:rPr>
                <w:sz w:val="20"/>
                <w:szCs w:val="20"/>
              </w:rPr>
            </w:pPr>
          </w:p>
        </w:tc>
        <w:tc>
          <w:tcPr>
            <w:tcW w:w="2433" w:type="dxa"/>
            <w:tcBorders>
              <w:top w:val="single" w:sz="4" w:space="0" w:color="000000"/>
              <w:left w:val="single" w:sz="4" w:space="0" w:color="000000"/>
              <w:bottom w:val="single" w:sz="4" w:space="0" w:color="000000"/>
              <w:right w:val="single" w:sz="4" w:space="0" w:color="000000"/>
            </w:tcBorders>
            <w:vAlign w:val="center"/>
          </w:tcPr>
          <w:p w14:paraId="4128865E" w14:textId="77777777" w:rsidR="009341AC" w:rsidRPr="00563D71" w:rsidRDefault="009341AC" w:rsidP="00B57DAC">
            <w:pPr>
              <w:spacing w:before="0"/>
              <w:ind w:left="1" w:firstLine="0"/>
              <w:jc w:val="left"/>
              <w:rPr>
                <w:sz w:val="20"/>
                <w:szCs w:val="20"/>
              </w:rPr>
            </w:pPr>
            <w:r w:rsidRPr="00563D71">
              <w:rPr>
                <w:sz w:val="20"/>
                <w:szCs w:val="20"/>
              </w:rPr>
              <w:t>Include harmony with local social values and culture in development plans. Leverage uniqueness of the destination by being sensitive to local culture.</w:t>
            </w:r>
          </w:p>
          <w:p w14:paraId="4AB7AA93" w14:textId="77777777" w:rsidR="009341AC" w:rsidRPr="00563D71" w:rsidRDefault="009341AC" w:rsidP="00B57DAC">
            <w:pPr>
              <w:spacing w:before="0"/>
              <w:ind w:left="1" w:firstLine="0"/>
              <w:jc w:val="left"/>
              <w:rPr>
                <w:sz w:val="20"/>
                <w:szCs w:val="20"/>
              </w:rPr>
            </w:pPr>
            <w:r w:rsidRPr="00563D71">
              <w:rPr>
                <w:sz w:val="20"/>
                <w:szCs w:val="20"/>
              </w:rPr>
              <w:t>Enhance local tourism awareness raising programs (“</w:t>
            </w:r>
            <w:r w:rsidRPr="00563D71">
              <w:rPr>
                <w:i/>
                <w:sz w:val="20"/>
                <w:szCs w:val="20"/>
              </w:rPr>
              <w:t>Sadar Wisata</w:t>
            </w:r>
            <w:r w:rsidRPr="00563D71">
              <w:rPr>
                <w:sz w:val="20"/>
                <w:szCs w:val="20"/>
              </w:rPr>
              <w:t>”) and strengthen community feedback through annual surveys.</w:t>
            </w:r>
          </w:p>
        </w:tc>
        <w:tc>
          <w:tcPr>
            <w:tcW w:w="2028" w:type="dxa"/>
            <w:vMerge/>
            <w:tcBorders>
              <w:left w:val="single" w:sz="4" w:space="0" w:color="000000"/>
              <w:bottom w:val="single" w:sz="4" w:space="0" w:color="000000"/>
              <w:right w:val="single" w:sz="4" w:space="0" w:color="000000"/>
            </w:tcBorders>
            <w:vAlign w:val="center"/>
          </w:tcPr>
          <w:p w14:paraId="0317AEDC" w14:textId="77777777" w:rsidR="009341AC" w:rsidRPr="00563D71" w:rsidRDefault="009341AC" w:rsidP="00B57DAC">
            <w:pPr>
              <w:spacing w:before="0"/>
              <w:ind w:left="1" w:firstLine="0"/>
              <w:jc w:val="left"/>
              <w:rPr>
                <w:sz w:val="20"/>
                <w:szCs w:val="20"/>
              </w:rPr>
            </w:pPr>
          </w:p>
        </w:tc>
        <w:tc>
          <w:tcPr>
            <w:tcW w:w="1574" w:type="dxa"/>
            <w:vMerge/>
            <w:tcBorders>
              <w:left w:val="single" w:sz="4" w:space="0" w:color="000000"/>
              <w:bottom w:val="single" w:sz="4" w:space="0" w:color="000000"/>
              <w:right w:val="single" w:sz="4" w:space="0" w:color="000000"/>
            </w:tcBorders>
            <w:vAlign w:val="center"/>
          </w:tcPr>
          <w:p w14:paraId="3E9BDF26" w14:textId="77777777" w:rsidR="009341AC" w:rsidRPr="00563D71" w:rsidRDefault="009341AC" w:rsidP="00B57DAC">
            <w:pPr>
              <w:spacing w:before="0"/>
              <w:ind w:left="1" w:firstLine="0"/>
              <w:jc w:val="left"/>
              <w:rPr>
                <w:sz w:val="20"/>
                <w:szCs w:val="20"/>
              </w:rPr>
            </w:pPr>
          </w:p>
        </w:tc>
        <w:tc>
          <w:tcPr>
            <w:tcW w:w="1403" w:type="dxa"/>
            <w:vMerge/>
            <w:tcBorders>
              <w:left w:val="single" w:sz="4" w:space="0" w:color="000000"/>
              <w:bottom w:val="single" w:sz="4" w:space="0" w:color="000000"/>
              <w:right w:val="single" w:sz="4" w:space="0" w:color="000000"/>
            </w:tcBorders>
            <w:vAlign w:val="center"/>
          </w:tcPr>
          <w:p w14:paraId="7CCC9B9B" w14:textId="77777777" w:rsidR="009341AC" w:rsidRPr="00563D71" w:rsidRDefault="009341AC" w:rsidP="00B57DAC">
            <w:pPr>
              <w:spacing w:before="0"/>
              <w:ind w:left="0" w:right="16" w:firstLine="0"/>
              <w:jc w:val="left"/>
              <w:rPr>
                <w:sz w:val="20"/>
                <w:szCs w:val="20"/>
              </w:rPr>
            </w:pPr>
          </w:p>
        </w:tc>
      </w:tr>
      <w:tr w:rsidR="009341AC" w:rsidRPr="00563D71" w14:paraId="7E58BE64" w14:textId="77777777" w:rsidTr="00B57DAC">
        <w:trPr>
          <w:trHeight w:val="1877"/>
        </w:trPr>
        <w:tc>
          <w:tcPr>
            <w:tcW w:w="2121" w:type="dxa"/>
            <w:tcBorders>
              <w:top w:val="single" w:sz="4" w:space="0" w:color="000000"/>
              <w:left w:val="single" w:sz="4" w:space="0" w:color="000000"/>
              <w:bottom w:val="single" w:sz="4" w:space="0" w:color="auto"/>
              <w:right w:val="single" w:sz="4" w:space="0" w:color="000000"/>
            </w:tcBorders>
            <w:vAlign w:val="center"/>
          </w:tcPr>
          <w:p w14:paraId="06E364F6" w14:textId="77777777" w:rsidR="009341AC" w:rsidRPr="00563D71" w:rsidRDefault="009341AC" w:rsidP="00B57DAC">
            <w:pPr>
              <w:spacing w:before="0"/>
              <w:ind w:left="0" w:right="61" w:firstLine="0"/>
              <w:jc w:val="left"/>
              <w:rPr>
                <w:sz w:val="20"/>
                <w:szCs w:val="20"/>
              </w:rPr>
            </w:pPr>
            <w:r w:rsidRPr="00563D71">
              <w:rPr>
                <w:sz w:val="20"/>
                <w:szCs w:val="20"/>
              </w:rPr>
              <w:lastRenderedPageBreak/>
              <w:t>Ensure livelihoods are restored when people (including IPs and other vulnerable groups) affected by investments lose land, other assets, or access to assets.</w:t>
            </w:r>
          </w:p>
        </w:tc>
        <w:tc>
          <w:tcPr>
            <w:tcW w:w="2433" w:type="dxa"/>
            <w:tcBorders>
              <w:top w:val="single" w:sz="4" w:space="0" w:color="000000"/>
              <w:left w:val="single" w:sz="4" w:space="0" w:color="000000"/>
              <w:bottom w:val="single" w:sz="4" w:space="0" w:color="000000"/>
              <w:right w:val="single" w:sz="4" w:space="0" w:color="000000"/>
            </w:tcBorders>
            <w:vAlign w:val="center"/>
          </w:tcPr>
          <w:p w14:paraId="5CA4DC13" w14:textId="77777777" w:rsidR="009341AC" w:rsidRPr="00563D71" w:rsidRDefault="009341AC" w:rsidP="00B57DAC">
            <w:pPr>
              <w:spacing w:before="0"/>
              <w:ind w:left="1" w:firstLine="0"/>
              <w:jc w:val="left"/>
              <w:rPr>
                <w:sz w:val="20"/>
                <w:szCs w:val="20"/>
              </w:rPr>
            </w:pPr>
            <w:r w:rsidRPr="00563D71">
              <w:rPr>
                <w:sz w:val="20"/>
                <w:szCs w:val="20"/>
              </w:rPr>
              <w:t>Include assistance and livelihood restoration especially to squatters and the vulnerable groups in the Abbreviated LARAPs.</w:t>
            </w:r>
            <w:r w:rsidRPr="00563D71">
              <w:rPr>
                <w:rStyle w:val="FootnoteReference"/>
                <w:sz w:val="20"/>
                <w:szCs w:val="20"/>
              </w:rPr>
              <w:footnoteReference w:id="56"/>
            </w:r>
            <w:r w:rsidRPr="00563D71">
              <w:rPr>
                <w:sz w:val="20"/>
                <w:szCs w:val="20"/>
              </w:rPr>
              <w:t xml:space="preserve"> Provide budgets to support assistance and livelihood restoration activities. Assess capacity to implement Abbreviated LARAPs and provide training to agencies implementing the Abbreviated LARAPs as needed.</w:t>
            </w:r>
          </w:p>
          <w:p w14:paraId="3B9BB346" w14:textId="77777777" w:rsidR="009341AC" w:rsidRPr="00563D71" w:rsidRDefault="009341AC" w:rsidP="00B57DAC">
            <w:pPr>
              <w:pStyle w:val="ListParagraph"/>
              <w:spacing w:before="0" w:after="0" w:line="240" w:lineRule="auto"/>
              <w:ind w:left="0"/>
              <w:jc w:val="left"/>
              <w:rPr>
                <w:sz w:val="20"/>
                <w:szCs w:val="20"/>
              </w:rPr>
            </w:pPr>
            <w:r w:rsidRPr="00563D71">
              <w:rPr>
                <w:rFonts w:ascii="Times New Roman" w:hAnsi="Times New Roman" w:cs="Times New Roman"/>
                <w:sz w:val="20"/>
                <w:szCs w:val="20"/>
              </w:rPr>
              <w:t>Provide assistance and facilitation on the collaborative work among involved agencies to effectively prepare and implement the abbreviated LARAP.</w:t>
            </w:r>
          </w:p>
        </w:tc>
        <w:tc>
          <w:tcPr>
            <w:tcW w:w="2028" w:type="dxa"/>
            <w:tcBorders>
              <w:top w:val="single" w:sz="4" w:space="0" w:color="000000"/>
              <w:left w:val="single" w:sz="4" w:space="0" w:color="000000"/>
              <w:bottom w:val="single" w:sz="4" w:space="0" w:color="000000"/>
              <w:right w:val="single" w:sz="4" w:space="0" w:color="000000"/>
            </w:tcBorders>
            <w:vAlign w:val="center"/>
          </w:tcPr>
          <w:p w14:paraId="5F394D42" w14:textId="77777777" w:rsidR="009341AC" w:rsidRPr="00563D71" w:rsidRDefault="009341AC" w:rsidP="00B57DAC">
            <w:pPr>
              <w:spacing w:before="0"/>
              <w:ind w:left="1" w:firstLine="0"/>
              <w:jc w:val="left"/>
              <w:rPr>
                <w:sz w:val="20"/>
                <w:szCs w:val="20"/>
              </w:rPr>
            </w:pPr>
          </w:p>
          <w:p w14:paraId="3455CC19" w14:textId="77777777" w:rsidR="009341AC" w:rsidRPr="00563D71" w:rsidRDefault="009341AC" w:rsidP="00B57DAC">
            <w:pPr>
              <w:spacing w:before="0"/>
              <w:ind w:left="1" w:firstLine="0"/>
              <w:jc w:val="left"/>
              <w:rPr>
                <w:sz w:val="20"/>
                <w:szCs w:val="20"/>
              </w:rPr>
            </w:pPr>
            <w:r w:rsidRPr="00563D71">
              <w:rPr>
                <w:sz w:val="20"/>
                <w:szCs w:val="20"/>
              </w:rPr>
              <w:t>Program Management Support</w:t>
            </w:r>
            <w:r w:rsidRPr="00563D71">
              <w:rPr>
                <w:rStyle w:val="FootnoteReference"/>
                <w:sz w:val="20"/>
                <w:szCs w:val="20"/>
              </w:rPr>
              <w:footnoteReference w:id="57"/>
            </w:r>
            <w:r w:rsidRPr="00563D71">
              <w:rPr>
                <w:sz w:val="20"/>
                <w:szCs w:val="20"/>
              </w:rPr>
              <w:t xml:space="preserve"> to provide training, review Abbreviated LARAPs and a Plan of Action (as applicable), monitor their implementation, </w:t>
            </w:r>
          </w:p>
          <w:p w14:paraId="5A839CDE" w14:textId="77777777" w:rsidR="009341AC" w:rsidRPr="00563D71" w:rsidRDefault="009341AC" w:rsidP="00B57DAC">
            <w:pPr>
              <w:spacing w:before="0"/>
              <w:ind w:left="1" w:firstLine="0"/>
              <w:jc w:val="left"/>
              <w:rPr>
                <w:sz w:val="20"/>
                <w:szCs w:val="20"/>
              </w:rPr>
            </w:pPr>
            <w:r w:rsidRPr="00563D71">
              <w:rPr>
                <w:sz w:val="20"/>
                <w:szCs w:val="20"/>
              </w:rPr>
              <w:t>provide training and facilitate collaboration among involved agencies.</w:t>
            </w:r>
          </w:p>
          <w:p w14:paraId="0625DCEC" w14:textId="77777777" w:rsidR="009341AC" w:rsidRPr="00563D71" w:rsidRDefault="009341AC" w:rsidP="00B57DAC">
            <w:pPr>
              <w:spacing w:before="0"/>
              <w:ind w:left="1" w:firstLin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5990F44" w14:textId="77777777" w:rsidR="009341AC" w:rsidRPr="00563D71" w:rsidRDefault="009341AC" w:rsidP="00B57DAC">
            <w:pPr>
              <w:spacing w:before="0"/>
              <w:ind w:left="1" w:firstLine="0"/>
              <w:jc w:val="left"/>
              <w:rPr>
                <w:sz w:val="20"/>
                <w:szCs w:val="20"/>
              </w:rPr>
            </w:pPr>
            <w:r w:rsidRPr="00563D71">
              <w:rPr>
                <w:sz w:val="20"/>
                <w:szCs w:val="20"/>
              </w:rPr>
              <w:t>During the implementation of the PforR</w:t>
            </w:r>
          </w:p>
        </w:tc>
        <w:tc>
          <w:tcPr>
            <w:tcW w:w="1403" w:type="dxa"/>
            <w:tcBorders>
              <w:top w:val="single" w:sz="4" w:space="0" w:color="000000"/>
              <w:left w:val="single" w:sz="4" w:space="0" w:color="000000"/>
              <w:bottom w:val="single" w:sz="4" w:space="0" w:color="000000"/>
              <w:right w:val="single" w:sz="4" w:space="0" w:color="000000"/>
            </w:tcBorders>
            <w:vAlign w:val="center"/>
          </w:tcPr>
          <w:p w14:paraId="0BEB9320" w14:textId="77777777" w:rsidR="009341AC" w:rsidRPr="00563D71" w:rsidRDefault="009341AC" w:rsidP="00B57DAC">
            <w:pPr>
              <w:spacing w:before="0"/>
              <w:ind w:left="0" w:right="16" w:firstLine="0"/>
              <w:jc w:val="left"/>
              <w:rPr>
                <w:sz w:val="20"/>
                <w:szCs w:val="20"/>
              </w:rPr>
            </w:pPr>
            <w:r w:rsidRPr="00563D71">
              <w:rPr>
                <w:sz w:val="20"/>
                <w:szCs w:val="20"/>
              </w:rPr>
              <w:t>MPWH</w:t>
            </w:r>
          </w:p>
          <w:p w14:paraId="6777E9FF" w14:textId="77777777" w:rsidR="009341AC" w:rsidRPr="00563D71" w:rsidRDefault="009341AC" w:rsidP="00B57DAC">
            <w:pPr>
              <w:spacing w:before="0"/>
              <w:ind w:left="0" w:right="16" w:firstLine="0"/>
              <w:jc w:val="left"/>
              <w:rPr>
                <w:sz w:val="20"/>
                <w:szCs w:val="20"/>
              </w:rPr>
            </w:pPr>
            <w:r w:rsidRPr="00563D71">
              <w:rPr>
                <w:sz w:val="20"/>
                <w:szCs w:val="20"/>
              </w:rPr>
              <w:t>Central and local government</w:t>
            </w:r>
          </w:p>
        </w:tc>
      </w:tr>
      <w:tr w:rsidR="009341AC" w:rsidRPr="00563D71" w14:paraId="423D21D7" w14:textId="77777777" w:rsidTr="00B57DAC">
        <w:trPr>
          <w:trHeight w:val="1787"/>
        </w:trPr>
        <w:tc>
          <w:tcPr>
            <w:tcW w:w="2121" w:type="dxa"/>
            <w:tcBorders>
              <w:top w:val="single" w:sz="4" w:space="0" w:color="auto"/>
              <w:left w:val="single" w:sz="4" w:space="0" w:color="000000"/>
              <w:bottom w:val="single" w:sz="4" w:space="0" w:color="000000"/>
              <w:right w:val="single" w:sz="4" w:space="0" w:color="000000"/>
            </w:tcBorders>
            <w:vAlign w:val="center"/>
          </w:tcPr>
          <w:p w14:paraId="2D8CEB9B" w14:textId="77777777" w:rsidR="009341AC" w:rsidRPr="00563D71" w:rsidRDefault="009341AC" w:rsidP="00B57DAC">
            <w:pPr>
              <w:spacing w:before="0"/>
              <w:ind w:left="0" w:right="61" w:firstLine="0"/>
              <w:jc w:val="left"/>
              <w:rPr>
                <w:sz w:val="20"/>
                <w:szCs w:val="20"/>
              </w:rPr>
            </w:pPr>
            <w:r w:rsidRPr="00563D71">
              <w:rPr>
                <w:sz w:val="20"/>
                <w:szCs w:val="20"/>
              </w:rPr>
              <w:t>Minimize risk of accidents to workers and local residents</w:t>
            </w:r>
          </w:p>
        </w:tc>
        <w:tc>
          <w:tcPr>
            <w:tcW w:w="2433" w:type="dxa"/>
            <w:tcBorders>
              <w:top w:val="single" w:sz="4" w:space="0" w:color="000000"/>
              <w:left w:val="single" w:sz="4" w:space="0" w:color="000000"/>
              <w:bottom w:val="single" w:sz="4" w:space="0" w:color="000000"/>
              <w:right w:val="single" w:sz="4" w:space="0" w:color="000000"/>
            </w:tcBorders>
            <w:vAlign w:val="center"/>
          </w:tcPr>
          <w:p w14:paraId="123754BB" w14:textId="77777777" w:rsidR="009341AC" w:rsidRPr="00563D71" w:rsidRDefault="009341AC" w:rsidP="00B57DAC">
            <w:pPr>
              <w:spacing w:before="0"/>
              <w:ind w:left="1" w:firstLine="0"/>
              <w:jc w:val="left"/>
              <w:rPr>
                <w:sz w:val="20"/>
                <w:szCs w:val="20"/>
              </w:rPr>
            </w:pPr>
            <w:r w:rsidRPr="00563D71">
              <w:rPr>
                <w:sz w:val="20"/>
                <w:szCs w:val="20"/>
              </w:rPr>
              <w:t>Include health and safety in all environmental management plans.</w:t>
            </w:r>
          </w:p>
          <w:p w14:paraId="6FBA3EFB" w14:textId="77777777" w:rsidR="009341AC" w:rsidRPr="00563D71" w:rsidRDefault="009341AC" w:rsidP="00B57DAC">
            <w:pPr>
              <w:spacing w:before="0"/>
              <w:ind w:left="1" w:firstLine="0"/>
              <w:jc w:val="left"/>
              <w:rPr>
                <w:sz w:val="20"/>
                <w:szCs w:val="20"/>
              </w:rPr>
            </w:pPr>
          </w:p>
          <w:p w14:paraId="570F1419" w14:textId="77777777" w:rsidR="009341AC" w:rsidRPr="00563D71" w:rsidRDefault="009341AC" w:rsidP="00B57DAC">
            <w:pPr>
              <w:spacing w:before="0"/>
              <w:ind w:left="1" w:firstLine="0"/>
              <w:jc w:val="left"/>
              <w:rPr>
                <w:sz w:val="20"/>
                <w:szCs w:val="20"/>
              </w:rPr>
            </w:pPr>
            <w:r w:rsidRPr="00563D71">
              <w:rPr>
                <w:sz w:val="20"/>
                <w:szCs w:val="20"/>
              </w:rPr>
              <w:t>Supervise adherence to safety rules.</w:t>
            </w:r>
          </w:p>
        </w:tc>
        <w:tc>
          <w:tcPr>
            <w:tcW w:w="2028" w:type="dxa"/>
            <w:tcBorders>
              <w:top w:val="single" w:sz="4" w:space="0" w:color="000000"/>
              <w:left w:val="single" w:sz="4" w:space="0" w:color="000000"/>
              <w:bottom w:val="single" w:sz="4" w:space="0" w:color="000000"/>
              <w:right w:val="single" w:sz="4" w:space="0" w:color="000000"/>
            </w:tcBorders>
            <w:vAlign w:val="center"/>
          </w:tcPr>
          <w:p w14:paraId="7882F917" w14:textId="77777777" w:rsidR="009341AC" w:rsidRPr="00563D71" w:rsidRDefault="009341AC" w:rsidP="00B57DAC">
            <w:pPr>
              <w:spacing w:before="0"/>
              <w:ind w:left="1" w:firstLine="0"/>
              <w:jc w:val="left"/>
              <w:rPr>
                <w:sz w:val="20"/>
                <w:szCs w:val="20"/>
              </w:rPr>
            </w:pPr>
            <w:r w:rsidRPr="00563D71">
              <w:rPr>
                <w:sz w:val="20"/>
                <w:szCs w:val="20"/>
              </w:rPr>
              <w:t xml:space="preserve">Program Management Support. </w:t>
            </w:r>
          </w:p>
          <w:p w14:paraId="539AEAC7" w14:textId="77777777" w:rsidR="009341AC" w:rsidRPr="00563D71" w:rsidRDefault="009341AC" w:rsidP="00B57DAC">
            <w:pPr>
              <w:spacing w:before="0"/>
              <w:ind w:left="1" w:firstLine="0"/>
              <w:jc w:val="left"/>
              <w:rPr>
                <w:sz w:val="20"/>
                <w:szCs w:val="20"/>
              </w:rPr>
            </w:pPr>
          </w:p>
          <w:p w14:paraId="792DC535" w14:textId="77777777" w:rsidR="009341AC" w:rsidRPr="00563D71" w:rsidRDefault="009341AC" w:rsidP="00B57DAC">
            <w:pPr>
              <w:spacing w:before="0"/>
              <w:ind w:left="1" w:firstLine="0"/>
              <w:jc w:val="left"/>
              <w:rPr>
                <w:sz w:val="20"/>
                <w:szCs w:val="20"/>
              </w:rPr>
            </w:pPr>
            <w:r w:rsidRPr="00563D71">
              <w:rPr>
                <w:sz w:val="20"/>
                <w:szCs w:val="20"/>
              </w:rPr>
              <w:t>Implementing /contracting agencies to supervise contractors for compliance (RA1).</w:t>
            </w:r>
          </w:p>
          <w:p w14:paraId="6BF37830" w14:textId="77777777" w:rsidR="009341AC" w:rsidRPr="00563D71" w:rsidRDefault="009341AC" w:rsidP="00B57DAC">
            <w:pPr>
              <w:spacing w:before="0"/>
              <w:ind w:left="24"/>
              <w:jc w:val="left"/>
              <w:rPr>
                <w:sz w:val="20"/>
                <w:szCs w:val="20"/>
              </w:rPr>
            </w:pPr>
          </w:p>
          <w:p w14:paraId="7656C60A" w14:textId="77777777" w:rsidR="009341AC" w:rsidRPr="00563D71" w:rsidRDefault="009341AC" w:rsidP="00B57DAC">
            <w:pPr>
              <w:spacing w:befor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9F87088" w14:textId="77777777" w:rsidR="009341AC" w:rsidRPr="00563D71" w:rsidRDefault="009341AC" w:rsidP="00B57DAC">
            <w:pPr>
              <w:spacing w:before="0"/>
              <w:ind w:left="1" w:firstLine="0"/>
              <w:jc w:val="left"/>
              <w:rPr>
                <w:sz w:val="20"/>
                <w:szCs w:val="20"/>
              </w:rPr>
            </w:pPr>
            <w:r w:rsidRPr="00563D71">
              <w:rPr>
                <w:sz w:val="20"/>
                <w:szCs w:val="20"/>
              </w:rPr>
              <w:t>Ongoing</w:t>
            </w:r>
          </w:p>
        </w:tc>
        <w:tc>
          <w:tcPr>
            <w:tcW w:w="1403" w:type="dxa"/>
            <w:tcBorders>
              <w:top w:val="single" w:sz="4" w:space="0" w:color="000000"/>
              <w:left w:val="single" w:sz="4" w:space="0" w:color="000000"/>
              <w:bottom w:val="single" w:sz="4" w:space="0" w:color="000000"/>
              <w:right w:val="single" w:sz="4" w:space="0" w:color="000000"/>
            </w:tcBorders>
            <w:vAlign w:val="center"/>
          </w:tcPr>
          <w:p w14:paraId="4B01F7D5" w14:textId="77777777" w:rsidR="009341AC" w:rsidRPr="00563D71" w:rsidRDefault="009341AC" w:rsidP="00B57DAC">
            <w:pPr>
              <w:spacing w:before="0"/>
              <w:ind w:left="0" w:right="16" w:firstLine="0"/>
              <w:jc w:val="left"/>
              <w:rPr>
                <w:sz w:val="20"/>
                <w:szCs w:val="20"/>
              </w:rPr>
            </w:pPr>
            <w:r w:rsidRPr="00563D71">
              <w:rPr>
                <w:sz w:val="20"/>
                <w:szCs w:val="20"/>
              </w:rPr>
              <w:t>MPWH</w:t>
            </w:r>
          </w:p>
          <w:p w14:paraId="258D8BE9" w14:textId="77777777" w:rsidR="009341AC" w:rsidRPr="00563D71" w:rsidRDefault="009341AC" w:rsidP="00B57DAC">
            <w:pPr>
              <w:spacing w:before="0"/>
              <w:ind w:left="0" w:right="16" w:firstLine="0"/>
              <w:jc w:val="left"/>
              <w:rPr>
                <w:sz w:val="20"/>
                <w:szCs w:val="20"/>
              </w:rPr>
            </w:pPr>
            <w:r w:rsidRPr="00563D71">
              <w:rPr>
                <w:sz w:val="20"/>
                <w:szCs w:val="20"/>
              </w:rPr>
              <w:t>local government</w:t>
            </w:r>
          </w:p>
        </w:tc>
      </w:tr>
      <w:tr w:rsidR="009341AC" w:rsidRPr="00563D71" w14:paraId="58F0C3E5" w14:textId="77777777" w:rsidTr="00B57DAC">
        <w:trPr>
          <w:trHeight w:val="2156"/>
        </w:trPr>
        <w:tc>
          <w:tcPr>
            <w:tcW w:w="2121" w:type="dxa"/>
            <w:tcBorders>
              <w:top w:val="single" w:sz="4" w:space="0" w:color="000000"/>
              <w:left w:val="single" w:sz="4" w:space="0" w:color="000000"/>
              <w:bottom w:val="single" w:sz="4" w:space="0" w:color="000000"/>
              <w:right w:val="single" w:sz="4" w:space="0" w:color="000000"/>
            </w:tcBorders>
            <w:vAlign w:val="center"/>
          </w:tcPr>
          <w:p w14:paraId="3E4817C9" w14:textId="77777777" w:rsidR="009341AC" w:rsidRPr="00563D71" w:rsidRDefault="009341AC" w:rsidP="00B57DAC">
            <w:pPr>
              <w:spacing w:before="0"/>
              <w:ind w:left="0" w:firstLine="0"/>
              <w:jc w:val="left"/>
              <w:rPr>
                <w:sz w:val="20"/>
                <w:szCs w:val="20"/>
              </w:rPr>
            </w:pPr>
            <w:r w:rsidRPr="00563D71">
              <w:rPr>
                <w:sz w:val="20"/>
                <w:szCs w:val="20"/>
              </w:rPr>
              <w:t>Ensure that funds from the PforR Program are not used to support investments that are ineligible because of significant adverse, environmental or social impacts that are sensitive, diverse, or unprecedented.</w:t>
            </w:r>
          </w:p>
        </w:tc>
        <w:tc>
          <w:tcPr>
            <w:tcW w:w="2433" w:type="dxa"/>
            <w:tcBorders>
              <w:top w:val="single" w:sz="4" w:space="0" w:color="000000"/>
              <w:left w:val="single" w:sz="4" w:space="0" w:color="000000"/>
              <w:bottom w:val="single" w:sz="4" w:space="0" w:color="000000"/>
              <w:right w:val="single" w:sz="4" w:space="0" w:color="000000"/>
            </w:tcBorders>
            <w:vAlign w:val="center"/>
          </w:tcPr>
          <w:p w14:paraId="6EC55C53" w14:textId="77777777" w:rsidR="009341AC" w:rsidRPr="00563D71" w:rsidRDefault="009341AC" w:rsidP="00B57DAC">
            <w:pPr>
              <w:spacing w:before="0"/>
              <w:ind w:left="1" w:firstLine="0"/>
              <w:jc w:val="left"/>
              <w:rPr>
                <w:sz w:val="20"/>
                <w:szCs w:val="20"/>
              </w:rPr>
            </w:pPr>
            <w:r w:rsidRPr="00563D71">
              <w:rPr>
                <w:sz w:val="20"/>
                <w:szCs w:val="20"/>
              </w:rPr>
              <w:t xml:space="preserve">Adoption of the Investment and Expenditure Menu of the Program, the mechanism for reviewing the proposed annual work plan against the Menu and the Integrated Tourism Master Plans, and the screening mechanism for year 1 investments and proposed additions to the Menu. </w:t>
            </w:r>
          </w:p>
        </w:tc>
        <w:tc>
          <w:tcPr>
            <w:tcW w:w="2028" w:type="dxa"/>
            <w:tcBorders>
              <w:top w:val="single" w:sz="4" w:space="0" w:color="000000"/>
              <w:left w:val="single" w:sz="4" w:space="0" w:color="000000"/>
              <w:bottom w:val="single" w:sz="4" w:space="0" w:color="000000"/>
              <w:right w:val="single" w:sz="4" w:space="0" w:color="000000"/>
            </w:tcBorders>
            <w:vAlign w:val="center"/>
          </w:tcPr>
          <w:p w14:paraId="2473C1FB" w14:textId="77777777" w:rsidR="009341AC" w:rsidRPr="00563D71" w:rsidRDefault="009341AC" w:rsidP="00B57DAC">
            <w:pPr>
              <w:spacing w:before="0"/>
              <w:ind w:left="1" w:firstLine="0"/>
              <w:jc w:val="left"/>
              <w:rPr>
                <w:sz w:val="20"/>
                <w:szCs w:val="20"/>
              </w:rPr>
            </w:pPr>
            <w:r w:rsidRPr="00563D71">
              <w:rPr>
                <w:sz w:val="20"/>
                <w:szCs w:val="20"/>
              </w:rPr>
              <w:t>Program Action Plan</w:t>
            </w:r>
          </w:p>
        </w:tc>
        <w:tc>
          <w:tcPr>
            <w:tcW w:w="1574" w:type="dxa"/>
            <w:tcBorders>
              <w:top w:val="single" w:sz="4" w:space="0" w:color="000000"/>
              <w:left w:val="single" w:sz="4" w:space="0" w:color="000000"/>
              <w:bottom w:val="single" w:sz="4" w:space="0" w:color="000000"/>
              <w:right w:val="single" w:sz="4" w:space="0" w:color="000000"/>
            </w:tcBorders>
            <w:vAlign w:val="center"/>
          </w:tcPr>
          <w:p w14:paraId="07E58E55" w14:textId="77777777" w:rsidR="009341AC" w:rsidRPr="00563D71" w:rsidRDefault="009341AC" w:rsidP="00B57DAC">
            <w:pPr>
              <w:spacing w:before="0"/>
              <w:ind w:left="1" w:firstLine="0"/>
              <w:jc w:val="left"/>
              <w:rPr>
                <w:sz w:val="20"/>
                <w:szCs w:val="20"/>
              </w:rPr>
            </w:pPr>
            <w:r w:rsidRPr="00563D71">
              <w:rPr>
                <w:sz w:val="20"/>
                <w:szCs w:val="20"/>
              </w:rPr>
              <w:t>Before loan effectiveness</w:t>
            </w:r>
          </w:p>
        </w:tc>
        <w:tc>
          <w:tcPr>
            <w:tcW w:w="1403" w:type="dxa"/>
            <w:tcBorders>
              <w:top w:val="single" w:sz="4" w:space="0" w:color="000000"/>
              <w:left w:val="single" w:sz="4" w:space="0" w:color="000000"/>
              <w:bottom w:val="single" w:sz="4" w:space="0" w:color="000000"/>
              <w:right w:val="single" w:sz="4" w:space="0" w:color="000000"/>
            </w:tcBorders>
            <w:vAlign w:val="center"/>
          </w:tcPr>
          <w:p w14:paraId="0C9205AF" w14:textId="77777777" w:rsidR="009341AC" w:rsidRPr="00563D71" w:rsidRDefault="009341AC" w:rsidP="00B57DAC">
            <w:pPr>
              <w:spacing w:before="0"/>
              <w:ind w:left="0" w:right="16" w:firstLine="0"/>
              <w:jc w:val="left"/>
              <w:rPr>
                <w:sz w:val="20"/>
                <w:szCs w:val="20"/>
              </w:rPr>
            </w:pPr>
            <w:r w:rsidRPr="00563D71">
              <w:rPr>
                <w:sz w:val="20"/>
                <w:szCs w:val="20"/>
              </w:rPr>
              <w:t>MPWH in consultation with the Bank</w:t>
            </w:r>
          </w:p>
        </w:tc>
      </w:tr>
      <w:tr w:rsidR="009341AC" w:rsidRPr="00563D71" w14:paraId="744C20FA" w14:textId="77777777" w:rsidTr="00B57DAC">
        <w:trPr>
          <w:trHeight w:val="1598"/>
        </w:trPr>
        <w:tc>
          <w:tcPr>
            <w:tcW w:w="2121" w:type="dxa"/>
            <w:tcBorders>
              <w:top w:val="single" w:sz="4" w:space="0" w:color="000000"/>
              <w:left w:val="single" w:sz="4" w:space="0" w:color="000000"/>
              <w:bottom w:val="single" w:sz="4" w:space="0" w:color="000000"/>
              <w:right w:val="single" w:sz="4" w:space="0" w:color="000000"/>
            </w:tcBorders>
            <w:vAlign w:val="center"/>
          </w:tcPr>
          <w:p w14:paraId="2798004F" w14:textId="77777777" w:rsidR="009341AC" w:rsidRPr="00563D71" w:rsidRDefault="009341AC" w:rsidP="00B57DAC">
            <w:pPr>
              <w:spacing w:before="0"/>
              <w:ind w:left="0" w:firstLine="0"/>
              <w:jc w:val="left"/>
              <w:rPr>
                <w:sz w:val="20"/>
                <w:szCs w:val="20"/>
              </w:rPr>
            </w:pPr>
            <w:r w:rsidRPr="00563D71">
              <w:rPr>
                <w:sz w:val="20"/>
                <w:szCs w:val="20"/>
              </w:rPr>
              <w:lastRenderedPageBreak/>
              <w:t>Improve quality of UKL-UPLs and AMDALs that often lack analytical rigor; are weak in the areas of cumulative impacts, associated facilities, analysis of alternatives, and social impacts; and are not always well implemented.</w:t>
            </w:r>
          </w:p>
        </w:tc>
        <w:tc>
          <w:tcPr>
            <w:tcW w:w="2433" w:type="dxa"/>
            <w:tcBorders>
              <w:top w:val="single" w:sz="4" w:space="0" w:color="000000"/>
              <w:left w:val="single" w:sz="4" w:space="0" w:color="000000"/>
              <w:bottom w:val="single" w:sz="4" w:space="0" w:color="000000"/>
              <w:right w:val="single" w:sz="4" w:space="0" w:color="000000"/>
            </w:tcBorders>
            <w:vAlign w:val="center"/>
          </w:tcPr>
          <w:p w14:paraId="0D50A18E" w14:textId="77777777" w:rsidR="009341AC" w:rsidRPr="00563D71" w:rsidRDefault="009341AC" w:rsidP="00B57DAC">
            <w:pPr>
              <w:spacing w:before="0"/>
              <w:ind w:left="1" w:firstLine="0"/>
              <w:jc w:val="left"/>
              <w:rPr>
                <w:sz w:val="20"/>
                <w:szCs w:val="20"/>
              </w:rPr>
            </w:pPr>
          </w:p>
          <w:p w14:paraId="695289AB" w14:textId="77777777" w:rsidR="009341AC" w:rsidRPr="00563D71" w:rsidRDefault="009341AC" w:rsidP="00B57DAC">
            <w:pPr>
              <w:spacing w:before="0"/>
              <w:ind w:left="1" w:firstLine="0"/>
              <w:jc w:val="left"/>
              <w:rPr>
                <w:sz w:val="20"/>
                <w:szCs w:val="20"/>
              </w:rPr>
            </w:pPr>
            <w:r w:rsidRPr="00563D71">
              <w:rPr>
                <w:sz w:val="20"/>
                <w:szCs w:val="20"/>
              </w:rPr>
              <w:t>Develop and implement a tourism-specific training program for consultants that prepare UKL-UPL and, as applicable, AMDALs and for the agencies that review, approve, and enforce them.</w:t>
            </w:r>
            <w:r w:rsidRPr="00563D71">
              <w:rPr>
                <w:rStyle w:val="FootnoteReference"/>
                <w:sz w:val="20"/>
                <w:szCs w:val="20"/>
              </w:rPr>
              <w:footnoteReference w:id="58"/>
            </w:r>
          </w:p>
          <w:p w14:paraId="1E785118" w14:textId="77777777" w:rsidR="009341AC" w:rsidRPr="00563D71" w:rsidRDefault="009341AC" w:rsidP="00B57DAC">
            <w:pPr>
              <w:spacing w:before="0"/>
              <w:ind w:left="1" w:firstLine="0"/>
              <w:jc w:val="left"/>
              <w:rPr>
                <w:sz w:val="20"/>
                <w:szCs w:val="20"/>
              </w:rPr>
            </w:pPr>
          </w:p>
          <w:p w14:paraId="08CBD5BF" w14:textId="77777777" w:rsidR="009341AC" w:rsidRPr="00563D71" w:rsidRDefault="009341AC" w:rsidP="00B57DAC">
            <w:pPr>
              <w:spacing w:before="0"/>
              <w:ind w:left="1" w:firstLine="0"/>
              <w:jc w:val="left"/>
              <w:rPr>
                <w:sz w:val="20"/>
                <w:szCs w:val="20"/>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0ED3B391" w14:textId="77777777" w:rsidR="009341AC" w:rsidRPr="00563D71" w:rsidRDefault="009341AC" w:rsidP="00B57DAC">
            <w:pPr>
              <w:spacing w:before="0"/>
              <w:jc w:val="left"/>
              <w:rPr>
                <w:sz w:val="20"/>
                <w:szCs w:val="20"/>
              </w:rPr>
            </w:pPr>
          </w:p>
          <w:p w14:paraId="6A9C7779" w14:textId="77777777" w:rsidR="009341AC" w:rsidRPr="00563D71" w:rsidRDefault="009341AC" w:rsidP="00B57DAC">
            <w:pPr>
              <w:spacing w:before="0"/>
              <w:jc w:val="left"/>
              <w:rPr>
                <w:sz w:val="20"/>
                <w:szCs w:val="20"/>
              </w:rPr>
            </w:pPr>
          </w:p>
          <w:p w14:paraId="0FA046D5" w14:textId="77777777" w:rsidR="009341AC" w:rsidRPr="00563D71" w:rsidRDefault="009341AC" w:rsidP="00B57DAC">
            <w:pPr>
              <w:spacing w:before="0"/>
              <w:jc w:val="left"/>
              <w:rPr>
                <w:sz w:val="20"/>
                <w:szCs w:val="20"/>
              </w:rPr>
            </w:pPr>
          </w:p>
          <w:p w14:paraId="12CA261C" w14:textId="77777777" w:rsidR="009341AC" w:rsidRPr="00563D71" w:rsidRDefault="009341AC" w:rsidP="00B57DAC">
            <w:pPr>
              <w:spacing w:before="0"/>
              <w:jc w:val="left"/>
              <w:rPr>
                <w:sz w:val="20"/>
                <w:szCs w:val="20"/>
              </w:rPr>
            </w:pPr>
            <w:r w:rsidRPr="00563D71">
              <w:rPr>
                <w:sz w:val="20"/>
                <w:szCs w:val="20"/>
              </w:rPr>
              <w:t>Program Management Support and/or RA4</w:t>
            </w:r>
          </w:p>
          <w:p w14:paraId="7024B3A5" w14:textId="77777777" w:rsidR="009341AC" w:rsidRPr="00563D71" w:rsidRDefault="009341AC" w:rsidP="00B57DAC">
            <w:pPr>
              <w:spacing w:before="0"/>
              <w:ind w:left="1" w:firstLine="0"/>
              <w:jc w:val="left"/>
              <w:rPr>
                <w:sz w:val="20"/>
                <w:szCs w:val="20"/>
              </w:rPr>
            </w:pPr>
          </w:p>
          <w:p w14:paraId="4B0CB8FA" w14:textId="77777777" w:rsidR="009341AC" w:rsidRPr="00563D71" w:rsidRDefault="009341AC" w:rsidP="00B57DAC">
            <w:pPr>
              <w:spacing w:before="0"/>
              <w:ind w:left="1" w:firstLine="0"/>
              <w:jc w:val="left"/>
              <w:rPr>
                <w:sz w:val="20"/>
                <w:szCs w:val="20"/>
              </w:rPr>
            </w:pPr>
          </w:p>
          <w:p w14:paraId="4221285C" w14:textId="77777777" w:rsidR="009341AC" w:rsidRPr="00563D71" w:rsidRDefault="009341AC" w:rsidP="00B57DAC">
            <w:pPr>
              <w:spacing w:before="0"/>
              <w:ind w:left="1" w:firstLine="0"/>
              <w:jc w:val="left"/>
              <w:rPr>
                <w:sz w:val="20"/>
                <w:szCs w:val="20"/>
              </w:rPr>
            </w:pPr>
          </w:p>
          <w:p w14:paraId="0D162D96" w14:textId="77777777" w:rsidR="009341AC" w:rsidRPr="00563D71" w:rsidRDefault="009341AC" w:rsidP="00B57DAC">
            <w:pPr>
              <w:spacing w:before="0"/>
              <w:ind w:left="1" w:firstLine="0"/>
              <w:jc w:val="left"/>
              <w:rPr>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6DF9701" w14:textId="77777777" w:rsidR="009341AC" w:rsidRPr="00563D71" w:rsidRDefault="009341AC" w:rsidP="00B57DAC">
            <w:pPr>
              <w:spacing w:before="0"/>
              <w:ind w:left="1" w:firstLine="0"/>
              <w:jc w:val="left"/>
              <w:rPr>
                <w:sz w:val="20"/>
                <w:szCs w:val="20"/>
              </w:rPr>
            </w:pPr>
          </w:p>
          <w:p w14:paraId="6AB0CE16" w14:textId="77777777" w:rsidR="009341AC" w:rsidRPr="00563D71" w:rsidRDefault="009341AC" w:rsidP="00B57DAC">
            <w:pPr>
              <w:spacing w:before="0"/>
              <w:ind w:left="1" w:firstLine="0"/>
              <w:jc w:val="left"/>
              <w:rPr>
                <w:sz w:val="20"/>
                <w:szCs w:val="20"/>
              </w:rPr>
            </w:pPr>
          </w:p>
          <w:p w14:paraId="1BDF2232" w14:textId="77777777" w:rsidR="009341AC" w:rsidRPr="00563D71" w:rsidRDefault="009341AC" w:rsidP="00B57DAC">
            <w:pPr>
              <w:spacing w:before="0"/>
              <w:ind w:left="1" w:firstLine="0"/>
              <w:jc w:val="left"/>
              <w:rPr>
                <w:sz w:val="20"/>
                <w:szCs w:val="20"/>
              </w:rPr>
            </w:pPr>
          </w:p>
          <w:p w14:paraId="5A2FA9D6" w14:textId="77777777" w:rsidR="009341AC" w:rsidRPr="00563D71" w:rsidRDefault="009341AC" w:rsidP="00B57DAC">
            <w:pPr>
              <w:spacing w:before="0"/>
              <w:ind w:left="0" w:firstLine="0"/>
              <w:jc w:val="left"/>
              <w:rPr>
                <w:sz w:val="20"/>
                <w:szCs w:val="20"/>
              </w:rPr>
            </w:pPr>
            <w:r w:rsidRPr="00563D71">
              <w:rPr>
                <w:sz w:val="20"/>
                <w:szCs w:val="20"/>
              </w:rPr>
              <w:t>Developed end 2017 (Program Action Plan) and ongoing implementation</w:t>
            </w:r>
          </w:p>
          <w:p w14:paraId="71935021" w14:textId="77777777" w:rsidR="009341AC" w:rsidRPr="00563D71" w:rsidRDefault="009341AC" w:rsidP="00B57DAC">
            <w:pPr>
              <w:spacing w:before="0"/>
              <w:ind w:left="1" w:firstLine="0"/>
              <w:jc w:val="left"/>
              <w:rPr>
                <w:sz w:val="20"/>
                <w:szCs w:val="20"/>
              </w:rPr>
            </w:pPr>
          </w:p>
          <w:p w14:paraId="3B75F694" w14:textId="77777777" w:rsidR="009341AC" w:rsidRPr="00563D71" w:rsidRDefault="009341AC" w:rsidP="00B57DAC">
            <w:pPr>
              <w:spacing w:before="0"/>
              <w:ind w:left="0" w:firstLine="0"/>
              <w:jc w:val="left"/>
              <w:rPr>
                <w:sz w:val="20"/>
                <w:szCs w:val="20"/>
              </w:rPr>
            </w:pPr>
          </w:p>
          <w:p w14:paraId="37815785" w14:textId="77777777" w:rsidR="009341AC" w:rsidRPr="00563D71" w:rsidRDefault="009341AC" w:rsidP="00B57DAC">
            <w:pPr>
              <w:spacing w:before="0"/>
              <w:ind w:left="0" w:firstLine="0"/>
              <w:jc w:val="left"/>
              <w:rPr>
                <w:sz w:val="20"/>
                <w:szCs w:val="20"/>
              </w:rPr>
            </w:pPr>
          </w:p>
          <w:p w14:paraId="7807554A" w14:textId="77777777" w:rsidR="009341AC" w:rsidRPr="00563D71" w:rsidRDefault="009341AC" w:rsidP="00B57DAC">
            <w:pPr>
              <w:spacing w:before="0"/>
              <w:ind w:left="1" w:firstLine="0"/>
              <w:jc w:val="left"/>
              <w:rPr>
                <w:sz w:val="20"/>
                <w:szCs w:val="20"/>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4C5FFF21" w14:textId="77777777" w:rsidR="009341AC" w:rsidRPr="00563D71" w:rsidRDefault="009341AC" w:rsidP="00B57DAC">
            <w:pPr>
              <w:spacing w:before="0"/>
              <w:ind w:left="0" w:right="16" w:firstLine="0"/>
              <w:jc w:val="left"/>
              <w:rPr>
                <w:sz w:val="20"/>
                <w:szCs w:val="20"/>
              </w:rPr>
            </w:pPr>
            <w:r w:rsidRPr="00563D71">
              <w:rPr>
                <w:sz w:val="20"/>
                <w:szCs w:val="20"/>
              </w:rPr>
              <w:t>MPWH</w:t>
            </w:r>
          </w:p>
          <w:p w14:paraId="19CB6996" w14:textId="77777777" w:rsidR="009341AC" w:rsidRPr="00563D71" w:rsidRDefault="009341AC" w:rsidP="00B57DAC">
            <w:pPr>
              <w:spacing w:before="0"/>
              <w:ind w:left="0" w:right="16" w:firstLine="0"/>
              <w:jc w:val="left"/>
              <w:rPr>
                <w:sz w:val="20"/>
                <w:szCs w:val="20"/>
              </w:rPr>
            </w:pPr>
          </w:p>
          <w:p w14:paraId="2B9E55BE" w14:textId="77777777" w:rsidR="009341AC" w:rsidRPr="00563D71" w:rsidRDefault="009341AC" w:rsidP="00B57DAC">
            <w:pPr>
              <w:spacing w:before="0"/>
              <w:ind w:left="0" w:right="16" w:firstLine="0"/>
              <w:jc w:val="left"/>
              <w:rPr>
                <w:sz w:val="20"/>
                <w:szCs w:val="20"/>
              </w:rPr>
            </w:pPr>
            <w:r w:rsidRPr="00563D71">
              <w:rPr>
                <w:rFonts w:eastAsiaTheme="minorHAnsi"/>
                <w:color w:val="auto"/>
                <w:sz w:val="20"/>
                <w:szCs w:val="20"/>
              </w:rPr>
              <w:t>Ministry of Environment and Forestry (MOEF)</w:t>
            </w:r>
          </w:p>
        </w:tc>
      </w:tr>
    </w:tbl>
    <w:p w14:paraId="27230DF4" w14:textId="77777777" w:rsidR="009341AC" w:rsidRPr="00563D71" w:rsidRDefault="009341AC" w:rsidP="003D2E29">
      <w:pPr>
        <w:pStyle w:val="NoSpacing"/>
        <w:jc w:val="center"/>
      </w:pPr>
    </w:p>
    <w:p w14:paraId="166AEDB7" w14:textId="77777777" w:rsidR="009341AC" w:rsidRPr="00563D71" w:rsidRDefault="009341AC" w:rsidP="003D2E29">
      <w:pPr>
        <w:pStyle w:val="NoSpacing"/>
        <w:jc w:val="center"/>
      </w:pPr>
    </w:p>
    <w:p w14:paraId="32D5399D" w14:textId="77777777" w:rsidR="00F864DC" w:rsidRPr="00563D71" w:rsidRDefault="00F864DC" w:rsidP="003D2E29">
      <w:pPr>
        <w:pStyle w:val="NoSpacing"/>
        <w:jc w:val="center"/>
      </w:pPr>
    </w:p>
    <w:p w14:paraId="21F62275" w14:textId="77777777" w:rsidR="00204801" w:rsidRPr="00563D71" w:rsidRDefault="00204801" w:rsidP="003D2E29">
      <w:pPr>
        <w:pStyle w:val="NoSpacing"/>
      </w:pPr>
    </w:p>
    <w:p w14:paraId="2BC2866C" w14:textId="77777777" w:rsidR="0004727C" w:rsidRPr="00563D71" w:rsidRDefault="0004727C">
      <w:pPr>
        <w:spacing w:line="259" w:lineRule="auto"/>
        <w:ind w:left="10" w:right="190"/>
        <w:jc w:val="center"/>
        <w:rPr>
          <w:b/>
        </w:rPr>
      </w:pPr>
    </w:p>
    <w:p w14:paraId="4D32C097" w14:textId="77777777" w:rsidR="0004727C" w:rsidRPr="00563D71" w:rsidRDefault="0004727C">
      <w:pPr>
        <w:spacing w:before="0"/>
        <w:ind w:left="11" w:hanging="11"/>
        <w:rPr>
          <w:b/>
        </w:rPr>
      </w:pPr>
      <w:bookmarkStart w:id="89" w:name="_Toc468969244"/>
      <w:bookmarkStart w:id="90" w:name="_Toc481484058"/>
      <w:r w:rsidRPr="00563D71">
        <w:br w:type="page"/>
      </w:r>
    </w:p>
    <w:p w14:paraId="08B49A81" w14:textId="1EB55B0F" w:rsidR="00245F03" w:rsidRPr="00563D71" w:rsidRDefault="00D04B10" w:rsidP="00E92BBA">
      <w:pPr>
        <w:pStyle w:val="Heading1"/>
        <w:jc w:val="center"/>
      </w:pPr>
      <w:bookmarkStart w:id="91" w:name="_Toc485831038"/>
      <w:r w:rsidRPr="00563D71">
        <w:lastRenderedPageBreak/>
        <w:t>7</w:t>
      </w:r>
      <w:r w:rsidRPr="00563D71">
        <w:rPr>
          <w:rFonts w:ascii="Arial" w:eastAsia="Arial" w:hAnsi="Arial" w:cs="Arial"/>
        </w:rPr>
        <w:t xml:space="preserve"> </w:t>
      </w:r>
      <w:r w:rsidRPr="00563D71">
        <w:t xml:space="preserve">  ENVIRONMENTAL AND SOCIAL RISKS</w:t>
      </w:r>
      <w:bookmarkEnd w:id="89"/>
      <w:bookmarkEnd w:id="90"/>
      <w:bookmarkEnd w:id="91"/>
    </w:p>
    <w:p w14:paraId="2E72FFE7" w14:textId="77777777" w:rsidR="0004727C" w:rsidRPr="00563D71" w:rsidRDefault="0004727C" w:rsidP="00CF22F2"/>
    <w:p w14:paraId="4A34B8B7" w14:textId="4B1063EF" w:rsidR="00245F03" w:rsidRPr="00563D71" w:rsidRDefault="00D04B10" w:rsidP="00E92BBA">
      <w:pPr>
        <w:pStyle w:val="Heading2"/>
      </w:pPr>
      <w:bookmarkStart w:id="92" w:name="_Toc468969245"/>
      <w:bookmarkStart w:id="93" w:name="_Toc481484059"/>
      <w:bookmarkStart w:id="94" w:name="_Toc485831039"/>
      <w:r w:rsidRPr="00563D71">
        <w:t>7.</w:t>
      </w:r>
      <w:r w:rsidRPr="00563D71">
        <w:rPr>
          <w:rStyle w:val="Heading2Char"/>
          <w:b/>
          <w:i/>
        </w:rPr>
        <w:t>1</w:t>
      </w:r>
      <w:r w:rsidRPr="00563D71">
        <w:rPr>
          <w:rStyle w:val="Heading2Char"/>
          <w:rFonts w:eastAsia="Arial"/>
          <w:b/>
          <w:i/>
        </w:rPr>
        <w:t xml:space="preserve"> </w:t>
      </w:r>
      <w:r w:rsidRPr="00563D71">
        <w:rPr>
          <w:rStyle w:val="Heading2Char"/>
          <w:rFonts w:eastAsia="Arial"/>
          <w:b/>
          <w:i/>
        </w:rPr>
        <w:tab/>
      </w:r>
      <w:r w:rsidRPr="00563D71">
        <w:rPr>
          <w:rStyle w:val="Heading2Char"/>
          <w:b/>
          <w:i/>
        </w:rPr>
        <w:t>Potential environmental and social risks</w:t>
      </w:r>
      <w:bookmarkEnd w:id="92"/>
      <w:bookmarkEnd w:id="93"/>
      <w:bookmarkEnd w:id="94"/>
      <w:r w:rsidRPr="00563D71">
        <w:t xml:space="preserve">  </w:t>
      </w:r>
    </w:p>
    <w:p w14:paraId="69D3E789" w14:textId="334E7558" w:rsidR="00245F03" w:rsidRPr="00563D71" w:rsidRDefault="00D04B10" w:rsidP="0032029F">
      <w:pPr>
        <w:pStyle w:val="MainParanoChapter-Ch3"/>
      </w:pPr>
      <w:r w:rsidRPr="00563D71">
        <w:rPr>
          <w:i/>
        </w:rPr>
        <w:t>Environment</w:t>
      </w:r>
      <w:r w:rsidRPr="00563D71">
        <w:t xml:space="preserve">. The main identified environmental risks </w:t>
      </w:r>
      <w:r w:rsidR="00677564" w:rsidRPr="00563D71">
        <w:t xml:space="preserve">before measures to avoid or mitigate them are put into effect </w:t>
      </w:r>
      <w:r w:rsidRPr="00563D71">
        <w:t xml:space="preserve">are: (i) </w:t>
      </w:r>
      <w:r w:rsidR="001F51E1" w:rsidRPr="00563D71">
        <w:t>individual infrastructure</w:t>
      </w:r>
      <w:r w:rsidR="00F758E2" w:rsidRPr="00563D71">
        <w:t xml:space="preserve"> investments</w:t>
      </w:r>
      <w:r w:rsidR="001F51E1" w:rsidRPr="00563D71">
        <w:t xml:space="preserve"> </w:t>
      </w:r>
      <w:r w:rsidR="00AF0AF8" w:rsidRPr="00563D71">
        <w:t>may</w:t>
      </w:r>
      <w:r w:rsidR="001F51E1" w:rsidRPr="00563D71">
        <w:t xml:space="preserve"> proceed in a non-integrated manner, without consideration environmental constraints at the destination level, or of interactions and cumulative impacts, with the result that tourism development degrades the natural and cultural resources on which it depends; </w:t>
      </w:r>
      <w:r w:rsidRPr="00563D71">
        <w:t xml:space="preserve">(ii) </w:t>
      </w:r>
      <w:r w:rsidR="001F51E1" w:rsidRPr="00563D71">
        <w:t xml:space="preserve">environmental assessments </w:t>
      </w:r>
      <w:r w:rsidR="00AF0AF8" w:rsidRPr="00563D71">
        <w:t>may</w:t>
      </w:r>
      <w:r w:rsidR="001F51E1" w:rsidRPr="00563D71">
        <w:t xml:space="preserve"> lack analytical rigor</w:t>
      </w:r>
      <w:r w:rsidR="00EE1221" w:rsidRPr="00563D71">
        <w:t xml:space="preserve"> and sufficient depth, particularly on social issues</w:t>
      </w:r>
      <w:r w:rsidRPr="00563D71">
        <w:t xml:space="preserve">; (iii) </w:t>
      </w:r>
      <w:r w:rsidR="001F51E1" w:rsidRPr="00563D71">
        <w:t xml:space="preserve">environmental management and monitoring plan implementation </w:t>
      </w:r>
      <w:r w:rsidR="00AF0AF8" w:rsidRPr="00563D71">
        <w:t>may</w:t>
      </w:r>
      <w:r w:rsidR="001F51E1" w:rsidRPr="00563D71">
        <w:t xml:space="preserve"> not be adequately monitored or enforced; (iv) natural and cultural resources important for tourism </w:t>
      </w:r>
      <w:r w:rsidR="00AF0AF8" w:rsidRPr="00563D71">
        <w:t>may</w:t>
      </w:r>
      <w:r w:rsidR="001F51E1" w:rsidRPr="00563D71">
        <w:t xml:space="preserve"> be degraded by third-party actions not related to the Program; </w:t>
      </w:r>
      <w:r w:rsidR="00EE1221" w:rsidRPr="00563D71">
        <w:t xml:space="preserve">and </w:t>
      </w:r>
      <w:r w:rsidR="001F51E1" w:rsidRPr="00563D71">
        <w:t xml:space="preserve">(v) disregard of health and safety rules </w:t>
      </w:r>
      <w:r w:rsidR="00AF0AF8" w:rsidRPr="00563D71">
        <w:t>will</w:t>
      </w:r>
      <w:r w:rsidR="001F51E1" w:rsidRPr="00563D71">
        <w:t xml:space="preserve"> pose risk of accidents</w:t>
      </w:r>
      <w:r w:rsidR="00EE1221" w:rsidRPr="00563D71">
        <w:t xml:space="preserve"> to workers and local residents.  </w:t>
      </w:r>
    </w:p>
    <w:p w14:paraId="3319D7E0" w14:textId="77777777" w:rsidR="0072722D" w:rsidRPr="00563D71" w:rsidRDefault="0072722D" w:rsidP="0032029F">
      <w:pPr>
        <w:pStyle w:val="MainParanoChapter-Ch3"/>
        <w:numPr>
          <w:ilvl w:val="0"/>
          <w:numId w:val="0"/>
        </w:numPr>
      </w:pPr>
    </w:p>
    <w:p w14:paraId="14E501C8" w14:textId="6B009D4A" w:rsidR="00245F03" w:rsidRPr="00563D71" w:rsidRDefault="00D04B10" w:rsidP="0032029F">
      <w:pPr>
        <w:pStyle w:val="MainParanoChapter-Ch3"/>
      </w:pPr>
      <w:r w:rsidRPr="00563D71">
        <w:rPr>
          <w:i/>
        </w:rPr>
        <w:t>Social.</w:t>
      </w:r>
      <w:r w:rsidRPr="00563D71">
        <w:t xml:space="preserve"> </w:t>
      </w:r>
      <w:r w:rsidR="00AF0AF8" w:rsidRPr="00563D71">
        <w:t>Items</w:t>
      </w:r>
      <w:r w:rsidR="00EE1221" w:rsidRPr="00563D71">
        <w:t xml:space="preserve"> (i) through (iii) </w:t>
      </w:r>
      <w:r w:rsidR="00AF0AF8" w:rsidRPr="00563D71">
        <w:t xml:space="preserve">in the paragraph above are risks that </w:t>
      </w:r>
      <w:r w:rsidR="00EE1221" w:rsidRPr="00563D71">
        <w:t>apply equally to the human environment. Other social risks</w:t>
      </w:r>
      <w:r w:rsidR="00677564" w:rsidRPr="00563D71">
        <w:t>, again before avoidance or mitigation measures,</w:t>
      </w:r>
      <w:r w:rsidR="00AF0AF8" w:rsidRPr="00563D71">
        <w:t xml:space="preserve"> are: (i) </w:t>
      </w:r>
      <w:r w:rsidR="003A6E2E" w:rsidRPr="00563D71">
        <w:t>I</w:t>
      </w:r>
      <w:r w:rsidR="00AF0AF8" w:rsidRPr="00563D71">
        <w:t xml:space="preserve">ndigenous </w:t>
      </w:r>
      <w:r w:rsidR="003A6E2E" w:rsidRPr="00563D71">
        <w:t>P</w:t>
      </w:r>
      <w:r w:rsidR="00AF0AF8" w:rsidRPr="00563D71">
        <w:t xml:space="preserve">eoples (i.e., </w:t>
      </w:r>
      <w:r w:rsidR="003A6E2E" w:rsidRPr="00563D71">
        <w:rPr>
          <w:i/>
        </w:rPr>
        <w:t>Masyarakat Hukum Adat</w:t>
      </w:r>
      <w:r w:rsidR="003A6E2E" w:rsidRPr="00563D71">
        <w:t>, which fall under the criteria as per World Bank OP 4/10</w:t>
      </w:r>
      <w:r w:rsidR="00AF0AF8" w:rsidRPr="00563D71">
        <w:t>)</w:t>
      </w:r>
      <w:r w:rsidR="003A6E2E" w:rsidRPr="00563D71">
        <w:t xml:space="preserve">, local community </w:t>
      </w:r>
      <w:r w:rsidR="00AF0AF8" w:rsidRPr="00563D71">
        <w:t xml:space="preserve">and/or vulnerable groups may not benefit </w:t>
      </w:r>
      <w:r w:rsidR="008A231F" w:rsidRPr="00563D71">
        <w:t xml:space="preserve">equitably </w:t>
      </w:r>
      <w:r w:rsidR="00AF0AF8" w:rsidRPr="00563D71">
        <w:t xml:space="preserve">from the Program; (ii) </w:t>
      </w:r>
      <w:r w:rsidR="003A6E2E" w:rsidRPr="00563D71">
        <w:t>I</w:t>
      </w:r>
      <w:r w:rsidR="00AF0AF8" w:rsidRPr="00563D71">
        <w:t xml:space="preserve">ndigenous </w:t>
      </w:r>
      <w:r w:rsidR="003A6E2E" w:rsidRPr="00563D71">
        <w:t>P</w:t>
      </w:r>
      <w:r w:rsidR="00AF0AF8" w:rsidRPr="00563D71">
        <w:t>eoples may be adversely affected through loss or degradation of physical assets, cultural values, or livel</w:t>
      </w:r>
      <w:r w:rsidR="00AA25F3" w:rsidRPr="00563D71">
        <w:t>i</w:t>
      </w:r>
      <w:r w:rsidR="00AF0AF8" w:rsidRPr="00563D71">
        <w:t>hoods</w:t>
      </w:r>
      <w:r w:rsidR="003825EF" w:rsidRPr="00563D71">
        <w:t xml:space="preserve">, or through restriction of access to natural resources important for their customary practices; (iii) social conflicts may arise, resulting in local unrest and delays in implementing Program investments; </w:t>
      </w:r>
      <w:r w:rsidR="00F36639" w:rsidRPr="00563D71">
        <w:t>and (iv) the livelihoods of persons losing land or other assets, or losing access to assets on which their livelihoods depend</w:t>
      </w:r>
      <w:r w:rsidR="00F758E2" w:rsidRPr="00563D71">
        <w:t>.</w:t>
      </w:r>
    </w:p>
    <w:p w14:paraId="28C20067" w14:textId="77777777" w:rsidR="00DF6FD4" w:rsidRPr="00563D71" w:rsidRDefault="00DF6FD4" w:rsidP="00BB0277">
      <w:bookmarkStart w:id="95" w:name="_Toc468969246"/>
    </w:p>
    <w:p w14:paraId="2EDC721E" w14:textId="29FE7B85" w:rsidR="00AA79B2" w:rsidRPr="00563D71" w:rsidRDefault="00D04B10" w:rsidP="00104075">
      <w:pPr>
        <w:pStyle w:val="Heading2"/>
        <w:tabs>
          <w:tab w:val="left" w:pos="540"/>
        </w:tabs>
      </w:pPr>
      <w:bookmarkStart w:id="96" w:name="_Toc481484060"/>
      <w:bookmarkStart w:id="97" w:name="_Toc485831040"/>
      <w:r w:rsidRPr="00563D71">
        <w:t>7</w:t>
      </w:r>
      <w:r w:rsidRPr="00563D71">
        <w:rPr>
          <w:rStyle w:val="Heading2Char"/>
          <w:b/>
          <w:i/>
        </w:rPr>
        <w:t>.2</w:t>
      </w:r>
      <w:r w:rsidRPr="00563D71">
        <w:rPr>
          <w:rStyle w:val="Heading2Char"/>
          <w:rFonts w:eastAsia="Arial"/>
          <w:b/>
          <w:i/>
        </w:rPr>
        <w:t xml:space="preserve"> </w:t>
      </w:r>
      <w:r w:rsidR="00203417" w:rsidRPr="00563D71">
        <w:rPr>
          <w:rStyle w:val="Heading2Char"/>
          <w:rFonts w:eastAsia="Arial"/>
          <w:b/>
          <w:i/>
        </w:rPr>
        <w:tab/>
      </w:r>
      <w:r w:rsidR="00D4579B" w:rsidRPr="00563D71">
        <w:rPr>
          <w:rStyle w:val="Heading2Char"/>
          <w:rFonts w:eastAsia="Arial"/>
          <w:b/>
          <w:i/>
        </w:rPr>
        <w:t xml:space="preserve"> </w:t>
      </w:r>
      <w:r w:rsidR="008D566C" w:rsidRPr="00563D71">
        <w:rPr>
          <w:rStyle w:val="Heading2Char"/>
          <w:b/>
          <w:i/>
        </w:rPr>
        <w:t>Risk Mitigation</w:t>
      </w:r>
      <w:bookmarkEnd w:id="95"/>
      <w:bookmarkEnd w:id="96"/>
      <w:bookmarkEnd w:id="97"/>
      <w:r w:rsidRPr="00563D71">
        <w:t xml:space="preserve"> </w:t>
      </w:r>
    </w:p>
    <w:p w14:paraId="36D3A243" w14:textId="64574164" w:rsidR="00245F03" w:rsidRPr="00563D71" w:rsidRDefault="008D566C" w:rsidP="0032029F">
      <w:pPr>
        <w:pStyle w:val="MainParanoChapter-Ch3"/>
      </w:pPr>
      <w:r w:rsidRPr="00563D71">
        <w:t xml:space="preserve">The Program has </w:t>
      </w:r>
      <w:r w:rsidR="00934A30" w:rsidRPr="00563D71">
        <w:t>three</w:t>
      </w:r>
      <w:r w:rsidRPr="00563D71">
        <w:t xml:space="preserve"> vehicles to mitigate the environmental and social risks:  the Program design itself, </w:t>
      </w:r>
      <w:r w:rsidR="00594EA9" w:rsidRPr="00563D71">
        <w:t xml:space="preserve">specifically </w:t>
      </w:r>
      <w:r w:rsidR="00604C9B" w:rsidRPr="00563D71">
        <w:t xml:space="preserve">Results Area 1 which focuses on addressing existing basic services gaps and reversing environmental degradation, </w:t>
      </w:r>
      <w:r w:rsidR="00594EA9" w:rsidRPr="00563D71">
        <w:t>Results Area 2 to promote local participation in the tourism economy</w:t>
      </w:r>
      <w:r w:rsidR="00604C9B" w:rsidRPr="00563D71">
        <w:t>,</w:t>
      </w:r>
      <w:r w:rsidR="00594EA9" w:rsidRPr="00563D71">
        <w:t xml:space="preserve"> and Results Area 4 to build capacity for integrated and sustainable tourism development; the </w:t>
      </w:r>
      <w:r w:rsidR="009A4663" w:rsidRPr="00563D71">
        <w:t>IPF</w:t>
      </w:r>
      <w:r w:rsidR="00604C9B" w:rsidRPr="00563D71">
        <w:t xml:space="preserve"> component of the O</w:t>
      </w:r>
      <w:r w:rsidR="00F758E2" w:rsidRPr="00563D71">
        <w:t>peration</w:t>
      </w:r>
      <w:r w:rsidR="00594EA9" w:rsidRPr="00563D71">
        <w:t xml:space="preserve"> that will support specialized consulting services;</w:t>
      </w:r>
      <w:r w:rsidR="00AB6083" w:rsidRPr="00563D71">
        <w:rPr>
          <w:rStyle w:val="FootnoteReference"/>
        </w:rPr>
        <w:footnoteReference w:id="59"/>
      </w:r>
      <w:r w:rsidR="00594EA9" w:rsidRPr="00563D71">
        <w:t xml:space="preserve"> and the Program Action Plan.</w:t>
      </w:r>
      <w:r w:rsidR="00255A52" w:rsidRPr="00563D71">
        <w:t xml:space="preserve"> The measures to fill gaps in the national safeguards system and to mitigate risks identified in Table </w:t>
      </w:r>
      <w:r w:rsidR="000311AE" w:rsidRPr="00563D71">
        <w:t>9</w:t>
      </w:r>
      <w:r w:rsidR="00255A52" w:rsidRPr="00563D71">
        <w:t xml:space="preserve"> have been summarized in Table </w:t>
      </w:r>
      <w:r w:rsidR="000311AE" w:rsidRPr="00563D71">
        <w:t>11</w:t>
      </w:r>
      <w:r w:rsidR="00255A52" w:rsidRPr="00563D71">
        <w:t>, and the implementation vehicle for each is indicated.  Two of the measures warrant elaboration here.</w:t>
      </w:r>
    </w:p>
    <w:p w14:paraId="5CF837A7" w14:textId="77777777" w:rsidR="0072722D" w:rsidRPr="00563D71" w:rsidRDefault="0072722D" w:rsidP="0032029F">
      <w:pPr>
        <w:pStyle w:val="MainParanoChapter-Ch3"/>
        <w:numPr>
          <w:ilvl w:val="0"/>
          <w:numId w:val="0"/>
        </w:numPr>
      </w:pPr>
    </w:p>
    <w:p w14:paraId="2F15BB5E" w14:textId="42BB5175" w:rsidR="00255A52" w:rsidRPr="00563D71" w:rsidRDefault="00255A52" w:rsidP="0032029F">
      <w:pPr>
        <w:pStyle w:val="MainParanoChapter-Ch3"/>
      </w:pPr>
      <w:r w:rsidRPr="00563D71">
        <w:rPr>
          <w:i/>
        </w:rPr>
        <w:t xml:space="preserve">Integrated </w:t>
      </w:r>
      <w:r w:rsidR="00F758E2" w:rsidRPr="00563D71">
        <w:rPr>
          <w:i/>
        </w:rPr>
        <w:t xml:space="preserve">Tourism </w:t>
      </w:r>
      <w:r w:rsidR="008771E7" w:rsidRPr="00563D71">
        <w:rPr>
          <w:i/>
        </w:rPr>
        <w:t xml:space="preserve">Master Plans. </w:t>
      </w:r>
      <w:r w:rsidR="00AB6083" w:rsidRPr="00563D71">
        <w:t>Capabilities for i</w:t>
      </w:r>
      <w:r w:rsidR="003A1AD9" w:rsidRPr="00563D71">
        <w:t xml:space="preserve">ntegrated master planning </w:t>
      </w:r>
      <w:r w:rsidR="008A231F" w:rsidRPr="00563D71">
        <w:t xml:space="preserve">are </w:t>
      </w:r>
      <w:r w:rsidR="003A1AD9" w:rsidRPr="00563D71">
        <w:t>included in Results Area 4, but t</w:t>
      </w:r>
      <w:r w:rsidRPr="00563D71">
        <w:t xml:space="preserve">he </w:t>
      </w:r>
      <w:r w:rsidR="00AB6083" w:rsidRPr="00563D71">
        <w:t xml:space="preserve">IPF </w:t>
      </w:r>
      <w:r w:rsidRPr="00563D71">
        <w:t xml:space="preserve">component </w:t>
      </w:r>
      <w:r w:rsidR="00AB6083" w:rsidRPr="00563D71">
        <w:t xml:space="preserve">is financing </w:t>
      </w:r>
      <w:r w:rsidRPr="00563D71">
        <w:t xml:space="preserve">the engagement of </w:t>
      </w:r>
      <w:r w:rsidR="003A1AD9" w:rsidRPr="00563D71">
        <w:t xml:space="preserve">the necessary </w:t>
      </w:r>
      <w:r w:rsidRPr="00563D71">
        <w:t>consultants</w:t>
      </w:r>
      <w:r w:rsidR="00AB6083" w:rsidRPr="00563D71">
        <w:t>’ services</w:t>
      </w:r>
      <w:r w:rsidRPr="00563D71">
        <w:t xml:space="preserve">. </w:t>
      </w:r>
      <w:r w:rsidR="003A1AD9" w:rsidRPr="00563D71">
        <w:t>The terms of reference for the plans call for:</w:t>
      </w:r>
    </w:p>
    <w:p w14:paraId="0B77AF1E" w14:textId="7B2E2C66" w:rsidR="003A1AD9" w:rsidRPr="00473836" w:rsidRDefault="003A1AD9"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rPr>
        <w:lastRenderedPageBreak/>
        <w:t xml:space="preserve">Review of the legal and statutory framework within which the </w:t>
      </w:r>
      <w:r w:rsidR="00AB6083" w:rsidRPr="00473836">
        <w:rPr>
          <w:rFonts w:asciiTheme="majorBidi" w:hAnsiTheme="majorBidi" w:cstheme="majorBidi"/>
        </w:rPr>
        <w:t xml:space="preserve">Integrated </w:t>
      </w:r>
      <w:r w:rsidRPr="00473836">
        <w:rPr>
          <w:rFonts w:asciiTheme="majorBidi" w:hAnsiTheme="majorBidi" w:cstheme="majorBidi"/>
        </w:rPr>
        <w:t>Master Plan will be prepared for the specific destination</w:t>
      </w:r>
    </w:p>
    <w:p w14:paraId="0985BF15" w14:textId="1AC52976" w:rsidR="003A1AD9" w:rsidRPr="00473836" w:rsidRDefault="003A1AD9"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rPr>
        <w:t>Consultation with stakeholders</w:t>
      </w:r>
      <w:r w:rsidR="00455585" w:rsidRPr="00473836">
        <w:rPr>
          <w:rFonts w:asciiTheme="majorBidi" w:hAnsiTheme="majorBidi" w:cstheme="majorBidi"/>
        </w:rPr>
        <w:t xml:space="preserve">. In the case that IPs presence can be identified </w:t>
      </w:r>
      <w:r w:rsidR="00945EE7" w:rsidRPr="00473836">
        <w:rPr>
          <w:rFonts w:asciiTheme="majorBidi" w:hAnsiTheme="majorBidi" w:cstheme="majorBidi"/>
        </w:rPr>
        <w:t xml:space="preserve">and potentially affected by any </w:t>
      </w:r>
      <w:r w:rsidR="00455585" w:rsidRPr="00473836">
        <w:rPr>
          <w:rFonts w:asciiTheme="majorBidi" w:hAnsiTheme="majorBidi" w:cstheme="majorBidi"/>
        </w:rPr>
        <w:t xml:space="preserve">proposed </w:t>
      </w:r>
      <w:r w:rsidR="00945EE7" w:rsidRPr="00473836">
        <w:rPr>
          <w:rFonts w:asciiTheme="majorBidi" w:hAnsiTheme="majorBidi" w:cstheme="majorBidi"/>
        </w:rPr>
        <w:t xml:space="preserve">tourism development, carry out a free, prior, informed consultations </w:t>
      </w:r>
      <w:r w:rsidR="00925DAD" w:rsidRPr="00473836">
        <w:rPr>
          <w:rFonts w:asciiTheme="majorBidi" w:hAnsiTheme="majorBidi" w:cstheme="majorBidi"/>
        </w:rPr>
        <w:t>(FPIC)</w:t>
      </w:r>
      <w:r w:rsidR="00455585" w:rsidRPr="00473836">
        <w:rPr>
          <w:rFonts w:asciiTheme="majorBidi" w:hAnsiTheme="majorBidi" w:cstheme="majorBidi"/>
        </w:rPr>
        <w:t xml:space="preserve">. </w:t>
      </w:r>
    </w:p>
    <w:p w14:paraId="30E616A0" w14:textId="09903A00" w:rsidR="00C71978" w:rsidRPr="00473836" w:rsidRDefault="00C71978"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color w:val="000000"/>
        </w:rPr>
        <w:t>If</w:t>
      </w:r>
      <w:r w:rsidR="00D17800" w:rsidRPr="00473836">
        <w:rPr>
          <w:rFonts w:asciiTheme="majorBidi" w:hAnsiTheme="majorBidi" w:cstheme="majorBidi"/>
          <w:color w:val="000000"/>
        </w:rPr>
        <w:t xml:space="preserve"> </w:t>
      </w:r>
      <w:r w:rsidRPr="00473836">
        <w:rPr>
          <w:rFonts w:asciiTheme="majorBidi" w:hAnsiTheme="majorBidi" w:cstheme="majorBidi"/>
          <w:color w:val="000000"/>
        </w:rPr>
        <w:t>sufficient information on the presence of and potential impacts on IPs is available for a particular land/infrastructure/facilities development as recommended by the ITMP, and if it has been decided that the ITMP recommendation will be implemented, then</w:t>
      </w:r>
      <w:r w:rsidRPr="00473836">
        <w:rPr>
          <w:rFonts w:asciiTheme="majorBidi" w:hAnsiTheme="majorBidi" w:cstheme="majorBidi"/>
        </w:rPr>
        <w:t xml:space="preserve"> the Consultant will also prepare an Indigenous Peoples Plan (IPP) in accordance with the Indigenous Peoples Planning Framework (IPPF) as specified in the ESMF</w:t>
      </w:r>
    </w:p>
    <w:p w14:paraId="6B005068" w14:textId="36DF55A9" w:rsidR="003A1AD9" w:rsidRPr="00473836" w:rsidRDefault="003A1AD9"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rPr>
        <w:t>Assessment of growth in demand (population growth, tourism, commercial, industrial, agriculture/fishing)</w:t>
      </w:r>
    </w:p>
    <w:p w14:paraId="0619A670" w14:textId="09760E30" w:rsidR="003A1AD9" w:rsidRPr="00473836" w:rsidRDefault="003A1AD9"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rPr>
        <w:t>Assembly and mapping of base line information (land use, topography, hydrology, vegetation, infrastructure, protected areas, cultural sites</w:t>
      </w:r>
      <w:r w:rsidR="00945EE7" w:rsidRPr="00473836">
        <w:rPr>
          <w:rFonts w:asciiTheme="majorBidi" w:hAnsiTheme="majorBidi" w:cstheme="majorBidi"/>
        </w:rPr>
        <w:t xml:space="preserve">, population including ethnic minorities, </w:t>
      </w:r>
      <w:r w:rsidR="005E37B7" w:rsidRPr="00473836">
        <w:rPr>
          <w:rFonts w:asciiTheme="majorBidi" w:hAnsiTheme="majorBidi" w:cstheme="majorBidi"/>
        </w:rPr>
        <w:t xml:space="preserve">vulnerable group, </w:t>
      </w:r>
      <w:r w:rsidR="00945EE7" w:rsidRPr="00473836">
        <w:rPr>
          <w:rFonts w:asciiTheme="majorBidi" w:hAnsiTheme="majorBidi" w:cstheme="majorBidi"/>
        </w:rPr>
        <w:t>IPs</w:t>
      </w:r>
      <w:r w:rsidRPr="00473836">
        <w:rPr>
          <w:rFonts w:asciiTheme="majorBidi" w:hAnsiTheme="majorBidi" w:cstheme="majorBidi"/>
        </w:rPr>
        <w:t>)</w:t>
      </w:r>
    </w:p>
    <w:p w14:paraId="4752530C" w14:textId="18D443AD" w:rsidR="00945EE7" w:rsidRPr="00473836" w:rsidRDefault="00945EE7"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rPr>
        <w:t xml:space="preserve">Collect and mapping baseline information </w:t>
      </w:r>
      <w:r w:rsidR="00501679" w:rsidRPr="00473836">
        <w:rPr>
          <w:rFonts w:asciiTheme="majorBidi" w:hAnsiTheme="majorBidi" w:cstheme="majorBidi"/>
        </w:rPr>
        <w:t>including</w:t>
      </w:r>
      <w:r w:rsidRPr="00473836">
        <w:rPr>
          <w:rFonts w:asciiTheme="majorBidi" w:hAnsiTheme="majorBidi" w:cstheme="majorBidi"/>
        </w:rPr>
        <w:t xml:space="preserve"> land own</w:t>
      </w:r>
      <w:r w:rsidR="00B90245" w:rsidRPr="00473836">
        <w:rPr>
          <w:rFonts w:asciiTheme="majorBidi" w:hAnsiTheme="majorBidi" w:cstheme="majorBidi"/>
        </w:rPr>
        <w:t xml:space="preserve">ership status and </w:t>
      </w:r>
      <w:r w:rsidRPr="00473836">
        <w:rPr>
          <w:rFonts w:asciiTheme="majorBidi" w:hAnsiTheme="majorBidi" w:cstheme="majorBidi"/>
        </w:rPr>
        <w:t>typical land issues particularly in the clusters of tourist attractions</w:t>
      </w:r>
      <w:r w:rsidR="00455585" w:rsidRPr="00473836">
        <w:rPr>
          <w:rFonts w:asciiTheme="majorBidi" w:hAnsiTheme="majorBidi" w:cstheme="majorBidi"/>
        </w:rPr>
        <w:t>.</w:t>
      </w:r>
      <w:r w:rsidR="00A51482" w:rsidRPr="00473836">
        <w:rPr>
          <w:rFonts w:asciiTheme="majorBidi" w:hAnsiTheme="majorBidi" w:cstheme="majorBidi"/>
        </w:rPr>
        <w:t xml:space="preserve"> The ITMP consultant will consider potential land issues as one of the various factors in determining the physical/land development plans in the ITMP</w:t>
      </w:r>
      <w:r w:rsidR="00B06C26" w:rsidRPr="00473836">
        <w:rPr>
          <w:rStyle w:val="FootnoteReference"/>
          <w:rFonts w:asciiTheme="majorBidi" w:hAnsiTheme="majorBidi" w:cstheme="majorBidi"/>
        </w:rPr>
        <w:footnoteReference w:id="60"/>
      </w:r>
      <w:r w:rsidR="00A51482" w:rsidRPr="00473836">
        <w:rPr>
          <w:rFonts w:asciiTheme="majorBidi" w:hAnsiTheme="majorBidi" w:cstheme="majorBidi"/>
        </w:rPr>
        <w:t xml:space="preserve">. </w:t>
      </w:r>
    </w:p>
    <w:p w14:paraId="4AC05083" w14:textId="5168C141" w:rsidR="00C71978" w:rsidRPr="00473836" w:rsidRDefault="00C71978" w:rsidP="00854FB5">
      <w:pPr>
        <w:pStyle w:val="ListParagraph"/>
        <w:numPr>
          <w:ilvl w:val="0"/>
          <w:numId w:val="33"/>
        </w:numPr>
        <w:spacing w:line="259" w:lineRule="auto"/>
        <w:jc w:val="left"/>
        <w:rPr>
          <w:rFonts w:asciiTheme="majorBidi" w:hAnsiTheme="majorBidi" w:cstheme="majorBidi"/>
        </w:rPr>
      </w:pPr>
      <w:r w:rsidRPr="00473836">
        <w:rPr>
          <w:rFonts w:asciiTheme="majorBidi" w:hAnsiTheme="majorBidi" w:cstheme="majorBidi"/>
          <w:color w:val="000000"/>
        </w:rPr>
        <w:t>If sufficient information on the land acquisition and/or resettlement is available for a particular land/infrastructure/facilities development as recommended by the ITMP, and if it has been decided that the ITMP recommendation will be implemented, then</w:t>
      </w:r>
      <w:r w:rsidRPr="00473836">
        <w:rPr>
          <w:rFonts w:asciiTheme="majorBidi" w:hAnsiTheme="majorBidi" w:cstheme="majorBidi"/>
        </w:rPr>
        <w:t xml:space="preserve"> the Consultant will also prepare a Land Acquisition and Resettlement Action Plan (LARAP) in accordance with the Land Acquisition and Resettlement Policy Framework (LARPF) as specified in the ESMF</w:t>
      </w:r>
      <w:r w:rsidR="00EB1F21" w:rsidRPr="00473836">
        <w:rPr>
          <w:rStyle w:val="FootnoteReference"/>
          <w:rFonts w:asciiTheme="majorBidi" w:hAnsiTheme="majorBidi" w:cstheme="majorBidi"/>
        </w:rPr>
        <w:footnoteReference w:id="61"/>
      </w:r>
    </w:p>
    <w:p w14:paraId="2112C585" w14:textId="187139BA" w:rsidR="003A1AD9" w:rsidRPr="00563D71" w:rsidRDefault="003A1AD9" w:rsidP="00854FB5">
      <w:pPr>
        <w:pStyle w:val="ListParagraph"/>
        <w:numPr>
          <w:ilvl w:val="0"/>
          <w:numId w:val="33"/>
        </w:numPr>
        <w:spacing w:line="259" w:lineRule="auto"/>
        <w:jc w:val="left"/>
        <w:rPr>
          <w:rFonts w:ascii="Times New Roman" w:hAnsi="Times New Roman" w:cs="Times New Roman"/>
          <w:sz w:val="24"/>
          <w:szCs w:val="24"/>
        </w:rPr>
      </w:pPr>
      <w:r w:rsidRPr="00563D71">
        <w:rPr>
          <w:rFonts w:ascii="Times New Roman" w:hAnsi="Times New Roman" w:cs="Times New Roman"/>
          <w:sz w:val="24"/>
          <w:szCs w:val="24"/>
        </w:rPr>
        <w:lastRenderedPageBreak/>
        <w:t>Assessment of infrastructure planning required in support of future development (water supply, wastewater management, storm water management, solid waste management, transportation, energy, telecommunications and other utilities)</w:t>
      </w:r>
    </w:p>
    <w:p w14:paraId="683046F2" w14:textId="79141013" w:rsidR="003A1AD9" w:rsidRPr="00563D71" w:rsidRDefault="003A1AD9" w:rsidP="00854FB5">
      <w:pPr>
        <w:pStyle w:val="ListParagraph"/>
        <w:numPr>
          <w:ilvl w:val="0"/>
          <w:numId w:val="33"/>
        </w:numPr>
        <w:spacing w:line="259" w:lineRule="auto"/>
        <w:jc w:val="left"/>
        <w:rPr>
          <w:rFonts w:ascii="Times New Roman" w:hAnsi="Times New Roman" w:cs="Times New Roman"/>
          <w:sz w:val="24"/>
          <w:szCs w:val="24"/>
        </w:rPr>
      </w:pPr>
      <w:r w:rsidRPr="00563D71">
        <w:rPr>
          <w:rFonts w:ascii="Times New Roman" w:hAnsi="Times New Roman" w:cs="Times New Roman"/>
          <w:sz w:val="24"/>
          <w:szCs w:val="24"/>
        </w:rPr>
        <w:t>Development of detailed guidelines required to manage development (water use, landscaping, architecture, scenic vistas and view-points, recreational use of waterways, environmental and social opportunities and constraints, etc.</w:t>
      </w:r>
    </w:p>
    <w:p w14:paraId="1F1EA4A2" w14:textId="60FE9224" w:rsidR="003A1AD9" w:rsidRPr="00563D71" w:rsidRDefault="003A1AD9" w:rsidP="00854FB5">
      <w:pPr>
        <w:pStyle w:val="ListParagraph"/>
        <w:numPr>
          <w:ilvl w:val="0"/>
          <w:numId w:val="33"/>
        </w:numPr>
        <w:spacing w:line="259" w:lineRule="auto"/>
        <w:jc w:val="left"/>
        <w:rPr>
          <w:sz w:val="24"/>
          <w:szCs w:val="24"/>
        </w:rPr>
      </w:pPr>
      <w:r w:rsidRPr="00563D71">
        <w:rPr>
          <w:rFonts w:ascii="Times New Roman" w:hAnsi="Times New Roman" w:cs="Times New Roman"/>
          <w:sz w:val="24"/>
          <w:szCs w:val="24"/>
        </w:rPr>
        <w:t>Preparation of a phased spatial development plan, including land use recommendations to accommodate future growth</w:t>
      </w:r>
      <w:r w:rsidR="00A51482" w:rsidRPr="00563D71">
        <w:rPr>
          <w:rFonts w:ascii="Times New Roman" w:hAnsi="Times New Roman" w:cs="Times New Roman"/>
          <w:sz w:val="24"/>
          <w:szCs w:val="24"/>
        </w:rPr>
        <w:t xml:space="preserve"> with consideration of among others, potential persistent or future land issues</w:t>
      </w:r>
    </w:p>
    <w:p w14:paraId="759E91D9" w14:textId="77777777" w:rsidR="003A1AD9" w:rsidRPr="00563D71" w:rsidRDefault="003A1AD9" w:rsidP="00854FB5">
      <w:pPr>
        <w:pStyle w:val="ListParagraph"/>
        <w:numPr>
          <w:ilvl w:val="0"/>
          <w:numId w:val="33"/>
        </w:numPr>
        <w:spacing w:line="259" w:lineRule="auto"/>
        <w:jc w:val="left"/>
        <w:rPr>
          <w:sz w:val="24"/>
          <w:szCs w:val="24"/>
        </w:rPr>
      </w:pPr>
      <w:r w:rsidRPr="00563D71">
        <w:rPr>
          <w:rFonts w:ascii="Times New Roman" w:hAnsi="Times New Roman" w:cs="Times New Roman"/>
          <w:sz w:val="24"/>
          <w:szCs w:val="24"/>
        </w:rPr>
        <w:t>Preparation of a phased investment plan in infrastructure and services to guide and support tourism development.</w:t>
      </w:r>
    </w:p>
    <w:p w14:paraId="0D067148" w14:textId="3318F617" w:rsidR="00C71978" w:rsidRPr="00563D71" w:rsidRDefault="00FB2811" w:rsidP="0032029F">
      <w:pPr>
        <w:pStyle w:val="MainParanoChapter-Ch3"/>
      </w:pPr>
      <w:r w:rsidRPr="00563D71">
        <w:t>T</w:t>
      </w:r>
      <w:r w:rsidR="003A1AD9" w:rsidRPr="00563D71">
        <w:t xml:space="preserve">he integrated </w:t>
      </w:r>
      <w:r w:rsidR="00F758E2" w:rsidRPr="00563D71">
        <w:t xml:space="preserve">tourism </w:t>
      </w:r>
      <w:r w:rsidR="003A1AD9" w:rsidRPr="00563D71">
        <w:t xml:space="preserve">master planning process will address the </w:t>
      </w:r>
      <w:r w:rsidRPr="00563D71">
        <w:t xml:space="preserve">environmental and social </w:t>
      </w:r>
      <w:r w:rsidR="003A1AD9" w:rsidRPr="00563D71">
        <w:t xml:space="preserve">risks of non-integrated development and related degradation of natural and cultural resources, lack of attention to cumulative impacts, and adverse impacts of third-party activities. The planning process will provide a mechanism for consultation with all stakeholders including </w:t>
      </w:r>
      <w:r w:rsidR="00C71978" w:rsidRPr="00563D71">
        <w:t xml:space="preserve">IPs, </w:t>
      </w:r>
      <w:r w:rsidR="003A1AD9" w:rsidRPr="00563D71">
        <w:t>traditional communities, women, and other vulnerable groups</w:t>
      </w:r>
      <w:r w:rsidRPr="00563D71">
        <w:t xml:space="preserve"> to reduce the risks that they will be adversely affected or wil</w:t>
      </w:r>
      <w:r w:rsidR="00104075" w:rsidRPr="00563D71">
        <w:t xml:space="preserve">l not share in Program benefits. </w:t>
      </w:r>
      <w:r w:rsidR="00C71978" w:rsidRPr="00563D71">
        <w:t xml:space="preserve">RA 1 could also address some of the potential social risks and impacts of the </w:t>
      </w:r>
      <w:r w:rsidR="005E37B7" w:rsidRPr="00563D71">
        <w:t>Program. Decision</w:t>
      </w:r>
      <w:r w:rsidR="00056D77" w:rsidRPr="00563D71">
        <w:t>s</w:t>
      </w:r>
      <w:r w:rsidR="005E37B7" w:rsidRPr="00563D71">
        <w:t xml:space="preserve"> on the priorities and locations of physical investments to be implemented under RA 1 will be taken from the recommendations of the ITMPs. As the ITMPs already took consideration of IPs, vulnerable groups, local communities and suitable (legally and physically) land for physical/land development, </w:t>
      </w:r>
      <w:r w:rsidR="00056D77" w:rsidRPr="00563D71">
        <w:t xml:space="preserve">the </w:t>
      </w:r>
      <w:r w:rsidR="005E37B7" w:rsidRPr="00563D71">
        <w:t xml:space="preserve">physical investment to be built under RA 1 should provide </w:t>
      </w:r>
      <w:r w:rsidR="00056D77" w:rsidRPr="00563D71">
        <w:t xml:space="preserve">equitable </w:t>
      </w:r>
      <w:r w:rsidR="005E37B7" w:rsidRPr="00563D71">
        <w:t>access and services to these group</w:t>
      </w:r>
      <w:r w:rsidR="00056D77" w:rsidRPr="00563D71">
        <w:t>s</w:t>
      </w:r>
      <w:r w:rsidR="00D17800" w:rsidRPr="00563D71">
        <w:t>.</w:t>
      </w:r>
    </w:p>
    <w:p w14:paraId="7E229DA7" w14:textId="77777777" w:rsidR="0072722D" w:rsidRPr="00563D71" w:rsidRDefault="0072722D" w:rsidP="0032029F">
      <w:pPr>
        <w:pStyle w:val="MainParanoChapter-Ch3"/>
        <w:numPr>
          <w:ilvl w:val="0"/>
          <w:numId w:val="0"/>
        </w:numPr>
      </w:pPr>
    </w:p>
    <w:p w14:paraId="735D54EC" w14:textId="2E7DB96C" w:rsidR="00104075" w:rsidRPr="00563D71" w:rsidRDefault="00BE55DA" w:rsidP="0032029F">
      <w:pPr>
        <w:pStyle w:val="MainParanoChapter-Ch3"/>
      </w:pPr>
      <w:r w:rsidRPr="00563D71">
        <w:t xml:space="preserve">As explained in Table </w:t>
      </w:r>
      <w:r w:rsidR="000311AE" w:rsidRPr="00563D71">
        <w:t>9</w:t>
      </w:r>
      <w:r w:rsidRPr="00563D71">
        <w:t>, there is a need to ensure that FPIC is implemented properly during the preparation of ITMPs</w:t>
      </w:r>
      <w:r w:rsidR="00104075" w:rsidRPr="00563D71">
        <w:t>. The Consultant for the ITMPs will work with IP organizations (such as AMAN</w:t>
      </w:r>
      <w:r w:rsidR="00104075" w:rsidRPr="00563D71">
        <w:rPr>
          <w:rStyle w:val="FootnoteReference"/>
        </w:rPr>
        <w:footnoteReference w:id="62"/>
      </w:r>
      <w:r w:rsidR="00104075" w:rsidRPr="00563D71">
        <w:t xml:space="preserve"> network and local universities) to ensure IP participation in the public consultations. As </w:t>
      </w:r>
      <w:r w:rsidR="00104075" w:rsidRPr="00563D71">
        <w:lastRenderedPageBreak/>
        <w:t xml:space="preserve">part of the local community satisfaction surveys (under RA4, where increased satisfaction is aimed for over the Program period) </w:t>
      </w:r>
      <w:r w:rsidR="00A16677" w:rsidRPr="00563D71">
        <w:t xml:space="preserve">on </w:t>
      </w:r>
      <w:r w:rsidR="00A16677" w:rsidRPr="00563D71">
        <w:rPr>
          <w:rFonts w:eastAsiaTheme="minorHAnsi"/>
        </w:rPr>
        <w:t>perceived benefits received from tourism (individual or community benefits, economic or social benefits, conservation of traditions, etc.), changes in socio-economic conditions (e.g. prices, access to resources, traditional values), changes in environmental conditions (improvement or degradation), interaction with tourists</w:t>
      </w:r>
      <w:r w:rsidR="00104075" w:rsidRPr="00563D71">
        <w:t xml:space="preserve">, sufficient IPs will be included to monitor their satisfaction as well. IPs are also part of the “sadar wisata” tourism awareness raising programs.  </w:t>
      </w:r>
    </w:p>
    <w:p w14:paraId="0E335BF0" w14:textId="77777777" w:rsidR="009A5483" w:rsidRPr="00563D71" w:rsidRDefault="009A5483" w:rsidP="0032029F">
      <w:pPr>
        <w:pStyle w:val="MainParanoChapter-Ch3"/>
        <w:numPr>
          <w:ilvl w:val="0"/>
          <w:numId w:val="0"/>
        </w:numPr>
      </w:pPr>
    </w:p>
    <w:p w14:paraId="70BCE4F2" w14:textId="3D79CCAD" w:rsidR="00B96BE9" w:rsidRPr="00563D71" w:rsidRDefault="00B96BE9" w:rsidP="0032029F">
      <w:pPr>
        <w:pStyle w:val="MainParanoChapter-Ch3"/>
      </w:pPr>
      <w:r w:rsidRPr="00563D71">
        <w:t xml:space="preserve">Ensuring the implementation of </w:t>
      </w:r>
      <w:r w:rsidR="00773EF4" w:rsidRPr="00563D71">
        <w:t xml:space="preserve">Abbreviated </w:t>
      </w:r>
      <w:r w:rsidRPr="00563D71">
        <w:t xml:space="preserve">Land Acquisition and Resettlement Action Plan (LARAP) and Indigenous Peoples Plan (IPP). As commonly practice, preparation and implementation of LARAP and IPP are the responsibility of the owners of the physical investment. This means that budget to carry out these activities will have to be made available by the owners of the physical investment, which could be </w:t>
      </w:r>
      <w:r w:rsidRPr="00563D71">
        <w:rPr>
          <w:i/>
        </w:rPr>
        <w:t>kabupaten</w:t>
      </w:r>
      <w:r w:rsidRPr="00563D71">
        <w:t xml:space="preserve">/city government, provincial government, and/or central government depending on the nature of the physical investment. Once the ITMPs </w:t>
      </w:r>
      <w:r w:rsidR="00E64DB4" w:rsidRPr="00563D71">
        <w:t xml:space="preserve">(including the Detail Development Plans—DDPs) </w:t>
      </w:r>
      <w:r w:rsidRPr="00563D71">
        <w:t xml:space="preserve">are completed, these three levels of governments </w:t>
      </w:r>
      <w:r w:rsidR="000F6145" w:rsidRPr="00563D71">
        <w:t>should be</w:t>
      </w:r>
      <w:r w:rsidRPr="00563D71">
        <w:t xml:space="preserve"> able to identify which physical investment (and the location) would need land and/or involve IP communities. ITMPs would also identify the extent to which priority physical investments need land</w:t>
      </w:r>
      <w:r w:rsidR="000F6145" w:rsidRPr="00563D71">
        <w:t>. When the</w:t>
      </w:r>
      <w:r w:rsidRPr="00563D71">
        <w:t xml:space="preserve"> Program has decided </w:t>
      </w:r>
      <w:r w:rsidR="000F6145" w:rsidRPr="00563D71">
        <w:t xml:space="preserve">on </w:t>
      </w:r>
      <w:r w:rsidRPr="00563D71">
        <w:t xml:space="preserve">which physical investment will be implemented in </w:t>
      </w:r>
      <w:r w:rsidR="000F6145" w:rsidRPr="00563D71">
        <w:t>a given</w:t>
      </w:r>
      <w:r w:rsidRPr="00563D71">
        <w:t xml:space="preserve"> year, the </w:t>
      </w:r>
      <w:r w:rsidR="00291929" w:rsidRPr="00563D71">
        <w:t>consultant of IT</w:t>
      </w:r>
      <w:r w:rsidR="0058095E" w:rsidRPr="00563D71">
        <w:t>MPs will inform</w:t>
      </w:r>
      <w:r w:rsidR="00291929" w:rsidRPr="00563D71">
        <w:t xml:space="preserve"> the </w:t>
      </w:r>
      <w:r w:rsidRPr="00563D71">
        <w:t xml:space="preserve">concerned </w:t>
      </w:r>
      <w:r w:rsidR="00291929" w:rsidRPr="00563D71">
        <w:t xml:space="preserve">agencies at the </w:t>
      </w:r>
      <w:r w:rsidRPr="00563D71">
        <w:rPr>
          <w:i/>
        </w:rPr>
        <w:t>kabupaten</w:t>
      </w:r>
      <w:r w:rsidRPr="00563D71">
        <w:t xml:space="preserve">/city/provincial/central government </w:t>
      </w:r>
      <w:r w:rsidR="00291929" w:rsidRPr="00563D71">
        <w:t xml:space="preserve">to </w:t>
      </w:r>
      <w:r w:rsidRPr="00563D71">
        <w:t xml:space="preserve">prepare </w:t>
      </w:r>
      <w:r w:rsidR="000F6145" w:rsidRPr="00563D71">
        <w:t xml:space="preserve">a </w:t>
      </w:r>
      <w:r w:rsidRPr="00563D71">
        <w:t xml:space="preserve">budget allocation in their APBD I/II/APBN to prepare </w:t>
      </w:r>
      <w:r w:rsidR="0058095E" w:rsidRPr="00563D71">
        <w:t xml:space="preserve">(abbreviated) </w:t>
      </w:r>
      <w:r w:rsidRPr="00563D71">
        <w:t>LARAP/IPP and to implement them in the following fiscal year or sooner. Preparation for land acquisition in accordance with Law</w:t>
      </w:r>
      <w:r w:rsidR="00E11619" w:rsidRPr="00563D71">
        <w:t xml:space="preserve"> No.</w:t>
      </w:r>
      <w:r w:rsidRPr="00563D71">
        <w:t xml:space="preserve"> 2</w:t>
      </w:r>
      <w:r w:rsidR="00E11619" w:rsidRPr="00563D71">
        <w:t xml:space="preserve"> Year </w:t>
      </w:r>
      <w:r w:rsidRPr="00563D71">
        <w:t>2012</w:t>
      </w:r>
      <w:r w:rsidR="00291929" w:rsidRPr="00563D71">
        <w:rPr>
          <w:rStyle w:val="FootnoteReference"/>
        </w:rPr>
        <w:footnoteReference w:id="63"/>
      </w:r>
      <w:r w:rsidRPr="00563D71">
        <w:t xml:space="preserve"> and its implementing regulation should start immediately. Simultaneously, preparation of IPP and its implementation by concerned local government (kabupaten and/or provincial) should start after the completion of the ITMP.</w:t>
      </w:r>
      <w:r w:rsidR="00925DAD" w:rsidRPr="00563D71">
        <w:t xml:space="preserve"> </w:t>
      </w:r>
      <w:r w:rsidR="00A16677" w:rsidRPr="00563D71">
        <w:t xml:space="preserve">The </w:t>
      </w:r>
      <w:r w:rsidR="00925DAD" w:rsidRPr="00563D71">
        <w:t xml:space="preserve">Program Management </w:t>
      </w:r>
      <w:r w:rsidR="00A16677" w:rsidRPr="00563D71">
        <w:t xml:space="preserve">Support </w:t>
      </w:r>
      <w:r w:rsidR="00925DAD" w:rsidRPr="00563D71">
        <w:t xml:space="preserve">(particularly the social development </w:t>
      </w:r>
      <w:r w:rsidR="0027489B" w:rsidRPr="00563D71">
        <w:t>specialist</w:t>
      </w:r>
      <w:r w:rsidR="00A16677" w:rsidRPr="00563D71">
        <w:t>, provided through IPF financed Consultants’ Services and/or additional qualified staff at the MPWH</w:t>
      </w:r>
      <w:r w:rsidR="00925DAD" w:rsidRPr="00563D71">
        <w:t xml:space="preserve">) will monitor the budgeting process for the preparation and implementation of </w:t>
      </w:r>
      <w:r w:rsidR="0058095E" w:rsidRPr="00563D71">
        <w:t xml:space="preserve">the abbreviated </w:t>
      </w:r>
      <w:r w:rsidR="00925DAD" w:rsidRPr="00563D71">
        <w:t>LARAP and IPP at the local government level ensuring that budget allocation will be available timely and sufficiently.</w:t>
      </w:r>
      <w:r w:rsidR="0058095E" w:rsidRPr="00563D71">
        <w:t xml:space="preserve"> As specified in Table 9, Policy Element 4 and 5, respectively, the abbreviated LARAP should include assistance and livelihood restoration plan</w:t>
      </w:r>
      <w:r w:rsidR="00E72CD0" w:rsidRPr="00563D71">
        <w:t>s,</w:t>
      </w:r>
      <w:r w:rsidR="0058095E" w:rsidRPr="00563D71">
        <w:t xml:space="preserve"> especially for squatters and the vulnerable, and the IPP (including Social Assessment) should be developed with a free, prior, informed consultations that lead to community broad support ensuring the cultural appropriateness of, and equitable access to, Program benefits.</w:t>
      </w:r>
    </w:p>
    <w:p w14:paraId="0881B2C9" w14:textId="77777777" w:rsidR="006B078E" w:rsidRPr="00563D71" w:rsidRDefault="006B078E" w:rsidP="0032029F">
      <w:pPr>
        <w:pStyle w:val="MainParanoChapter-Ch3"/>
        <w:numPr>
          <w:ilvl w:val="0"/>
          <w:numId w:val="0"/>
        </w:numPr>
      </w:pPr>
    </w:p>
    <w:p w14:paraId="01911F8C" w14:textId="151107D2" w:rsidR="003A1AD9" w:rsidRPr="00563D71" w:rsidRDefault="003A1AD9" w:rsidP="0032029F">
      <w:pPr>
        <w:pStyle w:val="MainParanoChapter-Ch3"/>
      </w:pPr>
      <w:r w:rsidRPr="00563D71">
        <w:rPr>
          <w:i/>
        </w:rPr>
        <w:t>Arrangements for monitoring and protection of natural and cultural resources important for tourism</w:t>
      </w:r>
      <w:r w:rsidRPr="00563D71">
        <w:t xml:space="preserve">. </w:t>
      </w:r>
      <w:r w:rsidR="00F01711" w:rsidRPr="00563D71">
        <w:t>Establish</w:t>
      </w:r>
      <w:r w:rsidR="00A16677" w:rsidRPr="00563D71">
        <w:t>ment</w:t>
      </w:r>
      <w:r w:rsidR="00F01711" w:rsidRPr="00563D71">
        <w:t xml:space="preserve"> of these arrangements is part of the Program Action Plan and implementation throughout the Program period is incentivized in Results Area 4 of the Program, </w:t>
      </w:r>
      <w:r w:rsidR="00F01711" w:rsidRPr="00563D71">
        <w:lastRenderedPageBreak/>
        <w:t>where its regular reporting is a DLI</w:t>
      </w:r>
      <w:r w:rsidRPr="00563D71">
        <w:t>.</w:t>
      </w:r>
      <w:r w:rsidR="00C34B4F" w:rsidRPr="00563D71">
        <w:t xml:space="preserve"> “One size fits all” is probably not applicable; arrangements are likely to be different from one location to another. Options range from setting up a single, special purpose agency on the one hand, to formalizing a </w:t>
      </w:r>
      <w:r w:rsidR="00D35CE8" w:rsidRPr="00563D71">
        <w:t>cooperative agreement among</w:t>
      </w:r>
      <w:r w:rsidR="00C34B4F" w:rsidRPr="00563D71">
        <w:t xml:space="preserve"> existing organizations on the other.</w:t>
      </w:r>
      <w:r w:rsidR="00D35CE8" w:rsidRPr="00563D71">
        <w:t xml:space="preserve">  Possible participating agencies include:</w:t>
      </w:r>
    </w:p>
    <w:p w14:paraId="38943DDE" w14:textId="4965D257" w:rsidR="00D35CE8" w:rsidRPr="00563D71" w:rsidRDefault="00D35CE8"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Sustainable Tourism Observatories (STO) established under a UN WTO program to monitor indicators for sustainable tourism. The STO could function as a single monitoring entity, if the Program provided additional budget, but it more likely would be part of a cooperating group.</w:t>
      </w:r>
    </w:p>
    <w:p w14:paraId="06A1FC25" w14:textId="0D08C9FE" w:rsidR="00D35CE8" w:rsidRPr="00563D71" w:rsidRDefault="00D35CE8"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Local universities.  The Lombok STO is housed in University of Mataram.  Faculties of economics, sociology, and archaeology may be good choices for monitoring socio-economic indicators and effects on cultural property</w:t>
      </w:r>
    </w:p>
    <w:p w14:paraId="64362A7C" w14:textId="62431F48" w:rsidR="00D35CE8" w:rsidRPr="00563D71" w:rsidRDefault="00D35CE8"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Environment Department (BLH) in district of provincial government. BLHs already have responsibility to monitor environmental quality and enforce implementation of environmental management plans but are typically understaffed and under-resourced to fully carry out these functions.</w:t>
      </w:r>
    </w:p>
    <w:p w14:paraId="465B0E30" w14:textId="44C05909" w:rsidR="00D35CE8" w:rsidRPr="00563D71" w:rsidRDefault="00D35CE8"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Management Authority for the destination. Where such an authority has been established, as is the case for the Lake Toba destination, it would have to be involved in monitoring and protection.  It would at the very least receive the monitoring reports and participate in any corrective measures the reports may call for.</w:t>
      </w:r>
      <w:r w:rsidR="00B74B06" w:rsidRPr="00563D71">
        <w:rPr>
          <w:rFonts w:ascii="Times New Roman" w:hAnsi="Times New Roman" w:cs="Times New Roman"/>
          <w:sz w:val="24"/>
          <w:szCs w:val="24"/>
        </w:rPr>
        <w:t xml:space="preserve"> </w:t>
      </w:r>
    </w:p>
    <w:p w14:paraId="24B91EA3" w14:textId="432A2D97" w:rsidR="00D35CE8" w:rsidRPr="00563D71" w:rsidRDefault="0005768B"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Pro</w:t>
      </w:r>
      <w:r w:rsidR="00A52F20" w:rsidRPr="00563D71">
        <w:rPr>
          <w:rFonts w:ascii="Times New Roman" w:hAnsi="Times New Roman" w:cs="Times New Roman"/>
          <w:sz w:val="24"/>
          <w:szCs w:val="24"/>
        </w:rPr>
        <w:t>vincial and District Social Offices</w:t>
      </w:r>
      <w:r w:rsidR="00AA0748" w:rsidRPr="00563D71">
        <w:rPr>
          <w:rFonts w:ascii="Times New Roman" w:hAnsi="Times New Roman" w:cs="Times New Roman"/>
          <w:sz w:val="24"/>
          <w:szCs w:val="24"/>
        </w:rPr>
        <w:t xml:space="preserve"> to monitor the impacts caused by natural re</w:t>
      </w:r>
      <w:r w:rsidR="00EB7BA6" w:rsidRPr="00563D71">
        <w:rPr>
          <w:rFonts w:ascii="Times New Roman" w:hAnsi="Times New Roman" w:cs="Times New Roman"/>
          <w:sz w:val="24"/>
          <w:szCs w:val="24"/>
        </w:rPr>
        <w:t>s</w:t>
      </w:r>
      <w:r w:rsidR="00AA0748" w:rsidRPr="00563D71">
        <w:rPr>
          <w:rFonts w:ascii="Times New Roman" w:hAnsi="Times New Roman" w:cs="Times New Roman"/>
          <w:sz w:val="24"/>
          <w:szCs w:val="24"/>
        </w:rPr>
        <w:t>ources degradation and negative excess of tourism that put more threat to all vulnerable groups in society such as children, the poor, and dis</w:t>
      </w:r>
      <w:r w:rsidR="00EB7BA6" w:rsidRPr="00563D71">
        <w:rPr>
          <w:rFonts w:ascii="Times New Roman" w:hAnsi="Times New Roman" w:cs="Times New Roman"/>
          <w:sz w:val="24"/>
          <w:szCs w:val="24"/>
        </w:rPr>
        <w:t>a</w:t>
      </w:r>
      <w:r w:rsidR="00AA0748" w:rsidRPr="00563D71">
        <w:rPr>
          <w:rFonts w:ascii="Times New Roman" w:hAnsi="Times New Roman" w:cs="Times New Roman"/>
          <w:sz w:val="24"/>
          <w:szCs w:val="24"/>
        </w:rPr>
        <w:t>ble</w:t>
      </w:r>
      <w:r w:rsidR="00EB7BA6" w:rsidRPr="00563D71">
        <w:rPr>
          <w:rFonts w:ascii="Times New Roman" w:hAnsi="Times New Roman" w:cs="Times New Roman"/>
          <w:sz w:val="24"/>
          <w:szCs w:val="24"/>
        </w:rPr>
        <w:t>d</w:t>
      </w:r>
      <w:r w:rsidR="00AA0748" w:rsidRPr="00563D71">
        <w:rPr>
          <w:rFonts w:ascii="Times New Roman" w:hAnsi="Times New Roman" w:cs="Times New Roman"/>
          <w:sz w:val="24"/>
          <w:szCs w:val="24"/>
        </w:rPr>
        <w:t xml:space="preserve"> as they are </w:t>
      </w:r>
      <w:r w:rsidR="00AB6083" w:rsidRPr="00563D71">
        <w:rPr>
          <w:rFonts w:ascii="Times New Roman" w:hAnsi="Times New Roman" w:cs="Times New Roman"/>
          <w:sz w:val="24"/>
          <w:szCs w:val="24"/>
        </w:rPr>
        <w:t>entitled to</w:t>
      </w:r>
      <w:r w:rsidR="00AA0748" w:rsidRPr="00563D71">
        <w:rPr>
          <w:rFonts w:ascii="Times New Roman" w:hAnsi="Times New Roman" w:cs="Times New Roman"/>
          <w:sz w:val="24"/>
          <w:szCs w:val="24"/>
        </w:rPr>
        <w:t xml:space="preserve"> great</w:t>
      </w:r>
      <w:r w:rsidRPr="00563D71">
        <w:rPr>
          <w:rFonts w:ascii="Times New Roman" w:hAnsi="Times New Roman" w:cs="Times New Roman"/>
          <w:sz w:val="24"/>
          <w:szCs w:val="24"/>
        </w:rPr>
        <w:t>er protection of human rights.</w:t>
      </w:r>
      <w:r w:rsidR="00AA0748" w:rsidRPr="00563D71">
        <w:rPr>
          <w:rFonts w:ascii="Times New Roman" w:hAnsi="Times New Roman" w:cs="Times New Roman"/>
          <w:sz w:val="24"/>
          <w:szCs w:val="24"/>
        </w:rPr>
        <w:t xml:space="preserve"> </w:t>
      </w:r>
    </w:p>
    <w:p w14:paraId="3AD5D2E9" w14:textId="55A2BFA6" w:rsidR="00EB7BA6" w:rsidRPr="00563D71" w:rsidRDefault="00EB7BA6" w:rsidP="00854FB5">
      <w:pPr>
        <w:pStyle w:val="ListParagraph"/>
        <w:numPr>
          <w:ilvl w:val="0"/>
          <w:numId w:val="34"/>
        </w:numPr>
        <w:ind w:right="15"/>
        <w:rPr>
          <w:rFonts w:ascii="Times New Roman" w:hAnsi="Times New Roman" w:cs="Times New Roman"/>
          <w:sz w:val="24"/>
          <w:szCs w:val="24"/>
        </w:rPr>
      </w:pPr>
      <w:r w:rsidRPr="00563D71">
        <w:rPr>
          <w:rFonts w:ascii="Times New Roman" w:hAnsi="Times New Roman" w:cs="Times New Roman"/>
          <w:sz w:val="24"/>
          <w:szCs w:val="24"/>
        </w:rPr>
        <w:t>Special agencies for the destination, such as those operating at Borobudur</w:t>
      </w:r>
      <w:r w:rsidR="00EC3328" w:rsidRPr="00563D71">
        <w:rPr>
          <w:rFonts w:ascii="Times New Roman" w:hAnsi="Times New Roman" w:cs="Times New Roman"/>
          <w:sz w:val="24"/>
          <w:szCs w:val="24"/>
        </w:rPr>
        <w:t>.</w:t>
      </w:r>
    </w:p>
    <w:p w14:paraId="7004C632" w14:textId="5AF11D4C" w:rsidR="00245F03" w:rsidRPr="00563D71" w:rsidRDefault="00B34CFA" w:rsidP="00E92BBA">
      <w:pPr>
        <w:pStyle w:val="Heading2"/>
      </w:pPr>
      <w:bookmarkStart w:id="98" w:name="_Toc468969247"/>
      <w:bookmarkStart w:id="99" w:name="_Toc481484061"/>
      <w:bookmarkStart w:id="100" w:name="_Toc485831041"/>
      <w:r w:rsidRPr="00563D71">
        <w:t>7.3</w:t>
      </w:r>
      <w:r w:rsidR="00D04B10" w:rsidRPr="00563D71">
        <w:t xml:space="preserve"> </w:t>
      </w:r>
      <w:r w:rsidR="00203417" w:rsidRPr="00563D71">
        <w:tab/>
      </w:r>
      <w:r w:rsidR="00D04B10" w:rsidRPr="00563D71">
        <w:t xml:space="preserve"> Evaluation of the Environmental and Social Risks</w:t>
      </w:r>
      <w:bookmarkEnd w:id="98"/>
      <w:bookmarkEnd w:id="99"/>
      <w:bookmarkEnd w:id="100"/>
      <w:r w:rsidR="00D04B10" w:rsidRPr="00563D71">
        <w:t xml:space="preserve">  </w:t>
      </w:r>
    </w:p>
    <w:p w14:paraId="5028883A" w14:textId="23F56C5F" w:rsidR="000B3B79" w:rsidRPr="00563D71" w:rsidRDefault="008B73A9" w:rsidP="0032029F">
      <w:pPr>
        <w:pStyle w:val="MainParanoChapter-Ch3"/>
      </w:pPr>
      <w:r w:rsidRPr="00563D71">
        <w:t>Table 1</w:t>
      </w:r>
      <w:r w:rsidR="00CE0605" w:rsidRPr="00563D71">
        <w:t>2</w:t>
      </w:r>
      <w:r w:rsidRPr="00563D71">
        <w:t xml:space="preserve"> </w:t>
      </w:r>
      <w:r w:rsidR="00544486" w:rsidRPr="00563D71">
        <w:t>presents</w:t>
      </w:r>
      <w:r w:rsidRPr="00563D71">
        <w:t xml:space="preserve"> </w:t>
      </w:r>
      <w:r w:rsidR="000B3B79" w:rsidRPr="00563D71">
        <w:t xml:space="preserve"> the </w:t>
      </w:r>
      <w:r w:rsidRPr="00563D71">
        <w:t xml:space="preserve">environmental and social </w:t>
      </w:r>
      <w:r w:rsidR="000B3B79" w:rsidRPr="00563D71">
        <w:t xml:space="preserve">risk </w:t>
      </w:r>
      <w:r w:rsidR="00544486" w:rsidRPr="00563D71">
        <w:t>screening</w:t>
      </w:r>
      <w:r w:rsidR="000B3B79" w:rsidRPr="00563D71">
        <w:t xml:space="preserve"> </w:t>
      </w:r>
      <w:r w:rsidRPr="00563D71">
        <w:t>in the format of</w:t>
      </w:r>
      <w:r w:rsidR="000B3B79" w:rsidRPr="00563D71">
        <w:t xml:space="preserve"> the Environmental and Social Risk Screening </w:t>
      </w:r>
      <w:r w:rsidRPr="00563D71">
        <w:t>Worksheet</w:t>
      </w:r>
      <w:r w:rsidR="000B3B79" w:rsidRPr="00563D71">
        <w:t xml:space="preserve"> included </w:t>
      </w:r>
      <w:r w:rsidRPr="00563D71">
        <w:t>as</w:t>
      </w:r>
      <w:r w:rsidR="000B3B79" w:rsidRPr="00563D71">
        <w:t xml:space="preserve"> Attachment 4.</w:t>
      </w:r>
      <w:r w:rsidR="003609E9" w:rsidRPr="00563D71">
        <w:t xml:space="preserve">3 in the Interim Guidelines Notes to Staff on Assessment. </w:t>
      </w:r>
    </w:p>
    <w:p w14:paraId="10318129" w14:textId="77777777" w:rsidR="006B078E" w:rsidRPr="00563D71" w:rsidRDefault="006B078E" w:rsidP="0032029F">
      <w:pPr>
        <w:pStyle w:val="MainParanoChapter-Ch3"/>
        <w:numPr>
          <w:ilvl w:val="0"/>
          <w:numId w:val="0"/>
        </w:numPr>
      </w:pPr>
    </w:p>
    <w:p w14:paraId="0F2A4F0D" w14:textId="13C0209A" w:rsidR="003609E9" w:rsidRPr="00563D71" w:rsidRDefault="003609E9" w:rsidP="0032029F">
      <w:pPr>
        <w:pStyle w:val="NoSpacing"/>
        <w:jc w:val="center"/>
      </w:pPr>
      <w:bookmarkStart w:id="101" w:name="_Toc485824773"/>
      <w:r w:rsidRPr="00563D71">
        <w:t>Table</w:t>
      </w:r>
      <w:r w:rsidR="00544486" w:rsidRPr="00563D71">
        <w:t xml:space="preserve"> 12.  Environmental and Social Risk Screening</w:t>
      </w:r>
      <w:bookmarkEnd w:id="101"/>
    </w:p>
    <w:tbl>
      <w:tblPr>
        <w:tblStyle w:val="TableGrid0"/>
        <w:tblW w:w="0" w:type="auto"/>
        <w:tblLook w:val="04A0" w:firstRow="1" w:lastRow="0" w:firstColumn="1" w:lastColumn="0" w:noHBand="0" w:noVBand="1"/>
      </w:tblPr>
      <w:tblGrid>
        <w:gridCol w:w="1696"/>
        <w:gridCol w:w="3402"/>
        <w:gridCol w:w="4252"/>
      </w:tblGrid>
      <w:tr w:rsidR="003609E9" w:rsidRPr="00563D71" w14:paraId="207F567B" w14:textId="77777777" w:rsidTr="0032029F">
        <w:tc>
          <w:tcPr>
            <w:tcW w:w="1696" w:type="dxa"/>
          </w:tcPr>
          <w:p w14:paraId="421DD075" w14:textId="6C45A265" w:rsidR="003609E9" w:rsidRPr="00563D71" w:rsidRDefault="003609E9" w:rsidP="0032029F">
            <w:pPr>
              <w:spacing w:before="0"/>
              <w:ind w:left="0" w:right="15" w:firstLine="0"/>
              <w:contextualSpacing/>
              <w:jc w:val="center"/>
              <w:rPr>
                <w:b/>
                <w:bCs/>
                <w:szCs w:val="24"/>
              </w:rPr>
            </w:pPr>
            <w:r w:rsidRPr="00563D71">
              <w:rPr>
                <w:b/>
                <w:bCs/>
                <w:szCs w:val="24"/>
              </w:rPr>
              <w:t>Risk</w:t>
            </w:r>
          </w:p>
        </w:tc>
        <w:tc>
          <w:tcPr>
            <w:tcW w:w="3402" w:type="dxa"/>
          </w:tcPr>
          <w:p w14:paraId="0CD2E708" w14:textId="316F75F6" w:rsidR="003609E9" w:rsidRPr="00563D71" w:rsidRDefault="003609E9" w:rsidP="0032029F">
            <w:pPr>
              <w:spacing w:before="0"/>
              <w:ind w:left="0" w:right="15" w:firstLine="0"/>
              <w:contextualSpacing/>
              <w:jc w:val="left"/>
              <w:rPr>
                <w:b/>
                <w:bCs/>
                <w:szCs w:val="24"/>
              </w:rPr>
            </w:pPr>
            <w:r w:rsidRPr="00563D71">
              <w:rPr>
                <w:b/>
                <w:bCs/>
                <w:szCs w:val="24"/>
              </w:rPr>
              <w:t>Environmental Risk Screening</w:t>
            </w:r>
          </w:p>
        </w:tc>
        <w:tc>
          <w:tcPr>
            <w:tcW w:w="4252" w:type="dxa"/>
          </w:tcPr>
          <w:p w14:paraId="11F5DF2C" w14:textId="1C0D1B96" w:rsidR="003609E9" w:rsidRPr="00563D71" w:rsidRDefault="003609E9" w:rsidP="0032029F">
            <w:pPr>
              <w:spacing w:before="0"/>
              <w:ind w:left="0" w:right="15" w:firstLine="0"/>
              <w:contextualSpacing/>
              <w:jc w:val="left"/>
              <w:rPr>
                <w:b/>
                <w:bCs/>
                <w:szCs w:val="24"/>
              </w:rPr>
            </w:pPr>
            <w:r w:rsidRPr="00563D71">
              <w:rPr>
                <w:b/>
                <w:bCs/>
                <w:szCs w:val="24"/>
              </w:rPr>
              <w:t xml:space="preserve">Social Risk Screening </w:t>
            </w:r>
          </w:p>
        </w:tc>
      </w:tr>
      <w:tr w:rsidR="003609E9" w:rsidRPr="00563D71" w14:paraId="3FCEDB84" w14:textId="77777777" w:rsidTr="0032029F">
        <w:tc>
          <w:tcPr>
            <w:tcW w:w="1696" w:type="dxa"/>
          </w:tcPr>
          <w:p w14:paraId="502568B3" w14:textId="7A39BC13" w:rsidR="003609E9" w:rsidRPr="00736139" w:rsidRDefault="003609E9" w:rsidP="0032029F">
            <w:pPr>
              <w:spacing w:before="0"/>
              <w:ind w:left="0" w:right="15" w:firstLine="0"/>
              <w:contextualSpacing/>
              <w:jc w:val="left"/>
              <w:rPr>
                <w:sz w:val="22"/>
              </w:rPr>
            </w:pPr>
            <w:r w:rsidRPr="00736139">
              <w:rPr>
                <w:sz w:val="22"/>
              </w:rPr>
              <w:t>Associated or Likely Social and Environmental Effects</w:t>
            </w:r>
          </w:p>
        </w:tc>
        <w:tc>
          <w:tcPr>
            <w:tcW w:w="3402" w:type="dxa"/>
          </w:tcPr>
          <w:p w14:paraId="45A25B7B" w14:textId="0EB29715" w:rsidR="008B73A9" w:rsidRPr="00736139" w:rsidRDefault="003609E9" w:rsidP="0032029F">
            <w:pPr>
              <w:spacing w:before="0"/>
              <w:ind w:left="0" w:right="15" w:firstLine="0"/>
              <w:contextualSpacing/>
              <w:rPr>
                <w:sz w:val="22"/>
              </w:rPr>
            </w:pPr>
            <w:r w:rsidRPr="00736139">
              <w:rPr>
                <w:sz w:val="22"/>
              </w:rPr>
              <w:t>The Program will have many environmental benefits resulting from improving solid waste management, water supply and waste water and sanitation services</w:t>
            </w:r>
            <w:r w:rsidR="00EE09A3" w:rsidRPr="00736139">
              <w:rPr>
                <w:sz w:val="22"/>
              </w:rPr>
              <w:t xml:space="preserve">. </w:t>
            </w:r>
            <w:r w:rsidRPr="00736139">
              <w:rPr>
                <w:sz w:val="22"/>
              </w:rPr>
              <w:t>Also</w:t>
            </w:r>
            <w:r w:rsidR="00193BC4" w:rsidRPr="00736139">
              <w:rPr>
                <w:sz w:val="22"/>
              </w:rPr>
              <w:t>,</w:t>
            </w:r>
            <w:r w:rsidRPr="00736139">
              <w:rPr>
                <w:sz w:val="22"/>
              </w:rPr>
              <w:t xml:space="preserve"> some of the interventions will have indirect benefits such as reducing traffic congestions, improving road safety</w:t>
            </w:r>
            <w:r w:rsidR="00193BC4" w:rsidRPr="00736139">
              <w:rPr>
                <w:sz w:val="22"/>
              </w:rPr>
              <w:t>,</w:t>
            </w:r>
            <w:r w:rsidRPr="00736139">
              <w:rPr>
                <w:sz w:val="22"/>
              </w:rPr>
              <w:t xml:space="preserve"> and possible enhancement of environmental services. The assessment indicates that no Category-A-type interventions are expected and that </w:t>
            </w:r>
            <w:r w:rsidRPr="00736139">
              <w:rPr>
                <w:sz w:val="22"/>
              </w:rPr>
              <w:lastRenderedPageBreak/>
              <w:t xml:space="preserve">all such interventions will be screened out during the planning stage by </w:t>
            </w:r>
            <w:r w:rsidR="00EE09A3" w:rsidRPr="00736139">
              <w:rPr>
                <w:sz w:val="22"/>
              </w:rPr>
              <w:t>screening against the Investment and Expenditure Menu and the ITMPs, and—as long as ITMPs are not finalized—a screening mechanism based on Annex 3</w:t>
            </w:r>
            <w:r w:rsidRPr="00736139">
              <w:rPr>
                <w:sz w:val="22"/>
              </w:rPr>
              <w:t xml:space="preserve">. </w:t>
            </w:r>
          </w:p>
          <w:p w14:paraId="1E5A91F4" w14:textId="12704593" w:rsidR="003609E9" w:rsidRPr="00736139" w:rsidRDefault="003609E9" w:rsidP="0032029F">
            <w:pPr>
              <w:spacing w:before="0"/>
              <w:ind w:left="0" w:right="15" w:firstLine="0"/>
              <w:contextualSpacing/>
              <w:rPr>
                <w:sz w:val="22"/>
              </w:rPr>
            </w:pPr>
            <w:r w:rsidRPr="00736139">
              <w:rPr>
                <w:sz w:val="22"/>
              </w:rPr>
              <w:t xml:space="preserve">There are some environmental risks and </w:t>
            </w:r>
            <w:r w:rsidR="008B73A9" w:rsidRPr="00736139">
              <w:rPr>
                <w:sz w:val="22"/>
              </w:rPr>
              <w:t xml:space="preserve">potential adverse </w:t>
            </w:r>
            <w:r w:rsidRPr="00736139">
              <w:rPr>
                <w:sz w:val="22"/>
              </w:rPr>
              <w:t xml:space="preserve">impacts. The main risks and impacts are: </w:t>
            </w:r>
          </w:p>
          <w:p w14:paraId="39ACAA6D" w14:textId="7F8A435E" w:rsidR="008B73A9" w:rsidRPr="00736139" w:rsidRDefault="00911FD5" w:rsidP="0032029F">
            <w:pPr>
              <w:spacing w:before="0"/>
              <w:ind w:left="0" w:right="15" w:firstLine="0"/>
              <w:contextualSpacing/>
              <w:rPr>
                <w:sz w:val="22"/>
              </w:rPr>
            </w:pPr>
            <w:r w:rsidRPr="00736139">
              <w:rPr>
                <w:sz w:val="22"/>
              </w:rPr>
              <w:t xml:space="preserve">(i) individual infrastructure investments may proceed in a non-integrated manner, without consideration </w:t>
            </w:r>
            <w:r w:rsidR="00193BC4" w:rsidRPr="00736139">
              <w:rPr>
                <w:sz w:val="22"/>
              </w:rPr>
              <w:t xml:space="preserve">of </w:t>
            </w:r>
            <w:r w:rsidRPr="00736139">
              <w:rPr>
                <w:sz w:val="22"/>
              </w:rPr>
              <w:t>environmental constraints at the destination level, or of interactions and cumulative impacts, with the result that tourism development degrades the natural and cultural resources on which it depends;</w:t>
            </w:r>
          </w:p>
          <w:p w14:paraId="60947511" w14:textId="77777777" w:rsidR="008B73A9" w:rsidRPr="00736139" w:rsidRDefault="00911FD5" w:rsidP="0032029F">
            <w:pPr>
              <w:spacing w:before="0"/>
              <w:ind w:left="0" w:right="15" w:firstLine="0"/>
              <w:contextualSpacing/>
              <w:rPr>
                <w:sz w:val="22"/>
              </w:rPr>
            </w:pPr>
            <w:r w:rsidRPr="00736139">
              <w:rPr>
                <w:sz w:val="22"/>
              </w:rPr>
              <w:t xml:space="preserve"> (ii) environmental assessments may lack analytical rigor and sufficient depth, particularly on social issues; </w:t>
            </w:r>
          </w:p>
          <w:p w14:paraId="74E23D4B" w14:textId="77777777" w:rsidR="008B73A9" w:rsidRPr="00736139" w:rsidRDefault="00911FD5" w:rsidP="0032029F">
            <w:pPr>
              <w:spacing w:before="0"/>
              <w:ind w:left="0" w:right="15" w:firstLine="0"/>
              <w:contextualSpacing/>
              <w:rPr>
                <w:sz w:val="22"/>
              </w:rPr>
            </w:pPr>
            <w:r w:rsidRPr="00736139">
              <w:rPr>
                <w:sz w:val="22"/>
              </w:rPr>
              <w:t xml:space="preserve">(iii) environmental management and monitoring plan implementation may not be adequately monitored or enforced; </w:t>
            </w:r>
          </w:p>
          <w:p w14:paraId="57FC05AF" w14:textId="77777777" w:rsidR="008B73A9" w:rsidRPr="00736139" w:rsidRDefault="00911FD5" w:rsidP="0032029F">
            <w:pPr>
              <w:spacing w:before="0"/>
              <w:ind w:left="0" w:right="15" w:firstLine="0"/>
              <w:contextualSpacing/>
              <w:rPr>
                <w:sz w:val="22"/>
              </w:rPr>
            </w:pPr>
            <w:r w:rsidRPr="00736139">
              <w:rPr>
                <w:sz w:val="22"/>
              </w:rPr>
              <w:t xml:space="preserve">(iv) natural and cultural resources important for tourism may be degraded by third-party actions not related to the Program; and </w:t>
            </w:r>
          </w:p>
          <w:p w14:paraId="2FB8E0BB" w14:textId="4D30B2E1" w:rsidR="003609E9" w:rsidRPr="00736139" w:rsidRDefault="00911FD5" w:rsidP="0032029F">
            <w:pPr>
              <w:spacing w:before="0"/>
              <w:ind w:left="0" w:right="15" w:firstLine="0"/>
              <w:contextualSpacing/>
              <w:rPr>
                <w:sz w:val="22"/>
              </w:rPr>
            </w:pPr>
            <w:r w:rsidRPr="00736139">
              <w:rPr>
                <w:sz w:val="22"/>
              </w:rPr>
              <w:t>(v) disregard of health and safety rules will pose risk of accidents to workers and local residents</w:t>
            </w:r>
            <w:r w:rsidR="00EE09A3" w:rsidRPr="00736139">
              <w:rPr>
                <w:sz w:val="22"/>
              </w:rPr>
              <w:t>.</w:t>
            </w:r>
          </w:p>
          <w:p w14:paraId="462E87D3" w14:textId="5702B806" w:rsidR="003609E9" w:rsidRPr="00736139" w:rsidRDefault="003609E9" w:rsidP="0032029F">
            <w:pPr>
              <w:spacing w:before="0"/>
              <w:ind w:left="0" w:right="15" w:firstLine="0"/>
              <w:contextualSpacing/>
              <w:jc w:val="left"/>
              <w:rPr>
                <w:sz w:val="22"/>
              </w:rPr>
            </w:pPr>
          </w:p>
        </w:tc>
        <w:tc>
          <w:tcPr>
            <w:tcW w:w="4252" w:type="dxa"/>
          </w:tcPr>
          <w:p w14:paraId="060221F2" w14:textId="5540D28D" w:rsidR="008B73A9" w:rsidRPr="00736139" w:rsidRDefault="00911FD5" w:rsidP="0032029F">
            <w:pPr>
              <w:spacing w:before="0" w:after="120"/>
              <w:ind w:left="0" w:right="14" w:firstLine="0"/>
              <w:rPr>
                <w:sz w:val="22"/>
              </w:rPr>
            </w:pPr>
            <w:r w:rsidRPr="00736139">
              <w:rPr>
                <w:sz w:val="22"/>
              </w:rPr>
              <w:lastRenderedPageBreak/>
              <w:t xml:space="preserve">The Program will have </w:t>
            </w:r>
            <w:r w:rsidR="00EE09A3" w:rsidRPr="00736139">
              <w:rPr>
                <w:sz w:val="22"/>
              </w:rPr>
              <w:t xml:space="preserve">a </w:t>
            </w:r>
            <w:r w:rsidRPr="00736139">
              <w:rPr>
                <w:sz w:val="22"/>
              </w:rPr>
              <w:t>number of positive impacts and benefits to the local communities</w:t>
            </w:r>
            <w:r w:rsidR="00EE09A3" w:rsidRPr="00736139">
              <w:rPr>
                <w:sz w:val="22"/>
              </w:rPr>
              <w:t xml:space="preserve">, which </w:t>
            </w:r>
            <w:r w:rsidRPr="00736139">
              <w:rPr>
                <w:sz w:val="22"/>
              </w:rPr>
              <w:t xml:space="preserve">will ultimately improve the sustainability and carrying capacity of tourism destinations. Local communities will benefit from the development of improved infrastructure and services, </w:t>
            </w:r>
            <w:r w:rsidR="008B73A9" w:rsidRPr="00736139">
              <w:rPr>
                <w:sz w:val="22"/>
              </w:rPr>
              <w:t>and</w:t>
            </w:r>
            <w:r w:rsidRPr="00736139">
              <w:rPr>
                <w:sz w:val="22"/>
              </w:rPr>
              <w:t xml:space="preserve"> they will have opportunities to establish or expand their current economic activities or tourism-related businesses, and to create new jobs. </w:t>
            </w:r>
          </w:p>
          <w:p w14:paraId="2DD8194E" w14:textId="4356042A" w:rsidR="008B73A9" w:rsidRPr="00736139" w:rsidRDefault="008B73A9" w:rsidP="0032029F">
            <w:pPr>
              <w:spacing w:before="0" w:after="120"/>
              <w:ind w:left="0" w:right="14" w:firstLine="0"/>
              <w:rPr>
                <w:sz w:val="22"/>
              </w:rPr>
            </w:pPr>
            <w:r w:rsidRPr="00736139">
              <w:rPr>
                <w:sz w:val="22"/>
              </w:rPr>
              <w:lastRenderedPageBreak/>
              <w:t xml:space="preserve">There are some social risks and potential adverse impacts. The main risks and impacts are: </w:t>
            </w:r>
          </w:p>
          <w:p w14:paraId="53068AD3" w14:textId="28D0A6D5" w:rsidR="00114937" w:rsidRPr="00736139" w:rsidRDefault="00114937" w:rsidP="0032029F">
            <w:pPr>
              <w:spacing w:before="0" w:after="120"/>
              <w:ind w:left="0" w:right="14" w:firstLine="0"/>
              <w:rPr>
                <w:sz w:val="22"/>
              </w:rPr>
            </w:pPr>
            <w:r w:rsidRPr="00736139">
              <w:rPr>
                <w:sz w:val="22"/>
              </w:rPr>
              <w:t>Potential social risks impacts would occur mainly due to land acquisition and/or resettlement, including access restriction to public goods and natural resources, and disturbance (e.g. livelihoods, health, convenience) during construction. Activities involving large-scale and/or significant social impacts, including induced social impacts, will not be financed under this Program.</w:t>
            </w:r>
          </w:p>
          <w:p w14:paraId="021D799B" w14:textId="0C347DC2" w:rsidR="003609E9" w:rsidRPr="00736139" w:rsidRDefault="00114937" w:rsidP="0032029F">
            <w:pPr>
              <w:spacing w:before="0" w:after="120"/>
              <w:ind w:left="0" w:right="14" w:firstLine="0"/>
              <w:rPr>
                <w:sz w:val="22"/>
              </w:rPr>
            </w:pPr>
            <w:r w:rsidRPr="00736139">
              <w:rPr>
                <w:sz w:val="22"/>
              </w:rPr>
              <w:t xml:space="preserve">Other typical potential adverse social impacts of tourism development  (beyond the impacts of land acquisition and/or resettlement) may include: greater economic and social disparity and limited access for the community to public natural resources (such as beaches) due to “enclave tourist resort” development; internal conflict within communities due to inequality of capacity to harness new opportunities, especially for the less-educated, poorest, elderly, and disabled; loss of jobs due to conversion of agricultural activities into tourism-related build-up areas; disturbance and unsustainable commercialization of local cultures, practices, and values; </w:t>
            </w:r>
            <w:r w:rsidR="00193BC4" w:rsidRPr="00736139">
              <w:rPr>
                <w:sz w:val="22"/>
              </w:rPr>
              <w:t xml:space="preserve">and </w:t>
            </w:r>
            <w:r w:rsidRPr="00736139">
              <w:rPr>
                <w:sz w:val="22"/>
              </w:rPr>
              <w:t>loss of livelihoods and assets due to land acquisition. Community health and safety may also be issues, particularly transmitted diseases and the dangers of busier traffic. Also, if not managed properly, there may be induced uncontrolled growth of settlements and/or small businesses surrounding the tourist attractions</w:t>
            </w:r>
            <w:r w:rsidR="00EE09A3" w:rsidRPr="00736139">
              <w:rPr>
                <w:sz w:val="22"/>
              </w:rPr>
              <w:t>.</w:t>
            </w:r>
          </w:p>
        </w:tc>
      </w:tr>
      <w:tr w:rsidR="002D302F" w:rsidRPr="00563D71" w14:paraId="469C954F" w14:textId="77777777" w:rsidTr="0032029F">
        <w:tc>
          <w:tcPr>
            <w:tcW w:w="1696" w:type="dxa"/>
          </w:tcPr>
          <w:p w14:paraId="7DC8373C" w14:textId="139E01D4" w:rsidR="002D302F" w:rsidRPr="00736139" w:rsidRDefault="002D302F" w:rsidP="0032029F">
            <w:pPr>
              <w:spacing w:before="0"/>
              <w:ind w:left="0" w:right="15" w:firstLine="0"/>
              <w:contextualSpacing/>
              <w:jc w:val="left"/>
              <w:rPr>
                <w:sz w:val="22"/>
              </w:rPr>
            </w:pPr>
            <w:r w:rsidRPr="00736139">
              <w:rPr>
                <w:sz w:val="22"/>
              </w:rPr>
              <w:lastRenderedPageBreak/>
              <w:t>Environmental and social context</w:t>
            </w:r>
          </w:p>
        </w:tc>
        <w:tc>
          <w:tcPr>
            <w:tcW w:w="7654" w:type="dxa"/>
            <w:gridSpan w:val="2"/>
          </w:tcPr>
          <w:p w14:paraId="5FD413F0" w14:textId="77777777" w:rsidR="002D302F" w:rsidRPr="00736139" w:rsidRDefault="002D302F" w:rsidP="0032029F">
            <w:pPr>
              <w:pStyle w:val="MainParanoChapter-Ch3"/>
              <w:numPr>
                <w:ilvl w:val="0"/>
                <w:numId w:val="0"/>
              </w:numPr>
              <w:spacing w:after="120"/>
              <w:contextualSpacing w:val="0"/>
              <w:rPr>
                <w:sz w:val="22"/>
                <w:szCs w:val="22"/>
              </w:rPr>
            </w:pPr>
            <w:r w:rsidRPr="00736139">
              <w:rPr>
                <w:sz w:val="22"/>
                <w:szCs w:val="22"/>
              </w:rPr>
              <w:t xml:space="preserve">Lombok destination includes three key areas for tourism development: the Gili Islands, Senggigi and the southern coast. </w:t>
            </w:r>
          </w:p>
          <w:p w14:paraId="660DD852" w14:textId="77777777" w:rsidR="002D302F" w:rsidRPr="00736139" w:rsidRDefault="002D302F" w:rsidP="0032029F">
            <w:pPr>
              <w:pStyle w:val="MainParanoChapter-Ch3"/>
              <w:numPr>
                <w:ilvl w:val="0"/>
                <w:numId w:val="0"/>
              </w:numPr>
              <w:spacing w:after="120"/>
              <w:contextualSpacing w:val="0"/>
              <w:rPr>
                <w:bCs/>
                <w:sz w:val="22"/>
                <w:szCs w:val="22"/>
              </w:rPr>
            </w:pPr>
            <w:r w:rsidRPr="00736139">
              <w:rPr>
                <w:bCs/>
                <w:sz w:val="22"/>
                <w:szCs w:val="22"/>
              </w:rPr>
              <w:t>The Borobudur area (</w:t>
            </w:r>
            <w:r w:rsidRPr="00736139">
              <w:rPr>
                <w:bCs/>
                <w:i/>
                <w:sz w:val="22"/>
                <w:szCs w:val="22"/>
              </w:rPr>
              <w:t>Kecamatan</w:t>
            </w:r>
            <w:r w:rsidRPr="00736139">
              <w:rPr>
                <w:bCs/>
                <w:sz w:val="22"/>
                <w:szCs w:val="22"/>
              </w:rPr>
              <w:t xml:space="preserve"> Borobudur and </w:t>
            </w:r>
            <w:r w:rsidRPr="00736139">
              <w:rPr>
                <w:bCs/>
                <w:i/>
                <w:sz w:val="22"/>
                <w:szCs w:val="22"/>
              </w:rPr>
              <w:t>Kecamatan</w:t>
            </w:r>
            <w:r w:rsidRPr="00736139">
              <w:rPr>
                <w:bCs/>
                <w:sz w:val="22"/>
                <w:szCs w:val="22"/>
              </w:rPr>
              <w:t xml:space="preserve"> Mungkid) includes the Borobudur Temple Complex—an UNESCO World Heritage Site—that consists of Borobudur Temple—a ‘must-see’ Buddhist temple dating from the 8</w:t>
            </w:r>
            <w:r w:rsidRPr="00736139">
              <w:rPr>
                <w:bCs/>
                <w:sz w:val="22"/>
                <w:szCs w:val="22"/>
                <w:vertAlign w:val="superscript"/>
              </w:rPr>
              <w:t>th</w:t>
            </w:r>
            <w:r w:rsidRPr="00736139">
              <w:rPr>
                <w:bCs/>
                <w:sz w:val="22"/>
                <w:szCs w:val="22"/>
              </w:rPr>
              <w:t xml:space="preserve"> and 9</w:t>
            </w:r>
            <w:r w:rsidRPr="00736139">
              <w:rPr>
                <w:bCs/>
                <w:sz w:val="22"/>
                <w:szCs w:val="22"/>
                <w:vertAlign w:val="superscript"/>
              </w:rPr>
              <w:t>th</w:t>
            </w:r>
            <w:r w:rsidRPr="00736139">
              <w:rPr>
                <w:bCs/>
                <w:sz w:val="22"/>
                <w:szCs w:val="22"/>
              </w:rPr>
              <w:t xml:space="preserve"> century—, and Pawon Temple and Mendut Temple; The Prambanan-Boko area (</w:t>
            </w:r>
            <w:r w:rsidRPr="00736139">
              <w:rPr>
                <w:rFonts w:eastAsia="Calibri"/>
                <w:bCs/>
                <w:i/>
                <w:sz w:val="22"/>
                <w:szCs w:val="22"/>
              </w:rPr>
              <w:t>Kecamatan</w:t>
            </w:r>
            <w:r w:rsidRPr="00736139">
              <w:rPr>
                <w:bCs/>
                <w:i/>
                <w:sz w:val="22"/>
                <w:szCs w:val="22"/>
              </w:rPr>
              <w:t xml:space="preserve"> </w:t>
            </w:r>
            <w:r w:rsidRPr="00736139">
              <w:rPr>
                <w:bCs/>
                <w:sz w:val="22"/>
                <w:szCs w:val="22"/>
              </w:rPr>
              <w:t xml:space="preserve">Prambanan in Central Java Province and </w:t>
            </w:r>
            <w:r w:rsidRPr="00736139">
              <w:rPr>
                <w:bCs/>
                <w:i/>
                <w:sz w:val="22"/>
                <w:szCs w:val="22"/>
              </w:rPr>
              <w:t>Kecamatan</w:t>
            </w:r>
            <w:r w:rsidRPr="00736139">
              <w:rPr>
                <w:bCs/>
                <w:sz w:val="22"/>
                <w:szCs w:val="22"/>
              </w:rPr>
              <w:t xml:space="preserve"> Prambanan in the Special Region of Yogyakarta) includes the Prambanan Temple Compound and Ratu Boko. Prambanan Temple Compound—another UNESCO World Heritage Site—consists of </w:t>
            </w:r>
            <w:r w:rsidRPr="00736139">
              <w:rPr>
                <w:bCs/>
                <w:color w:val="000000"/>
                <w:sz w:val="22"/>
                <w:szCs w:val="22"/>
              </w:rPr>
              <w:t>Prambanan Temple—a Hindu temple dating from the 9</w:t>
            </w:r>
            <w:r w:rsidRPr="00736139">
              <w:rPr>
                <w:bCs/>
                <w:color w:val="000000"/>
                <w:sz w:val="22"/>
                <w:szCs w:val="22"/>
                <w:vertAlign w:val="superscript"/>
              </w:rPr>
              <w:t>th</w:t>
            </w:r>
            <w:r w:rsidRPr="00736139">
              <w:rPr>
                <w:bCs/>
                <w:color w:val="000000"/>
                <w:sz w:val="22"/>
                <w:szCs w:val="22"/>
              </w:rPr>
              <w:t xml:space="preserve"> century—, Sewu Temple, Bubrah Temple and Lumbung Temple. In </w:t>
            </w:r>
            <w:r w:rsidRPr="00736139">
              <w:rPr>
                <w:bCs/>
                <w:sz w:val="22"/>
                <w:szCs w:val="22"/>
              </w:rPr>
              <w:t>Yogyakarta (</w:t>
            </w:r>
            <w:r w:rsidRPr="00736139">
              <w:rPr>
                <w:bCs/>
                <w:i/>
                <w:sz w:val="22"/>
                <w:szCs w:val="22"/>
              </w:rPr>
              <w:t>Kecamatan:</w:t>
            </w:r>
            <w:r w:rsidRPr="00736139">
              <w:rPr>
                <w:bCs/>
                <w:sz w:val="22"/>
                <w:szCs w:val="22"/>
              </w:rPr>
              <w:t xml:space="preserve"> Kraton, Gedongtengen, Danurejan, Ngampilan, Kotagede and Gondomanan), key attractions are the </w:t>
            </w:r>
            <w:r w:rsidRPr="00736139">
              <w:rPr>
                <w:bCs/>
                <w:i/>
                <w:sz w:val="22"/>
                <w:szCs w:val="22"/>
              </w:rPr>
              <w:t>Kraton</w:t>
            </w:r>
            <w:r w:rsidRPr="00736139">
              <w:rPr>
                <w:bCs/>
                <w:sz w:val="22"/>
                <w:szCs w:val="22"/>
              </w:rPr>
              <w:t xml:space="preserve"> (Palace), the sultan’s residence and a living museum; </w:t>
            </w:r>
            <w:r w:rsidRPr="00736139">
              <w:rPr>
                <w:bCs/>
                <w:i/>
                <w:sz w:val="22"/>
                <w:szCs w:val="22"/>
              </w:rPr>
              <w:t>Taman Sari</w:t>
            </w:r>
            <w:r w:rsidRPr="00736139">
              <w:rPr>
                <w:bCs/>
                <w:sz w:val="22"/>
                <w:szCs w:val="22"/>
              </w:rPr>
              <w:t xml:space="preserve"> </w:t>
            </w:r>
            <w:r w:rsidRPr="00736139">
              <w:rPr>
                <w:bCs/>
                <w:sz w:val="22"/>
                <w:szCs w:val="22"/>
              </w:rPr>
              <w:lastRenderedPageBreak/>
              <w:t xml:space="preserve">(Water Castle), a former royal garden of the Sultanate of Yogyakarta, and Malioboro shopping street. </w:t>
            </w:r>
          </w:p>
          <w:p w14:paraId="5197C63B" w14:textId="358F2522" w:rsidR="002D302F" w:rsidRPr="00736139" w:rsidRDefault="002D302F" w:rsidP="0032029F">
            <w:pPr>
              <w:pStyle w:val="MainParanoChapter-Ch3"/>
              <w:numPr>
                <w:ilvl w:val="0"/>
                <w:numId w:val="0"/>
              </w:numPr>
              <w:spacing w:after="120"/>
              <w:contextualSpacing w:val="0"/>
              <w:rPr>
                <w:sz w:val="22"/>
                <w:szCs w:val="22"/>
              </w:rPr>
            </w:pPr>
            <w:r w:rsidRPr="00736139">
              <w:rPr>
                <w:bCs/>
                <w:sz w:val="22"/>
                <w:szCs w:val="22"/>
              </w:rPr>
              <w:t>Within the Lake Toba destination boundary there are three areas for tourism development. First, Parapat (</w:t>
            </w:r>
            <w:r w:rsidRPr="00736139">
              <w:rPr>
                <w:rFonts w:eastAsia="Calibri"/>
                <w:bCs/>
                <w:i/>
                <w:sz w:val="22"/>
                <w:szCs w:val="22"/>
              </w:rPr>
              <w:t>Kecamatan</w:t>
            </w:r>
            <w:r w:rsidRPr="00736139">
              <w:rPr>
                <w:bCs/>
                <w:i/>
                <w:sz w:val="22"/>
                <w:szCs w:val="22"/>
              </w:rPr>
              <w:t xml:space="preserve"> </w:t>
            </w:r>
            <w:r w:rsidRPr="00736139">
              <w:rPr>
                <w:bCs/>
                <w:sz w:val="22"/>
                <w:szCs w:val="22"/>
              </w:rPr>
              <w:t xml:space="preserve">Girsang Sipangan Bolon) is the main gateway to Samosir Island in the lake. Samosir Island (especially </w:t>
            </w:r>
            <w:r w:rsidRPr="00736139">
              <w:rPr>
                <w:rFonts w:eastAsia="Calibri"/>
                <w:bCs/>
                <w:i/>
                <w:sz w:val="22"/>
                <w:szCs w:val="22"/>
              </w:rPr>
              <w:t>Kecamatan</w:t>
            </w:r>
            <w:r w:rsidRPr="00736139">
              <w:rPr>
                <w:bCs/>
                <w:i/>
                <w:sz w:val="22"/>
                <w:szCs w:val="22"/>
              </w:rPr>
              <w:t xml:space="preserve"> </w:t>
            </w:r>
            <w:r w:rsidRPr="00736139">
              <w:rPr>
                <w:bCs/>
                <w:sz w:val="22"/>
                <w:szCs w:val="22"/>
              </w:rPr>
              <w:t xml:space="preserve">Simanindo and </w:t>
            </w:r>
            <w:r w:rsidRPr="00736139">
              <w:rPr>
                <w:rFonts w:eastAsia="Calibri"/>
                <w:bCs/>
                <w:i/>
                <w:sz w:val="22"/>
                <w:szCs w:val="22"/>
              </w:rPr>
              <w:t>Kecamatan</w:t>
            </w:r>
            <w:r w:rsidRPr="00736139">
              <w:rPr>
                <w:bCs/>
                <w:sz w:val="22"/>
                <w:szCs w:val="22"/>
              </w:rPr>
              <w:t xml:space="preserve"> Pangururan)</w:t>
            </w:r>
            <w:r w:rsidRPr="00736139">
              <w:rPr>
                <w:bCs/>
                <w:i/>
                <w:sz w:val="22"/>
                <w:szCs w:val="22"/>
              </w:rPr>
              <w:t xml:space="preserve"> </w:t>
            </w:r>
            <w:r w:rsidRPr="00736139">
              <w:rPr>
                <w:bCs/>
                <w:sz w:val="22"/>
                <w:szCs w:val="22"/>
              </w:rPr>
              <w:t xml:space="preserve">has several tourism attractions such as the Stone Chair of King Siallagan and King Sidabutar’s Tomb; Ambarita, a traditional village that provides sights of Batak culture; Parbaba beach; the hot springs at Gubung Pusuk Buhit Mountain; and Tutuk Village. Third, Kecamatan Balige offers some interesting Batak architecture and is the closest lake-side village to Silangit Airport. </w:t>
            </w:r>
          </w:p>
        </w:tc>
      </w:tr>
      <w:tr w:rsidR="003609E9" w:rsidRPr="00563D71" w14:paraId="7477AA67" w14:textId="77777777" w:rsidTr="0032029F">
        <w:tc>
          <w:tcPr>
            <w:tcW w:w="1696" w:type="dxa"/>
          </w:tcPr>
          <w:p w14:paraId="0018C34E" w14:textId="77B80991" w:rsidR="003609E9" w:rsidRPr="00736139" w:rsidRDefault="003609E9" w:rsidP="0032029F">
            <w:pPr>
              <w:spacing w:before="0"/>
              <w:ind w:left="0" w:right="15" w:firstLine="0"/>
              <w:contextualSpacing/>
              <w:jc w:val="left"/>
              <w:rPr>
                <w:sz w:val="22"/>
              </w:rPr>
            </w:pPr>
            <w:r w:rsidRPr="00736139">
              <w:rPr>
                <w:sz w:val="22"/>
              </w:rPr>
              <w:lastRenderedPageBreak/>
              <w:t xml:space="preserve">Program Strategy and Sustainability </w:t>
            </w:r>
          </w:p>
        </w:tc>
        <w:tc>
          <w:tcPr>
            <w:tcW w:w="3402" w:type="dxa"/>
          </w:tcPr>
          <w:p w14:paraId="51094560" w14:textId="6929E57C" w:rsidR="003609E9" w:rsidRPr="00736139" w:rsidRDefault="00F3132A" w:rsidP="0032029F">
            <w:pPr>
              <w:autoSpaceDE w:val="0"/>
              <w:autoSpaceDN w:val="0"/>
              <w:adjustRightInd w:val="0"/>
              <w:spacing w:before="0"/>
              <w:ind w:left="0" w:firstLine="0"/>
              <w:contextualSpacing/>
              <w:rPr>
                <w:sz w:val="22"/>
              </w:rPr>
            </w:pPr>
            <w:r w:rsidRPr="00736139">
              <w:rPr>
                <w:rFonts w:eastAsiaTheme="minorHAnsi"/>
                <w:color w:val="auto"/>
                <w:sz w:val="22"/>
              </w:rPr>
              <w:t>The P</w:t>
            </w:r>
            <w:r w:rsidR="008B73A9" w:rsidRPr="00736139">
              <w:rPr>
                <w:rFonts w:eastAsiaTheme="minorHAnsi"/>
                <w:color w:val="auto"/>
                <w:sz w:val="22"/>
              </w:rPr>
              <w:t>rogram ha</w:t>
            </w:r>
            <w:r w:rsidRPr="00736139">
              <w:rPr>
                <w:rFonts w:eastAsiaTheme="minorHAnsi"/>
                <w:color w:val="auto"/>
                <w:sz w:val="22"/>
              </w:rPr>
              <w:t>s</w:t>
            </w:r>
            <w:r w:rsidR="008B73A9" w:rsidRPr="00736139">
              <w:rPr>
                <w:rFonts w:eastAsiaTheme="minorHAnsi"/>
                <w:color w:val="auto"/>
                <w:sz w:val="22"/>
              </w:rPr>
              <w:t xml:space="preserve"> </w:t>
            </w:r>
            <w:r w:rsidRPr="00736139">
              <w:rPr>
                <w:rFonts w:eastAsiaTheme="minorHAnsi"/>
                <w:color w:val="auto"/>
                <w:sz w:val="22"/>
              </w:rPr>
              <w:t xml:space="preserve">a </w:t>
            </w:r>
            <w:r w:rsidR="008B73A9" w:rsidRPr="00736139">
              <w:rPr>
                <w:rFonts w:eastAsiaTheme="minorHAnsi"/>
                <w:color w:val="auto"/>
                <w:sz w:val="22"/>
              </w:rPr>
              <w:t>strategic objective of improving</w:t>
            </w:r>
            <w:r w:rsidRPr="00736139">
              <w:rPr>
                <w:rFonts w:eastAsiaTheme="minorHAnsi"/>
                <w:color w:val="auto"/>
                <w:sz w:val="22"/>
              </w:rPr>
              <w:t xml:space="preserve"> </w:t>
            </w:r>
            <w:r w:rsidR="008B73A9" w:rsidRPr="00736139">
              <w:rPr>
                <w:rFonts w:eastAsiaTheme="minorHAnsi"/>
                <w:color w:val="auto"/>
                <w:sz w:val="22"/>
              </w:rPr>
              <w:t xml:space="preserve">services and economic activities in </w:t>
            </w:r>
            <w:r w:rsidR="00544486" w:rsidRPr="00736139">
              <w:rPr>
                <w:rFonts w:eastAsiaTheme="minorHAnsi"/>
                <w:color w:val="auto"/>
                <w:sz w:val="22"/>
              </w:rPr>
              <w:t>tourism destinations</w:t>
            </w:r>
            <w:r w:rsidRPr="00736139">
              <w:rPr>
                <w:rFonts w:eastAsiaTheme="minorHAnsi"/>
                <w:color w:val="auto"/>
                <w:sz w:val="22"/>
              </w:rPr>
              <w:t>.</w:t>
            </w:r>
            <w:r w:rsidR="008B73A9" w:rsidRPr="00736139">
              <w:rPr>
                <w:rFonts w:eastAsiaTheme="minorHAnsi"/>
                <w:color w:val="auto"/>
                <w:sz w:val="22"/>
              </w:rPr>
              <w:t xml:space="preserve"> There are obvious environmental consequences</w:t>
            </w:r>
            <w:r w:rsidRPr="00736139">
              <w:rPr>
                <w:rFonts w:eastAsiaTheme="minorHAnsi"/>
                <w:color w:val="auto"/>
                <w:sz w:val="22"/>
              </w:rPr>
              <w:t xml:space="preserve"> </w:t>
            </w:r>
            <w:r w:rsidR="008B73A9" w:rsidRPr="00736139">
              <w:rPr>
                <w:rFonts w:eastAsiaTheme="minorHAnsi"/>
                <w:color w:val="auto"/>
                <w:sz w:val="22"/>
              </w:rPr>
              <w:t>resulting from low access to services</w:t>
            </w:r>
            <w:r w:rsidRPr="00736139">
              <w:rPr>
                <w:rFonts w:eastAsiaTheme="minorHAnsi"/>
                <w:color w:val="auto"/>
                <w:sz w:val="22"/>
              </w:rPr>
              <w:t xml:space="preserve">, </w:t>
            </w:r>
            <w:r w:rsidR="008B73A9" w:rsidRPr="00736139">
              <w:rPr>
                <w:rFonts w:eastAsiaTheme="minorHAnsi"/>
                <w:color w:val="auto"/>
                <w:sz w:val="22"/>
              </w:rPr>
              <w:t>such as solid waste</w:t>
            </w:r>
            <w:r w:rsidRPr="00736139">
              <w:rPr>
                <w:rFonts w:eastAsiaTheme="minorHAnsi"/>
                <w:color w:val="auto"/>
                <w:sz w:val="22"/>
              </w:rPr>
              <w:t xml:space="preserve"> </w:t>
            </w:r>
            <w:r w:rsidR="008B73A9" w:rsidRPr="00736139">
              <w:rPr>
                <w:rFonts w:eastAsiaTheme="minorHAnsi"/>
                <w:color w:val="auto"/>
                <w:sz w:val="22"/>
              </w:rPr>
              <w:t>manageme</w:t>
            </w:r>
            <w:r w:rsidR="00544486" w:rsidRPr="00736139">
              <w:rPr>
                <w:rFonts w:eastAsiaTheme="minorHAnsi"/>
                <w:color w:val="auto"/>
                <w:sz w:val="22"/>
              </w:rPr>
              <w:t>nt, water supply and sanitation.</w:t>
            </w:r>
            <w:r w:rsidR="008B73A9" w:rsidRPr="00736139">
              <w:rPr>
                <w:rFonts w:eastAsiaTheme="minorHAnsi"/>
                <w:color w:val="auto"/>
                <w:sz w:val="22"/>
              </w:rPr>
              <w:t xml:space="preserve"> </w:t>
            </w:r>
            <w:r w:rsidR="00544486" w:rsidRPr="00736139">
              <w:rPr>
                <w:rFonts w:eastAsiaTheme="minorHAnsi"/>
                <w:color w:val="auto"/>
                <w:sz w:val="22"/>
              </w:rPr>
              <w:t xml:space="preserve">Program investments implemented under </w:t>
            </w:r>
            <w:r w:rsidRPr="00736139">
              <w:rPr>
                <w:rFonts w:eastAsiaTheme="minorHAnsi"/>
                <w:color w:val="auto"/>
                <w:sz w:val="22"/>
              </w:rPr>
              <w:t>ITMPs</w:t>
            </w:r>
            <w:r w:rsidR="00544486" w:rsidRPr="00736139">
              <w:rPr>
                <w:rFonts w:eastAsiaTheme="minorHAnsi"/>
                <w:color w:val="auto"/>
                <w:sz w:val="22"/>
              </w:rPr>
              <w:t xml:space="preserve"> </w:t>
            </w:r>
            <w:r w:rsidR="008B73A9" w:rsidRPr="00736139">
              <w:rPr>
                <w:rFonts w:eastAsiaTheme="minorHAnsi"/>
                <w:color w:val="auto"/>
                <w:sz w:val="22"/>
              </w:rPr>
              <w:t>will</w:t>
            </w:r>
            <w:r w:rsidR="00544486" w:rsidRPr="00736139">
              <w:rPr>
                <w:rFonts w:eastAsiaTheme="minorHAnsi"/>
                <w:color w:val="auto"/>
                <w:sz w:val="22"/>
              </w:rPr>
              <w:t xml:space="preserve"> </w:t>
            </w:r>
            <w:r w:rsidR="008B73A9" w:rsidRPr="00736139">
              <w:rPr>
                <w:rFonts w:eastAsiaTheme="minorHAnsi"/>
                <w:color w:val="auto"/>
                <w:sz w:val="22"/>
              </w:rPr>
              <w:t xml:space="preserve">improve the environmental sustainability </w:t>
            </w:r>
            <w:r w:rsidR="00544486" w:rsidRPr="00736139">
              <w:rPr>
                <w:rFonts w:eastAsiaTheme="minorHAnsi"/>
                <w:color w:val="auto"/>
                <w:sz w:val="22"/>
              </w:rPr>
              <w:t>of tourism development.</w:t>
            </w:r>
          </w:p>
        </w:tc>
        <w:tc>
          <w:tcPr>
            <w:tcW w:w="4252" w:type="dxa"/>
          </w:tcPr>
          <w:p w14:paraId="6C0A1218" w14:textId="77777777" w:rsidR="008B73A9" w:rsidRPr="00736139" w:rsidRDefault="008B73A9" w:rsidP="0032029F">
            <w:pPr>
              <w:autoSpaceDE w:val="0"/>
              <w:autoSpaceDN w:val="0"/>
              <w:adjustRightInd w:val="0"/>
              <w:spacing w:before="0"/>
              <w:ind w:left="0" w:firstLine="0"/>
              <w:contextualSpacing/>
              <w:rPr>
                <w:rFonts w:eastAsiaTheme="minorHAnsi"/>
                <w:color w:val="auto"/>
                <w:sz w:val="22"/>
              </w:rPr>
            </w:pPr>
            <w:r w:rsidRPr="00736139">
              <w:rPr>
                <w:rFonts w:eastAsiaTheme="minorHAnsi"/>
                <w:color w:val="auto"/>
                <w:sz w:val="22"/>
              </w:rPr>
              <w:t>The sustainability of the program is highly</w:t>
            </w:r>
          </w:p>
          <w:p w14:paraId="6BB75D00" w14:textId="437F405A" w:rsidR="003609E9" w:rsidRPr="00736139" w:rsidRDefault="008B73A9" w:rsidP="0032029F">
            <w:pPr>
              <w:autoSpaceDE w:val="0"/>
              <w:autoSpaceDN w:val="0"/>
              <w:adjustRightInd w:val="0"/>
              <w:spacing w:before="0"/>
              <w:ind w:left="0" w:firstLine="0"/>
              <w:contextualSpacing/>
              <w:rPr>
                <w:sz w:val="22"/>
              </w:rPr>
            </w:pPr>
            <w:r w:rsidRPr="00736139">
              <w:rPr>
                <w:rFonts w:eastAsiaTheme="minorHAnsi"/>
                <w:color w:val="auto"/>
                <w:sz w:val="22"/>
              </w:rPr>
              <w:t xml:space="preserve">dependent </w:t>
            </w:r>
            <w:r w:rsidR="00544486" w:rsidRPr="00736139">
              <w:rPr>
                <w:rFonts w:eastAsiaTheme="minorHAnsi"/>
                <w:color w:val="auto"/>
                <w:sz w:val="22"/>
              </w:rPr>
              <w:t xml:space="preserve">on communities’ commitment and </w:t>
            </w:r>
            <w:r w:rsidRPr="00736139">
              <w:rPr>
                <w:rFonts w:eastAsiaTheme="minorHAnsi"/>
                <w:color w:val="auto"/>
                <w:sz w:val="22"/>
              </w:rPr>
              <w:t xml:space="preserve">sense of ownership </w:t>
            </w:r>
            <w:r w:rsidR="00544486" w:rsidRPr="00736139">
              <w:rPr>
                <w:rFonts w:eastAsiaTheme="minorHAnsi"/>
                <w:color w:val="auto"/>
                <w:sz w:val="22"/>
              </w:rPr>
              <w:t xml:space="preserve">of and benefits from </w:t>
            </w:r>
            <w:r w:rsidRPr="00736139">
              <w:rPr>
                <w:rFonts w:eastAsiaTheme="minorHAnsi"/>
                <w:color w:val="auto"/>
                <w:sz w:val="22"/>
              </w:rPr>
              <w:t>the various components and</w:t>
            </w:r>
            <w:r w:rsidR="00544486" w:rsidRPr="00736139">
              <w:rPr>
                <w:rFonts w:eastAsiaTheme="minorHAnsi"/>
                <w:color w:val="auto"/>
                <w:sz w:val="22"/>
              </w:rPr>
              <w:t xml:space="preserve"> </w:t>
            </w:r>
            <w:r w:rsidRPr="00736139">
              <w:rPr>
                <w:rFonts w:eastAsiaTheme="minorHAnsi"/>
                <w:color w:val="auto"/>
                <w:sz w:val="22"/>
              </w:rPr>
              <w:t>activities and the capacity of the implementing</w:t>
            </w:r>
            <w:r w:rsidR="00544486" w:rsidRPr="00736139">
              <w:rPr>
                <w:rFonts w:eastAsiaTheme="minorHAnsi"/>
                <w:color w:val="auto"/>
                <w:sz w:val="22"/>
              </w:rPr>
              <w:t xml:space="preserve"> </w:t>
            </w:r>
            <w:r w:rsidRPr="00736139">
              <w:rPr>
                <w:rFonts w:eastAsiaTheme="minorHAnsi"/>
                <w:color w:val="auto"/>
                <w:sz w:val="22"/>
              </w:rPr>
              <w:t>agencies to manage the Program in a sustainable</w:t>
            </w:r>
            <w:r w:rsidR="00544486" w:rsidRPr="00736139">
              <w:rPr>
                <w:rFonts w:eastAsiaTheme="minorHAnsi"/>
                <w:color w:val="auto"/>
                <w:sz w:val="22"/>
              </w:rPr>
              <w:t xml:space="preserve"> </w:t>
            </w:r>
            <w:r w:rsidRPr="00736139">
              <w:rPr>
                <w:rFonts w:eastAsiaTheme="minorHAnsi"/>
                <w:color w:val="auto"/>
                <w:sz w:val="22"/>
              </w:rPr>
              <w:t>manner and establish the necessary mechanism to</w:t>
            </w:r>
            <w:r w:rsidR="00544486" w:rsidRPr="00736139">
              <w:rPr>
                <w:rFonts w:eastAsiaTheme="minorHAnsi"/>
                <w:color w:val="auto"/>
                <w:sz w:val="22"/>
              </w:rPr>
              <w:t xml:space="preserve"> </w:t>
            </w:r>
            <w:r w:rsidRPr="00736139">
              <w:rPr>
                <w:rFonts w:eastAsiaTheme="minorHAnsi"/>
                <w:color w:val="auto"/>
                <w:sz w:val="22"/>
              </w:rPr>
              <w:t>ensure constant dialogue between local</w:t>
            </w:r>
            <w:r w:rsidR="00544486" w:rsidRPr="00736139">
              <w:rPr>
                <w:rFonts w:eastAsiaTheme="minorHAnsi"/>
                <w:color w:val="auto"/>
                <w:sz w:val="22"/>
              </w:rPr>
              <w:t xml:space="preserve"> </w:t>
            </w:r>
            <w:r w:rsidRPr="00736139">
              <w:rPr>
                <w:rFonts w:eastAsiaTheme="minorHAnsi"/>
                <w:color w:val="auto"/>
                <w:sz w:val="22"/>
              </w:rPr>
              <w:t>communities and the government.</w:t>
            </w:r>
            <w:r w:rsidR="00544486" w:rsidRPr="00736139">
              <w:rPr>
                <w:rFonts w:eastAsiaTheme="minorHAnsi"/>
                <w:color w:val="auto"/>
                <w:sz w:val="22"/>
              </w:rPr>
              <w:t xml:space="preserve"> </w:t>
            </w:r>
          </w:p>
        </w:tc>
      </w:tr>
      <w:tr w:rsidR="002D302F" w:rsidRPr="00563D71" w14:paraId="52A02362" w14:textId="77777777" w:rsidTr="0032029F">
        <w:tc>
          <w:tcPr>
            <w:tcW w:w="1696" w:type="dxa"/>
          </w:tcPr>
          <w:p w14:paraId="2DD136B8" w14:textId="336F6DC8" w:rsidR="002D302F" w:rsidRPr="00736139" w:rsidRDefault="002D302F" w:rsidP="0032029F">
            <w:pPr>
              <w:spacing w:before="0"/>
              <w:ind w:left="0" w:right="15" w:firstLine="0"/>
              <w:contextualSpacing/>
              <w:jc w:val="left"/>
              <w:rPr>
                <w:sz w:val="22"/>
              </w:rPr>
            </w:pPr>
            <w:r w:rsidRPr="00736139">
              <w:rPr>
                <w:sz w:val="22"/>
              </w:rPr>
              <w:t xml:space="preserve">Institutional complexity and capacity </w:t>
            </w:r>
          </w:p>
        </w:tc>
        <w:tc>
          <w:tcPr>
            <w:tcW w:w="7654" w:type="dxa"/>
            <w:gridSpan w:val="2"/>
          </w:tcPr>
          <w:p w14:paraId="2C0EE627" w14:textId="7FF11EF0" w:rsidR="002D302F" w:rsidRPr="00736139" w:rsidRDefault="002D302F" w:rsidP="0032029F">
            <w:pPr>
              <w:spacing w:before="0"/>
              <w:ind w:left="0" w:right="15" w:firstLine="0"/>
              <w:contextualSpacing/>
              <w:rPr>
                <w:sz w:val="22"/>
              </w:rPr>
            </w:pPr>
            <w:r w:rsidRPr="00736139">
              <w:rPr>
                <w:sz w:val="22"/>
              </w:rPr>
              <w:t xml:space="preserve">The country environmental </w:t>
            </w:r>
            <w:r w:rsidR="00F3132A" w:rsidRPr="00736139">
              <w:rPr>
                <w:sz w:val="22"/>
              </w:rPr>
              <w:t xml:space="preserve">and social </w:t>
            </w:r>
            <w:r w:rsidRPr="00736139">
              <w:rPr>
                <w:sz w:val="22"/>
              </w:rPr>
              <w:t>system already includes an institutional structure for assessing social and environmental impacts, identifying risks, pre-identification of impact/risk mitigation measures and monitoring and follow up of development projects. The institutional capacity of all involved different stakeholders had been assessed and recommended action is in the Program Action Plan.</w:t>
            </w:r>
            <w:r w:rsidR="00F3132A" w:rsidRPr="00736139">
              <w:rPr>
                <w:sz w:val="22"/>
              </w:rPr>
              <w:t xml:space="preserve"> </w:t>
            </w:r>
            <w:r w:rsidRPr="00736139">
              <w:rPr>
                <w:sz w:val="22"/>
              </w:rPr>
              <w:t xml:space="preserve">There are also some capacity limitations with regard to available external experts and consultants which will be addressed in the Program Management Consultant. The institutional risk, given the existing conditions, is moderate; but the PAP includes measures to strengthen the capacity of the key stakeholders which are designed to minimize those risks. </w:t>
            </w:r>
          </w:p>
        </w:tc>
      </w:tr>
      <w:tr w:rsidR="003609E9" w:rsidRPr="00563D71" w14:paraId="5C27FF5F" w14:textId="77777777" w:rsidTr="0032029F">
        <w:tc>
          <w:tcPr>
            <w:tcW w:w="1696" w:type="dxa"/>
          </w:tcPr>
          <w:p w14:paraId="647A4FCD" w14:textId="03699696" w:rsidR="003609E9" w:rsidRPr="00736139" w:rsidRDefault="003609E9" w:rsidP="0032029F">
            <w:pPr>
              <w:spacing w:before="0"/>
              <w:ind w:left="0" w:right="15" w:firstLine="0"/>
              <w:contextualSpacing/>
              <w:jc w:val="left"/>
              <w:rPr>
                <w:sz w:val="22"/>
              </w:rPr>
            </w:pPr>
            <w:r w:rsidRPr="00736139">
              <w:rPr>
                <w:sz w:val="22"/>
              </w:rPr>
              <w:t>Reputational and political risk context</w:t>
            </w:r>
          </w:p>
        </w:tc>
        <w:tc>
          <w:tcPr>
            <w:tcW w:w="3402" w:type="dxa"/>
          </w:tcPr>
          <w:p w14:paraId="43544636" w14:textId="1800AE5B" w:rsidR="003609E9" w:rsidRPr="00736139" w:rsidRDefault="007C7265" w:rsidP="0032029F">
            <w:pPr>
              <w:autoSpaceDE w:val="0"/>
              <w:autoSpaceDN w:val="0"/>
              <w:adjustRightInd w:val="0"/>
              <w:spacing w:before="0"/>
              <w:ind w:left="0" w:firstLine="0"/>
              <w:contextualSpacing/>
              <w:rPr>
                <w:sz w:val="22"/>
              </w:rPr>
            </w:pPr>
            <w:r w:rsidRPr="00736139">
              <w:rPr>
                <w:rFonts w:eastAsiaTheme="minorEastAsia"/>
                <w:color w:val="auto"/>
                <w:sz w:val="22"/>
              </w:rPr>
              <w:t>There are no governance or corruption risks associated with the</w:t>
            </w:r>
            <w:r w:rsidR="00F3132A" w:rsidRPr="00736139">
              <w:rPr>
                <w:rFonts w:eastAsiaTheme="minorEastAsia"/>
                <w:color w:val="auto"/>
                <w:sz w:val="22"/>
              </w:rPr>
              <w:t xml:space="preserve"> </w:t>
            </w:r>
            <w:r w:rsidRPr="00736139">
              <w:rPr>
                <w:rFonts w:eastAsiaTheme="minorEastAsia"/>
                <w:color w:val="auto"/>
                <w:sz w:val="22"/>
              </w:rPr>
              <w:t xml:space="preserve">environmental aspects of the </w:t>
            </w:r>
            <w:r w:rsidR="00F3132A" w:rsidRPr="00736139">
              <w:rPr>
                <w:rFonts w:eastAsiaTheme="minorEastAsia"/>
                <w:color w:val="auto"/>
                <w:sz w:val="22"/>
              </w:rPr>
              <w:t>P</w:t>
            </w:r>
            <w:r w:rsidRPr="00736139">
              <w:rPr>
                <w:rFonts w:eastAsiaTheme="minorEastAsia"/>
                <w:color w:val="auto"/>
                <w:sz w:val="22"/>
              </w:rPr>
              <w:t xml:space="preserve">rogram. </w:t>
            </w:r>
          </w:p>
        </w:tc>
        <w:tc>
          <w:tcPr>
            <w:tcW w:w="4252" w:type="dxa"/>
          </w:tcPr>
          <w:p w14:paraId="13165E2F" w14:textId="6D2D9FF0" w:rsidR="003609E9" w:rsidRPr="00736139" w:rsidRDefault="007C7265" w:rsidP="0032029F">
            <w:pPr>
              <w:autoSpaceDE w:val="0"/>
              <w:autoSpaceDN w:val="0"/>
              <w:adjustRightInd w:val="0"/>
              <w:spacing w:before="0"/>
              <w:ind w:left="0" w:firstLine="0"/>
              <w:contextualSpacing/>
              <w:rPr>
                <w:sz w:val="22"/>
              </w:rPr>
            </w:pPr>
            <w:r w:rsidRPr="00736139">
              <w:rPr>
                <w:rFonts w:eastAsiaTheme="minorEastAsia"/>
                <w:color w:val="auto"/>
                <w:sz w:val="22"/>
              </w:rPr>
              <w:t>The Program includes a number of measures to mitigate potential</w:t>
            </w:r>
            <w:r w:rsidR="00544486" w:rsidRPr="00736139">
              <w:rPr>
                <w:rFonts w:eastAsiaTheme="minorEastAsia"/>
                <w:color w:val="auto"/>
                <w:sz w:val="22"/>
              </w:rPr>
              <w:t xml:space="preserve"> </w:t>
            </w:r>
            <w:r w:rsidRPr="00736139">
              <w:rPr>
                <w:rFonts w:eastAsiaTheme="minorEastAsia"/>
                <w:color w:val="auto"/>
                <w:sz w:val="22"/>
              </w:rPr>
              <w:t>social risks and to ensure citizen engagement and</w:t>
            </w:r>
            <w:r w:rsidR="00544486" w:rsidRPr="00736139">
              <w:rPr>
                <w:rFonts w:eastAsiaTheme="minorEastAsia"/>
                <w:color w:val="auto"/>
                <w:sz w:val="22"/>
              </w:rPr>
              <w:t xml:space="preserve"> </w:t>
            </w:r>
            <w:r w:rsidRPr="00736139">
              <w:rPr>
                <w:rFonts w:eastAsiaTheme="minorEastAsia"/>
                <w:color w:val="auto"/>
                <w:sz w:val="22"/>
              </w:rPr>
              <w:t>participation in planning and implement</w:t>
            </w:r>
            <w:r w:rsidR="00544486" w:rsidRPr="00736139">
              <w:rPr>
                <w:rFonts w:eastAsiaTheme="minorEastAsia"/>
                <w:color w:val="auto"/>
                <w:sz w:val="22"/>
              </w:rPr>
              <w:t>ation</w:t>
            </w:r>
            <w:r w:rsidRPr="00736139">
              <w:rPr>
                <w:rFonts w:eastAsiaTheme="minorEastAsia"/>
                <w:color w:val="auto"/>
                <w:sz w:val="22"/>
              </w:rPr>
              <w:t xml:space="preserve"> of the</w:t>
            </w:r>
            <w:r w:rsidR="00F3132A" w:rsidRPr="00736139">
              <w:rPr>
                <w:rFonts w:eastAsiaTheme="minorEastAsia"/>
                <w:color w:val="auto"/>
                <w:sz w:val="22"/>
              </w:rPr>
              <w:t xml:space="preserve"> </w:t>
            </w:r>
            <w:r w:rsidRPr="00736139">
              <w:rPr>
                <w:rFonts w:eastAsiaTheme="minorEastAsia"/>
                <w:color w:val="auto"/>
                <w:sz w:val="22"/>
              </w:rPr>
              <w:t>Program. If the committed measures cannot be</w:t>
            </w:r>
            <w:r w:rsidR="00544486" w:rsidRPr="00736139">
              <w:rPr>
                <w:rFonts w:eastAsiaTheme="minorEastAsia"/>
                <w:color w:val="auto"/>
                <w:sz w:val="22"/>
              </w:rPr>
              <w:t xml:space="preserve"> </w:t>
            </w:r>
            <w:r w:rsidRPr="00736139">
              <w:rPr>
                <w:rFonts w:eastAsiaTheme="minorEastAsia"/>
                <w:color w:val="auto"/>
                <w:sz w:val="22"/>
              </w:rPr>
              <w:t>implemented adequately, there might be a risk of</w:t>
            </w:r>
            <w:r w:rsidR="00544486" w:rsidRPr="00736139">
              <w:rPr>
                <w:rFonts w:eastAsiaTheme="minorEastAsia"/>
                <w:color w:val="auto"/>
                <w:sz w:val="22"/>
              </w:rPr>
              <w:t xml:space="preserve"> </w:t>
            </w:r>
            <w:r w:rsidRPr="00736139">
              <w:rPr>
                <w:rFonts w:eastAsiaTheme="minorEastAsia"/>
                <w:color w:val="auto"/>
                <w:sz w:val="22"/>
              </w:rPr>
              <w:t>losing local people’s trust and confidence to the</w:t>
            </w:r>
            <w:r w:rsidR="00544486" w:rsidRPr="00736139">
              <w:rPr>
                <w:rFonts w:eastAsiaTheme="minorEastAsia"/>
                <w:color w:val="auto"/>
                <w:sz w:val="22"/>
              </w:rPr>
              <w:t xml:space="preserve"> </w:t>
            </w:r>
            <w:r w:rsidRPr="00736139">
              <w:rPr>
                <w:rFonts w:eastAsiaTheme="minorEastAsia"/>
                <w:color w:val="auto"/>
                <w:sz w:val="22"/>
              </w:rPr>
              <w:t>government and the Bank.</w:t>
            </w:r>
            <w:r w:rsidR="00544486" w:rsidRPr="00736139">
              <w:rPr>
                <w:rFonts w:eastAsiaTheme="minorEastAsia"/>
                <w:color w:val="auto"/>
                <w:sz w:val="22"/>
              </w:rPr>
              <w:t xml:space="preserve">  Legacy issues related to land acquisition </w:t>
            </w:r>
            <w:r w:rsidR="009341AC" w:rsidRPr="00736139">
              <w:rPr>
                <w:rFonts w:eastAsiaTheme="minorEastAsia"/>
                <w:color w:val="auto"/>
                <w:sz w:val="22"/>
              </w:rPr>
              <w:t xml:space="preserve">for investments </w:t>
            </w:r>
            <w:r w:rsidR="00AE4056" w:rsidRPr="00736139">
              <w:rPr>
                <w:rFonts w:eastAsiaTheme="minorEastAsia"/>
                <w:color w:val="auto"/>
                <w:sz w:val="22"/>
              </w:rPr>
              <w:t>not fina</w:t>
            </w:r>
            <w:r w:rsidR="009341AC" w:rsidRPr="00736139">
              <w:rPr>
                <w:rFonts w:eastAsiaTheme="minorEastAsia"/>
                <w:color w:val="auto"/>
                <w:sz w:val="22"/>
              </w:rPr>
              <w:t>nced under the Progra</w:t>
            </w:r>
            <w:r w:rsidR="00AE4056" w:rsidRPr="00736139">
              <w:rPr>
                <w:rFonts w:eastAsiaTheme="minorEastAsia"/>
                <w:color w:val="auto"/>
                <w:sz w:val="22"/>
              </w:rPr>
              <w:t>m, but perceived to be associated</w:t>
            </w:r>
            <w:r w:rsidR="009341AC" w:rsidRPr="00736139">
              <w:rPr>
                <w:rFonts w:eastAsiaTheme="minorEastAsia"/>
                <w:color w:val="auto"/>
                <w:sz w:val="22"/>
              </w:rPr>
              <w:t xml:space="preserve"> to the Program</w:t>
            </w:r>
            <w:r w:rsidR="00AE4056" w:rsidRPr="00736139">
              <w:rPr>
                <w:rFonts w:eastAsiaTheme="minorEastAsia"/>
                <w:color w:val="auto"/>
                <w:sz w:val="22"/>
              </w:rPr>
              <w:t xml:space="preserve">, </w:t>
            </w:r>
            <w:r w:rsidR="00544486" w:rsidRPr="00736139">
              <w:rPr>
                <w:rFonts w:eastAsiaTheme="minorEastAsia"/>
                <w:color w:val="auto"/>
                <w:sz w:val="22"/>
              </w:rPr>
              <w:t xml:space="preserve">could pose reputational risk.  The ESSA describes measures to ensure that such issues are identified in the ITMP process and to resolve the issues or, in the event that </w:t>
            </w:r>
            <w:r w:rsidR="00544486" w:rsidRPr="00736139">
              <w:rPr>
                <w:rFonts w:eastAsiaTheme="minorEastAsia"/>
                <w:color w:val="auto"/>
                <w:sz w:val="22"/>
              </w:rPr>
              <w:lastRenderedPageBreak/>
              <w:t>resolution is not possible, to eliminate the affected area from the Program.</w:t>
            </w:r>
          </w:p>
        </w:tc>
      </w:tr>
      <w:tr w:rsidR="003609E9" w:rsidRPr="00563D71" w14:paraId="410E038E" w14:textId="77777777" w:rsidTr="0032029F">
        <w:tc>
          <w:tcPr>
            <w:tcW w:w="1696" w:type="dxa"/>
          </w:tcPr>
          <w:p w14:paraId="0E081290" w14:textId="51AB3DD2" w:rsidR="003609E9" w:rsidRPr="00736139" w:rsidRDefault="003609E9" w:rsidP="0032029F">
            <w:pPr>
              <w:spacing w:before="0"/>
              <w:ind w:left="0" w:right="15" w:firstLine="0"/>
              <w:contextualSpacing/>
              <w:jc w:val="left"/>
              <w:rPr>
                <w:sz w:val="22"/>
              </w:rPr>
            </w:pPr>
            <w:r w:rsidRPr="00736139">
              <w:rPr>
                <w:sz w:val="22"/>
              </w:rPr>
              <w:lastRenderedPageBreak/>
              <w:t xml:space="preserve">Overall Assessment </w:t>
            </w:r>
          </w:p>
        </w:tc>
        <w:tc>
          <w:tcPr>
            <w:tcW w:w="3402" w:type="dxa"/>
          </w:tcPr>
          <w:p w14:paraId="66BCD528" w14:textId="47CD2B32" w:rsidR="003609E9" w:rsidRPr="00736139" w:rsidRDefault="00287B6F" w:rsidP="0032029F">
            <w:pPr>
              <w:spacing w:before="0"/>
              <w:ind w:left="0" w:right="15" w:firstLine="0"/>
              <w:contextualSpacing/>
              <w:rPr>
                <w:sz w:val="22"/>
              </w:rPr>
            </w:pPr>
            <w:r w:rsidRPr="00736139">
              <w:rPr>
                <w:sz w:val="22"/>
              </w:rPr>
              <w:t xml:space="preserve">The assessment indicates that the program will not include Category-A-type activities. Accordingly, the PforR instrument is suitable for financing the program. The overall environmental risk for the program is </w:t>
            </w:r>
            <w:r w:rsidR="00544486" w:rsidRPr="00736139">
              <w:rPr>
                <w:sz w:val="22"/>
              </w:rPr>
              <w:t>moderate</w:t>
            </w:r>
            <w:r w:rsidR="00F3132A" w:rsidRPr="00736139">
              <w:rPr>
                <w:sz w:val="22"/>
              </w:rPr>
              <w:t xml:space="preserve">. </w:t>
            </w:r>
            <w:r w:rsidRPr="00736139">
              <w:rPr>
                <w:sz w:val="22"/>
              </w:rPr>
              <w:t xml:space="preserve">The implementation of the recommended PAP would effectively minimize the risk. </w:t>
            </w:r>
          </w:p>
        </w:tc>
        <w:tc>
          <w:tcPr>
            <w:tcW w:w="4252" w:type="dxa"/>
          </w:tcPr>
          <w:p w14:paraId="754A5E3B" w14:textId="3B9E6752" w:rsidR="003609E9" w:rsidRPr="00736139" w:rsidRDefault="00287B6F" w:rsidP="0032029F">
            <w:pPr>
              <w:spacing w:before="0"/>
              <w:ind w:left="0" w:right="15" w:firstLine="0"/>
              <w:contextualSpacing/>
              <w:rPr>
                <w:sz w:val="22"/>
              </w:rPr>
            </w:pPr>
            <w:r w:rsidRPr="00736139">
              <w:rPr>
                <w:sz w:val="22"/>
              </w:rPr>
              <w:t>The ESSA set</w:t>
            </w:r>
            <w:r w:rsidR="00F3132A" w:rsidRPr="00736139">
              <w:rPr>
                <w:sz w:val="22"/>
              </w:rPr>
              <w:t>s</w:t>
            </w:r>
            <w:r w:rsidRPr="00736139">
              <w:rPr>
                <w:sz w:val="22"/>
              </w:rPr>
              <w:t xml:space="preserve"> forth the measures needed to address and mitigate the social risks. In the meantime, the design of the </w:t>
            </w:r>
            <w:r w:rsidR="00F3132A" w:rsidRPr="00736139">
              <w:rPr>
                <w:sz w:val="22"/>
              </w:rPr>
              <w:t>I</w:t>
            </w:r>
            <w:r w:rsidRPr="00736139">
              <w:rPr>
                <w:sz w:val="22"/>
              </w:rPr>
              <w:t xml:space="preserve">nvestment </w:t>
            </w:r>
            <w:r w:rsidR="00F3132A" w:rsidRPr="00736139">
              <w:rPr>
                <w:sz w:val="22"/>
              </w:rPr>
              <w:t>and Expenditure M</w:t>
            </w:r>
            <w:r w:rsidRPr="00736139">
              <w:rPr>
                <w:sz w:val="22"/>
              </w:rPr>
              <w:t>enu</w:t>
            </w:r>
            <w:r w:rsidR="00A20519" w:rsidRPr="00736139">
              <w:rPr>
                <w:sz w:val="22"/>
              </w:rPr>
              <w:t>,</w:t>
            </w:r>
            <w:r w:rsidRPr="00736139">
              <w:rPr>
                <w:sz w:val="22"/>
              </w:rPr>
              <w:t xml:space="preserve"> </w:t>
            </w:r>
            <w:r w:rsidR="00F3132A" w:rsidRPr="00736139">
              <w:rPr>
                <w:sz w:val="22"/>
              </w:rPr>
              <w:t>combined with the use of the ITMPs</w:t>
            </w:r>
            <w:r w:rsidR="00A20519" w:rsidRPr="00736139">
              <w:rPr>
                <w:sz w:val="22"/>
              </w:rPr>
              <w:t>,</w:t>
            </w:r>
            <w:r w:rsidR="00F3132A" w:rsidRPr="00736139">
              <w:rPr>
                <w:sz w:val="22"/>
              </w:rPr>
              <w:t xml:space="preserve"> avoids </w:t>
            </w:r>
            <w:r w:rsidRPr="00736139">
              <w:rPr>
                <w:sz w:val="22"/>
              </w:rPr>
              <w:t xml:space="preserve">activities/projects that could be of significant social risk (e.g. those activities that may result in physical displacement, impacts on livelihoods or significant involuntary resettlement impacts). Although the social system assessment indicates that the risk is </w:t>
            </w:r>
            <w:r w:rsidR="00604C9B" w:rsidRPr="00736139">
              <w:rPr>
                <w:sz w:val="22"/>
              </w:rPr>
              <w:t>moderate</w:t>
            </w:r>
            <w:r w:rsidRPr="00736139">
              <w:rPr>
                <w:sz w:val="22"/>
              </w:rPr>
              <w:t>, the measures recommended in the PAP and elsewhere in the Program design will minimize th</w:t>
            </w:r>
            <w:r w:rsidR="00A20519" w:rsidRPr="00736139">
              <w:rPr>
                <w:sz w:val="22"/>
              </w:rPr>
              <w:t>ese</w:t>
            </w:r>
            <w:r w:rsidRPr="00736139">
              <w:rPr>
                <w:sz w:val="22"/>
              </w:rPr>
              <w:t xml:space="preserve"> risks.   </w:t>
            </w:r>
          </w:p>
        </w:tc>
      </w:tr>
    </w:tbl>
    <w:p w14:paraId="650F9134" w14:textId="45D1CB77" w:rsidR="00EE09A3" w:rsidRPr="00563D71" w:rsidRDefault="00D04B10" w:rsidP="0032029F">
      <w:pPr>
        <w:pStyle w:val="MainParanoChapter-Ch3"/>
        <w:spacing w:before="120"/>
      </w:pPr>
      <w:r w:rsidRPr="00563D71">
        <w:t xml:space="preserve">Table </w:t>
      </w:r>
      <w:r w:rsidR="00544486" w:rsidRPr="00563D71">
        <w:t xml:space="preserve">13 </w:t>
      </w:r>
      <w:r w:rsidRPr="00563D71">
        <w:t>summarizes the environmental and social risks associated to the Program</w:t>
      </w:r>
      <w:r w:rsidR="00512AE6" w:rsidRPr="00563D71">
        <w:t xml:space="preserve">, developed based on the explanation in the </w:t>
      </w:r>
      <w:r w:rsidR="008035E1" w:rsidRPr="00563D71">
        <w:t>Section 1.3 on Typology of Works and Activities under each RA, Section 3 of this ESSA</w:t>
      </w:r>
      <w:r w:rsidR="00544486" w:rsidRPr="00563D71">
        <w:t>, and Table 12 above</w:t>
      </w:r>
      <w:r w:rsidR="008035E1" w:rsidRPr="00563D71">
        <w:t>.</w:t>
      </w:r>
      <w:r w:rsidRPr="00563D71">
        <w:t xml:space="preserve">   </w:t>
      </w:r>
    </w:p>
    <w:p w14:paraId="02344E8D" w14:textId="2E954564" w:rsidR="00245F03" w:rsidRPr="00563D71" w:rsidRDefault="00245F03" w:rsidP="0032029F">
      <w:pPr>
        <w:ind w:left="0" w:right="15" w:firstLine="0"/>
        <w:jc w:val="left"/>
      </w:pPr>
    </w:p>
    <w:p w14:paraId="03AB4812" w14:textId="2F93DB68" w:rsidR="00245F03" w:rsidRPr="00563D71" w:rsidRDefault="00D04B10" w:rsidP="003D2E29">
      <w:pPr>
        <w:pStyle w:val="NoSpacing"/>
        <w:jc w:val="center"/>
      </w:pPr>
      <w:bookmarkStart w:id="102" w:name="_Toc485824774"/>
      <w:r w:rsidRPr="00563D71">
        <w:t xml:space="preserve">Table </w:t>
      </w:r>
      <w:r w:rsidR="00544486" w:rsidRPr="00563D71">
        <w:t>13</w:t>
      </w:r>
      <w:r w:rsidRPr="00563D71">
        <w:t>. Global risk assessment of the Program.</w:t>
      </w:r>
      <w:bookmarkEnd w:id="102"/>
    </w:p>
    <w:p w14:paraId="015EEA30" w14:textId="77777777" w:rsidR="00204801" w:rsidRPr="00563D71" w:rsidRDefault="00204801" w:rsidP="003D2E29">
      <w:pPr>
        <w:pStyle w:val="NoSpacing"/>
      </w:pPr>
    </w:p>
    <w:tbl>
      <w:tblPr>
        <w:tblStyle w:val="TableGrid"/>
        <w:tblW w:w="9401" w:type="dxa"/>
        <w:tblInd w:w="1" w:type="dxa"/>
        <w:tblLayout w:type="fixed"/>
        <w:tblCellMar>
          <w:top w:w="5" w:type="dxa"/>
          <w:left w:w="8" w:type="dxa"/>
          <w:right w:w="22" w:type="dxa"/>
        </w:tblCellMar>
        <w:tblLook w:val="04A0" w:firstRow="1" w:lastRow="0" w:firstColumn="1" w:lastColumn="0" w:noHBand="0" w:noVBand="1"/>
      </w:tblPr>
      <w:tblGrid>
        <w:gridCol w:w="4446"/>
        <w:gridCol w:w="2069"/>
        <w:gridCol w:w="2886"/>
      </w:tblGrid>
      <w:tr w:rsidR="00245F03" w:rsidRPr="00563D71" w14:paraId="23731F12" w14:textId="77777777" w:rsidTr="0032029F">
        <w:trPr>
          <w:trHeight w:val="246"/>
        </w:trPr>
        <w:tc>
          <w:tcPr>
            <w:tcW w:w="4446"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5CF899A1" w14:textId="77777777" w:rsidR="00245F03" w:rsidRPr="00563D71" w:rsidRDefault="00D04B10" w:rsidP="00CF22F2">
            <w:pPr>
              <w:spacing w:before="0"/>
              <w:ind w:left="0" w:firstLine="0"/>
              <w:jc w:val="left"/>
            </w:pPr>
            <w:r w:rsidRPr="00563D71">
              <w:rPr>
                <w:b/>
                <w:i/>
                <w:sz w:val="22"/>
              </w:rPr>
              <w:t xml:space="preserve">  Risks </w:t>
            </w:r>
          </w:p>
        </w:tc>
        <w:tc>
          <w:tcPr>
            <w:tcW w:w="4955" w:type="dxa"/>
            <w:gridSpan w:val="2"/>
            <w:tcBorders>
              <w:top w:val="single" w:sz="4" w:space="0" w:color="000000"/>
              <w:left w:val="single" w:sz="4" w:space="0" w:color="000000"/>
              <w:bottom w:val="single" w:sz="4" w:space="0" w:color="000000"/>
              <w:right w:val="single" w:sz="4" w:space="0" w:color="000000"/>
            </w:tcBorders>
            <w:shd w:val="clear" w:color="auto" w:fill="95B3D7"/>
          </w:tcPr>
          <w:p w14:paraId="482A8D14" w14:textId="77777777" w:rsidR="00245F03" w:rsidRPr="00563D71" w:rsidRDefault="00D04B10" w:rsidP="00CF22F2">
            <w:pPr>
              <w:spacing w:before="0"/>
              <w:ind w:firstLine="0"/>
              <w:jc w:val="center"/>
            </w:pPr>
            <w:r w:rsidRPr="00563D71">
              <w:rPr>
                <w:b/>
                <w:i/>
                <w:sz w:val="22"/>
              </w:rPr>
              <w:t xml:space="preserve">Valuation </w:t>
            </w:r>
          </w:p>
        </w:tc>
      </w:tr>
      <w:tr w:rsidR="00245F03" w:rsidRPr="00563D71" w14:paraId="31207E94" w14:textId="77777777" w:rsidTr="0032029F">
        <w:trPr>
          <w:trHeight w:val="218"/>
        </w:trPr>
        <w:tc>
          <w:tcPr>
            <w:tcW w:w="4446" w:type="dxa"/>
            <w:vMerge/>
            <w:tcBorders>
              <w:top w:val="nil"/>
              <w:left w:val="single" w:sz="4" w:space="0" w:color="000000"/>
              <w:bottom w:val="single" w:sz="4" w:space="0" w:color="000000"/>
              <w:right w:val="single" w:sz="4" w:space="0" w:color="000000"/>
            </w:tcBorders>
          </w:tcPr>
          <w:p w14:paraId="127BB11C" w14:textId="77777777" w:rsidR="00245F03" w:rsidRPr="00563D71" w:rsidRDefault="00245F03" w:rsidP="00CF22F2">
            <w:pPr>
              <w:spacing w:before="0"/>
              <w:ind w:left="0" w:firstLine="0"/>
              <w:jc w:val="left"/>
            </w:pPr>
          </w:p>
        </w:tc>
        <w:tc>
          <w:tcPr>
            <w:tcW w:w="2069" w:type="dxa"/>
            <w:tcBorders>
              <w:top w:val="single" w:sz="4" w:space="0" w:color="000000"/>
              <w:left w:val="single" w:sz="4" w:space="0" w:color="000000"/>
              <w:bottom w:val="single" w:sz="4" w:space="0" w:color="000000"/>
              <w:right w:val="single" w:sz="4" w:space="0" w:color="000000"/>
            </w:tcBorders>
            <w:shd w:val="clear" w:color="auto" w:fill="95B3D7"/>
          </w:tcPr>
          <w:p w14:paraId="2E464229" w14:textId="77777777" w:rsidR="00245F03" w:rsidRPr="00563D71" w:rsidRDefault="00D04B10" w:rsidP="00CF22F2">
            <w:pPr>
              <w:spacing w:before="0"/>
              <w:ind w:left="64" w:firstLine="0"/>
            </w:pPr>
            <w:r w:rsidRPr="00563D71">
              <w:rPr>
                <w:b/>
                <w:i/>
                <w:sz w:val="22"/>
              </w:rPr>
              <w:t xml:space="preserve">Environment </w:t>
            </w:r>
          </w:p>
        </w:tc>
        <w:tc>
          <w:tcPr>
            <w:tcW w:w="2886" w:type="dxa"/>
            <w:tcBorders>
              <w:top w:val="single" w:sz="4" w:space="0" w:color="000000"/>
              <w:left w:val="single" w:sz="4" w:space="0" w:color="000000"/>
              <w:bottom w:val="single" w:sz="4" w:space="0" w:color="000000"/>
              <w:right w:val="single" w:sz="4" w:space="0" w:color="000000"/>
            </w:tcBorders>
            <w:shd w:val="clear" w:color="auto" w:fill="95B3D7"/>
          </w:tcPr>
          <w:p w14:paraId="5864E134" w14:textId="77777777" w:rsidR="00245F03" w:rsidRPr="00563D71" w:rsidRDefault="00D04B10" w:rsidP="00CF22F2">
            <w:pPr>
              <w:spacing w:before="0"/>
              <w:ind w:left="13" w:firstLine="0"/>
              <w:jc w:val="center"/>
            </w:pPr>
            <w:r w:rsidRPr="00563D71">
              <w:rPr>
                <w:b/>
                <w:i/>
                <w:sz w:val="22"/>
              </w:rPr>
              <w:t xml:space="preserve">Social </w:t>
            </w:r>
          </w:p>
        </w:tc>
      </w:tr>
      <w:tr w:rsidR="00245F03" w:rsidRPr="00563D71" w14:paraId="57DA3A6E" w14:textId="77777777" w:rsidTr="0032029F">
        <w:trPr>
          <w:trHeight w:val="52"/>
        </w:trPr>
        <w:tc>
          <w:tcPr>
            <w:tcW w:w="4446" w:type="dxa"/>
            <w:tcBorders>
              <w:top w:val="single" w:sz="4" w:space="0" w:color="000000"/>
              <w:left w:val="single" w:sz="4" w:space="0" w:color="000000"/>
              <w:bottom w:val="single" w:sz="4" w:space="0" w:color="000000"/>
              <w:right w:val="single" w:sz="4" w:space="0" w:color="000000"/>
            </w:tcBorders>
          </w:tcPr>
          <w:p w14:paraId="46A4C2D1" w14:textId="5017FCA7" w:rsidR="00245F03" w:rsidRPr="00563D71" w:rsidRDefault="00D04B10" w:rsidP="006631C6">
            <w:pPr>
              <w:spacing w:before="0"/>
              <w:ind w:left="0" w:firstLine="0"/>
              <w:jc w:val="left"/>
              <w:rPr>
                <w:sz w:val="22"/>
              </w:rPr>
            </w:pPr>
            <w:r w:rsidRPr="00563D71">
              <w:rPr>
                <w:sz w:val="22"/>
              </w:rPr>
              <w:t xml:space="preserve">Environmental and social effects associated </w:t>
            </w:r>
            <w:r w:rsidR="006631C6" w:rsidRPr="00563D71">
              <w:rPr>
                <w:sz w:val="22"/>
              </w:rPr>
              <w:t>with P</w:t>
            </w:r>
            <w:r w:rsidRPr="00563D71">
              <w:rPr>
                <w:sz w:val="22"/>
              </w:rPr>
              <w:t xml:space="preserve">rogram activities  </w:t>
            </w:r>
          </w:p>
        </w:tc>
        <w:tc>
          <w:tcPr>
            <w:tcW w:w="2069" w:type="dxa"/>
            <w:tcBorders>
              <w:top w:val="single" w:sz="4" w:space="0" w:color="000000"/>
              <w:left w:val="single" w:sz="4" w:space="0" w:color="000000"/>
              <w:bottom w:val="single" w:sz="4" w:space="0" w:color="000000"/>
              <w:right w:val="single" w:sz="4" w:space="0" w:color="000000"/>
            </w:tcBorders>
            <w:vAlign w:val="center"/>
          </w:tcPr>
          <w:p w14:paraId="39D2979B" w14:textId="56677A94" w:rsidR="00245F03" w:rsidRPr="00563D71" w:rsidRDefault="0005768B" w:rsidP="00CF22F2">
            <w:pPr>
              <w:spacing w:before="0"/>
              <w:ind w:left="10" w:firstLine="0"/>
              <w:jc w:val="center"/>
              <w:rPr>
                <w:sz w:val="22"/>
              </w:rPr>
            </w:pPr>
            <w:r w:rsidRPr="00563D71">
              <w:rPr>
                <w:sz w:val="22"/>
              </w:rPr>
              <w:t>Moderate</w:t>
            </w:r>
          </w:p>
        </w:tc>
        <w:tc>
          <w:tcPr>
            <w:tcW w:w="2886" w:type="dxa"/>
            <w:tcBorders>
              <w:top w:val="single" w:sz="4" w:space="0" w:color="000000"/>
              <w:left w:val="single" w:sz="4" w:space="0" w:color="000000"/>
              <w:bottom w:val="single" w:sz="4" w:space="0" w:color="000000"/>
              <w:right w:val="single" w:sz="4" w:space="0" w:color="000000"/>
            </w:tcBorders>
            <w:vAlign w:val="center"/>
          </w:tcPr>
          <w:p w14:paraId="5F0EDA51" w14:textId="6F3D9E30" w:rsidR="00245F03" w:rsidRPr="00563D71" w:rsidRDefault="0005768B" w:rsidP="00CF22F2">
            <w:pPr>
              <w:spacing w:before="0"/>
              <w:ind w:left="15" w:firstLine="0"/>
              <w:jc w:val="center"/>
              <w:rPr>
                <w:sz w:val="22"/>
              </w:rPr>
            </w:pPr>
            <w:r w:rsidRPr="00563D71">
              <w:rPr>
                <w:sz w:val="22"/>
              </w:rPr>
              <w:t>Moderate</w:t>
            </w:r>
          </w:p>
        </w:tc>
      </w:tr>
      <w:tr w:rsidR="00245F03" w:rsidRPr="00563D71" w14:paraId="68969B31" w14:textId="77777777" w:rsidTr="0032029F">
        <w:trPr>
          <w:trHeight w:val="52"/>
        </w:trPr>
        <w:tc>
          <w:tcPr>
            <w:tcW w:w="4446" w:type="dxa"/>
            <w:tcBorders>
              <w:top w:val="single" w:sz="4" w:space="0" w:color="000000"/>
              <w:left w:val="single" w:sz="4" w:space="0" w:color="000000"/>
              <w:bottom w:val="single" w:sz="4" w:space="0" w:color="000000"/>
              <w:right w:val="single" w:sz="4" w:space="0" w:color="000000"/>
            </w:tcBorders>
          </w:tcPr>
          <w:p w14:paraId="6A00621A" w14:textId="77777777" w:rsidR="00245F03" w:rsidRPr="00563D71" w:rsidRDefault="00D04B10" w:rsidP="00CF22F2">
            <w:pPr>
              <w:spacing w:before="0"/>
              <w:ind w:left="0" w:firstLine="0"/>
              <w:jc w:val="left"/>
              <w:rPr>
                <w:sz w:val="22"/>
              </w:rPr>
            </w:pPr>
            <w:r w:rsidRPr="00563D71">
              <w:rPr>
                <w:sz w:val="22"/>
              </w:rPr>
              <w:t xml:space="preserve">National environmental and social context </w:t>
            </w:r>
          </w:p>
        </w:tc>
        <w:tc>
          <w:tcPr>
            <w:tcW w:w="2069" w:type="dxa"/>
            <w:tcBorders>
              <w:top w:val="single" w:sz="4" w:space="0" w:color="000000"/>
              <w:left w:val="single" w:sz="4" w:space="0" w:color="000000"/>
              <w:bottom w:val="single" w:sz="4" w:space="0" w:color="000000"/>
              <w:right w:val="single" w:sz="4" w:space="0" w:color="000000"/>
            </w:tcBorders>
            <w:vAlign w:val="center"/>
          </w:tcPr>
          <w:p w14:paraId="2BC07EFA" w14:textId="77777777" w:rsidR="00245F03" w:rsidRPr="00563D71" w:rsidRDefault="00D04B10" w:rsidP="00CF22F2">
            <w:pPr>
              <w:spacing w:before="0"/>
              <w:ind w:left="10" w:firstLine="0"/>
              <w:jc w:val="center"/>
              <w:rPr>
                <w:sz w:val="22"/>
              </w:rPr>
            </w:pPr>
            <w:r w:rsidRPr="00563D71">
              <w:rPr>
                <w:sz w:val="22"/>
              </w:rPr>
              <w:t xml:space="preserve">Low </w:t>
            </w:r>
          </w:p>
        </w:tc>
        <w:tc>
          <w:tcPr>
            <w:tcW w:w="2886" w:type="dxa"/>
            <w:tcBorders>
              <w:top w:val="single" w:sz="4" w:space="0" w:color="000000"/>
              <w:left w:val="single" w:sz="4" w:space="0" w:color="000000"/>
              <w:bottom w:val="single" w:sz="4" w:space="0" w:color="000000"/>
              <w:right w:val="single" w:sz="4" w:space="0" w:color="000000"/>
            </w:tcBorders>
            <w:vAlign w:val="center"/>
          </w:tcPr>
          <w:p w14:paraId="12D3F625" w14:textId="77777777" w:rsidR="00245F03" w:rsidRPr="00563D71" w:rsidRDefault="00D04B10" w:rsidP="00CF22F2">
            <w:pPr>
              <w:spacing w:before="0"/>
              <w:ind w:left="15" w:firstLine="0"/>
              <w:jc w:val="center"/>
              <w:rPr>
                <w:sz w:val="22"/>
              </w:rPr>
            </w:pPr>
            <w:r w:rsidRPr="00563D71">
              <w:rPr>
                <w:sz w:val="22"/>
              </w:rPr>
              <w:t xml:space="preserve">Low </w:t>
            </w:r>
          </w:p>
        </w:tc>
      </w:tr>
      <w:tr w:rsidR="00245F03" w:rsidRPr="00563D71" w14:paraId="1EDF5DCF" w14:textId="77777777" w:rsidTr="0032029F">
        <w:trPr>
          <w:trHeight w:val="52"/>
        </w:trPr>
        <w:tc>
          <w:tcPr>
            <w:tcW w:w="4446" w:type="dxa"/>
            <w:tcBorders>
              <w:top w:val="single" w:sz="4" w:space="0" w:color="000000"/>
              <w:left w:val="single" w:sz="4" w:space="0" w:color="000000"/>
              <w:bottom w:val="single" w:sz="4" w:space="0" w:color="000000"/>
              <w:right w:val="single" w:sz="4" w:space="0" w:color="000000"/>
            </w:tcBorders>
          </w:tcPr>
          <w:p w14:paraId="74CC9804" w14:textId="2655A223" w:rsidR="00245F03" w:rsidRPr="00563D71" w:rsidRDefault="00D04B10" w:rsidP="00CF22F2">
            <w:pPr>
              <w:spacing w:before="0"/>
              <w:ind w:left="0" w:firstLine="0"/>
              <w:jc w:val="left"/>
              <w:rPr>
                <w:sz w:val="22"/>
              </w:rPr>
            </w:pPr>
            <w:r w:rsidRPr="00563D71">
              <w:rPr>
                <w:sz w:val="22"/>
              </w:rPr>
              <w:t xml:space="preserve">Strategy and sustainability of the </w:t>
            </w:r>
            <w:r w:rsidR="006631C6" w:rsidRPr="00563D71">
              <w:rPr>
                <w:sz w:val="22"/>
              </w:rPr>
              <w:t>P</w:t>
            </w:r>
            <w:r w:rsidRPr="00563D71">
              <w:rPr>
                <w:sz w:val="22"/>
              </w:rPr>
              <w:t xml:space="preserve">rogram </w:t>
            </w:r>
          </w:p>
        </w:tc>
        <w:tc>
          <w:tcPr>
            <w:tcW w:w="2069" w:type="dxa"/>
            <w:tcBorders>
              <w:top w:val="single" w:sz="4" w:space="0" w:color="000000"/>
              <w:left w:val="single" w:sz="4" w:space="0" w:color="000000"/>
              <w:bottom w:val="single" w:sz="4" w:space="0" w:color="000000"/>
              <w:right w:val="single" w:sz="4" w:space="0" w:color="000000"/>
            </w:tcBorders>
            <w:vAlign w:val="center"/>
          </w:tcPr>
          <w:p w14:paraId="67F0BCE6" w14:textId="6C16BC96" w:rsidR="00245F03" w:rsidRPr="00563D71" w:rsidRDefault="00226860" w:rsidP="00CF22F2">
            <w:pPr>
              <w:spacing w:before="0"/>
              <w:ind w:left="10" w:firstLine="0"/>
              <w:jc w:val="center"/>
              <w:rPr>
                <w:sz w:val="22"/>
              </w:rPr>
            </w:pPr>
            <w:r w:rsidRPr="00563D71">
              <w:rPr>
                <w:sz w:val="22"/>
              </w:rPr>
              <w:t>Moderate</w:t>
            </w:r>
          </w:p>
        </w:tc>
        <w:tc>
          <w:tcPr>
            <w:tcW w:w="2886" w:type="dxa"/>
            <w:tcBorders>
              <w:top w:val="single" w:sz="4" w:space="0" w:color="000000"/>
              <w:left w:val="single" w:sz="4" w:space="0" w:color="000000"/>
              <w:bottom w:val="single" w:sz="4" w:space="0" w:color="000000"/>
              <w:right w:val="single" w:sz="4" w:space="0" w:color="000000"/>
            </w:tcBorders>
            <w:vAlign w:val="center"/>
          </w:tcPr>
          <w:p w14:paraId="198BAFAE" w14:textId="3F4DB7DC" w:rsidR="00245F03" w:rsidRPr="00563D71" w:rsidRDefault="00226860" w:rsidP="00CF22F2">
            <w:pPr>
              <w:spacing w:before="0"/>
              <w:ind w:left="15" w:firstLine="0"/>
              <w:jc w:val="center"/>
              <w:rPr>
                <w:sz w:val="22"/>
              </w:rPr>
            </w:pPr>
            <w:r w:rsidRPr="00563D71">
              <w:rPr>
                <w:sz w:val="22"/>
              </w:rPr>
              <w:t>Moderate</w:t>
            </w:r>
          </w:p>
        </w:tc>
      </w:tr>
      <w:tr w:rsidR="00245F03" w:rsidRPr="00563D71" w14:paraId="2C509CAE" w14:textId="77777777" w:rsidTr="0032029F">
        <w:trPr>
          <w:trHeight w:val="72"/>
        </w:trPr>
        <w:tc>
          <w:tcPr>
            <w:tcW w:w="4446" w:type="dxa"/>
            <w:tcBorders>
              <w:top w:val="single" w:sz="4" w:space="0" w:color="000000"/>
              <w:left w:val="single" w:sz="4" w:space="0" w:color="000000"/>
              <w:bottom w:val="single" w:sz="4" w:space="0" w:color="000000"/>
              <w:right w:val="single" w:sz="4" w:space="0" w:color="000000"/>
            </w:tcBorders>
          </w:tcPr>
          <w:p w14:paraId="7A1E9F7E" w14:textId="77777777" w:rsidR="00245F03" w:rsidRPr="00563D71" w:rsidRDefault="00D04B10" w:rsidP="00CF22F2">
            <w:pPr>
              <w:spacing w:before="0"/>
              <w:ind w:left="0" w:firstLine="0"/>
              <w:jc w:val="left"/>
              <w:rPr>
                <w:sz w:val="22"/>
              </w:rPr>
            </w:pPr>
            <w:r w:rsidRPr="00563D71">
              <w:rPr>
                <w:sz w:val="22"/>
              </w:rPr>
              <w:t xml:space="preserve">Local capacity and institutional complexity </w:t>
            </w:r>
          </w:p>
        </w:tc>
        <w:tc>
          <w:tcPr>
            <w:tcW w:w="2069" w:type="dxa"/>
            <w:tcBorders>
              <w:top w:val="single" w:sz="4" w:space="0" w:color="000000"/>
              <w:left w:val="single" w:sz="4" w:space="0" w:color="000000"/>
              <w:bottom w:val="single" w:sz="4" w:space="0" w:color="000000"/>
              <w:right w:val="single" w:sz="4" w:space="0" w:color="000000"/>
            </w:tcBorders>
            <w:vAlign w:val="center"/>
          </w:tcPr>
          <w:p w14:paraId="03D9A80D" w14:textId="23934605" w:rsidR="00245F03" w:rsidRPr="00563D71" w:rsidRDefault="00226860" w:rsidP="00CF22F2">
            <w:pPr>
              <w:spacing w:before="0"/>
              <w:ind w:left="10" w:firstLine="0"/>
              <w:jc w:val="center"/>
              <w:rPr>
                <w:sz w:val="22"/>
              </w:rPr>
            </w:pPr>
            <w:r w:rsidRPr="00563D71">
              <w:rPr>
                <w:sz w:val="22"/>
              </w:rPr>
              <w:t>Moderate</w:t>
            </w:r>
          </w:p>
        </w:tc>
        <w:tc>
          <w:tcPr>
            <w:tcW w:w="2886" w:type="dxa"/>
            <w:tcBorders>
              <w:top w:val="single" w:sz="4" w:space="0" w:color="000000"/>
              <w:left w:val="single" w:sz="4" w:space="0" w:color="000000"/>
              <w:bottom w:val="single" w:sz="4" w:space="0" w:color="000000"/>
              <w:right w:val="single" w:sz="4" w:space="0" w:color="000000"/>
            </w:tcBorders>
            <w:vAlign w:val="center"/>
          </w:tcPr>
          <w:p w14:paraId="5010B730" w14:textId="63F1F226" w:rsidR="00245F03" w:rsidRPr="00563D71" w:rsidRDefault="00226860" w:rsidP="00CF22F2">
            <w:pPr>
              <w:spacing w:before="0"/>
              <w:ind w:left="15" w:firstLine="0"/>
              <w:jc w:val="center"/>
              <w:rPr>
                <w:sz w:val="22"/>
              </w:rPr>
            </w:pPr>
            <w:r w:rsidRPr="00563D71">
              <w:rPr>
                <w:sz w:val="22"/>
              </w:rPr>
              <w:t>Moderate</w:t>
            </w:r>
          </w:p>
        </w:tc>
      </w:tr>
      <w:tr w:rsidR="00245F03" w:rsidRPr="00563D71" w14:paraId="06540B12" w14:textId="77777777" w:rsidTr="0032029F">
        <w:trPr>
          <w:trHeight w:val="72"/>
        </w:trPr>
        <w:tc>
          <w:tcPr>
            <w:tcW w:w="4446" w:type="dxa"/>
            <w:tcBorders>
              <w:top w:val="single" w:sz="4" w:space="0" w:color="000000"/>
              <w:left w:val="single" w:sz="4" w:space="0" w:color="000000"/>
              <w:bottom w:val="single" w:sz="4" w:space="0" w:color="000000"/>
              <w:right w:val="single" w:sz="4" w:space="0" w:color="000000"/>
            </w:tcBorders>
          </w:tcPr>
          <w:p w14:paraId="2B979CCC" w14:textId="77777777" w:rsidR="00245F03" w:rsidRPr="00563D71" w:rsidRDefault="00D04B10" w:rsidP="00CF22F2">
            <w:pPr>
              <w:spacing w:before="0"/>
              <w:ind w:left="0" w:firstLine="0"/>
              <w:jc w:val="left"/>
              <w:rPr>
                <w:sz w:val="22"/>
              </w:rPr>
            </w:pPr>
            <w:r w:rsidRPr="00563D71">
              <w:rPr>
                <w:sz w:val="22"/>
              </w:rPr>
              <w:t xml:space="preserve">Reputational and political risk </w:t>
            </w:r>
          </w:p>
        </w:tc>
        <w:tc>
          <w:tcPr>
            <w:tcW w:w="2069" w:type="dxa"/>
            <w:tcBorders>
              <w:top w:val="single" w:sz="4" w:space="0" w:color="000000"/>
              <w:left w:val="single" w:sz="4" w:space="0" w:color="000000"/>
              <w:bottom w:val="single" w:sz="4" w:space="0" w:color="000000"/>
              <w:right w:val="single" w:sz="4" w:space="0" w:color="000000"/>
            </w:tcBorders>
            <w:vAlign w:val="center"/>
          </w:tcPr>
          <w:p w14:paraId="726712ED" w14:textId="53E38ED2" w:rsidR="00245F03" w:rsidRPr="00563D71" w:rsidRDefault="00226860" w:rsidP="00CF22F2">
            <w:pPr>
              <w:spacing w:before="0"/>
              <w:ind w:left="10" w:firstLine="0"/>
              <w:jc w:val="center"/>
              <w:rPr>
                <w:sz w:val="22"/>
              </w:rPr>
            </w:pPr>
            <w:r w:rsidRPr="00563D71">
              <w:rPr>
                <w:sz w:val="22"/>
              </w:rPr>
              <w:t xml:space="preserve">Low </w:t>
            </w:r>
          </w:p>
        </w:tc>
        <w:tc>
          <w:tcPr>
            <w:tcW w:w="2886" w:type="dxa"/>
            <w:tcBorders>
              <w:top w:val="single" w:sz="4" w:space="0" w:color="000000"/>
              <w:left w:val="single" w:sz="4" w:space="0" w:color="000000"/>
              <w:bottom w:val="single" w:sz="4" w:space="0" w:color="000000"/>
              <w:right w:val="single" w:sz="4" w:space="0" w:color="000000"/>
            </w:tcBorders>
            <w:vAlign w:val="center"/>
          </w:tcPr>
          <w:p w14:paraId="774DFF9C" w14:textId="4BAE1213" w:rsidR="00245F03" w:rsidRPr="00563D71" w:rsidRDefault="00AE4056" w:rsidP="00CF22F2">
            <w:pPr>
              <w:spacing w:before="0"/>
              <w:ind w:left="15" w:firstLine="0"/>
              <w:jc w:val="center"/>
              <w:rPr>
                <w:sz w:val="22"/>
              </w:rPr>
            </w:pPr>
            <w:r w:rsidRPr="00563D71">
              <w:rPr>
                <w:sz w:val="22"/>
              </w:rPr>
              <w:t>Moderate</w:t>
            </w:r>
          </w:p>
        </w:tc>
      </w:tr>
      <w:tr w:rsidR="00245F03" w:rsidRPr="00563D71" w14:paraId="0417AC47" w14:textId="77777777" w:rsidTr="0032029F">
        <w:trPr>
          <w:trHeight w:val="363"/>
        </w:trPr>
        <w:tc>
          <w:tcPr>
            <w:tcW w:w="4446" w:type="dxa"/>
            <w:tcBorders>
              <w:top w:val="single" w:sz="4" w:space="0" w:color="000000"/>
              <w:left w:val="single" w:sz="4" w:space="0" w:color="000000"/>
              <w:bottom w:val="single" w:sz="4" w:space="0" w:color="000000"/>
              <w:right w:val="single" w:sz="4" w:space="0" w:color="000000"/>
            </w:tcBorders>
            <w:shd w:val="clear" w:color="auto" w:fill="95B4D7"/>
          </w:tcPr>
          <w:p w14:paraId="61396DB4" w14:textId="77777777" w:rsidR="00245F03" w:rsidRPr="00563D71" w:rsidRDefault="00D04B10" w:rsidP="00CF22F2">
            <w:pPr>
              <w:spacing w:before="0"/>
              <w:ind w:left="0" w:firstLine="0"/>
              <w:jc w:val="left"/>
            </w:pPr>
            <w:r w:rsidRPr="00563D71">
              <w:rPr>
                <w:b/>
                <w:i/>
                <w:sz w:val="22"/>
              </w:rPr>
              <w:t xml:space="preserve">Global evaluation  </w:t>
            </w:r>
          </w:p>
        </w:tc>
        <w:tc>
          <w:tcPr>
            <w:tcW w:w="2069" w:type="dxa"/>
            <w:tcBorders>
              <w:top w:val="single" w:sz="4" w:space="0" w:color="000000"/>
              <w:left w:val="single" w:sz="4" w:space="0" w:color="000000"/>
              <w:bottom w:val="single" w:sz="4" w:space="0" w:color="000000"/>
              <w:right w:val="single" w:sz="4" w:space="0" w:color="000000"/>
            </w:tcBorders>
            <w:shd w:val="clear" w:color="auto" w:fill="95B4D7"/>
            <w:vAlign w:val="center"/>
          </w:tcPr>
          <w:p w14:paraId="73328D1F" w14:textId="3D6F8E89" w:rsidR="00245F03" w:rsidRPr="00563D71" w:rsidRDefault="00AB6083" w:rsidP="00B64FEF">
            <w:pPr>
              <w:spacing w:before="0"/>
              <w:ind w:left="10" w:firstLine="0"/>
              <w:jc w:val="center"/>
              <w:rPr>
                <w:sz w:val="20"/>
                <w:szCs w:val="20"/>
              </w:rPr>
            </w:pPr>
            <w:r w:rsidRPr="00563D71">
              <w:rPr>
                <w:sz w:val="20"/>
                <w:szCs w:val="20"/>
              </w:rPr>
              <w:t>Moderate</w:t>
            </w:r>
          </w:p>
        </w:tc>
        <w:tc>
          <w:tcPr>
            <w:tcW w:w="2886" w:type="dxa"/>
            <w:tcBorders>
              <w:top w:val="single" w:sz="4" w:space="0" w:color="000000"/>
              <w:left w:val="single" w:sz="4" w:space="0" w:color="000000"/>
              <w:bottom w:val="single" w:sz="4" w:space="0" w:color="000000"/>
              <w:right w:val="single" w:sz="4" w:space="0" w:color="000000"/>
            </w:tcBorders>
            <w:shd w:val="clear" w:color="auto" w:fill="95B4D7"/>
            <w:vAlign w:val="center"/>
          </w:tcPr>
          <w:p w14:paraId="755CCC54" w14:textId="37A60A19" w:rsidR="00245F03" w:rsidRPr="00563D71" w:rsidRDefault="00AB6083" w:rsidP="00CF22F2">
            <w:pPr>
              <w:spacing w:before="0"/>
              <w:ind w:left="15" w:firstLine="0"/>
              <w:jc w:val="center"/>
              <w:rPr>
                <w:sz w:val="20"/>
                <w:szCs w:val="20"/>
              </w:rPr>
            </w:pPr>
            <w:r w:rsidRPr="00563D71">
              <w:rPr>
                <w:sz w:val="20"/>
                <w:szCs w:val="20"/>
              </w:rPr>
              <w:t>Moderate</w:t>
            </w:r>
          </w:p>
        </w:tc>
      </w:tr>
    </w:tbl>
    <w:p w14:paraId="56BD577A" w14:textId="77777777" w:rsidR="00821D9B" w:rsidRDefault="00821D9B" w:rsidP="00E92BBA">
      <w:pPr>
        <w:pStyle w:val="Heading1"/>
        <w:jc w:val="center"/>
      </w:pPr>
      <w:bookmarkStart w:id="103" w:name="_Toc468969248"/>
      <w:bookmarkStart w:id="104" w:name="_Toc481484062"/>
    </w:p>
    <w:p w14:paraId="627212A2" w14:textId="77777777" w:rsidR="00821D9B" w:rsidRDefault="00821D9B">
      <w:pPr>
        <w:spacing w:before="0"/>
        <w:ind w:left="11" w:hanging="11"/>
        <w:rPr>
          <w:b/>
        </w:rPr>
      </w:pPr>
      <w:r>
        <w:br w:type="page"/>
      </w:r>
    </w:p>
    <w:p w14:paraId="3CD93576" w14:textId="4935FE0B" w:rsidR="00245F03" w:rsidRDefault="00D04B10" w:rsidP="00E92BBA">
      <w:pPr>
        <w:pStyle w:val="Heading1"/>
        <w:jc w:val="center"/>
      </w:pPr>
      <w:bookmarkStart w:id="105" w:name="_Toc485831042"/>
      <w:r w:rsidRPr="00563D71">
        <w:lastRenderedPageBreak/>
        <w:t>8</w:t>
      </w:r>
      <w:r w:rsidRPr="00563D71">
        <w:rPr>
          <w:rFonts w:ascii="Arial" w:eastAsia="Arial" w:hAnsi="Arial" w:cs="Arial"/>
        </w:rPr>
        <w:t xml:space="preserve"> </w:t>
      </w:r>
      <w:r w:rsidR="00983400" w:rsidRPr="00563D71">
        <w:rPr>
          <w:rFonts w:ascii="Arial" w:eastAsia="Arial" w:hAnsi="Arial" w:cs="Arial"/>
        </w:rPr>
        <w:t xml:space="preserve"> </w:t>
      </w:r>
      <w:r w:rsidRPr="00563D71">
        <w:t>INPUTS TO THE PROGRAM IMPLEMENTATION SUPPORT PLAN</w:t>
      </w:r>
      <w:bookmarkEnd w:id="103"/>
      <w:bookmarkEnd w:id="104"/>
      <w:bookmarkEnd w:id="105"/>
    </w:p>
    <w:p w14:paraId="414252AE" w14:textId="77777777" w:rsidR="00821D9B" w:rsidRPr="00821D9B" w:rsidRDefault="00821D9B" w:rsidP="00821D9B"/>
    <w:p w14:paraId="6146DC61" w14:textId="04DB2286" w:rsidR="00204801" w:rsidRPr="00563D71" w:rsidRDefault="00D04B10" w:rsidP="0032029F">
      <w:pPr>
        <w:pStyle w:val="MainParanoChapter-Ch3"/>
      </w:pPr>
      <w:r w:rsidRPr="00563D71">
        <w:t xml:space="preserve">Table </w:t>
      </w:r>
      <w:r w:rsidR="00704623" w:rsidRPr="00563D71">
        <w:t>1</w:t>
      </w:r>
      <w:r w:rsidR="00EE09A3" w:rsidRPr="00563D71">
        <w:t>4</w:t>
      </w:r>
      <w:r w:rsidR="008C7F54" w:rsidRPr="00563D71">
        <w:t xml:space="preserve"> </w:t>
      </w:r>
      <w:r w:rsidRPr="00563D71">
        <w:t xml:space="preserve">indicates the environmental and social activities to be undertaken </w:t>
      </w:r>
      <w:r w:rsidR="00750F80" w:rsidRPr="00563D71">
        <w:t xml:space="preserve">by the Bank or its consultants </w:t>
      </w:r>
      <w:r w:rsidRPr="00563D71">
        <w:t>within the Program Implementation Support Plan.</w:t>
      </w:r>
    </w:p>
    <w:p w14:paraId="2AA51BBB" w14:textId="76816EEB" w:rsidR="00245F03" w:rsidRPr="00563D71" w:rsidRDefault="00D04B10" w:rsidP="003D2E29">
      <w:pPr>
        <w:ind w:left="0" w:right="15" w:firstLine="0"/>
      </w:pPr>
      <w:r w:rsidRPr="00563D71">
        <w:t xml:space="preserve"> </w:t>
      </w:r>
    </w:p>
    <w:p w14:paraId="6E6DD33B" w14:textId="65C8217B" w:rsidR="00204801" w:rsidRPr="00563D71" w:rsidRDefault="00D04B10" w:rsidP="003D2E29">
      <w:pPr>
        <w:pStyle w:val="NoSpacing"/>
      </w:pPr>
      <w:bookmarkStart w:id="106" w:name="_Toc485824775"/>
      <w:r w:rsidRPr="00563D71">
        <w:t xml:space="preserve">Table </w:t>
      </w:r>
      <w:r w:rsidR="00FB779E" w:rsidRPr="00563D71">
        <w:t>1</w:t>
      </w:r>
      <w:r w:rsidR="00EE09A3" w:rsidRPr="00563D71">
        <w:t>4</w:t>
      </w:r>
      <w:r w:rsidRPr="00563D71">
        <w:t xml:space="preserve">. Environmental and Social Support Plan for the </w:t>
      </w:r>
      <w:r w:rsidR="00936EB1" w:rsidRPr="00563D71">
        <w:t>I</w:t>
      </w:r>
      <w:r w:rsidRPr="00563D71">
        <w:t>mplementation of the Program</w:t>
      </w:r>
      <w:bookmarkEnd w:id="106"/>
    </w:p>
    <w:p w14:paraId="1B25978C" w14:textId="064D750D" w:rsidR="00245F03" w:rsidRPr="00563D71" w:rsidRDefault="00D04B10" w:rsidP="003D2E29">
      <w:pPr>
        <w:pStyle w:val="NoSpacing"/>
      </w:pPr>
      <w:r w:rsidRPr="00563D71">
        <w:t xml:space="preserve"> </w:t>
      </w:r>
    </w:p>
    <w:tbl>
      <w:tblPr>
        <w:tblStyle w:val="TableGrid"/>
        <w:tblW w:w="9314" w:type="dxa"/>
        <w:tblInd w:w="25" w:type="dxa"/>
        <w:tblCellMar>
          <w:top w:w="123" w:type="dxa"/>
          <w:left w:w="104" w:type="dxa"/>
          <w:right w:w="13" w:type="dxa"/>
        </w:tblCellMar>
        <w:tblLook w:val="04A0" w:firstRow="1" w:lastRow="0" w:firstColumn="1" w:lastColumn="0" w:noHBand="0" w:noVBand="1"/>
      </w:tblPr>
      <w:tblGrid>
        <w:gridCol w:w="4859"/>
        <w:gridCol w:w="4455"/>
      </w:tblGrid>
      <w:tr w:rsidR="00245F03" w:rsidRPr="00563D71" w14:paraId="253D369D" w14:textId="77777777" w:rsidTr="00750F80">
        <w:trPr>
          <w:trHeight w:val="478"/>
        </w:trPr>
        <w:tc>
          <w:tcPr>
            <w:tcW w:w="485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C339BB2" w14:textId="5210EE5D" w:rsidR="00245F03" w:rsidRPr="00563D71" w:rsidRDefault="00D04B10" w:rsidP="0032029F">
            <w:pPr>
              <w:ind w:left="0" w:firstLine="0"/>
              <w:contextualSpacing/>
              <w:jc w:val="center"/>
            </w:pPr>
            <w:r w:rsidRPr="00563D71">
              <w:rPr>
                <w:b/>
                <w:sz w:val="20"/>
              </w:rPr>
              <w:t>Activity</w:t>
            </w:r>
          </w:p>
        </w:tc>
        <w:tc>
          <w:tcPr>
            <w:tcW w:w="445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2E8BA3B" w14:textId="77777777" w:rsidR="00245F03" w:rsidRPr="00563D71" w:rsidRDefault="00D04B10" w:rsidP="0032029F">
            <w:pPr>
              <w:ind w:left="0" w:right="90" w:firstLine="0"/>
              <w:contextualSpacing/>
              <w:jc w:val="center"/>
            </w:pPr>
            <w:r w:rsidRPr="00563D71">
              <w:rPr>
                <w:b/>
                <w:sz w:val="20"/>
              </w:rPr>
              <w:t xml:space="preserve">Timing </w:t>
            </w:r>
          </w:p>
        </w:tc>
      </w:tr>
      <w:tr w:rsidR="00750F80" w:rsidRPr="00563D71" w14:paraId="3234B8D0" w14:textId="77777777" w:rsidTr="00750F80">
        <w:trPr>
          <w:trHeight w:val="515"/>
        </w:trPr>
        <w:tc>
          <w:tcPr>
            <w:tcW w:w="4859" w:type="dxa"/>
            <w:tcBorders>
              <w:top w:val="single" w:sz="4" w:space="0" w:color="000000"/>
              <w:left w:val="single" w:sz="4" w:space="0" w:color="000000"/>
              <w:bottom w:val="single" w:sz="4" w:space="0" w:color="000000"/>
              <w:right w:val="single" w:sz="4" w:space="0" w:color="000000"/>
            </w:tcBorders>
            <w:vAlign w:val="center"/>
          </w:tcPr>
          <w:p w14:paraId="10D5670C" w14:textId="7684CE2A" w:rsidR="00750F80" w:rsidRPr="00563D71" w:rsidRDefault="00750F80" w:rsidP="0032029F">
            <w:pPr>
              <w:pStyle w:val="ListParagraph"/>
              <w:numPr>
                <w:ilvl w:val="0"/>
                <w:numId w:val="118"/>
              </w:numPr>
              <w:spacing w:after="0" w:line="240" w:lineRule="auto"/>
              <w:jc w:val="left"/>
              <w:rPr>
                <w:rFonts w:asciiTheme="majorBidi" w:hAnsiTheme="majorBidi" w:cstheme="majorBidi"/>
                <w:sz w:val="20"/>
              </w:rPr>
            </w:pPr>
            <w:r w:rsidRPr="00563D71">
              <w:rPr>
                <w:rFonts w:asciiTheme="majorBidi" w:hAnsiTheme="majorBidi" w:cstheme="majorBidi"/>
                <w:sz w:val="20"/>
              </w:rPr>
              <w:t xml:space="preserve">Review of draft Integrated </w:t>
            </w:r>
            <w:r w:rsidR="00F758E2" w:rsidRPr="00563D71">
              <w:rPr>
                <w:rFonts w:asciiTheme="majorBidi" w:hAnsiTheme="majorBidi" w:cstheme="majorBidi"/>
                <w:sz w:val="20"/>
              </w:rPr>
              <w:t>Tourism Master</w:t>
            </w:r>
            <w:r w:rsidR="00C23CD2" w:rsidRPr="00563D71">
              <w:rPr>
                <w:rFonts w:asciiTheme="majorBidi" w:hAnsiTheme="majorBidi" w:cstheme="majorBidi"/>
                <w:sz w:val="20"/>
              </w:rPr>
              <w:t xml:space="preserve"> P</w:t>
            </w:r>
            <w:r w:rsidR="00F758E2" w:rsidRPr="00563D71">
              <w:rPr>
                <w:rFonts w:asciiTheme="majorBidi" w:hAnsiTheme="majorBidi" w:cstheme="majorBidi"/>
                <w:sz w:val="20"/>
              </w:rPr>
              <w:t xml:space="preserve">lans </w:t>
            </w:r>
            <w:r w:rsidRPr="00563D71">
              <w:rPr>
                <w:rFonts w:asciiTheme="majorBidi" w:hAnsiTheme="majorBidi" w:cstheme="majorBidi"/>
                <w:sz w:val="20"/>
              </w:rPr>
              <w:t>and records of stakeholder consultations</w:t>
            </w:r>
          </w:p>
        </w:tc>
        <w:tc>
          <w:tcPr>
            <w:tcW w:w="4455" w:type="dxa"/>
            <w:tcBorders>
              <w:top w:val="single" w:sz="4" w:space="0" w:color="000000"/>
              <w:left w:val="single" w:sz="4" w:space="0" w:color="000000"/>
              <w:bottom w:val="single" w:sz="4" w:space="0" w:color="000000"/>
              <w:right w:val="single" w:sz="4" w:space="0" w:color="000000"/>
            </w:tcBorders>
          </w:tcPr>
          <w:p w14:paraId="65DEDF98" w14:textId="3E493892" w:rsidR="00750F80" w:rsidRPr="00563D71" w:rsidRDefault="00750F80" w:rsidP="0032029F">
            <w:pPr>
              <w:ind w:left="6" w:right="89" w:firstLine="0"/>
              <w:contextualSpacing/>
              <w:rPr>
                <w:sz w:val="20"/>
              </w:rPr>
            </w:pPr>
            <w:r w:rsidRPr="00563D71">
              <w:rPr>
                <w:sz w:val="20"/>
              </w:rPr>
              <w:t>When documents are available</w:t>
            </w:r>
          </w:p>
        </w:tc>
      </w:tr>
      <w:tr w:rsidR="00750F80" w:rsidRPr="00563D71" w14:paraId="6BCD3E28" w14:textId="77777777" w:rsidTr="00750F80">
        <w:trPr>
          <w:trHeight w:val="776"/>
        </w:trPr>
        <w:tc>
          <w:tcPr>
            <w:tcW w:w="4859" w:type="dxa"/>
            <w:tcBorders>
              <w:top w:val="single" w:sz="4" w:space="0" w:color="000000"/>
              <w:left w:val="single" w:sz="4" w:space="0" w:color="000000"/>
              <w:bottom w:val="single" w:sz="4" w:space="0" w:color="000000"/>
              <w:right w:val="single" w:sz="4" w:space="0" w:color="000000"/>
            </w:tcBorders>
            <w:vAlign w:val="center"/>
          </w:tcPr>
          <w:p w14:paraId="5D0CF7FC" w14:textId="75B4C223" w:rsidR="00A16677" w:rsidRPr="00563D71" w:rsidRDefault="00750F80" w:rsidP="0032029F">
            <w:pPr>
              <w:pStyle w:val="ListParagraph"/>
              <w:numPr>
                <w:ilvl w:val="0"/>
                <w:numId w:val="118"/>
              </w:numPr>
              <w:spacing w:after="0" w:line="240" w:lineRule="auto"/>
              <w:jc w:val="left"/>
              <w:rPr>
                <w:rFonts w:asciiTheme="majorBidi" w:hAnsiTheme="majorBidi" w:cstheme="majorBidi"/>
                <w:sz w:val="20"/>
              </w:rPr>
            </w:pPr>
            <w:r w:rsidRPr="00563D71">
              <w:rPr>
                <w:rFonts w:asciiTheme="majorBidi" w:hAnsiTheme="majorBidi" w:cstheme="majorBidi"/>
                <w:sz w:val="20"/>
              </w:rPr>
              <w:t xml:space="preserve">Evaluation of natural and cultural asset monitoring and protection arrangements </w:t>
            </w:r>
          </w:p>
          <w:p w14:paraId="1E8F44B6" w14:textId="7AC7C63C" w:rsidR="00750F80" w:rsidRPr="00563D71" w:rsidRDefault="00750F80" w:rsidP="0032029F">
            <w:pPr>
              <w:pStyle w:val="ListParagraph"/>
              <w:numPr>
                <w:ilvl w:val="0"/>
                <w:numId w:val="118"/>
              </w:numPr>
              <w:spacing w:after="0" w:line="240" w:lineRule="auto"/>
              <w:jc w:val="left"/>
              <w:rPr>
                <w:rFonts w:asciiTheme="majorBidi" w:hAnsiTheme="majorBidi" w:cstheme="majorBidi"/>
                <w:sz w:val="20"/>
              </w:rPr>
            </w:pPr>
            <w:r w:rsidRPr="00563D71">
              <w:rPr>
                <w:rFonts w:asciiTheme="majorBidi" w:hAnsiTheme="majorBidi" w:cstheme="majorBidi"/>
                <w:sz w:val="20"/>
              </w:rPr>
              <w:t>Review of monitoring reports</w:t>
            </w:r>
          </w:p>
        </w:tc>
        <w:tc>
          <w:tcPr>
            <w:tcW w:w="4455" w:type="dxa"/>
            <w:tcBorders>
              <w:top w:val="single" w:sz="4" w:space="0" w:color="000000"/>
              <w:left w:val="single" w:sz="4" w:space="0" w:color="000000"/>
              <w:bottom w:val="single" w:sz="4" w:space="0" w:color="000000"/>
              <w:right w:val="single" w:sz="4" w:space="0" w:color="000000"/>
            </w:tcBorders>
            <w:vAlign w:val="center"/>
          </w:tcPr>
          <w:p w14:paraId="487E0AD6" w14:textId="2E3DB6FE" w:rsidR="00750F80" w:rsidRPr="00563D71" w:rsidRDefault="00750F80" w:rsidP="0032029F">
            <w:pPr>
              <w:ind w:left="0" w:firstLine="0"/>
              <w:contextualSpacing/>
              <w:jc w:val="left"/>
              <w:rPr>
                <w:sz w:val="20"/>
              </w:rPr>
            </w:pPr>
            <w:r w:rsidRPr="00563D71">
              <w:rPr>
                <w:sz w:val="20"/>
              </w:rPr>
              <w:t>When arrangements are established and functioning</w:t>
            </w:r>
          </w:p>
          <w:p w14:paraId="15BF4702" w14:textId="77777777" w:rsidR="00750F80" w:rsidRPr="00563D71" w:rsidRDefault="00750F80" w:rsidP="0032029F">
            <w:pPr>
              <w:contextualSpacing/>
              <w:jc w:val="left"/>
              <w:rPr>
                <w:sz w:val="20"/>
              </w:rPr>
            </w:pPr>
          </w:p>
        </w:tc>
      </w:tr>
      <w:tr w:rsidR="00750F80" w:rsidRPr="00563D71" w14:paraId="79EE0EFA" w14:textId="77777777" w:rsidTr="00750F80">
        <w:trPr>
          <w:trHeight w:val="1325"/>
        </w:trPr>
        <w:tc>
          <w:tcPr>
            <w:tcW w:w="4859" w:type="dxa"/>
            <w:tcBorders>
              <w:top w:val="single" w:sz="4" w:space="0" w:color="000000"/>
              <w:left w:val="single" w:sz="4" w:space="0" w:color="000000"/>
              <w:bottom w:val="single" w:sz="4" w:space="0" w:color="000000"/>
              <w:right w:val="single" w:sz="4" w:space="0" w:color="000000"/>
            </w:tcBorders>
            <w:vAlign w:val="center"/>
          </w:tcPr>
          <w:p w14:paraId="1C04E456" w14:textId="41B14163" w:rsidR="00750F80" w:rsidRPr="00563D71" w:rsidRDefault="00750F80" w:rsidP="0032029F">
            <w:pPr>
              <w:pStyle w:val="ListParagraph"/>
              <w:numPr>
                <w:ilvl w:val="0"/>
                <w:numId w:val="118"/>
              </w:numPr>
              <w:spacing w:after="0" w:line="240" w:lineRule="auto"/>
              <w:jc w:val="left"/>
              <w:rPr>
                <w:rFonts w:asciiTheme="majorBidi" w:hAnsiTheme="majorBidi" w:cstheme="majorBidi"/>
                <w:sz w:val="20"/>
              </w:rPr>
            </w:pPr>
            <w:r w:rsidRPr="00563D71">
              <w:rPr>
                <w:rFonts w:asciiTheme="majorBidi" w:hAnsiTheme="majorBidi" w:cstheme="majorBidi"/>
                <w:sz w:val="20"/>
              </w:rPr>
              <w:t xml:space="preserve">Review annual work plans to </w:t>
            </w:r>
            <w:r w:rsidR="00EE09A3" w:rsidRPr="00563D71">
              <w:rPr>
                <w:rFonts w:asciiTheme="majorBidi" w:hAnsiTheme="majorBidi" w:cstheme="majorBidi"/>
                <w:sz w:val="20"/>
              </w:rPr>
              <w:t xml:space="preserve">check </w:t>
            </w:r>
            <w:r w:rsidRPr="00563D71">
              <w:rPr>
                <w:rFonts w:asciiTheme="majorBidi" w:hAnsiTheme="majorBidi" w:cstheme="majorBidi"/>
                <w:sz w:val="20"/>
              </w:rPr>
              <w:t xml:space="preserve">that </w:t>
            </w:r>
            <w:r w:rsidR="007E1BC9" w:rsidRPr="00563D71">
              <w:rPr>
                <w:rFonts w:asciiTheme="majorBidi" w:hAnsiTheme="majorBidi" w:cstheme="majorBidi"/>
                <w:sz w:val="20"/>
              </w:rPr>
              <w:t xml:space="preserve">the </w:t>
            </w:r>
            <w:r w:rsidR="00CE0605" w:rsidRPr="00563D71">
              <w:rPr>
                <w:rFonts w:asciiTheme="majorBidi" w:hAnsiTheme="majorBidi" w:cstheme="majorBidi"/>
                <w:sz w:val="20"/>
              </w:rPr>
              <w:t xml:space="preserve">adopted </w:t>
            </w:r>
            <w:r w:rsidRPr="00563D71">
              <w:rPr>
                <w:rFonts w:asciiTheme="majorBidi" w:hAnsiTheme="majorBidi" w:cstheme="majorBidi"/>
                <w:sz w:val="20"/>
              </w:rPr>
              <w:t>screening procedure has been applied in the selection of projects for PforR</w:t>
            </w:r>
            <w:r w:rsidR="00E64DB4" w:rsidRPr="00563D71">
              <w:rPr>
                <w:rFonts w:asciiTheme="majorBidi" w:hAnsiTheme="majorBidi" w:cstheme="majorBidi"/>
                <w:sz w:val="20"/>
              </w:rPr>
              <w:t xml:space="preserve"> </w:t>
            </w:r>
            <w:r w:rsidRPr="00563D71">
              <w:rPr>
                <w:rFonts w:asciiTheme="majorBidi" w:hAnsiTheme="majorBidi" w:cstheme="majorBidi"/>
                <w:sz w:val="20"/>
              </w:rPr>
              <w:t>funding</w:t>
            </w:r>
            <w:r w:rsidR="00E64DB4" w:rsidRPr="00563D71">
              <w:rPr>
                <w:rFonts w:asciiTheme="majorBidi" w:hAnsiTheme="majorBidi" w:cstheme="majorBidi"/>
                <w:sz w:val="20"/>
              </w:rPr>
              <w:t xml:space="preserve">; and </w:t>
            </w:r>
            <w:r w:rsidR="0058095E" w:rsidRPr="00563D71">
              <w:rPr>
                <w:rFonts w:asciiTheme="majorBidi" w:hAnsiTheme="majorBidi" w:cstheme="majorBidi"/>
                <w:sz w:val="20"/>
              </w:rPr>
              <w:t>abbreviated LARAP</w:t>
            </w:r>
            <w:r w:rsidR="00E64DB4" w:rsidRPr="00563D71">
              <w:rPr>
                <w:rFonts w:asciiTheme="majorBidi" w:hAnsiTheme="majorBidi" w:cstheme="majorBidi"/>
                <w:sz w:val="20"/>
              </w:rPr>
              <w:t xml:space="preserve"> and </w:t>
            </w:r>
            <w:r w:rsidR="0058095E" w:rsidRPr="00563D71">
              <w:rPr>
                <w:rFonts w:asciiTheme="majorBidi" w:hAnsiTheme="majorBidi" w:cstheme="majorBidi"/>
                <w:sz w:val="20"/>
              </w:rPr>
              <w:t>IPP</w:t>
            </w:r>
            <w:r w:rsidR="00E64DB4" w:rsidRPr="00563D71">
              <w:rPr>
                <w:rFonts w:asciiTheme="majorBidi" w:hAnsiTheme="majorBidi" w:cstheme="majorBidi"/>
                <w:sz w:val="20"/>
              </w:rPr>
              <w:t xml:space="preserve"> (as applicable) for </w:t>
            </w:r>
            <w:r w:rsidR="00910CE1" w:rsidRPr="00563D71">
              <w:rPr>
                <w:rFonts w:asciiTheme="majorBidi" w:hAnsiTheme="majorBidi" w:cstheme="majorBidi"/>
                <w:sz w:val="20"/>
              </w:rPr>
              <w:t xml:space="preserve">the </w:t>
            </w:r>
            <w:r w:rsidR="00E64DB4" w:rsidRPr="00563D71">
              <w:rPr>
                <w:rFonts w:asciiTheme="majorBidi" w:hAnsiTheme="majorBidi" w:cstheme="majorBidi"/>
                <w:sz w:val="20"/>
              </w:rPr>
              <w:t>proposed investments have been prepared.</w:t>
            </w:r>
          </w:p>
        </w:tc>
        <w:tc>
          <w:tcPr>
            <w:tcW w:w="4455" w:type="dxa"/>
            <w:tcBorders>
              <w:top w:val="single" w:sz="4" w:space="0" w:color="000000"/>
              <w:left w:val="single" w:sz="4" w:space="0" w:color="000000"/>
              <w:bottom w:val="single" w:sz="4" w:space="0" w:color="000000"/>
              <w:right w:val="single" w:sz="4" w:space="0" w:color="000000"/>
            </w:tcBorders>
          </w:tcPr>
          <w:p w14:paraId="02B8785C" w14:textId="71EF6FF7" w:rsidR="00750F80" w:rsidRPr="00563D71" w:rsidRDefault="00EE09A3" w:rsidP="0032029F">
            <w:pPr>
              <w:ind w:left="6" w:right="89" w:firstLine="0"/>
              <w:contextualSpacing/>
              <w:rPr>
                <w:sz w:val="20"/>
              </w:rPr>
            </w:pPr>
            <w:r w:rsidRPr="00563D71">
              <w:rPr>
                <w:sz w:val="20"/>
              </w:rPr>
              <w:t>During Bank implementation support missions</w:t>
            </w:r>
          </w:p>
        </w:tc>
      </w:tr>
      <w:tr w:rsidR="00245F03" w:rsidRPr="00563D71" w14:paraId="0CA37041" w14:textId="77777777" w:rsidTr="00750F80">
        <w:trPr>
          <w:trHeight w:val="1325"/>
        </w:trPr>
        <w:tc>
          <w:tcPr>
            <w:tcW w:w="4859" w:type="dxa"/>
            <w:tcBorders>
              <w:top w:val="single" w:sz="4" w:space="0" w:color="000000"/>
              <w:left w:val="single" w:sz="4" w:space="0" w:color="000000"/>
              <w:bottom w:val="single" w:sz="4" w:space="0" w:color="000000"/>
              <w:right w:val="single" w:sz="4" w:space="0" w:color="000000"/>
            </w:tcBorders>
            <w:vAlign w:val="center"/>
          </w:tcPr>
          <w:p w14:paraId="3864DBF5" w14:textId="09A73DC3" w:rsidR="00245F03" w:rsidRPr="00563D71" w:rsidRDefault="0058095E" w:rsidP="0032029F">
            <w:pPr>
              <w:pStyle w:val="ListParagraph"/>
              <w:numPr>
                <w:ilvl w:val="0"/>
                <w:numId w:val="118"/>
              </w:numPr>
              <w:spacing w:after="0" w:line="240" w:lineRule="auto"/>
              <w:jc w:val="left"/>
              <w:rPr>
                <w:rFonts w:asciiTheme="majorBidi" w:hAnsiTheme="majorBidi" w:cstheme="majorBidi"/>
              </w:rPr>
            </w:pPr>
            <w:r w:rsidRPr="00563D71">
              <w:rPr>
                <w:rFonts w:asciiTheme="majorBidi" w:hAnsiTheme="majorBidi" w:cstheme="majorBidi"/>
                <w:sz w:val="20"/>
              </w:rPr>
              <w:t>Supervisions, f</w:t>
            </w:r>
            <w:r w:rsidR="00D04B10" w:rsidRPr="00563D71">
              <w:rPr>
                <w:rFonts w:asciiTheme="majorBidi" w:hAnsiTheme="majorBidi" w:cstheme="majorBidi"/>
                <w:sz w:val="20"/>
              </w:rPr>
              <w:t xml:space="preserve">ield visits to </w:t>
            </w:r>
            <w:r w:rsidR="00750F80" w:rsidRPr="00563D71">
              <w:rPr>
                <w:rFonts w:asciiTheme="majorBidi" w:hAnsiTheme="majorBidi" w:cstheme="majorBidi"/>
                <w:sz w:val="20"/>
              </w:rPr>
              <w:t>destinations and project sites</w:t>
            </w:r>
          </w:p>
          <w:p w14:paraId="10285FB9" w14:textId="307897F7" w:rsidR="00245F03" w:rsidRPr="00563D71" w:rsidRDefault="00D04B10" w:rsidP="0032029F">
            <w:pPr>
              <w:pStyle w:val="ListParagraph"/>
              <w:numPr>
                <w:ilvl w:val="0"/>
                <w:numId w:val="36"/>
              </w:numPr>
              <w:spacing w:after="0" w:line="240" w:lineRule="auto"/>
              <w:ind w:left="1123"/>
              <w:jc w:val="left"/>
              <w:rPr>
                <w:rFonts w:asciiTheme="majorBidi" w:hAnsiTheme="majorBidi" w:cstheme="majorBidi"/>
                <w:sz w:val="20"/>
              </w:rPr>
            </w:pPr>
            <w:r w:rsidRPr="00563D71">
              <w:rPr>
                <w:rFonts w:asciiTheme="majorBidi" w:hAnsiTheme="majorBidi" w:cstheme="majorBidi"/>
                <w:sz w:val="20"/>
              </w:rPr>
              <w:t>To review</w:t>
            </w:r>
            <w:r w:rsidR="00750F80" w:rsidRPr="00563D71">
              <w:rPr>
                <w:rFonts w:asciiTheme="majorBidi" w:hAnsiTheme="majorBidi" w:cstheme="majorBidi"/>
                <w:sz w:val="20"/>
              </w:rPr>
              <w:t xml:space="preserve"> </w:t>
            </w:r>
            <w:r w:rsidRPr="00563D71">
              <w:rPr>
                <w:rFonts w:asciiTheme="majorBidi" w:hAnsiTheme="majorBidi" w:cstheme="majorBidi"/>
                <w:sz w:val="20"/>
              </w:rPr>
              <w:t xml:space="preserve">implementation progress of the </w:t>
            </w:r>
            <w:r w:rsidR="00750F80" w:rsidRPr="00563D71">
              <w:rPr>
                <w:rFonts w:asciiTheme="majorBidi" w:hAnsiTheme="majorBidi" w:cstheme="majorBidi"/>
                <w:sz w:val="20"/>
              </w:rPr>
              <w:t>e</w:t>
            </w:r>
            <w:r w:rsidRPr="00563D71">
              <w:rPr>
                <w:rFonts w:asciiTheme="majorBidi" w:hAnsiTheme="majorBidi" w:cstheme="majorBidi"/>
                <w:sz w:val="20"/>
              </w:rPr>
              <w:t>nvironmental and social aspects of the action plan</w:t>
            </w:r>
            <w:r w:rsidR="00E64DB4" w:rsidRPr="00563D71">
              <w:rPr>
                <w:rFonts w:asciiTheme="majorBidi" w:hAnsiTheme="majorBidi" w:cstheme="majorBidi"/>
                <w:sz w:val="20"/>
              </w:rPr>
              <w:t>s</w:t>
            </w:r>
            <w:r w:rsidRPr="00563D71">
              <w:rPr>
                <w:rFonts w:asciiTheme="majorBidi" w:hAnsiTheme="majorBidi" w:cstheme="majorBidi"/>
                <w:sz w:val="20"/>
              </w:rPr>
              <w:t xml:space="preserve"> </w:t>
            </w:r>
          </w:p>
          <w:p w14:paraId="77ECF7EC" w14:textId="6FF90C06" w:rsidR="00245F03" w:rsidRPr="00563D71" w:rsidRDefault="0058095E" w:rsidP="0032029F">
            <w:pPr>
              <w:pStyle w:val="ListParagraph"/>
              <w:numPr>
                <w:ilvl w:val="0"/>
                <w:numId w:val="36"/>
              </w:numPr>
              <w:spacing w:after="0" w:line="240" w:lineRule="auto"/>
              <w:ind w:left="1123"/>
              <w:jc w:val="left"/>
              <w:rPr>
                <w:rFonts w:asciiTheme="majorBidi" w:hAnsiTheme="majorBidi" w:cstheme="majorBidi"/>
              </w:rPr>
            </w:pPr>
            <w:r w:rsidRPr="00563D71">
              <w:rPr>
                <w:rFonts w:asciiTheme="majorBidi" w:hAnsiTheme="majorBidi" w:cstheme="majorBidi"/>
                <w:sz w:val="20"/>
              </w:rPr>
              <w:t>To review the implementation of the training programs on environmental and social safeguards</w:t>
            </w:r>
          </w:p>
        </w:tc>
        <w:tc>
          <w:tcPr>
            <w:tcW w:w="4455" w:type="dxa"/>
            <w:tcBorders>
              <w:top w:val="single" w:sz="4" w:space="0" w:color="000000"/>
              <w:left w:val="single" w:sz="4" w:space="0" w:color="000000"/>
              <w:bottom w:val="single" w:sz="4" w:space="0" w:color="000000"/>
              <w:right w:val="single" w:sz="4" w:space="0" w:color="000000"/>
            </w:tcBorders>
          </w:tcPr>
          <w:p w14:paraId="58F01005" w14:textId="404F2622" w:rsidR="00245F03" w:rsidRPr="00563D71" w:rsidRDefault="00D04B10" w:rsidP="0032029F">
            <w:pPr>
              <w:ind w:left="6" w:right="89" w:firstLine="0"/>
              <w:contextualSpacing/>
            </w:pPr>
            <w:r w:rsidRPr="00563D71">
              <w:rPr>
                <w:sz w:val="20"/>
              </w:rPr>
              <w:t xml:space="preserve">During Bank </w:t>
            </w:r>
            <w:r w:rsidR="00FF3341" w:rsidRPr="00563D71">
              <w:rPr>
                <w:sz w:val="20"/>
              </w:rPr>
              <w:t xml:space="preserve">implementation support </w:t>
            </w:r>
            <w:r w:rsidRPr="00563D71">
              <w:rPr>
                <w:sz w:val="20"/>
              </w:rPr>
              <w:t xml:space="preserve">missions </w:t>
            </w:r>
          </w:p>
        </w:tc>
      </w:tr>
      <w:tr w:rsidR="00E64DB4" w:rsidRPr="00563D71" w14:paraId="461953CC" w14:textId="77777777" w:rsidTr="00750F80">
        <w:trPr>
          <w:trHeight w:val="1325"/>
        </w:trPr>
        <w:tc>
          <w:tcPr>
            <w:tcW w:w="4859" w:type="dxa"/>
            <w:tcBorders>
              <w:top w:val="single" w:sz="4" w:space="0" w:color="000000"/>
              <w:left w:val="single" w:sz="4" w:space="0" w:color="000000"/>
              <w:bottom w:val="single" w:sz="4" w:space="0" w:color="000000"/>
              <w:right w:val="single" w:sz="4" w:space="0" w:color="000000"/>
            </w:tcBorders>
            <w:vAlign w:val="center"/>
          </w:tcPr>
          <w:p w14:paraId="5FE8A522" w14:textId="5386CEDA" w:rsidR="00E64DB4" w:rsidRPr="00563D71" w:rsidRDefault="00E64DB4" w:rsidP="0032029F">
            <w:pPr>
              <w:pStyle w:val="ListParagraph"/>
              <w:numPr>
                <w:ilvl w:val="0"/>
                <w:numId w:val="118"/>
              </w:numPr>
              <w:spacing w:after="0" w:line="240" w:lineRule="auto"/>
              <w:jc w:val="left"/>
              <w:rPr>
                <w:rFonts w:asciiTheme="majorBidi" w:hAnsiTheme="majorBidi" w:cstheme="majorBidi"/>
                <w:sz w:val="20"/>
              </w:rPr>
            </w:pPr>
            <w:r w:rsidRPr="00563D71">
              <w:rPr>
                <w:rFonts w:asciiTheme="majorBidi" w:hAnsiTheme="majorBidi" w:cstheme="majorBidi"/>
                <w:sz w:val="20"/>
              </w:rPr>
              <w:t xml:space="preserve">Based on the </w:t>
            </w:r>
            <w:r w:rsidR="00B12D6A" w:rsidRPr="00563D71">
              <w:rPr>
                <w:rFonts w:asciiTheme="majorBidi" w:hAnsiTheme="majorBidi" w:cstheme="majorBidi"/>
                <w:sz w:val="20"/>
              </w:rPr>
              <w:t xml:space="preserve">findings of </w:t>
            </w:r>
            <w:r w:rsidR="00FF3341" w:rsidRPr="00563D71">
              <w:rPr>
                <w:rFonts w:asciiTheme="majorBidi" w:hAnsiTheme="majorBidi" w:cstheme="majorBidi"/>
                <w:sz w:val="20"/>
              </w:rPr>
              <w:t>implementation support</w:t>
            </w:r>
            <w:r w:rsidRPr="00563D71">
              <w:rPr>
                <w:rFonts w:asciiTheme="majorBidi" w:hAnsiTheme="majorBidi" w:cstheme="majorBidi"/>
                <w:sz w:val="20"/>
              </w:rPr>
              <w:t xml:space="preserve"> missions</w:t>
            </w:r>
            <w:r w:rsidR="00B12D6A" w:rsidRPr="00563D71">
              <w:rPr>
                <w:rFonts w:asciiTheme="majorBidi" w:hAnsiTheme="majorBidi" w:cstheme="majorBidi"/>
                <w:sz w:val="20"/>
              </w:rPr>
              <w:t>,</w:t>
            </w:r>
            <w:r w:rsidRPr="00563D71">
              <w:rPr>
                <w:rFonts w:asciiTheme="majorBidi" w:hAnsiTheme="majorBidi" w:cstheme="majorBidi"/>
                <w:sz w:val="20"/>
              </w:rPr>
              <w:t xml:space="preserve"> </w:t>
            </w:r>
            <w:r w:rsidR="00B12D6A" w:rsidRPr="00563D71">
              <w:rPr>
                <w:rFonts w:asciiTheme="majorBidi" w:hAnsiTheme="majorBidi" w:cstheme="majorBidi"/>
                <w:sz w:val="20"/>
              </w:rPr>
              <w:t xml:space="preserve">as needed, </w:t>
            </w:r>
            <w:r w:rsidRPr="00563D71">
              <w:rPr>
                <w:rFonts w:asciiTheme="majorBidi" w:hAnsiTheme="majorBidi" w:cstheme="majorBidi"/>
                <w:sz w:val="20"/>
              </w:rPr>
              <w:t>implement independent environmental and social audit of the Program</w:t>
            </w:r>
          </w:p>
        </w:tc>
        <w:tc>
          <w:tcPr>
            <w:tcW w:w="4455" w:type="dxa"/>
            <w:tcBorders>
              <w:top w:val="single" w:sz="4" w:space="0" w:color="000000"/>
              <w:left w:val="single" w:sz="4" w:space="0" w:color="000000"/>
              <w:bottom w:val="single" w:sz="4" w:space="0" w:color="000000"/>
              <w:right w:val="single" w:sz="4" w:space="0" w:color="000000"/>
            </w:tcBorders>
          </w:tcPr>
          <w:p w14:paraId="586D5A0E" w14:textId="77777777" w:rsidR="00E64DB4" w:rsidRPr="00563D71" w:rsidRDefault="00E64DB4" w:rsidP="0032029F">
            <w:pPr>
              <w:ind w:left="6" w:right="89" w:firstLine="0"/>
              <w:contextualSpacing/>
              <w:rPr>
                <w:sz w:val="20"/>
              </w:rPr>
            </w:pPr>
          </w:p>
          <w:p w14:paraId="7B13EA88" w14:textId="75BA64FF" w:rsidR="00E64DB4" w:rsidRPr="00563D71" w:rsidRDefault="00B12D6A" w:rsidP="0032029F">
            <w:pPr>
              <w:ind w:right="89"/>
              <w:contextualSpacing/>
              <w:rPr>
                <w:sz w:val="20"/>
              </w:rPr>
            </w:pPr>
            <w:r w:rsidRPr="00563D71">
              <w:rPr>
                <w:sz w:val="20"/>
              </w:rPr>
              <w:t>At the Mid-Term Review</w:t>
            </w:r>
          </w:p>
        </w:tc>
      </w:tr>
    </w:tbl>
    <w:p w14:paraId="418D1146" w14:textId="77777777" w:rsidR="00245F03" w:rsidRPr="00563D71" w:rsidRDefault="00D04B10">
      <w:pPr>
        <w:spacing w:line="259" w:lineRule="auto"/>
        <w:ind w:left="0" w:firstLine="0"/>
        <w:jc w:val="left"/>
      </w:pPr>
      <w:r w:rsidRPr="00563D71">
        <w:t xml:space="preserve"> </w:t>
      </w:r>
    </w:p>
    <w:p w14:paraId="70D8F08F" w14:textId="77777777" w:rsidR="00077086" w:rsidRPr="00563D71" w:rsidRDefault="00077086">
      <w:pPr>
        <w:spacing w:after="160" w:line="259" w:lineRule="auto"/>
        <w:ind w:left="0" w:firstLine="0"/>
        <w:jc w:val="left"/>
        <w:rPr>
          <w:b/>
        </w:rPr>
      </w:pPr>
      <w:r w:rsidRPr="00563D71">
        <w:br w:type="page"/>
      </w:r>
    </w:p>
    <w:p w14:paraId="30A9FC0A" w14:textId="375FBE58" w:rsidR="00246E48" w:rsidRDefault="00246E48" w:rsidP="00E92BBA">
      <w:pPr>
        <w:pStyle w:val="Heading1"/>
        <w:jc w:val="center"/>
      </w:pPr>
      <w:bookmarkStart w:id="107" w:name="_Toc468969249"/>
      <w:bookmarkStart w:id="108" w:name="_Toc481484063"/>
      <w:bookmarkStart w:id="109" w:name="_Toc485831043"/>
      <w:r w:rsidRPr="00563D71">
        <w:lastRenderedPageBreak/>
        <w:t>9</w:t>
      </w:r>
      <w:r w:rsidR="00041826" w:rsidRPr="00563D71">
        <w:t xml:space="preserve">  </w:t>
      </w:r>
      <w:r w:rsidR="00B34CFA" w:rsidRPr="00563D71">
        <w:t>INFORMATION DISCLOSURE, CONSULTATION AND PARTICIPATION</w:t>
      </w:r>
      <w:bookmarkEnd w:id="107"/>
      <w:bookmarkEnd w:id="108"/>
      <w:bookmarkEnd w:id="109"/>
    </w:p>
    <w:p w14:paraId="489CCB6D" w14:textId="77777777" w:rsidR="00AF45B1" w:rsidRPr="00AF45B1" w:rsidRDefault="00AF45B1" w:rsidP="00AF45B1"/>
    <w:p w14:paraId="761CC7EC" w14:textId="2F37DA5C" w:rsidR="00006737" w:rsidRPr="00563D71" w:rsidRDefault="00006737" w:rsidP="0032029F">
      <w:pPr>
        <w:pStyle w:val="MainParanoChapter-Ch3"/>
      </w:pPr>
      <w:r w:rsidRPr="00563D71">
        <w:t xml:space="preserve">In the course of preparing the ESSA, the </w:t>
      </w:r>
      <w:r w:rsidR="00F9166B" w:rsidRPr="00563D71">
        <w:t xml:space="preserve">task </w:t>
      </w:r>
      <w:r w:rsidRPr="00563D71">
        <w:t>team made field visit</w:t>
      </w:r>
      <w:r w:rsidR="00B86D8A" w:rsidRPr="00563D71">
        <w:t>s to five tourism destinations:</w:t>
      </w:r>
      <w:r w:rsidRPr="00563D71">
        <w:t xml:space="preserve"> Belitung Island, Borobudur</w:t>
      </w:r>
      <w:r w:rsidR="00116514" w:rsidRPr="00563D71">
        <w:t>-Yogyakarta-Prambanan</w:t>
      </w:r>
      <w:r w:rsidRPr="00563D71">
        <w:t xml:space="preserve">, Lake Toba, Lombok, and Tanjung Lesung.  Consultations were conducted with provincial and district officials, destination management authorities (where already established), the Sustainable Tourism Observatory for Lombok at University of Mataram, tourism development companies, NGOs, and </w:t>
      </w:r>
      <w:r w:rsidR="00B86D8A" w:rsidRPr="00563D71">
        <w:t>local residents and businesses.</w:t>
      </w:r>
      <w:r w:rsidRPr="00563D71">
        <w:t xml:space="preserve"> In Jakarta, the team consulted with officials from the Ministries of Public Works and Housing, Tourism</w:t>
      </w:r>
      <w:r w:rsidR="00B86D8A" w:rsidRPr="00563D71">
        <w:t>, and Environment and Forestry.</w:t>
      </w:r>
      <w:r w:rsidRPr="00563D71">
        <w:t xml:space="preserve"> Annex 2 provides details on the visits and persons consulted.  </w:t>
      </w:r>
    </w:p>
    <w:p w14:paraId="0714B809" w14:textId="77777777" w:rsidR="006B078E" w:rsidRPr="00563D71" w:rsidRDefault="006B078E" w:rsidP="0032029F">
      <w:pPr>
        <w:pStyle w:val="MainParanoChapter-Ch3"/>
        <w:numPr>
          <w:ilvl w:val="0"/>
          <w:numId w:val="0"/>
        </w:numPr>
      </w:pPr>
    </w:p>
    <w:p w14:paraId="492EAC88" w14:textId="69026E7D" w:rsidR="00006737" w:rsidRPr="00563D71" w:rsidRDefault="00006737" w:rsidP="0032029F">
      <w:pPr>
        <w:pStyle w:val="MainParanoChapter-Ch3"/>
      </w:pPr>
      <w:r w:rsidRPr="00563D71">
        <w:t>The Bank will publicly disclose the draft ESSA and conduct stakeholde</w:t>
      </w:r>
      <w:r w:rsidR="0094720A">
        <w:t>r consultation workshops in July</w:t>
      </w:r>
      <w:r w:rsidRPr="00563D71">
        <w:t xml:space="preserve"> 2017.  The final version of the ESSA incorporating stakeholder inputs from the consultations on the draft will be disclosed at</w:t>
      </w:r>
      <w:r w:rsidR="00A668A5" w:rsidRPr="00563D71">
        <w:t xml:space="preserve"> RIDA of MPWH’s website </w:t>
      </w:r>
      <w:hyperlink r:id="rId21" w:history="1">
        <w:r w:rsidR="00A668A5" w:rsidRPr="00563D71">
          <w:rPr>
            <w:rStyle w:val="Hyperlink"/>
          </w:rPr>
          <w:t>www.bpiw.go.id</w:t>
        </w:r>
      </w:hyperlink>
      <w:r w:rsidRPr="00563D71">
        <w:t>, in the Bank’s InfoShop</w:t>
      </w:r>
      <w:r w:rsidR="00A668A5" w:rsidRPr="00563D71">
        <w:t xml:space="preserve">. </w:t>
      </w:r>
      <w:r w:rsidRPr="00563D71">
        <w:t>Results of the consultations on the draft are summarized in Annex 1.</w:t>
      </w:r>
    </w:p>
    <w:p w14:paraId="40E4DAA1" w14:textId="77777777" w:rsidR="006B078E" w:rsidRPr="00563D71" w:rsidRDefault="006B078E" w:rsidP="0032029F">
      <w:pPr>
        <w:pStyle w:val="MainParanoChapter-Ch3"/>
        <w:numPr>
          <w:ilvl w:val="0"/>
          <w:numId w:val="0"/>
        </w:numPr>
      </w:pPr>
    </w:p>
    <w:p w14:paraId="54142ED0" w14:textId="2ED2EDA2" w:rsidR="00116514" w:rsidRPr="00563D71" w:rsidRDefault="00116514" w:rsidP="0032029F">
      <w:pPr>
        <w:pStyle w:val="MainParanoChapter-Ch3"/>
      </w:pPr>
      <w:r w:rsidRPr="00563D71">
        <w:t xml:space="preserve">Following the </w:t>
      </w:r>
      <w:r w:rsidR="008322E1" w:rsidRPr="00563D71">
        <w:t>k</w:t>
      </w:r>
      <w:r w:rsidRPr="00563D71">
        <w:t xml:space="preserve">ick-off </w:t>
      </w:r>
      <w:r w:rsidR="008322E1" w:rsidRPr="00563D71">
        <w:t>m</w:t>
      </w:r>
      <w:r w:rsidRPr="00563D71">
        <w:t>eeting</w:t>
      </w:r>
      <w:r w:rsidR="008322E1" w:rsidRPr="00563D71">
        <w:t xml:space="preserve"> of the identification mission of the Tourism Development Program (February 15, 2017)</w:t>
      </w:r>
      <w:r w:rsidRPr="00563D71">
        <w:t xml:space="preserve">, a series of consultations </w:t>
      </w:r>
      <w:r w:rsidR="00B86D8A" w:rsidRPr="00563D71">
        <w:t xml:space="preserve">with different stakeholders to </w:t>
      </w:r>
      <w:r w:rsidRPr="00563D71">
        <w:t xml:space="preserve">gather information from key government agencies at </w:t>
      </w:r>
      <w:r w:rsidR="00584BC4" w:rsidRPr="00563D71">
        <w:t xml:space="preserve">the </w:t>
      </w:r>
      <w:r w:rsidRPr="00563D71">
        <w:t xml:space="preserve">national level, provincial level, district level, and at the </w:t>
      </w:r>
      <w:r w:rsidR="00F9166B" w:rsidRPr="00563D71">
        <w:t xml:space="preserve">destinations </w:t>
      </w:r>
      <w:r w:rsidRPr="00563D71">
        <w:t xml:space="preserve">has been conducted in order to develop the ESSA. During the data collection for ESSA development, the consultations with key government agencies and concerned stakeholders at </w:t>
      </w:r>
      <w:r w:rsidR="00F9166B" w:rsidRPr="00563D71">
        <w:t xml:space="preserve">the </w:t>
      </w:r>
      <w:r w:rsidRPr="00563D71">
        <w:t xml:space="preserve">national, provincial, and district </w:t>
      </w:r>
      <w:r w:rsidR="00F9166B" w:rsidRPr="00563D71">
        <w:t xml:space="preserve">level </w:t>
      </w:r>
      <w:r w:rsidRPr="00563D71">
        <w:t xml:space="preserve">were </w:t>
      </w:r>
      <w:r w:rsidR="00F9166B" w:rsidRPr="00563D71">
        <w:t xml:space="preserve">conducted </w:t>
      </w:r>
      <w:r w:rsidR="005D685D" w:rsidRPr="00563D71">
        <w:t xml:space="preserve">jointly by the </w:t>
      </w:r>
      <w:r w:rsidRPr="00563D71">
        <w:t>Regional Infrastructure Development Agency (</w:t>
      </w:r>
      <w:r w:rsidR="00F9166B" w:rsidRPr="00563D71">
        <w:t>RIDA</w:t>
      </w:r>
      <w:r w:rsidRPr="00563D71">
        <w:t xml:space="preserve">) of </w:t>
      </w:r>
      <w:r w:rsidR="00F9166B" w:rsidRPr="00563D71">
        <w:t xml:space="preserve">the Ministry of Public Works and Housing (MPWH) </w:t>
      </w:r>
      <w:r w:rsidRPr="00563D71">
        <w:t xml:space="preserve">and </w:t>
      </w:r>
      <w:r w:rsidR="00F9166B" w:rsidRPr="00563D71">
        <w:t xml:space="preserve">the </w:t>
      </w:r>
      <w:r w:rsidRPr="00563D71">
        <w:t>World Bank Safeguards Team (Environmental and Social Specialist</w:t>
      </w:r>
      <w:r w:rsidR="008322E1" w:rsidRPr="00563D71">
        <w:t>s</w:t>
      </w:r>
      <w:r w:rsidRPr="00563D71">
        <w:t xml:space="preserve">). The process of consultation includes discussions with </w:t>
      </w:r>
      <w:r w:rsidR="005D685D" w:rsidRPr="00563D71">
        <w:t xml:space="preserve">the </w:t>
      </w:r>
      <w:r w:rsidRPr="00563D71">
        <w:t>head</w:t>
      </w:r>
      <w:r w:rsidR="005D685D" w:rsidRPr="00563D71">
        <w:t>s</w:t>
      </w:r>
      <w:r w:rsidRPr="00563D71">
        <w:t xml:space="preserve"> of the relevant agencies and one-on-one meetings with spe</w:t>
      </w:r>
      <w:r w:rsidR="005D685D" w:rsidRPr="00563D71">
        <w:t xml:space="preserve">cific agencies. Site </w:t>
      </w:r>
      <w:r w:rsidRPr="00563D71">
        <w:t>visit</w:t>
      </w:r>
      <w:r w:rsidR="005D685D" w:rsidRPr="00563D71">
        <w:t>s</w:t>
      </w:r>
      <w:r w:rsidRPr="00563D71">
        <w:t xml:space="preserve"> to the </w:t>
      </w:r>
      <w:r w:rsidR="005D685D" w:rsidRPr="00563D71">
        <w:t xml:space="preserve">tourism </w:t>
      </w:r>
      <w:r w:rsidRPr="00563D71">
        <w:t xml:space="preserve">destination area were </w:t>
      </w:r>
      <w:r w:rsidR="005D685D" w:rsidRPr="00563D71">
        <w:t xml:space="preserve">also </w:t>
      </w:r>
      <w:r w:rsidRPr="00563D71">
        <w:t>conducted by the World Bank Safeguard team. The output of the consultation</w:t>
      </w:r>
      <w:r w:rsidR="005D685D" w:rsidRPr="00563D71">
        <w:t>s</w:t>
      </w:r>
      <w:r w:rsidRPr="00563D71">
        <w:t xml:space="preserve"> is </w:t>
      </w:r>
      <w:r w:rsidR="005D685D" w:rsidRPr="00563D71">
        <w:t xml:space="preserve">the </w:t>
      </w:r>
      <w:r w:rsidRPr="00563D71">
        <w:t xml:space="preserve">environmental and social systems assessment. </w:t>
      </w:r>
    </w:p>
    <w:p w14:paraId="2D899FF5" w14:textId="77777777" w:rsidR="006B078E" w:rsidRPr="00563D71" w:rsidRDefault="006B078E" w:rsidP="0032029F">
      <w:pPr>
        <w:pStyle w:val="MainParanoChapter-Ch3"/>
        <w:numPr>
          <w:ilvl w:val="0"/>
          <w:numId w:val="0"/>
        </w:numPr>
      </w:pPr>
    </w:p>
    <w:p w14:paraId="2554B3B0" w14:textId="3A6E8BDA" w:rsidR="00116514" w:rsidRPr="00563D71" w:rsidRDefault="00116514" w:rsidP="0032029F">
      <w:pPr>
        <w:pStyle w:val="MainParanoChapter-Ch3"/>
      </w:pPr>
      <w:r w:rsidRPr="00563D71">
        <w:t>The tourism destination areas that</w:t>
      </w:r>
      <w:r w:rsidR="005D685D" w:rsidRPr="00563D71">
        <w:t xml:space="preserve"> the Safeguards T</w:t>
      </w:r>
      <w:r w:rsidR="00B86D8A" w:rsidRPr="00563D71">
        <w:t xml:space="preserve">eam had visited included </w:t>
      </w:r>
      <w:r w:rsidRPr="00563D71">
        <w:t xml:space="preserve">Lombok, Tanjung Lesung-Banten, </w:t>
      </w:r>
      <w:r w:rsidR="005D685D" w:rsidRPr="00563D71">
        <w:t xml:space="preserve">Lake </w:t>
      </w:r>
      <w:r w:rsidRPr="00563D71">
        <w:t xml:space="preserve">Toba, </w:t>
      </w:r>
      <w:r w:rsidR="005D685D" w:rsidRPr="00563D71">
        <w:t>Sumatra</w:t>
      </w:r>
      <w:r w:rsidRPr="00563D71">
        <w:t>, and Tanjung Kelayang-Bangka Belitung. Based on the screening and scoping and also the prioritized thre</w:t>
      </w:r>
      <w:r w:rsidR="005D685D" w:rsidRPr="00563D71">
        <w:t>e tourism destination</w:t>
      </w:r>
      <w:r w:rsidR="00936EB1" w:rsidRPr="00563D71">
        <w:t>s—</w:t>
      </w:r>
      <w:r w:rsidRPr="00563D71">
        <w:t>Lake Toba, Borobudur</w:t>
      </w:r>
      <w:r w:rsidR="00936EB1" w:rsidRPr="00563D71">
        <w:t>,</w:t>
      </w:r>
      <w:r w:rsidRPr="00563D71">
        <w:t xml:space="preserve"> and Lombok, the </w:t>
      </w:r>
      <w:r w:rsidR="005D685D" w:rsidRPr="00563D71">
        <w:t xml:space="preserve">Safeguards </w:t>
      </w:r>
      <w:r w:rsidRPr="00563D71">
        <w:t>Team prepared the assessment of the environmental and social system</w:t>
      </w:r>
      <w:r w:rsidR="005D685D" w:rsidRPr="00563D71">
        <w:t xml:space="preserve">s of the proposed Program. The </w:t>
      </w:r>
      <w:r w:rsidRPr="00563D71">
        <w:t xml:space="preserve">initial consultations for were conducted </w:t>
      </w:r>
      <w:r w:rsidR="005D685D" w:rsidRPr="00563D71">
        <w:t xml:space="preserve">from </w:t>
      </w:r>
      <w:r w:rsidRPr="00563D71">
        <w:t xml:space="preserve">February </w:t>
      </w:r>
      <w:r w:rsidR="005D685D" w:rsidRPr="00563D71">
        <w:t xml:space="preserve">2016 to </w:t>
      </w:r>
      <w:r w:rsidRPr="00563D71">
        <w:t xml:space="preserve">June 2016.  </w:t>
      </w:r>
    </w:p>
    <w:p w14:paraId="1F523A0C" w14:textId="77777777" w:rsidR="006B078E" w:rsidRPr="00563D71" w:rsidRDefault="006B078E" w:rsidP="0032029F">
      <w:pPr>
        <w:pStyle w:val="MainParanoChapter-Ch3"/>
        <w:numPr>
          <w:ilvl w:val="0"/>
          <w:numId w:val="0"/>
        </w:numPr>
      </w:pPr>
    </w:p>
    <w:p w14:paraId="3D7E1D69" w14:textId="24F9B8E5" w:rsidR="00116514" w:rsidRPr="00563D71" w:rsidRDefault="00116514" w:rsidP="0032029F">
      <w:pPr>
        <w:pStyle w:val="MainParanoChapter-Ch3"/>
      </w:pPr>
      <w:r w:rsidRPr="00563D71">
        <w:t xml:space="preserve">A more thorough and focused </w:t>
      </w:r>
      <w:r w:rsidR="005D685D" w:rsidRPr="00563D71">
        <w:t xml:space="preserve">series of </w:t>
      </w:r>
      <w:r w:rsidRPr="00563D71">
        <w:t>consultations were applied in the prioritized tourism destinations area</w:t>
      </w:r>
      <w:r w:rsidR="005D685D" w:rsidRPr="00563D71">
        <w:t>s</w:t>
      </w:r>
      <w:r w:rsidRPr="00563D71">
        <w:t xml:space="preserve"> (Borobudur</w:t>
      </w:r>
      <w:r w:rsidR="005D685D" w:rsidRPr="00563D71">
        <w:t>-Yogyakarta-Prambanan</w:t>
      </w:r>
      <w:r w:rsidR="00584BC4" w:rsidRPr="00563D71">
        <w:t xml:space="preserve">, Lake Toba, and Lombok). The Safeguards </w:t>
      </w:r>
      <w:r w:rsidRPr="00563D71">
        <w:t xml:space="preserve">Team explored not only the current environmental and </w:t>
      </w:r>
      <w:r w:rsidR="00584BC4" w:rsidRPr="00563D71">
        <w:t xml:space="preserve">social issues, </w:t>
      </w:r>
      <w:r w:rsidRPr="00563D71">
        <w:t xml:space="preserve">but also the potential environment and social effects that may be relevant to the Program. Findings of the ESSA included identification and assessment on social and environmental regulatory frameworks, specific institutional arrangements and the capacity </w:t>
      </w:r>
      <w:r w:rsidR="00584BC4" w:rsidRPr="00563D71">
        <w:t xml:space="preserve">building </w:t>
      </w:r>
      <w:r w:rsidRPr="00563D71">
        <w:t>needed for mitigating tourism potential effect</w:t>
      </w:r>
      <w:r w:rsidR="00584BC4" w:rsidRPr="00563D71">
        <w:t xml:space="preserve">s during implementation stage. </w:t>
      </w:r>
      <w:r w:rsidRPr="00563D71">
        <w:t xml:space="preserve">The second stage </w:t>
      </w:r>
      <w:r w:rsidR="00584BC4" w:rsidRPr="00563D71">
        <w:t xml:space="preserve">of </w:t>
      </w:r>
      <w:r w:rsidRPr="00563D71">
        <w:t>consultation</w:t>
      </w:r>
      <w:r w:rsidR="00584BC4" w:rsidRPr="00563D71">
        <w:t>s</w:t>
      </w:r>
      <w:r w:rsidRPr="00563D71">
        <w:t xml:space="preserve"> </w:t>
      </w:r>
      <w:r w:rsidR="00584BC4" w:rsidRPr="00563D71">
        <w:t xml:space="preserve">was held from August to </w:t>
      </w:r>
      <w:r w:rsidRPr="00563D71">
        <w:t xml:space="preserve">October 2017. </w:t>
      </w:r>
    </w:p>
    <w:p w14:paraId="473F99C2" w14:textId="77777777" w:rsidR="006B078E" w:rsidRPr="00563D71" w:rsidRDefault="006B078E" w:rsidP="0032029F">
      <w:pPr>
        <w:pStyle w:val="MainParanoChapter-Ch3"/>
        <w:numPr>
          <w:ilvl w:val="0"/>
          <w:numId w:val="0"/>
        </w:numPr>
      </w:pPr>
    </w:p>
    <w:p w14:paraId="2A3B2102" w14:textId="5BD4721D" w:rsidR="00116514" w:rsidRPr="00563D71" w:rsidRDefault="00116514" w:rsidP="0032029F">
      <w:pPr>
        <w:pStyle w:val="MainParanoChapter-Ch3"/>
      </w:pPr>
      <w:r w:rsidRPr="00563D71">
        <w:lastRenderedPageBreak/>
        <w:t xml:space="preserve">The stakeholder consultations will be carried out in two stages. The first initial consultation </w:t>
      </w:r>
      <w:r w:rsidR="00E61AE4" w:rsidRPr="00563D71">
        <w:t xml:space="preserve">was </w:t>
      </w:r>
      <w:r w:rsidRPr="00563D71">
        <w:t xml:space="preserve">done in December 2016 on the first draft of the Environmental and Social Systems </w:t>
      </w:r>
      <w:r w:rsidRPr="00563D71">
        <w:rPr>
          <w:rFonts w:cstheme="minorHAnsi"/>
        </w:rPr>
        <w:t xml:space="preserve">Assessment (ESSA) </w:t>
      </w:r>
      <w:r w:rsidR="00E61AE4" w:rsidRPr="00563D71">
        <w:rPr>
          <w:rFonts w:cstheme="minorHAnsi"/>
        </w:rPr>
        <w:t xml:space="preserve">with </w:t>
      </w:r>
      <w:r w:rsidRPr="00563D71">
        <w:rPr>
          <w:rFonts w:cstheme="minorHAnsi"/>
        </w:rPr>
        <w:t>the stakeholders who are part of the national tourism coordination team. The second</w:t>
      </w:r>
      <w:r w:rsidR="00936EB1" w:rsidRPr="00563D71">
        <w:rPr>
          <w:rFonts w:cstheme="minorHAnsi"/>
        </w:rPr>
        <w:t>-</w:t>
      </w:r>
      <w:r w:rsidRPr="00563D71">
        <w:rPr>
          <w:rFonts w:cstheme="minorHAnsi"/>
        </w:rPr>
        <w:t>stage stakeholder consultations will include local</w:t>
      </w:r>
      <w:r w:rsidR="00936EB1" w:rsidRPr="00563D71">
        <w:rPr>
          <w:rFonts w:cstheme="minorHAnsi"/>
        </w:rPr>
        <w:t>-</w:t>
      </w:r>
      <w:r w:rsidRPr="00563D71">
        <w:rPr>
          <w:rFonts w:cstheme="minorHAnsi"/>
        </w:rPr>
        <w:t>level stakeholder</w:t>
      </w:r>
      <w:r w:rsidR="00936EB1" w:rsidRPr="00563D71">
        <w:rPr>
          <w:rFonts w:cstheme="minorHAnsi"/>
        </w:rPr>
        <w:t>s</w:t>
      </w:r>
      <w:r w:rsidRPr="00563D71">
        <w:rPr>
          <w:rFonts w:cstheme="minorHAnsi"/>
        </w:rPr>
        <w:t xml:space="preserve"> </w:t>
      </w:r>
      <w:r w:rsidR="00A668A5" w:rsidRPr="00563D71">
        <w:rPr>
          <w:rFonts w:cstheme="minorHAnsi"/>
        </w:rPr>
        <w:t xml:space="preserve">at the national level and </w:t>
      </w:r>
      <w:r w:rsidR="00E61AE4" w:rsidRPr="00563D71">
        <w:rPr>
          <w:rFonts w:cstheme="minorHAnsi"/>
        </w:rPr>
        <w:t>in th</w:t>
      </w:r>
      <w:r w:rsidR="00A668A5" w:rsidRPr="00563D71">
        <w:rPr>
          <w:rFonts w:cstheme="minorHAnsi"/>
        </w:rPr>
        <w:t>ree</w:t>
      </w:r>
      <w:r w:rsidR="00E61AE4" w:rsidRPr="00563D71">
        <w:rPr>
          <w:rFonts w:cstheme="minorHAnsi"/>
        </w:rPr>
        <w:t xml:space="preserve"> priority </w:t>
      </w:r>
      <w:r w:rsidRPr="00563D71">
        <w:rPr>
          <w:rFonts w:cstheme="minorHAnsi"/>
        </w:rPr>
        <w:t>destination</w:t>
      </w:r>
      <w:r w:rsidR="00E61AE4" w:rsidRPr="00563D71">
        <w:rPr>
          <w:rFonts w:cstheme="minorHAnsi"/>
        </w:rPr>
        <w:t>s</w:t>
      </w:r>
      <w:r w:rsidR="00A668A5" w:rsidRPr="00563D71">
        <w:rPr>
          <w:rFonts w:cstheme="minorHAnsi"/>
        </w:rPr>
        <w:t xml:space="preserve">, i.e., </w:t>
      </w:r>
      <w:r w:rsidR="00BD286B" w:rsidRPr="00563D71">
        <w:rPr>
          <w:rFonts w:cstheme="minorHAnsi"/>
        </w:rPr>
        <w:t xml:space="preserve">Lake </w:t>
      </w:r>
      <w:r w:rsidR="00A668A5" w:rsidRPr="00563D71">
        <w:rPr>
          <w:rFonts w:cstheme="minorHAnsi"/>
        </w:rPr>
        <w:t xml:space="preserve">Toba, Borobudur-Yogyakarta-Prambanan, and Lombok, </w:t>
      </w:r>
      <w:r w:rsidRPr="00563D71">
        <w:rPr>
          <w:rFonts w:cstheme="minorHAnsi"/>
        </w:rPr>
        <w:t>and will be accompanied by the main executing agency</w:t>
      </w:r>
      <w:r w:rsidR="00936EB1" w:rsidRPr="00563D71">
        <w:rPr>
          <w:rFonts w:cstheme="minorHAnsi"/>
        </w:rPr>
        <w:t xml:space="preserve"> for the Program</w:t>
      </w:r>
      <w:r w:rsidRPr="00563D71">
        <w:rPr>
          <w:rFonts w:cstheme="minorHAnsi"/>
        </w:rPr>
        <w:t xml:space="preserve">, </w:t>
      </w:r>
      <w:r w:rsidR="00936EB1" w:rsidRPr="00563D71">
        <w:rPr>
          <w:rFonts w:cstheme="minorHAnsi"/>
        </w:rPr>
        <w:t>MPWH-</w:t>
      </w:r>
      <w:r w:rsidRPr="00563D71">
        <w:rPr>
          <w:rFonts w:cstheme="minorHAnsi"/>
        </w:rPr>
        <w:t xml:space="preserve">RIDA. </w:t>
      </w:r>
      <w:r w:rsidR="00A668A5" w:rsidRPr="00563D71">
        <w:rPr>
          <w:rFonts w:cstheme="minorHAnsi"/>
        </w:rPr>
        <w:t>Relevant i</w:t>
      </w:r>
      <w:r w:rsidRPr="00563D71">
        <w:rPr>
          <w:rFonts w:cstheme="minorHAnsi"/>
        </w:rPr>
        <w:t>nput</w:t>
      </w:r>
      <w:r w:rsidR="00A668A5" w:rsidRPr="00563D71">
        <w:rPr>
          <w:rFonts w:cstheme="minorHAnsi"/>
        </w:rPr>
        <w:t>s</w:t>
      </w:r>
      <w:r w:rsidRPr="00563D71">
        <w:rPr>
          <w:rFonts w:cstheme="minorHAnsi"/>
        </w:rPr>
        <w:t xml:space="preserve"> or comments from the public consultation</w:t>
      </w:r>
      <w:r w:rsidR="00E61AE4" w:rsidRPr="00563D71">
        <w:rPr>
          <w:rFonts w:cstheme="minorHAnsi"/>
        </w:rPr>
        <w:t>s</w:t>
      </w:r>
      <w:r w:rsidRPr="00563D71">
        <w:rPr>
          <w:rFonts w:cstheme="minorHAnsi"/>
        </w:rPr>
        <w:t xml:space="preserve"> will be </w:t>
      </w:r>
      <w:r w:rsidR="00A668A5" w:rsidRPr="00563D71">
        <w:rPr>
          <w:rFonts w:cstheme="minorHAnsi"/>
        </w:rPr>
        <w:t xml:space="preserve">incorporated </w:t>
      </w:r>
      <w:r w:rsidRPr="00563D71">
        <w:rPr>
          <w:rFonts w:cstheme="minorHAnsi"/>
        </w:rPr>
        <w:t xml:space="preserve">into the final draft ESSA. </w:t>
      </w:r>
    </w:p>
    <w:p w14:paraId="5F9B09E9" w14:textId="77777777" w:rsidR="00116514" w:rsidRPr="00563D71" w:rsidRDefault="00116514" w:rsidP="00116514">
      <w:pPr>
        <w:ind w:left="0" w:right="15" w:firstLine="0"/>
      </w:pPr>
    </w:p>
    <w:p w14:paraId="54F7D7BD" w14:textId="096CD3C8" w:rsidR="00EF0C73" w:rsidRPr="00563D71" w:rsidRDefault="00EF0C73" w:rsidP="00FB7E1E">
      <w:pPr>
        <w:ind w:left="0" w:right="15" w:firstLine="0"/>
      </w:pPr>
    </w:p>
    <w:p w14:paraId="6AE928A6" w14:textId="42E58E7F" w:rsidR="00245F03" w:rsidRPr="00563D71" w:rsidRDefault="00245F03">
      <w:pPr>
        <w:spacing w:line="259" w:lineRule="auto"/>
        <w:ind w:left="0" w:firstLine="0"/>
        <w:jc w:val="right"/>
      </w:pPr>
    </w:p>
    <w:p w14:paraId="0B97C1B8" w14:textId="77777777" w:rsidR="00116514" w:rsidRPr="00563D71" w:rsidRDefault="00116514">
      <w:pPr>
        <w:spacing w:before="0"/>
        <w:ind w:left="11" w:hanging="11"/>
        <w:rPr>
          <w:b/>
        </w:rPr>
      </w:pPr>
      <w:bookmarkStart w:id="110" w:name="_Toc468969250"/>
      <w:r w:rsidRPr="00563D71">
        <w:br w:type="page"/>
      </w:r>
    </w:p>
    <w:p w14:paraId="7E9C245C" w14:textId="6AB70DC2" w:rsidR="00245F03" w:rsidRPr="00563D71" w:rsidRDefault="00B34CFA" w:rsidP="00B34CFA">
      <w:pPr>
        <w:pStyle w:val="Heading1"/>
        <w:jc w:val="center"/>
        <w:rPr>
          <w:rFonts w:eastAsia="Cambria"/>
        </w:rPr>
      </w:pPr>
      <w:bookmarkStart w:id="111" w:name="_Toc481484064"/>
      <w:bookmarkStart w:id="112" w:name="_Toc485831044"/>
      <w:r w:rsidRPr="00563D71">
        <w:lastRenderedPageBreak/>
        <w:t xml:space="preserve">ANNEX 1:  </w:t>
      </w:r>
      <w:r w:rsidR="00BD2D5D" w:rsidRPr="00563D71">
        <w:t xml:space="preserve">RESULTS OF </w:t>
      </w:r>
      <w:r w:rsidRPr="00563D71">
        <w:rPr>
          <w:rFonts w:eastAsia="Cambria"/>
        </w:rPr>
        <w:t>PUBLIC CONSULTATION</w:t>
      </w:r>
      <w:bookmarkEnd w:id="110"/>
      <w:bookmarkEnd w:id="111"/>
      <w:bookmarkEnd w:id="112"/>
    </w:p>
    <w:p w14:paraId="52037BDA" w14:textId="77777777" w:rsidR="004D2271" w:rsidRPr="00563D71" w:rsidRDefault="004D2271" w:rsidP="004D2271">
      <w:pPr>
        <w:rPr>
          <w:rFonts w:eastAsia="Cambria"/>
        </w:rPr>
      </w:pPr>
    </w:p>
    <w:p w14:paraId="6AB3298B" w14:textId="6B6B375F" w:rsidR="004D2271" w:rsidRPr="00563D71" w:rsidRDefault="004D2271" w:rsidP="004D2271">
      <w:pPr>
        <w:ind w:left="0"/>
        <w:jc w:val="center"/>
        <w:rPr>
          <w:rFonts w:eastAsia="Cambria"/>
          <w:b/>
        </w:rPr>
      </w:pPr>
      <w:r w:rsidRPr="00563D71">
        <w:rPr>
          <w:rFonts w:eastAsia="Cambria"/>
          <w:b/>
        </w:rPr>
        <w:t>[To be completed after consultations on the draft]</w:t>
      </w:r>
    </w:p>
    <w:p w14:paraId="616E5911" w14:textId="77777777" w:rsidR="00B34CFA" w:rsidRPr="00563D71" w:rsidRDefault="00B34CFA" w:rsidP="00B34CFA"/>
    <w:p w14:paraId="22BA7CD1" w14:textId="7C4A85FF" w:rsidR="004D2271" w:rsidRPr="00563D71" w:rsidRDefault="004D2271" w:rsidP="004D2271">
      <w:pPr>
        <w:jc w:val="center"/>
        <w:rPr>
          <w:sz w:val="22"/>
        </w:rPr>
      </w:pPr>
    </w:p>
    <w:p w14:paraId="472BC712" w14:textId="0EED0918" w:rsidR="00245F03" w:rsidRPr="00563D71" w:rsidRDefault="00D04B10">
      <w:pPr>
        <w:spacing w:line="259" w:lineRule="auto"/>
        <w:ind w:left="1638" w:firstLine="0"/>
        <w:jc w:val="left"/>
        <w:rPr>
          <w:rFonts w:asciiTheme="majorBidi" w:hAnsiTheme="majorBidi" w:cstheme="majorBidi"/>
        </w:rPr>
      </w:pPr>
      <w:r w:rsidRPr="00563D71">
        <w:rPr>
          <w:rFonts w:asciiTheme="majorBidi" w:eastAsia="Cambria" w:hAnsiTheme="majorBidi" w:cstheme="majorBidi"/>
          <w:b/>
          <w:sz w:val="20"/>
        </w:rPr>
        <w:t>Draft ESSA of</w:t>
      </w:r>
      <w:r w:rsidR="00951DAB" w:rsidRPr="00563D71">
        <w:rPr>
          <w:rFonts w:asciiTheme="majorBidi" w:eastAsia="Cambria" w:hAnsiTheme="majorBidi" w:cstheme="majorBidi"/>
          <w:b/>
          <w:sz w:val="20"/>
        </w:rPr>
        <w:t xml:space="preserve"> Indonesia Tourism Development Program </w:t>
      </w:r>
    </w:p>
    <w:tbl>
      <w:tblPr>
        <w:tblStyle w:val="TableGrid"/>
        <w:tblW w:w="9444" w:type="dxa"/>
        <w:tblInd w:w="-269" w:type="dxa"/>
        <w:tblCellMar>
          <w:top w:w="35" w:type="dxa"/>
          <w:left w:w="10" w:type="dxa"/>
        </w:tblCellMar>
        <w:tblLook w:val="04A0" w:firstRow="1" w:lastRow="0" w:firstColumn="1" w:lastColumn="0" w:noHBand="0" w:noVBand="1"/>
      </w:tblPr>
      <w:tblGrid>
        <w:gridCol w:w="365"/>
        <w:gridCol w:w="831"/>
        <w:gridCol w:w="1095"/>
        <w:gridCol w:w="1810"/>
        <w:gridCol w:w="2694"/>
        <w:gridCol w:w="2649"/>
      </w:tblGrid>
      <w:tr w:rsidR="00245F03" w:rsidRPr="00563D71" w14:paraId="6F36E8ED" w14:textId="77777777" w:rsidTr="004D2271">
        <w:trPr>
          <w:trHeight w:val="715"/>
        </w:trPr>
        <w:tc>
          <w:tcPr>
            <w:tcW w:w="365" w:type="dxa"/>
            <w:tcBorders>
              <w:top w:val="single" w:sz="4" w:space="0" w:color="000000"/>
              <w:left w:val="single" w:sz="4" w:space="0" w:color="000000"/>
              <w:bottom w:val="single" w:sz="4" w:space="0" w:color="000000"/>
              <w:right w:val="single" w:sz="4" w:space="0" w:color="000000"/>
            </w:tcBorders>
            <w:vAlign w:val="center"/>
          </w:tcPr>
          <w:p w14:paraId="7580DBDF" w14:textId="77777777" w:rsidR="00245F03" w:rsidRPr="00563D71" w:rsidRDefault="00D04B10">
            <w:pPr>
              <w:spacing w:line="259" w:lineRule="auto"/>
              <w:ind w:left="53" w:firstLine="0"/>
              <w:rPr>
                <w:rFonts w:asciiTheme="majorBidi" w:hAnsiTheme="majorBidi" w:cstheme="majorBidi"/>
              </w:rPr>
            </w:pPr>
            <w:r w:rsidRPr="00563D71">
              <w:rPr>
                <w:rFonts w:asciiTheme="majorBidi" w:eastAsia="Cambria" w:hAnsiTheme="majorBidi" w:cstheme="majorBidi"/>
                <w:b/>
                <w:sz w:val="20"/>
              </w:rPr>
              <w:t xml:space="preserve">No </w:t>
            </w:r>
          </w:p>
        </w:tc>
        <w:tc>
          <w:tcPr>
            <w:tcW w:w="831" w:type="dxa"/>
            <w:tcBorders>
              <w:top w:val="single" w:sz="4" w:space="0" w:color="000000"/>
              <w:left w:val="single" w:sz="4" w:space="0" w:color="000000"/>
              <w:bottom w:val="single" w:sz="4" w:space="0" w:color="000000"/>
              <w:right w:val="single" w:sz="4" w:space="0" w:color="000000"/>
            </w:tcBorders>
            <w:vAlign w:val="center"/>
          </w:tcPr>
          <w:p w14:paraId="6B7FEE26" w14:textId="77777777" w:rsidR="00245F03" w:rsidRPr="00563D71" w:rsidRDefault="00D04B10">
            <w:pPr>
              <w:spacing w:line="259" w:lineRule="auto"/>
              <w:ind w:left="144" w:firstLine="0"/>
              <w:jc w:val="left"/>
              <w:rPr>
                <w:rFonts w:asciiTheme="majorBidi" w:hAnsiTheme="majorBidi" w:cstheme="majorBidi"/>
              </w:rPr>
            </w:pPr>
            <w:r w:rsidRPr="00563D71">
              <w:rPr>
                <w:rFonts w:asciiTheme="majorBidi" w:eastAsia="Cambria" w:hAnsiTheme="majorBidi" w:cstheme="majorBidi"/>
                <w:b/>
                <w:sz w:val="20"/>
              </w:rPr>
              <w:t xml:space="preserve">When </w:t>
            </w:r>
          </w:p>
        </w:tc>
        <w:tc>
          <w:tcPr>
            <w:tcW w:w="1095" w:type="dxa"/>
            <w:tcBorders>
              <w:top w:val="single" w:sz="4" w:space="0" w:color="000000"/>
              <w:left w:val="single" w:sz="4" w:space="0" w:color="000000"/>
              <w:bottom w:val="single" w:sz="4" w:space="0" w:color="000000"/>
              <w:right w:val="single" w:sz="4" w:space="0" w:color="000000"/>
            </w:tcBorders>
            <w:vAlign w:val="center"/>
          </w:tcPr>
          <w:p w14:paraId="25E016A0" w14:textId="77777777" w:rsidR="00245F03" w:rsidRPr="00563D71" w:rsidRDefault="00D04B10">
            <w:pPr>
              <w:spacing w:line="259" w:lineRule="auto"/>
              <w:ind w:left="1" w:firstLine="0"/>
              <w:jc w:val="center"/>
              <w:rPr>
                <w:rFonts w:asciiTheme="majorBidi" w:hAnsiTheme="majorBidi" w:cstheme="majorBidi"/>
              </w:rPr>
            </w:pPr>
            <w:r w:rsidRPr="00563D71">
              <w:rPr>
                <w:rFonts w:asciiTheme="majorBidi" w:eastAsia="Cambria" w:hAnsiTheme="majorBidi" w:cstheme="majorBidi"/>
                <w:b/>
                <w:sz w:val="20"/>
              </w:rPr>
              <w:t xml:space="preserve">Where </w:t>
            </w:r>
          </w:p>
        </w:tc>
        <w:tc>
          <w:tcPr>
            <w:tcW w:w="1810" w:type="dxa"/>
            <w:tcBorders>
              <w:top w:val="single" w:sz="4" w:space="0" w:color="000000"/>
              <w:left w:val="single" w:sz="4" w:space="0" w:color="000000"/>
              <w:bottom w:val="single" w:sz="4" w:space="0" w:color="000000"/>
              <w:right w:val="single" w:sz="4" w:space="0" w:color="000000"/>
            </w:tcBorders>
          </w:tcPr>
          <w:p w14:paraId="20D0C47B" w14:textId="77777777" w:rsidR="00245F03" w:rsidRPr="00563D71" w:rsidRDefault="00D04B10">
            <w:pPr>
              <w:spacing w:line="259" w:lineRule="auto"/>
              <w:ind w:left="24" w:firstLine="0"/>
              <w:jc w:val="center"/>
              <w:rPr>
                <w:rFonts w:asciiTheme="majorBidi" w:hAnsiTheme="majorBidi" w:cstheme="majorBidi"/>
              </w:rPr>
            </w:pPr>
            <w:r w:rsidRPr="00563D71">
              <w:rPr>
                <w:rFonts w:asciiTheme="majorBidi" w:eastAsia="Cambria" w:hAnsiTheme="majorBidi" w:cstheme="majorBidi"/>
                <w:b/>
                <w:sz w:val="20"/>
              </w:rPr>
              <w:t xml:space="preserve">Who &amp; how many people participated </w:t>
            </w:r>
          </w:p>
        </w:tc>
        <w:tc>
          <w:tcPr>
            <w:tcW w:w="2694" w:type="dxa"/>
            <w:tcBorders>
              <w:top w:val="single" w:sz="4" w:space="0" w:color="000000"/>
              <w:left w:val="single" w:sz="4" w:space="0" w:color="000000"/>
              <w:bottom w:val="single" w:sz="4" w:space="0" w:color="000000"/>
              <w:right w:val="single" w:sz="4" w:space="0" w:color="000000"/>
            </w:tcBorders>
            <w:vAlign w:val="center"/>
          </w:tcPr>
          <w:p w14:paraId="040E59AF" w14:textId="77777777" w:rsidR="00245F03" w:rsidRPr="00563D71" w:rsidRDefault="00D04B10">
            <w:pPr>
              <w:spacing w:line="259" w:lineRule="auto"/>
              <w:ind w:left="0" w:firstLine="0"/>
              <w:jc w:val="center"/>
              <w:rPr>
                <w:rFonts w:asciiTheme="majorBidi" w:hAnsiTheme="majorBidi" w:cstheme="majorBidi"/>
              </w:rPr>
            </w:pPr>
            <w:r w:rsidRPr="00563D71">
              <w:rPr>
                <w:rFonts w:asciiTheme="majorBidi" w:eastAsia="Cambria" w:hAnsiTheme="majorBidi" w:cstheme="majorBidi"/>
                <w:b/>
                <w:sz w:val="20"/>
              </w:rPr>
              <w:t xml:space="preserve">Key issues raised during the consultation </w:t>
            </w:r>
          </w:p>
        </w:tc>
        <w:tc>
          <w:tcPr>
            <w:tcW w:w="2649" w:type="dxa"/>
            <w:tcBorders>
              <w:top w:val="single" w:sz="4" w:space="0" w:color="000000"/>
              <w:left w:val="single" w:sz="4" w:space="0" w:color="000000"/>
              <w:bottom w:val="single" w:sz="4" w:space="0" w:color="000000"/>
              <w:right w:val="single" w:sz="4" w:space="0" w:color="000000"/>
            </w:tcBorders>
          </w:tcPr>
          <w:p w14:paraId="35934E7D" w14:textId="77777777" w:rsidR="00245F03" w:rsidRPr="00563D71" w:rsidRDefault="00D04B10">
            <w:pPr>
              <w:spacing w:line="259" w:lineRule="auto"/>
              <w:ind w:left="0" w:firstLine="0"/>
              <w:jc w:val="center"/>
              <w:rPr>
                <w:rFonts w:asciiTheme="majorBidi" w:hAnsiTheme="majorBidi" w:cstheme="majorBidi"/>
              </w:rPr>
            </w:pPr>
            <w:r w:rsidRPr="00563D71">
              <w:rPr>
                <w:rFonts w:asciiTheme="majorBidi" w:eastAsia="Cambria" w:hAnsiTheme="majorBidi" w:cstheme="majorBidi"/>
                <w:b/>
                <w:sz w:val="20"/>
              </w:rPr>
              <w:t xml:space="preserve">How these issues were addressed in the revised documents </w:t>
            </w:r>
          </w:p>
        </w:tc>
      </w:tr>
    </w:tbl>
    <w:p w14:paraId="0A140BD4" w14:textId="77777777" w:rsidR="00245F03" w:rsidRPr="00563D71" w:rsidRDefault="00D04B10">
      <w:pPr>
        <w:spacing w:line="259" w:lineRule="auto"/>
        <w:ind w:left="0" w:firstLine="0"/>
        <w:jc w:val="left"/>
      </w:pPr>
      <w:r w:rsidRPr="00563D71">
        <w:t xml:space="preserve"> </w:t>
      </w:r>
    </w:p>
    <w:p w14:paraId="7ADB3622" w14:textId="25D243A3" w:rsidR="00192478" w:rsidRPr="00563D71" w:rsidRDefault="00192478">
      <w:pPr>
        <w:spacing w:after="160" w:line="259" w:lineRule="auto"/>
        <w:ind w:left="0" w:firstLine="0"/>
        <w:jc w:val="left"/>
        <w:rPr>
          <w:b/>
        </w:rPr>
      </w:pPr>
      <w:bookmarkStart w:id="113" w:name="_Toc461623311"/>
      <w:r w:rsidRPr="00563D71">
        <w:br w:type="page"/>
      </w:r>
    </w:p>
    <w:p w14:paraId="24C098A6" w14:textId="172E0333" w:rsidR="00AA2F71" w:rsidRPr="00563D71" w:rsidRDefault="00AA2F71" w:rsidP="007066E2">
      <w:pPr>
        <w:pStyle w:val="Heading1"/>
        <w:jc w:val="center"/>
        <w:rPr>
          <w:rFonts w:asciiTheme="majorBidi" w:eastAsia="Cambria" w:hAnsiTheme="majorBidi" w:cstheme="majorBidi"/>
        </w:rPr>
      </w:pPr>
      <w:bookmarkStart w:id="114" w:name="_Toc468969251"/>
      <w:bookmarkStart w:id="115" w:name="_Toc481484065"/>
      <w:bookmarkStart w:id="116" w:name="_Toc485831045"/>
      <w:r w:rsidRPr="00563D71">
        <w:rPr>
          <w:rFonts w:asciiTheme="majorBidi" w:hAnsiTheme="majorBidi" w:cstheme="majorBidi"/>
        </w:rPr>
        <w:lastRenderedPageBreak/>
        <w:t xml:space="preserve">ANNEX </w:t>
      </w:r>
      <w:r w:rsidR="00983400" w:rsidRPr="00563D71">
        <w:rPr>
          <w:rFonts w:asciiTheme="majorBidi" w:hAnsiTheme="majorBidi" w:cstheme="majorBidi"/>
        </w:rPr>
        <w:t>2</w:t>
      </w:r>
      <w:r w:rsidRPr="00563D71">
        <w:rPr>
          <w:rFonts w:asciiTheme="majorBidi" w:hAnsiTheme="majorBidi" w:cstheme="majorBidi"/>
        </w:rPr>
        <w:t xml:space="preserve">:  </w:t>
      </w:r>
      <w:bookmarkEnd w:id="113"/>
      <w:r w:rsidRPr="00563D71">
        <w:rPr>
          <w:rFonts w:asciiTheme="majorBidi" w:eastAsia="Cambria" w:hAnsiTheme="majorBidi" w:cstheme="majorBidi"/>
        </w:rPr>
        <w:t>FIELD MISSION</w:t>
      </w:r>
      <w:r w:rsidR="00983400" w:rsidRPr="00563D71">
        <w:rPr>
          <w:rFonts w:asciiTheme="majorBidi" w:eastAsia="Cambria" w:hAnsiTheme="majorBidi" w:cstheme="majorBidi"/>
        </w:rPr>
        <w:t>S</w:t>
      </w:r>
      <w:r w:rsidRPr="00563D71">
        <w:rPr>
          <w:rFonts w:asciiTheme="majorBidi" w:eastAsia="Cambria" w:hAnsiTheme="majorBidi" w:cstheme="majorBidi"/>
        </w:rPr>
        <w:t xml:space="preserve"> AND LIST OF MEETING</w:t>
      </w:r>
      <w:r w:rsidR="00192478" w:rsidRPr="00563D71">
        <w:rPr>
          <w:rFonts w:asciiTheme="majorBidi" w:eastAsia="Cambria" w:hAnsiTheme="majorBidi" w:cstheme="majorBidi"/>
        </w:rPr>
        <w:t>S</w:t>
      </w:r>
      <w:bookmarkEnd w:id="114"/>
      <w:bookmarkEnd w:id="115"/>
      <w:bookmarkEnd w:id="116"/>
    </w:p>
    <w:p w14:paraId="52BDEB33" w14:textId="77777777" w:rsidR="00006737" w:rsidRPr="00563D71" w:rsidRDefault="00006737" w:rsidP="00BB0277">
      <w:pPr>
        <w:numPr>
          <w:ilvl w:val="0"/>
          <w:numId w:val="14"/>
        </w:numPr>
        <w:contextualSpacing/>
        <w:rPr>
          <w:rFonts w:asciiTheme="majorBidi" w:hAnsiTheme="majorBidi" w:cstheme="majorBidi"/>
        </w:rPr>
      </w:pPr>
      <w:bookmarkStart w:id="117" w:name="_Toc468969252"/>
      <w:r w:rsidRPr="00563D71">
        <w:rPr>
          <w:rFonts w:asciiTheme="majorBidi" w:hAnsiTheme="majorBidi" w:cstheme="majorBidi"/>
        </w:rPr>
        <w:t>Lombok, Mandalika (20</w:t>
      </w:r>
      <w:r w:rsidRPr="00563D71">
        <w:rPr>
          <w:rFonts w:asciiTheme="majorBidi" w:hAnsiTheme="majorBidi" w:cstheme="majorBidi"/>
          <w:vertAlign w:val="superscript"/>
        </w:rPr>
        <w:t>th</w:t>
      </w:r>
      <w:r w:rsidRPr="00563D71">
        <w:rPr>
          <w:rFonts w:asciiTheme="majorBidi" w:hAnsiTheme="majorBidi" w:cstheme="majorBidi"/>
        </w:rPr>
        <w:t xml:space="preserve"> February, 2016)</w:t>
      </w:r>
    </w:p>
    <w:tbl>
      <w:tblPr>
        <w:tblStyle w:val="TableGrid2"/>
        <w:tblW w:w="5000" w:type="pct"/>
        <w:tblLook w:val="04A0" w:firstRow="1" w:lastRow="0" w:firstColumn="1" w:lastColumn="0" w:noHBand="0" w:noVBand="1"/>
      </w:tblPr>
      <w:tblGrid>
        <w:gridCol w:w="3116"/>
        <w:gridCol w:w="3117"/>
        <w:gridCol w:w="3117"/>
      </w:tblGrid>
      <w:tr w:rsidR="00006737" w:rsidRPr="00563D71" w14:paraId="7E9833EC" w14:textId="77777777" w:rsidTr="0032029F">
        <w:tc>
          <w:tcPr>
            <w:tcW w:w="5000" w:type="pct"/>
            <w:gridSpan w:val="3"/>
            <w:shd w:val="clear" w:color="auto" w:fill="DEEAF6" w:themeFill="accent1" w:themeFillTint="33"/>
          </w:tcPr>
          <w:p w14:paraId="5AF4DB91"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Lombok</w:t>
            </w:r>
          </w:p>
        </w:tc>
      </w:tr>
      <w:tr w:rsidR="00006737" w:rsidRPr="00563D71" w14:paraId="5D32112A" w14:textId="77777777" w:rsidTr="0032029F">
        <w:tc>
          <w:tcPr>
            <w:tcW w:w="1666" w:type="pct"/>
          </w:tcPr>
          <w:p w14:paraId="300CD44E" w14:textId="2B443DDE" w:rsidR="00006737" w:rsidRPr="00563D71" w:rsidRDefault="00E350A2" w:rsidP="0032029F">
            <w:pPr>
              <w:spacing w:before="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of Nusa Tenggara Barat</w:t>
            </w:r>
          </w:p>
        </w:tc>
        <w:tc>
          <w:tcPr>
            <w:tcW w:w="1667" w:type="pct"/>
          </w:tcPr>
          <w:p w14:paraId="773979A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Syamsudin S. Hut</w:t>
            </w:r>
          </w:p>
        </w:tc>
        <w:tc>
          <w:tcPr>
            <w:tcW w:w="1667" w:type="pct"/>
          </w:tcPr>
          <w:p w14:paraId="72FC897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Sub-sector for Spatial and Natural Resources</w:t>
            </w:r>
          </w:p>
        </w:tc>
      </w:tr>
      <w:tr w:rsidR="00006737" w:rsidRPr="00563D71" w14:paraId="146E2086" w14:textId="77777777" w:rsidTr="0032029F">
        <w:tc>
          <w:tcPr>
            <w:tcW w:w="1666" w:type="pct"/>
            <w:shd w:val="clear" w:color="auto" w:fill="auto"/>
          </w:tcPr>
          <w:p w14:paraId="64C952FE" w14:textId="2C98BE9F" w:rsidR="00006737" w:rsidRPr="00563D71" w:rsidRDefault="00E350A2" w:rsidP="0032029F">
            <w:pPr>
              <w:spacing w:before="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of Central Lombok District</w:t>
            </w:r>
          </w:p>
        </w:tc>
        <w:tc>
          <w:tcPr>
            <w:tcW w:w="1667" w:type="pct"/>
            <w:shd w:val="clear" w:color="auto" w:fill="auto"/>
          </w:tcPr>
          <w:p w14:paraId="1A81D93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Taufikurrahman Pua Note (Arman)</w:t>
            </w:r>
          </w:p>
        </w:tc>
        <w:tc>
          <w:tcPr>
            <w:tcW w:w="1667" w:type="pct"/>
          </w:tcPr>
          <w:p w14:paraId="02766E3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Sub-sector for Physical Infrastructure and Regional Development</w:t>
            </w:r>
          </w:p>
        </w:tc>
      </w:tr>
      <w:tr w:rsidR="00006737" w:rsidRPr="00563D71" w14:paraId="0F76B7F9" w14:textId="77777777" w:rsidTr="0032029F">
        <w:tc>
          <w:tcPr>
            <w:tcW w:w="1666" w:type="pct"/>
            <w:shd w:val="clear" w:color="auto" w:fill="auto"/>
          </w:tcPr>
          <w:p w14:paraId="5FE27C8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FTKDP (Tourism Destination Governance Forum), Central Lombok </w:t>
            </w:r>
          </w:p>
        </w:tc>
        <w:tc>
          <w:tcPr>
            <w:tcW w:w="1667" w:type="pct"/>
            <w:shd w:val="clear" w:color="auto" w:fill="auto"/>
          </w:tcPr>
          <w:p w14:paraId="0ED08C08" w14:textId="77777777" w:rsidR="00006737" w:rsidRPr="00563D71" w:rsidRDefault="00006737" w:rsidP="0032029F">
            <w:pPr>
              <w:spacing w:before="0"/>
              <w:rPr>
                <w:rFonts w:asciiTheme="majorBidi" w:hAnsiTheme="majorBidi" w:cstheme="majorBidi"/>
              </w:rPr>
            </w:pPr>
          </w:p>
        </w:tc>
        <w:tc>
          <w:tcPr>
            <w:tcW w:w="1667" w:type="pct"/>
          </w:tcPr>
          <w:p w14:paraId="7198D6D6" w14:textId="77777777" w:rsidR="00006737" w:rsidRPr="00563D71" w:rsidRDefault="00006737" w:rsidP="0032029F">
            <w:pPr>
              <w:spacing w:before="0"/>
              <w:rPr>
                <w:rFonts w:asciiTheme="majorBidi" w:hAnsiTheme="majorBidi" w:cstheme="majorBidi"/>
              </w:rPr>
            </w:pPr>
          </w:p>
        </w:tc>
      </w:tr>
      <w:tr w:rsidR="00006737" w:rsidRPr="00563D71" w14:paraId="6F7D8B64" w14:textId="77777777" w:rsidTr="0032029F">
        <w:tc>
          <w:tcPr>
            <w:tcW w:w="1666" w:type="pct"/>
            <w:shd w:val="clear" w:color="auto" w:fill="auto"/>
          </w:tcPr>
          <w:p w14:paraId="587C720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Lombok Destination Management Organization (DMO)</w:t>
            </w:r>
          </w:p>
        </w:tc>
        <w:tc>
          <w:tcPr>
            <w:tcW w:w="1667" w:type="pct"/>
            <w:shd w:val="clear" w:color="auto" w:fill="auto"/>
          </w:tcPr>
          <w:p w14:paraId="392FFEB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Asmuni Irpan</w:t>
            </w:r>
          </w:p>
        </w:tc>
        <w:tc>
          <w:tcPr>
            <w:tcW w:w="1667" w:type="pct"/>
          </w:tcPr>
          <w:p w14:paraId="014C845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Facilitator </w:t>
            </w:r>
          </w:p>
        </w:tc>
      </w:tr>
      <w:tr w:rsidR="00006737" w:rsidRPr="00563D71" w14:paraId="1BEC464B" w14:textId="77777777" w:rsidTr="0032029F">
        <w:tc>
          <w:tcPr>
            <w:tcW w:w="1666" w:type="pct"/>
            <w:shd w:val="clear" w:color="auto" w:fill="auto"/>
          </w:tcPr>
          <w:p w14:paraId="3E59655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GIZ – RED NTB</w:t>
            </w:r>
          </w:p>
        </w:tc>
        <w:tc>
          <w:tcPr>
            <w:tcW w:w="1667" w:type="pct"/>
            <w:shd w:val="clear" w:color="auto" w:fill="auto"/>
          </w:tcPr>
          <w:p w14:paraId="069213F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Prayitno Basuki</w:t>
            </w:r>
          </w:p>
        </w:tc>
        <w:tc>
          <w:tcPr>
            <w:tcW w:w="1667" w:type="pct"/>
          </w:tcPr>
          <w:p w14:paraId="2D150EF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Regional Coordinator</w:t>
            </w:r>
          </w:p>
        </w:tc>
      </w:tr>
      <w:tr w:rsidR="00006737" w:rsidRPr="00563D71" w14:paraId="5BD6AE43" w14:textId="77777777" w:rsidTr="0032029F">
        <w:tc>
          <w:tcPr>
            <w:tcW w:w="1666" w:type="pct"/>
            <w:shd w:val="clear" w:color="auto" w:fill="auto"/>
          </w:tcPr>
          <w:p w14:paraId="52516AE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Eco Regions Indonesia</w:t>
            </w:r>
          </w:p>
        </w:tc>
        <w:tc>
          <w:tcPr>
            <w:tcW w:w="1667" w:type="pct"/>
            <w:shd w:val="clear" w:color="auto" w:fill="auto"/>
          </w:tcPr>
          <w:p w14:paraId="18803BC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John Higson</w:t>
            </w:r>
          </w:p>
        </w:tc>
        <w:tc>
          <w:tcPr>
            <w:tcW w:w="1667" w:type="pct"/>
          </w:tcPr>
          <w:p w14:paraId="0A82ED4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President Director</w:t>
            </w:r>
          </w:p>
        </w:tc>
      </w:tr>
      <w:tr w:rsidR="00006737" w:rsidRPr="00563D71" w14:paraId="7F53240B" w14:textId="77777777" w:rsidTr="0032029F">
        <w:tc>
          <w:tcPr>
            <w:tcW w:w="1666" w:type="pct"/>
            <w:shd w:val="clear" w:color="auto" w:fill="auto"/>
          </w:tcPr>
          <w:p w14:paraId="55E833E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Investment and Integrated Permit Agency, Central Lombok District</w:t>
            </w:r>
          </w:p>
        </w:tc>
        <w:tc>
          <w:tcPr>
            <w:tcW w:w="1667" w:type="pct"/>
            <w:shd w:val="clear" w:color="auto" w:fill="auto"/>
          </w:tcPr>
          <w:p w14:paraId="481B1C0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Winarto, MM</w:t>
            </w:r>
          </w:p>
        </w:tc>
        <w:tc>
          <w:tcPr>
            <w:tcW w:w="1667" w:type="pct"/>
          </w:tcPr>
          <w:p w14:paraId="530EF17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Head </w:t>
            </w:r>
          </w:p>
        </w:tc>
      </w:tr>
    </w:tbl>
    <w:p w14:paraId="339ABFD2" w14:textId="77777777" w:rsidR="00006737" w:rsidRPr="00563D71" w:rsidRDefault="00006737" w:rsidP="00BB0277">
      <w:pPr>
        <w:rPr>
          <w:rFonts w:asciiTheme="majorBidi" w:hAnsiTheme="majorBidi" w:cstheme="majorBidi"/>
        </w:rPr>
      </w:pPr>
    </w:p>
    <w:p w14:paraId="52BD9EA6" w14:textId="77777777"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Tanjung Lesung, Banten (22</w:t>
      </w:r>
      <w:r w:rsidRPr="00563D71">
        <w:rPr>
          <w:rFonts w:asciiTheme="majorBidi" w:hAnsiTheme="majorBidi" w:cstheme="majorBidi"/>
          <w:vertAlign w:val="superscript"/>
        </w:rPr>
        <w:t>nd</w:t>
      </w:r>
      <w:r w:rsidRPr="00563D71">
        <w:rPr>
          <w:rFonts w:asciiTheme="majorBidi" w:hAnsiTheme="majorBidi" w:cstheme="majorBidi"/>
        </w:rPr>
        <w:t xml:space="preserve"> – 24</w:t>
      </w:r>
      <w:r w:rsidRPr="00563D71">
        <w:rPr>
          <w:rFonts w:asciiTheme="majorBidi" w:hAnsiTheme="majorBidi" w:cstheme="majorBidi"/>
          <w:vertAlign w:val="superscript"/>
        </w:rPr>
        <w:t>th</w:t>
      </w:r>
      <w:r w:rsidRPr="00563D71">
        <w:rPr>
          <w:rFonts w:asciiTheme="majorBidi" w:hAnsiTheme="majorBidi" w:cstheme="majorBidi"/>
        </w:rPr>
        <w:t xml:space="preserve"> February, 2016)</w:t>
      </w:r>
    </w:p>
    <w:tbl>
      <w:tblPr>
        <w:tblStyle w:val="TableGrid2"/>
        <w:tblW w:w="5000" w:type="pct"/>
        <w:tblLook w:val="04A0" w:firstRow="1" w:lastRow="0" w:firstColumn="1" w:lastColumn="0" w:noHBand="0" w:noVBand="1"/>
      </w:tblPr>
      <w:tblGrid>
        <w:gridCol w:w="3116"/>
        <w:gridCol w:w="3117"/>
        <w:gridCol w:w="3117"/>
      </w:tblGrid>
      <w:tr w:rsidR="00006737" w:rsidRPr="00563D71" w14:paraId="699C0995" w14:textId="77777777" w:rsidTr="0032029F">
        <w:tc>
          <w:tcPr>
            <w:tcW w:w="5000" w:type="pct"/>
            <w:gridSpan w:val="3"/>
            <w:shd w:val="clear" w:color="auto" w:fill="DEEAF6" w:themeFill="accent1" w:themeFillTint="33"/>
          </w:tcPr>
          <w:p w14:paraId="4F7C2B75"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Banten</w:t>
            </w:r>
          </w:p>
        </w:tc>
      </w:tr>
      <w:tr w:rsidR="00006737" w:rsidRPr="00563D71" w14:paraId="0D585A22" w14:textId="77777777" w:rsidTr="0032029F">
        <w:tc>
          <w:tcPr>
            <w:tcW w:w="1666" w:type="pct"/>
            <w:shd w:val="clear" w:color="auto" w:fill="auto"/>
          </w:tcPr>
          <w:p w14:paraId="2228906B" w14:textId="7357EC9D" w:rsidR="00006737" w:rsidRPr="00563D71" w:rsidRDefault="00E350A2" w:rsidP="0032029F">
            <w:pPr>
              <w:spacing w:before="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of Banten District</w:t>
            </w:r>
          </w:p>
        </w:tc>
        <w:tc>
          <w:tcPr>
            <w:tcW w:w="1667" w:type="pct"/>
            <w:shd w:val="clear" w:color="auto" w:fill="auto"/>
          </w:tcPr>
          <w:p w14:paraId="093912F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Hudaya</w:t>
            </w:r>
          </w:p>
        </w:tc>
        <w:tc>
          <w:tcPr>
            <w:tcW w:w="1667" w:type="pct"/>
          </w:tcPr>
          <w:p w14:paraId="6D98789F" w14:textId="709DCD6C"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Head of </w:t>
            </w:r>
            <w:r w:rsidR="00E350A2">
              <w:rPr>
                <w:rFonts w:asciiTheme="majorBidi" w:hAnsiTheme="majorBidi" w:cstheme="majorBidi"/>
              </w:rPr>
              <w:t>BAPPEDA</w:t>
            </w:r>
            <w:r w:rsidRPr="00563D71">
              <w:rPr>
                <w:rFonts w:asciiTheme="majorBidi" w:hAnsiTheme="majorBidi" w:cstheme="majorBidi"/>
              </w:rPr>
              <w:t>, Banten</w:t>
            </w:r>
          </w:p>
        </w:tc>
      </w:tr>
      <w:tr w:rsidR="00006737" w:rsidRPr="00563D71" w14:paraId="1518EACF" w14:textId="77777777" w:rsidTr="0032029F">
        <w:tc>
          <w:tcPr>
            <w:tcW w:w="1666" w:type="pct"/>
            <w:shd w:val="clear" w:color="auto" w:fill="auto"/>
          </w:tcPr>
          <w:p w14:paraId="1186934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72CC1AB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Setiawan Mardjuki</w:t>
            </w:r>
          </w:p>
        </w:tc>
        <w:tc>
          <w:tcPr>
            <w:tcW w:w="1667" w:type="pct"/>
          </w:tcPr>
          <w:p w14:paraId="1B29290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w:t>
            </w:r>
          </w:p>
        </w:tc>
      </w:tr>
      <w:tr w:rsidR="00006737" w:rsidRPr="00563D71" w14:paraId="0AF3D30C" w14:textId="77777777" w:rsidTr="0032029F">
        <w:tc>
          <w:tcPr>
            <w:tcW w:w="1666" w:type="pct"/>
            <w:shd w:val="clear" w:color="auto" w:fill="auto"/>
          </w:tcPr>
          <w:p w14:paraId="77F4D02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05E34B6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Alan Ye</w:t>
            </w:r>
          </w:p>
        </w:tc>
        <w:tc>
          <w:tcPr>
            <w:tcW w:w="1667" w:type="pct"/>
          </w:tcPr>
          <w:p w14:paraId="7BD08E6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Executive Director</w:t>
            </w:r>
          </w:p>
        </w:tc>
      </w:tr>
      <w:tr w:rsidR="00006737" w:rsidRPr="00563D71" w14:paraId="31180070" w14:textId="77777777" w:rsidTr="0032029F">
        <w:tc>
          <w:tcPr>
            <w:tcW w:w="1666" w:type="pct"/>
            <w:shd w:val="clear" w:color="auto" w:fill="auto"/>
          </w:tcPr>
          <w:p w14:paraId="46F42DB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208B258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L.M. Wardhani</w:t>
            </w:r>
          </w:p>
        </w:tc>
        <w:tc>
          <w:tcPr>
            <w:tcW w:w="1667" w:type="pct"/>
          </w:tcPr>
          <w:p w14:paraId="152B16D7" w14:textId="27118C32" w:rsidR="00006737" w:rsidRPr="00563D71" w:rsidRDefault="00006737" w:rsidP="0032029F">
            <w:pPr>
              <w:spacing w:before="0"/>
              <w:rPr>
                <w:rFonts w:asciiTheme="majorBidi" w:hAnsiTheme="majorBidi" w:cstheme="majorBidi"/>
              </w:rPr>
            </w:pPr>
            <w:r w:rsidRPr="00563D71">
              <w:rPr>
                <w:rFonts w:asciiTheme="majorBidi" w:hAnsiTheme="majorBidi" w:cstheme="majorBidi"/>
              </w:rPr>
              <w:t>Advisor/Infrastructure Director</w:t>
            </w:r>
          </w:p>
        </w:tc>
      </w:tr>
      <w:tr w:rsidR="00006737" w:rsidRPr="00563D71" w14:paraId="2E959764" w14:textId="77777777" w:rsidTr="0032029F">
        <w:tc>
          <w:tcPr>
            <w:tcW w:w="1666" w:type="pct"/>
            <w:shd w:val="clear" w:color="auto" w:fill="auto"/>
          </w:tcPr>
          <w:p w14:paraId="00D5835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1A1D1C8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Poernomo Siswoprasetijo</w:t>
            </w:r>
          </w:p>
        </w:tc>
        <w:tc>
          <w:tcPr>
            <w:tcW w:w="1667" w:type="pct"/>
          </w:tcPr>
          <w:p w14:paraId="69DBC15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w:t>
            </w:r>
          </w:p>
        </w:tc>
      </w:tr>
      <w:tr w:rsidR="00006737" w:rsidRPr="00563D71" w14:paraId="79702681" w14:textId="77777777" w:rsidTr="0032029F">
        <w:tc>
          <w:tcPr>
            <w:tcW w:w="1666" w:type="pct"/>
            <w:shd w:val="clear" w:color="auto" w:fill="auto"/>
          </w:tcPr>
          <w:p w14:paraId="3BDD928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3E4AE53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Rully Lasahido</w:t>
            </w:r>
          </w:p>
        </w:tc>
        <w:tc>
          <w:tcPr>
            <w:tcW w:w="1667" w:type="pct"/>
          </w:tcPr>
          <w:p w14:paraId="5A47395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Managing Director</w:t>
            </w:r>
          </w:p>
        </w:tc>
      </w:tr>
      <w:tr w:rsidR="00006737" w:rsidRPr="00563D71" w14:paraId="15CD892B" w14:textId="77777777" w:rsidTr="0032029F">
        <w:tc>
          <w:tcPr>
            <w:tcW w:w="1666" w:type="pct"/>
            <w:shd w:val="clear" w:color="auto" w:fill="auto"/>
          </w:tcPr>
          <w:p w14:paraId="5E8229E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Jababeka (Tanjung Lesung)</w:t>
            </w:r>
          </w:p>
        </w:tc>
        <w:tc>
          <w:tcPr>
            <w:tcW w:w="1667" w:type="pct"/>
            <w:shd w:val="clear" w:color="auto" w:fill="auto"/>
          </w:tcPr>
          <w:p w14:paraId="428DA93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Setiawan Mardjuki</w:t>
            </w:r>
          </w:p>
        </w:tc>
        <w:tc>
          <w:tcPr>
            <w:tcW w:w="1667" w:type="pct"/>
          </w:tcPr>
          <w:p w14:paraId="4FA2060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w:t>
            </w:r>
          </w:p>
        </w:tc>
      </w:tr>
    </w:tbl>
    <w:p w14:paraId="2A873391" w14:textId="77777777" w:rsidR="00006737" w:rsidRPr="00563D71" w:rsidRDefault="00006737" w:rsidP="00BB0277">
      <w:pPr>
        <w:ind w:left="360"/>
        <w:rPr>
          <w:rFonts w:asciiTheme="majorBidi" w:hAnsiTheme="majorBidi" w:cstheme="majorBidi"/>
        </w:rPr>
      </w:pPr>
    </w:p>
    <w:p w14:paraId="1FD206D6" w14:textId="77777777"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Medan-Lake Toba, North Sumatera (2</w:t>
      </w:r>
      <w:r w:rsidRPr="00563D71">
        <w:rPr>
          <w:rFonts w:asciiTheme="majorBidi" w:hAnsiTheme="majorBidi" w:cstheme="majorBidi"/>
          <w:vertAlign w:val="superscript"/>
        </w:rPr>
        <w:t>nd</w:t>
      </w:r>
      <w:r w:rsidRPr="00563D71">
        <w:rPr>
          <w:rFonts w:asciiTheme="majorBidi" w:hAnsiTheme="majorBidi" w:cstheme="majorBidi"/>
        </w:rPr>
        <w:t xml:space="preserve"> – 4</w:t>
      </w:r>
      <w:r w:rsidRPr="00563D71">
        <w:rPr>
          <w:rFonts w:asciiTheme="majorBidi" w:hAnsiTheme="majorBidi" w:cstheme="majorBidi"/>
          <w:vertAlign w:val="superscript"/>
        </w:rPr>
        <w:t>th</w:t>
      </w:r>
      <w:r w:rsidRPr="00563D71">
        <w:rPr>
          <w:rFonts w:asciiTheme="majorBidi" w:hAnsiTheme="majorBidi" w:cstheme="majorBidi"/>
        </w:rPr>
        <w:t xml:space="preserve"> March, 2016)</w:t>
      </w:r>
    </w:p>
    <w:tbl>
      <w:tblPr>
        <w:tblStyle w:val="TableGrid2"/>
        <w:tblW w:w="5000" w:type="pct"/>
        <w:tblLook w:val="04A0" w:firstRow="1" w:lastRow="0" w:firstColumn="1" w:lastColumn="0" w:noHBand="0" w:noVBand="1"/>
      </w:tblPr>
      <w:tblGrid>
        <w:gridCol w:w="3125"/>
        <w:gridCol w:w="3110"/>
        <w:gridCol w:w="3115"/>
      </w:tblGrid>
      <w:tr w:rsidR="00006737" w:rsidRPr="00563D71" w14:paraId="27AE71B1" w14:textId="77777777" w:rsidTr="0032029F">
        <w:tc>
          <w:tcPr>
            <w:tcW w:w="5000" w:type="pct"/>
            <w:gridSpan w:val="3"/>
            <w:shd w:val="clear" w:color="auto" w:fill="DEEAF6" w:themeFill="accent1" w:themeFillTint="33"/>
          </w:tcPr>
          <w:p w14:paraId="575D0C51"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North Sumatera</w:t>
            </w:r>
          </w:p>
        </w:tc>
      </w:tr>
      <w:tr w:rsidR="00006737" w:rsidRPr="00563D71" w14:paraId="46E7CD82" w14:textId="77777777" w:rsidTr="0032029F">
        <w:tc>
          <w:tcPr>
            <w:tcW w:w="1671" w:type="pct"/>
            <w:shd w:val="clear" w:color="auto" w:fill="auto"/>
          </w:tcPr>
          <w:p w14:paraId="6A4C6D36" w14:textId="26A35D06" w:rsidR="00006737" w:rsidRPr="00563D71" w:rsidRDefault="00E350A2" w:rsidP="0032029F">
            <w:pPr>
              <w:spacing w:before="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of Samosir District</w:t>
            </w:r>
          </w:p>
        </w:tc>
        <w:tc>
          <w:tcPr>
            <w:tcW w:w="1663" w:type="pct"/>
            <w:shd w:val="clear" w:color="auto" w:fill="auto"/>
          </w:tcPr>
          <w:p w14:paraId="1106AFA0" w14:textId="77777777" w:rsidR="00006737" w:rsidRPr="00563D71" w:rsidRDefault="00006737" w:rsidP="0032029F">
            <w:pPr>
              <w:spacing w:before="0"/>
              <w:rPr>
                <w:rFonts w:asciiTheme="majorBidi" w:hAnsiTheme="majorBidi" w:cstheme="majorBidi"/>
              </w:rPr>
            </w:pPr>
          </w:p>
        </w:tc>
        <w:tc>
          <w:tcPr>
            <w:tcW w:w="1666" w:type="pct"/>
            <w:shd w:val="clear" w:color="auto" w:fill="auto"/>
          </w:tcPr>
          <w:p w14:paraId="488C3C08" w14:textId="77777777" w:rsidR="00006737" w:rsidRPr="00563D71" w:rsidRDefault="00006737" w:rsidP="0032029F">
            <w:pPr>
              <w:spacing w:before="0"/>
              <w:rPr>
                <w:rFonts w:asciiTheme="majorBidi" w:hAnsiTheme="majorBidi" w:cstheme="majorBidi"/>
              </w:rPr>
            </w:pPr>
          </w:p>
        </w:tc>
      </w:tr>
      <w:tr w:rsidR="00006737" w:rsidRPr="00563D71" w14:paraId="48F2EA48" w14:textId="77777777" w:rsidTr="0032029F">
        <w:tc>
          <w:tcPr>
            <w:tcW w:w="1671" w:type="pct"/>
            <w:shd w:val="clear" w:color="auto" w:fill="auto"/>
          </w:tcPr>
          <w:p w14:paraId="45C3BC7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Geopark Toba</w:t>
            </w:r>
          </w:p>
        </w:tc>
        <w:tc>
          <w:tcPr>
            <w:tcW w:w="1663" w:type="pct"/>
            <w:shd w:val="clear" w:color="auto" w:fill="auto"/>
          </w:tcPr>
          <w:p w14:paraId="0121B23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Alimin Gintang</w:t>
            </w:r>
          </w:p>
        </w:tc>
        <w:tc>
          <w:tcPr>
            <w:tcW w:w="1666" w:type="pct"/>
            <w:shd w:val="clear" w:color="auto" w:fill="auto"/>
          </w:tcPr>
          <w:p w14:paraId="04BFB0E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Chairman</w:t>
            </w:r>
          </w:p>
        </w:tc>
      </w:tr>
      <w:tr w:rsidR="00006737" w:rsidRPr="00563D71" w14:paraId="4E36EA13" w14:textId="77777777" w:rsidTr="0032029F">
        <w:tc>
          <w:tcPr>
            <w:tcW w:w="1671" w:type="pct"/>
            <w:shd w:val="clear" w:color="auto" w:fill="auto"/>
          </w:tcPr>
          <w:p w14:paraId="2A12B95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Geopark Toba</w:t>
            </w:r>
          </w:p>
        </w:tc>
        <w:tc>
          <w:tcPr>
            <w:tcW w:w="1663" w:type="pct"/>
            <w:shd w:val="clear" w:color="auto" w:fill="auto"/>
          </w:tcPr>
          <w:p w14:paraId="2B5DD9E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Theodora</w:t>
            </w:r>
          </w:p>
        </w:tc>
        <w:tc>
          <w:tcPr>
            <w:tcW w:w="1666" w:type="pct"/>
            <w:shd w:val="clear" w:color="auto" w:fill="auto"/>
          </w:tcPr>
          <w:p w14:paraId="4A7D912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General Manager</w:t>
            </w:r>
          </w:p>
        </w:tc>
      </w:tr>
      <w:tr w:rsidR="00006737" w:rsidRPr="00563D71" w14:paraId="7A4B1A2F" w14:textId="77777777" w:rsidTr="0032029F">
        <w:tc>
          <w:tcPr>
            <w:tcW w:w="1671" w:type="pct"/>
            <w:shd w:val="clear" w:color="auto" w:fill="auto"/>
          </w:tcPr>
          <w:p w14:paraId="2BBEB15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District Government of Samosir, North Sumatera</w:t>
            </w:r>
          </w:p>
        </w:tc>
        <w:tc>
          <w:tcPr>
            <w:tcW w:w="1663" w:type="pct"/>
            <w:shd w:val="clear" w:color="auto" w:fill="auto"/>
          </w:tcPr>
          <w:p w14:paraId="4DA7548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Rafidin Simbolon</w:t>
            </w:r>
          </w:p>
        </w:tc>
        <w:tc>
          <w:tcPr>
            <w:tcW w:w="1666" w:type="pct"/>
            <w:shd w:val="clear" w:color="auto" w:fill="auto"/>
          </w:tcPr>
          <w:p w14:paraId="27621EF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Bupati, Kabupaten Samosir  </w:t>
            </w:r>
          </w:p>
        </w:tc>
      </w:tr>
    </w:tbl>
    <w:p w14:paraId="2E387436" w14:textId="77777777" w:rsidR="00006737" w:rsidRPr="00563D71" w:rsidRDefault="00006737" w:rsidP="00BB0277">
      <w:pPr>
        <w:ind w:left="720"/>
        <w:contextualSpacing/>
        <w:rPr>
          <w:rFonts w:asciiTheme="majorBidi" w:hAnsiTheme="majorBidi" w:cstheme="majorBidi"/>
        </w:rPr>
      </w:pPr>
    </w:p>
    <w:p w14:paraId="46CF0E43" w14:textId="562EBC94"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 xml:space="preserve">Tanjung </w:t>
      </w:r>
      <w:r w:rsidR="00DC4ED0" w:rsidRPr="00563D71">
        <w:rPr>
          <w:rFonts w:asciiTheme="majorBidi" w:hAnsiTheme="majorBidi" w:cstheme="majorBidi"/>
        </w:rPr>
        <w:t>Kelayang</w:t>
      </w:r>
      <w:r w:rsidRPr="00563D71">
        <w:rPr>
          <w:rFonts w:asciiTheme="majorBidi" w:hAnsiTheme="majorBidi" w:cstheme="majorBidi"/>
        </w:rPr>
        <w:t>, Bangka-Belitung (14</w:t>
      </w:r>
      <w:r w:rsidRPr="00563D71">
        <w:rPr>
          <w:rFonts w:asciiTheme="majorBidi" w:hAnsiTheme="majorBidi" w:cstheme="majorBidi"/>
          <w:vertAlign w:val="superscript"/>
        </w:rPr>
        <w:t>th</w:t>
      </w:r>
      <w:r w:rsidRPr="00563D71">
        <w:rPr>
          <w:rFonts w:asciiTheme="majorBidi" w:hAnsiTheme="majorBidi" w:cstheme="majorBidi"/>
        </w:rPr>
        <w:t xml:space="preserve"> – 15</w:t>
      </w:r>
      <w:r w:rsidRPr="00563D71">
        <w:rPr>
          <w:rFonts w:asciiTheme="majorBidi" w:hAnsiTheme="majorBidi" w:cstheme="majorBidi"/>
          <w:vertAlign w:val="superscript"/>
        </w:rPr>
        <w:t>th</w:t>
      </w:r>
      <w:r w:rsidRPr="00563D71">
        <w:rPr>
          <w:rFonts w:asciiTheme="majorBidi" w:hAnsiTheme="majorBidi" w:cstheme="majorBidi"/>
        </w:rPr>
        <w:t xml:space="preserve"> June, 2016)</w:t>
      </w:r>
    </w:p>
    <w:tbl>
      <w:tblPr>
        <w:tblStyle w:val="TableGrid2"/>
        <w:tblW w:w="5000" w:type="pct"/>
        <w:tblLook w:val="04A0" w:firstRow="1" w:lastRow="0" w:firstColumn="1" w:lastColumn="0" w:noHBand="0" w:noVBand="1"/>
      </w:tblPr>
      <w:tblGrid>
        <w:gridCol w:w="3130"/>
        <w:gridCol w:w="3125"/>
        <w:gridCol w:w="3095"/>
      </w:tblGrid>
      <w:tr w:rsidR="00006737" w:rsidRPr="00563D71" w14:paraId="4227113C" w14:textId="77777777" w:rsidTr="0032029F">
        <w:tc>
          <w:tcPr>
            <w:tcW w:w="5000" w:type="pct"/>
            <w:gridSpan w:val="3"/>
            <w:shd w:val="clear" w:color="auto" w:fill="DEEAF6" w:themeFill="accent1" w:themeFillTint="33"/>
          </w:tcPr>
          <w:p w14:paraId="10630798"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Bangka - Belitung</w:t>
            </w:r>
          </w:p>
        </w:tc>
      </w:tr>
      <w:tr w:rsidR="00006737" w:rsidRPr="00563D71" w14:paraId="117F01B8" w14:textId="77777777" w:rsidTr="0032029F">
        <w:tc>
          <w:tcPr>
            <w:tcW w:w="1674" w:type="pct"/>
            <w:shd w:val="clear" w:color="auto" w:fill="auto"/>
          </w:tcPr>
          <w:p w14:paraId="6FCCFB6B" w14:textId="4AE17FDF" w:rsidR="00006737" w:rsidRPr="00563D71" w:rsidRDefault="00E350A2" w:rsidP="0032029F">
            <w:pPr>
              <w:spacing w:before="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Belitung</w:t>
            </w:r>
          </w:p>
        </w:tc>
        <w:tc>
          <w:tcPr>
            <w:tcW w:w="1671" w:type="pct"/>
            <w:shd w:val="clear" w:color="auto" w:fill="auto"/>
          </w:tcPr>
          <w:p w14:paraId="25D622C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Holmes</w:t>
            </w:r>
          </w:p>
        </w:tc>
        <w:tc>
          <w:tcPr>
            <w:tcW w:w="1654" w:type="pct"/>
          </w:tcPr>
          <w:p w14:paraId="2301A76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 Fisik dan Prasarana</w:t>
            </w:r>
          </w:p>
        </w:tc>
      </w:tr>
      <w:tr w:rsidR="00006737" w:rsidRPr="00563D71" w14:paraId="6E8E0924" w14:textId="77777777" w:rsidTr="0032029F">
        <w:tc>
          <w:tcPr>
            <w:tcW w:w="1674" w:type="pct"/>
          </w:tcPr>
          <w:p w14:paraId="50719C47" w14:textId="61FA8FD0" w:rsidR="00006737" w:rsidRPr="00563D71" w:rsidRDefault="00E350A2" w:rsidP="0032029F">
            <w:pPr>
              <w:spacing w:before="0"/>
              <w:rPr>
                <w:rFonts w:asciiTheme="majorBidi" w:hAnsiTheme="majorBidi" w:cstheme="majorBidi"/>
              </w:rPr>
            </w:pPr>
            <w:r>
              <w:rPr>
                <w:rFonts w:asciiTheme="majorBidi" w:hAnsiTheme="majorBidi" w:cstheme="majorBidi"/>
              </w:rPr>
              <w:t>BAPPEDA</w:t>
            </w:r>
          </w:p>
        </w:tc>
        <w:tc>
          <w:tcPr>
            <w:tcW w:w="1671" w:type="pct"/>
          </w:tcPr>
          <w:p w14:paraId="31851E9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Arpani</w:t>
            </w:r>
          </w:p>
        </w:tc>
        <w:tc>
          <w:tcPr>
            <w:tcW w:w="1654" w:type="pct"/>
          </w:tcPr>
          <w:p w14:paraId="5AF4708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w:t>
            </w:r>
          </w:p>
        </w:tc>
      </w:tr>
      <w:tr w:rsidR="00006737" w:rsidRPr="00563D71" w14:paraId="2E2DCC41" w14:textId="77777777" w:rsidTr="0032029F">
        <w:tc>
          <w:tcPr>
            <w:tcW w:w="1674" w:type="pct"/>
          </w:tcPr>
          <w:p w14:paraId="5A018DF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Public Works</w:t>
            </w:r>
          </w:p>
        </w:tc>
        <w:tc>
          <w:tcPr>
            <w:tcW w:w="1671" w:type="pct"/>
          </w:tcPr>
          <w:p w14:paraId="08AFCEC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Rosfandi</w:t>
            </w:r>
          </w:p>
        </w:tc>
        <w:tc>
          <w:tcPr>
            <w:tcW w:w="1654" w:type="pct"/>
          </w:tcPr>
          <w:p w14:paraId="5B9CEC9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w:t>
            </w:r>
          </w:p>
        </w:tc>
      </w:tr>
      <w:tr w:rsidR="00006737" w:rsidRPr="00563D71" w14:paraId="118EC889" w14:textId="77777777" w:rsidTr="0032029F">
        <w:tc>
          <w:tcPr>
            <w:tcW w:w="1674" w:type="pct"/>
          </w:tcPr>
          <w:p w14:paraId="2E019A3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Tourism and Creative</w:t>
            </w:r>
          </w:p>
        </w:tc>
        <w:tc>
          <w:tcPr>
            <w:tcW w:w="1671" w:type="pct"/>
          </w:tcPr>
          <w:p w14:paraId="0E85866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Hermanto</w:t>
            </w:r>
          </w:p>
        </w:tc>
        <w:tc>
          <w:tcPr>
            <w:tcW w:w="1654" w:type="pct"/>
          </w:tcPr>
          <w:p w14:paraId="3381B1C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w:t>
            </w:r>
          </w:p>
        </w:tc>
      </w:tr>
      <w:tr w:rsidR="00006737" w:rsidRPr="00563D71" w14:paraId="24D20ED6" w14:textId="77777777" w:rsidTr="0032029F">
        <w:tc>
          <w:tcPr>
            <w:tcW w:w="1674" w:type="pct"/>
          </w:tcPr>
          <w:p w14:paraId="2DAFF90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BLHD</w:t>
            </w:r>
          </w:p>
        </w:tc>
        <w:tc>
          <w:tcPr>
            <w:tcW w:w="1671" w:type="pct"/>
          </w:tcPr>
          <w:p w14:paraId="52F233E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Mardis Molik</w:t>
            </w:r>
          </w:p>
        </w:tc>
        <w:tc>
          <w:tcPr>
            <w:tcW w:w="1654" w:type="pct"/>
          </w:tcPr>
          <w:p w14:paraId="30BEDA8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 AMDAL</w:t>
            </w:r>
          </w:p>
        </w:tc>
      </w:tr>
      <w:tr w:rsidR="00006737" w:rsidRPr="00563D71" w14:paraId="69CFD332" w14:textId="77777777" w:rsidTr="0032029F">
        <w:tc>
          <w:tcPr>
            <w:tcW w:w="1674" w:type="pct"/>
          </w:tcPr>
          <w:p w14:paraId="298FFE8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Bina Marga</w:t>
            </w:r>
          </w:p>
        </w:tc>
        <w:tc>
          <w:tcPr>
            <w:tcW w:w="1671" w:type="pct"/>
          </w:tcPr>
          <w:p w14:paraId="1423A81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Oscar </w:t>
            </w:r>
          </w:p>
        </w:tc>
        <w:tc>
          <w:tcPr>
            <w:tcW w:w="1654" w:type="pct"/>
          </w:tcPr>
          <w:p w14:paraId="36F4D65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w:t>
            </w:r>
          </w:p>
        </w:tc>
      </w:tr>
      <w:tr w:rsidR="00006737" w:rsidRPr="00563D71" w14:paraId="553A97C8" w14:textId="77777777" w:rsidTr="0032029F">
        <w:tc>
          <w:tcPr>
            <w:tcW w:w="1674" w:type="pct"/>
          </w:tcPr>
          <w:p w14:paraId="64E60E3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Cipta Karya</w:t>
            </w:r>
          </w:p>
        </w:tc>
        <w:tc>
          <w:tcPr>
            <w:tcW w:w="1671" w:type="pct"/>
          </w:tcPr>
          <w:p w14:paraId="68BC20C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Ibnu</w:t>
            </w:r>
          </w:p>
        </w:tc>
        <w:tc>
          <w:tcPr>
            <w:tcW w:w="1654" w:type="pct"/>
          </w:tcPr>
          <w:p w14:paraId="14427977"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w:t>
            </w:r>
          </w:p>
        </w:tc>
      </w:tr>
      <w:tr w:rsidR="00006737" w:rsidRPr="00563D71" w14:paraId="496D86E1" w14:textId="77777777" w:rsidTr="0032029F">
        <w:tc>
          <w:tcPr>
            <w:tcW w:w="1674" w:type="pct"/>
          </w:tcPr>
          <w:p w14:paraId="43DDAD6C" w14:textId="77777777" w:rsidR="00006737" w:rsidRPr="00563D71" w:rsidRDefault="00006737" w:rsidP="0032029F">
            <w:pPr>
              <w:spacing w:before="0"/>
              <w:rPr>
                <w:rFonts w:asciiTheme="majorBidi" w:hAnsiTheme="majorBidi" w:cstheme="majorBidi"/>
              </w:rPr>
            </w:pPr>
          </w:p>
        </w:tc>
        <w:tc>
          <w:tcPr>
            <w:tcW w:w="1671" w:type="pct"/>
          </w:tcPr>
          <w:p w14:paraId="2A52D2F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Agus</w:t>
            </w:r>
          </w:p>
        </w:tc>
        <w:tc>
          <w:tcPr>
            <w:tcW w:w="1654" w:type="pct"/>
          </w:tcPr>
          <w:p w14:paraId="46731EB3" w14:textId="77777777" w:rsidR="00006737" w:rsidRPr="00563D71" w:rsidRDefault="00006737" w:rsidP="0032029F">
            <w:pPr>
              <w:spacing w:before="0"/>
              <w:rPr>
                <w:rFonts w:asciiTheme="majorBidi" w:hAnsiTheme="majorBidi" w:cstheme="majorBidi"/>
              </w:rPr>
            </w:pPr>
          </w:p>
        </w:tc>
      </w:tr>
      <w:tr w:rsidR="00006737" w:rsidRPr="00563D71" w14:paraId="1F19ECE7" w14:textId="77777777" w:rsidTr="0032029F">
        <w:tc>
          <w:tcPr>
            <w:tcW w:w="1674" w:type="pct"/>
          </w:tcPr>
          <w:p w14:paraId="09DC350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Tourism and Creative</w:t>
            </w:r>
          </w:p>
        </w:tc>
        <w:tc>
          <w:tcPr>
            <w:tcW w:w="1671" w:type="pct"/>
          </w:tcPr>
          <w:p w14:paraId="5FEA94A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Senta</w:t>
            </w:r>
          </w:p>
        </w:tc>
        <w:tc>
          <w:tcPr>
            <w:tcW w:w="1654" w:type="pct"/>
          </w:tcPr>
          <w:p w14:paraId="4556697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 Destinasi</w:t>
            </w:r>
          </w:p>
        </w:tc>
      </w:tr>
      <w:tr w:rsidR="00006737" w:rsidRPr="00563D71" w14:paraId="46FDD264" w14:textId="77777777" w:rsidTr="0032029F">
        <w:tc>
          <w:tcPr>
            <w:tcW w:w="1674" w:type="pct"/>
          </w:tcPr>
          <w:p w14:paraId="40A2237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Forestry, Agriculture, and Food</w:t>
            </w:r>
          </w:p>
        </w:tc>
        <w:tc>
          <w:tcPr>
            <w:tcW w:w="1671" w:type="pct"/>
          </w:tcPr>
          <w:p w14:paraId="2738A737"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Hendra </w:t>
            </w:r>
          </w:p>
        </w:tc>
        <w:tc>
          <w:tcPr>
            <w:tcW w:w="1654" w:type="pct"/>
          </w:tcPr>
          <w:p w14:paraId="4373A7E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 Forestry</w:t>
            </w:r>
          </w:p>
        </w:tc>
      </w:tr>
      <w:tr w:rsidR="00006737" w:rsidRPr="00563D71" w14:paraId="07EDB603" w14:textId="77777777" w:rsidTr="0032029F">
        <w:tc>
          <w:tcPr>
            <w:tcW w:w="1674" w:type="pct"/>
          </w:tcPr>
          <w:p w14:paraId="127D0F0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Marine and Fishery</w:t>
            </w:r>
          </w:p>
        </w:tc>
        <w:tc>
          <w:tcPr>
            <w:tcW w:w="1671" w:type="pct"/>
          </w:tcPr>
          <w:p w14:paraId="62B5A0E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Firdaus Idhamsyah</w:t>
            </w:r>
          </w:p>
        </w:tc>
        <w:tc>
          <w:tcPr>
            <w:tcW w:w="1654" w:type="pct"/>
          </w:tcPr>
          <w:p w14:paraId="6CEAD4A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Kabid Capture Fishery</w:t>
            </w:r>
          </w:p>
        </w:tc>
      </w:tr>
      <w:tr w:rsidR="00006737" w:rsidRPr="00563D71" w14:paraId="51E7B6BF" w14:textId="77777777" w:rsidTr="0032029F">
        <w:tc>
          <w:tcPr>
            <w:tcW w:w="1674" w:type="pct"/>
          </w:tcPr>
          <w:p w14:paraId="456C376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Province of Bangka-Belitung</w:t>
            </w:r>
          </w:p>
        </w:tc>
        <w:tc>
          <w:tcPr>
            <w:tcW w:w="1671" w:type="pct"/>
          </w:tcPr>
          <w:p w14:paraId="6395571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Darmansyah</w:t>
            </w:r>
          </w:p>
        </w:tc>
        <w:tc>
          <w:tcPr>
            <w:tcW w:w="1654" w:type="pct"/>
          </w:tcPr>
          <w:p w14:paraId="733BA2F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Advisor to the Governor (former Bupati)</w:t>
            </w:r>
          </w:p>
        </w:tc>
      </w:tr>
    </w:tbl>
    <w:p w14:paraId="415A8F22" w14:textId="77777777" w:rsidR="00006737" w:rsidRPr="00563D71" w:rsidRDefault="00006737" w:rsidP="00BB0277">
      <w:pPr>
        <w:rPr>
          <w:rFonts w:asciiTheme="majorBidi" w:hAnsiTheme="majorBidi" w:cstheme="majorBidi"/>
        </w:rPr>
      </w:pPr>
    </w:p>
    <w:p w14:paraId="4A31EBB6" w14:textId="77777777"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Semarang-Borobodur, Central Java (15</w:t>
      </w:r>
      <w:r w:rsidRPr="00563D71">
        <w:rPr>
          <w:rFonts w:asciiTheme="majorBidi" w:hAnsiTheme="majorBidi" w:cstheme="majorBidi"/>
          <w:vertAlign w:val="superscript"/>
        </w:rPr>
        <w:t>th</w:t>
      </w:r>
      <w:r w:rsidRPr="00563D71">
        <w:rPr>
          <w:rFonts w:asciiTheme="majorBidi" w:hAnsiTheme="majorBidi" w:cstheme="majorBidi"/>
        </w:rPr>
        <w:t xml:space="preserve"> – 17</w:t>
      </w:r>
      <w:r w:rsidRPr="00563D71">
        <w:rPr>
          <w:rFonts w:asciiTheme="majorBidi" w:hAnsiTheme="majorBidi" w:cstheme="majorBidi"/>
          <w:vertAlign w:val="superscript"/>
        </w:rPr>
        <w:t>th</w:t>
      </w:r>
      <w:r w:rsidRPr="00563D71">
        <w:rPr>
          <w:rFonts w:asciiTheme="majorBidi" w:hAnsiTheme="majorBidi" w:cstheme="majorBidi"/>
        </w:rPr>
        <w:t xml:space="preserve"> August, 2016)</w:t>
      </w:r>
    </w:p>
    <w:tbl>
      <w:tblPr>
        <w:tblStyle w:val="TableGrid2"/>
        <w:tblW w:w="5000" w:type="pct"/>
        <w:tblLook w:val="04A0" w:firstRow="1" w:lastRow="0" w:firstColumn="1" w:lastColumn="0" w:noHBand="0" w:noVBand="1"/>
      </w:tblPr>
      <w:tblGrid>
        <w:gridCol w:w="3132"/>
        <w:gridCol w:w="3106"/>
        <w:gridCol w:w="3112"/>
      </w:tblGrid>
      <w:tr w:rsidR="00006737" w:rsidRPr="00563D71" w14:paraId="5BB3A9D5" w14:textId="77777777" w:rsidTr="0032029F">
        <w:tc>
          <w:tcPr>
            <w:tcW w:w="5000" w:type="pct"/>
            <w:gridSpan w:val="3"/>
            <w:shd w:val="clear" w:color="auto" w:fill="DEEAF6" w:themeFill="accent1" w:themeFillTint="33"/>
          </w:tcPr>
          <w:p w14:paraId="782C6F38"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Central Java</w:t>
            </w:r>
          </w:p>
        </w:tc>
      </w:tr>
      <w:tr w:rsidR="00006737" w:rsidRPr="00563D71" w14:paraId="676C8777" w14:textId="77777777" w:rsidTr="0032029F">
        <w:tc>
          <w:tcPr>
            <w:tcW w:w="1675" w:type="pct"/>
            <w:shd w:val="clear" w:color="auto" w:fill="auto"/>
          </w:tcPr>
          <w:p w14:paraId="16873F3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Borobudur Conservation Office</w:t>
            </w:r>
          </w:p>
        </w:tc>
        <w:tc>
          <w:tcPr>
            <w:tcW w:w="1661" w:type="pct"/>
            <w:shd w:val="clear" w:color="auto" w:fill="auto"/>
          </w:tcPr>
          <w:p w14:paraId="5D9053C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Marsis Sutopo</w:t>
            </w:r>
          </w:p>
        </w:tc>
        <w:tc>
          <w:tcPr>
            <w:tcW w:w="1664" w:type="pct"/>
            <w:shd w:val="clear" w:color="auto" w:fill="auto"/>
          </w:tcPr>
          <w:p w14:paraId="04EBDC3B"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w:t>
            </w:r>
          </w:p>
        </w:tc>
      </w:tr>
      <w:tr w:rsidR="00006737" w:rsidRPr="00563D71" w14:paraId="3FBEE909" w14:textId="77777777" w:rsidTr="0032029F">
        <w:tc>
          <w:tcPr>
            <w:tcW w:w="1675" w:type="pct"/>
            <w:shd w:val="clear" w:color="auto" w:fill="auto"/>
          </w:tcPr>
          <w:p w14:paraId="4995DDB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Borobudur Conservation Office</w:t>
            </w:r>
          </w:p>
          <w:p w14:paraId="156858A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Office</w:t>
            </w:r>
          </w:p>
        </w:tc>
        <w:tc>
          <w:tcPr>
            <w:tcW w:w="1661" w:type="pct"/>
          </w:tcPr>
          <w:p w14:paraId="5F1DD2F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Iskandar M. Siregar, S.Si</w:t>
            </w:r>
          </w:p>
        </w:tc>
        <w:tc>
          <w:tcPr>
            <w:tcW w:w="1664" w:type="pct"/>
            <w:shd w:val="clear" w:color="auto" w:fill="auto"/>
          </w:tcPr>
          <w:p w14:paraId="16330E7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Conservation Service Section</w:t>
            </w:r>
          </w:p>
        </w:tc>
      </w:tr>
      <w:tr w:rsidR="00006737" w:rsidRPr="00563D71" w14:paraId="3DAB11C3" w14:textId="77777777" w:rsidTr="0032029F">
        <w:tc>
          <w:tcPr>
            <w:tcW w:w="1675" w:type="pct"/>
            <w:shd w:val="clear" w:color="auto" w:fill="auto"/>
          </w:tcPr>
          <w:p w14:paraId="19FED72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Taman Wisata Candi</w:t>
            </w:r>
          </w:p>
          <w:p w14:paraId="60901D8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Borobudur</w:t>
            </w:r>
          </w:p>
        </w:tc>
        <w:tc>
          <w:tcPr>
            <w:tcW w:w="1661" w:type="pct"/>
            <w:shd w:val="clear" w:color="auto" w:fill="auto"/>
          </w:tcPr>
          <w:p w14:paraId="13C9864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Achmad Muchlis</w:t>
            </w:r>
          </w:p>
        </w:tc>
        <w:tc>
          <w:tcPr>
            <w:tcW w:w="1664" w:type="pct"/>
            <w:shd w:val="clear" w:color="auto" w:fill="auto"/>
          </w:tcPr>
          <w:p w14:paraId="3531418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Investment</w:t>
            </w:r>
          </w:p>
        </w:tc>
      </w:tr>
      <w:tr w:rsidR="00006737" w:rsidRPr="00563D71" w14:paraId="77E9182A" w14:textId="77777777" w:rsidTr="0032029F">
        <w:tc>
          <w:tcPr>
            <w:tcW w:w="1675" w:type="pct"/>
            <w:shd w:val="clear" w:color="auto" w:fill="auto"/>
          </w:tcPr>
          <w:p w14:paraId="66D5312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Taman Wisata Candi</w:t>
            </w:r>
          </w:p>
          <w:p w14:paraId="1BCB20F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Borobudur</w:t>
            </w:r>
          </w:p>
        </w:tc>
        <w:tc>
          <w:tcPr>
            <w:tcW w:w="1661" w:type="pct"/>
            <w:shd w:val="clear" w:color="auto" w:fill="auto"/>
          </w:tcPr>
          <w:p w14:paraId="5ABCC3B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Pujo Suwarno</w:t>
            </w:r>
          </w:p>
        </w:tc>
        <w:tc>
          <w:tcPr>
            <w:tcW w:w="1664" w:type="pct"/>
            <w:shd w:val="clear" w:color="auto" w:fill="auto"/>
          </w:tcPr>
          <w:p w14:paraId="16ACA2A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Secretary of Industry</w:t>
            </w:r>
          </w:p>
        </w:tc>
      </w:tr>
      <w:tr w:rsidR="00006737" w:rsidRPr="00563D71" w14:paraId="127C883A" w14:textId="77777777" w:rsidTr="0032029F">
        <w:tc>
          <w:tcPr>
            <w:tcW w:w="1675" w:type="pct"/>
            <w:shd w:val="clear" w:color="auto" w:fill="auto"/>
          </w:tcPr>
          <w:p w14:paraId="4450FD3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PT Taman Wisata Candi</w:t>
            </w:r>
          </w:p>
          <w:p w14:paraId="7210024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Borobudur</w:t>
            </w:r>
          </w:p>
        </w:tc>
        <w:tc>
          <w:tcPr>
            <w:tcW w:w="1661" w:type="pct"/>
            <w:shd w:val="clear" w:color="auto" w:fill="auto"/>
          </w:tcPr>
          <w:p w14:paraId="6B340D9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Riwaman Pradiptyo</w:t>
            </w:r>
          </w:p>
        </w:tc>
        <w:tc>
          <w:tcPr>
            <w:tcW w:w="1664" w:type="pct"/>
            <w:shd w:val="clear" w:color="auto" w:fill="auto"/>
          </w:tcPr>
          <w:p w14:paraId="46FA7C3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Chairman</w:t>
            </w:r>
          </w:p>
        </w:tc>
      </w:tr>
      <w:tr w:rsidR="00006737" w:rsidRPr="00563D71" w14:paraId="46998D0D" w14:textId="77777777" w:rsidTr="0032029F">
        <w:tc>
          <w:tcPr>
            <w:tcW w:w="1675" w:type="pct"/>
            <w:shd w:val="clear" w:color="auto" w:fill="auto"/>
          </w:tcPr>
          <w:p w14:paraId="4E82D3A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Central Java Provincial Government</w:t>
            </w:r>
          </w:p>
          <w:p w14:paraId="0BFEFC4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Development Planning Agency at Sub-National Level</w:t>
            </w:r>
          </w:p>
        </w:tc>
        <w:tc>
          <w:tcPr>
            <w:tcW w:w="1661" w:type="pct"/>
            <w:shd w:val="clear" w:color="auto" w:fill="auto"/>
          </w:tcPr>
          <w:p w14:paraId="501FCE6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Agung Tejo Prabowo</w:t>
            </w:r>
          </w:p>
        </w:tc>
        <w:tc>
          <w:tcPr>
            <w:tcW w:w="1664" w:type="pct"/>
            <w:shd w:val="clear" w:color="auto" w:fill="auto"/>
          </w:tcPr>
          <w:p w14:paraId="6F3E5D9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Secretariat Infrastructure and Development Provincial </w:t>
            </w:r>
          </w:p>
        </w:tc>
      </w:tr>
    </w:tbl>
    <w:p w14:paraId="0BC4F6E1" w14:textId="77777777" w:rsidR="00006737" w:rsidRPr="00563D71" w:rsidRDefault="00006737" w:rsidP="00BB0277">
      <w:pPr>
        <w:rPr>
          <w:rFonts w:asciiTheme="majorBidi" w:hAnsiTheme="majorBidi" w:cstheme="majorBidi"/>
        </w:rPr>
      </w:pPr>
    </w:p>
    <w:p w14:paraId="1E3FD056" w14:textId="77777777"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Lombok, West Nusa Tenggara (17</w:t>
      </w:r>
      <w:r w:rsidRPr="00563D71">
        <w:rPr>
          <w:rFonts w:asciiTheme="majorBidi" w:hAnsiTheme="majorBidi" w:cstheme="majorBidi"/>
          <w:vertAlign w:val="superscript"/>
        </w:rPr>
        <w:t>th</w:t>
      </w:r>
      <w:r w:rsidRPr="00563D71">
        <w:rPr>
          <w:rFonts w:asciiTheme="majorBidi" w:hAnsiTheme="majorBidi" w:cstheme="majorBidi"/>
        </w:rPr>
        <w:t xml:space="preserve"> – 19</w:t>
      </w:r>
      <w:r w:rsidRPr="00563D71">
        <w:rPr>
          <w:rFonts w:asciiTheme="majorBidi" w:hAnsiTheme="majorBidi" w:cstheme="majorBidi"/>
          <w:vertAlign w:val="superscript"/>
        </w:rPr>
        <w:t>th</w:t>
      </w:r>
      <w:r w:rsidRPr="00563D71">
        <w:rPr>
          <w:rFonts w:asciiTheme="majorBidi" w:hAnsiTheme="majorBidi" w:cstheme="majorBidi"/>
        </w:rPr>
        <w:t xml:space="preserve"> October, 2016)</w:t>
      </w:r>
    </w:p>
    <w:tbl>
      <w:tblPr>
        <w:tblStyle w:val="TableGrid2"/>
        <w:tblW w:w="5000" w:type="pct"/>
        <w:tblLook w:val="04A0" w:firstRow="1" w:lastRow="0" w:firstColumn="1" w:lastColumn="0" w:noHBand="0" w:noVBand="1"/>
      </w:tblPr>
      <w:tblGrid>
        <w:gridCol w:w="3132"/>
        <w:gridCol w:w="3106"/>
        <w:gridCol w:w="3112"/>
      </w:tblGrid>
      <w:tr w:rsidR="00006737" w:rsidRPr="00563D71" w14:paraId="4CA16FAC" w14:textId="77777777" w:rsidTr="0032029F">
        <w:tc>
          <w:tcPr>
            <w:tcW w:w="5000" w:type="pct"/>
            <w:gridSpan w:val="3"/>
            <w:shd w:val="clear" w:color="auto" w:fill="DEEAF6" w:themeFill="accent1" w:themeFillTint="33"/>
          </w:tcPr>
          <w:p w14:paraId="1128285F"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West Nusa Tenggara</w:t>
            </w:r>
          </w:p>
        </w:tc>
      </w:tr>
      <w:tr w:rsidR="00006737" w:rsidRPr="00563D71" w14:paraId="7DD0AD49" w14:textId="77777777" w:rsidTr="0032029F">
        <w:tc>
          <w:tcPr>
            <w:tcW w:w="1675" w:type="pct"/>
            <w:shd w:val="clear" w:color="auto" w:fill="auto"/>
          </w:tcPr>
          <w:p w14:paraId="6845E4E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Sustainable Tourism Observatory (University of Mataram)</w:t>
            </w:r>
          </w:p>
        </w:tc>
        <w:tc>
          <w:tcPr>
            <w:tcW w:w="1661" w:type="pct"/>
            <w:shd w:val="clear" w:color="auto" w:fill="auto"/>
          </w:tcPr>
          <w:p w14:paraId="5C6CA1A7"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Dr. Akhmad Saufi</w:t>
            </w:r>
          </w:p>
        </w:tc>
        <w:tc>
          <w:tcPr>
            <w:tcW w:w="1664" w:type="pct"/>
            <w:shd w:val="clear" w:color="auto" w:fill="auto"/>
          </w:tcPr>
          <w:p w14:paraId="4E827509" w14:textId="60FEE34D" w:rsidR="00006737" w:rsidRPr="00563D71" w:rsidRDefault="00006737" w:rsidP="0032029F">
            <w:pPr>
              <w:spacing w:before="0"/>
              <w:rPr>
                <w:rFonts w:asciiTheme="majorBidi" w:hAnsiTheme="majorBidi" w:cstheme="majorBidi"/>
              </w:rPr>
            </w:pPr>
            <w:r w:rsidRPr="00563D71">
              <w:rPr>
                <w:rFonts w:asciiTheme="majorBidi" w:hAnsiTheme="majorBidi" w:cstheme="majorBidi"/>
              </w:rPr>
              <w:t>Team Leader/Lecturer in Tourism and Hospitality</w:t>
            </w:r>
          </w:p>
        </w:tc>
      </w:tr>
      <w:tr w:rsidR="00006737" w:rsidRPr="00563D71" w14:paraId="14C87906" w14:textId="77777777" w:rsidTr="0032029F">
        <w:tc>
          <w:tcPr>
            <w:tcW w:w="1675" w:type="pct"/>
            <w:shd w:val="clear" w:color="auto" w:fill="auto"/>
          </w:tcPr>
          <w:p w14:paraId="4994D39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Sustainable Tourism Observatory (University of Mataram)</w:t>
            </w:r>
          </w:p>
        </w:tc>
        <w:tc>
          <w:tcPr>
            <w:tcW w:w="1661" w:type="pct"/>
          </w:tcPr>
          <w:p w14:paraId="6D86FEE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Sulhaini </w:t>
            </w:r>
          </w:p>
        </w:tc>
        <w:tc>
          <w:tcPr>
            <w:tcW w:w="1664" w:type="pct"/>
            <w:shd w:val="clear" w:color="auto" w:fill="auto"/>
          </w:tcPr>
          <w:p w14:paraId="6EECFD9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Lecturer in Marketing</w:t>
            </w:r>
          </w:p>
        </w:tc>
      </w:tr>
      <w:tr w:rsidR="00006737" w:rsidRPr="00563D71" w14:paraId="0A9CB988" w14:textId="77777777" w:rsidTr="0032029F">
        <w:trPr>
          <w:trHeight w:val="458"/>
        </w:trPr>
        <w:tc>
          <w:tcPr>
            <w:tcW w:w="1675" w:type="pct"/>
            <w:shd w:val="clear" w:color="auto" w:fill="auto"/>
          </w:tcPr>
          <w:p w14:paraId="69D78A7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lastRenderedPageBreak/>
              <w:t>Sustainable Tourism Observatory (University of Mataram)</w:t>
            </w:r>
          </w:p>
        </w:tc>
        <w:tc>
          <w:tcPr>
            <w:tcW w:w="1661" w:type="pct"/>
            <w:shd w:val="clear" w:color="auto" w:fill="auto"/>
          </w:tcPr>
          <w:p w14:paraId="0CE79BF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Ida Ayu Putri</w:t>
            </w:r>
          </w:p>
        </w:tc>
        <w:tc>
          <w:tcPr>
            <w:tcW w:w="1664" w:type="pct"/>
            <w:shd w:val="clear" w:color="auto" w:fill="auto"/>
          </w:tcPr>
          <w:p w14:paraId="2C566CE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Lecturer in Tourism </w:t>
            </w:r>
          </w:p>
        </w:tc>
      </w:tr>
      <w:tr w:rsidR="00006737" w:rsidRPr="00563D71" w14:paraId="5E36E591" w14:textId="77777777" w:rsidTr="0032029F">
        <w:trPr>
          <w:trHeight w:val="314"/>
        </w:trPr>
        <w:tc>
          <w:tcPr>
            <w:tcW w:w="1675" w:type="pct"/>
            <w:shd w:val="clear" w:color="auto" w:fill="auto"/>
          </w:tcPr>
          <w:p w14:paraId="3986413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Sesaot Village</w:t>
            </w:r>
          </w:p>
        </w:tc>
        <w:tc>
          <w:tcPr>
            <w:tcW w:w="1661" w:type="pct"/>
            <w:shd w:val="clear" w:color="auto" w:fill="auto"/>
          </w:tcPr>
          <w:p w14:paraId="6E7FC3C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Yuni Hari Senin</w:t>
            </w:r>
          </w:p>
        </w:tc>
        <w:tc>
          <w:tcPr>
            <w:tcW w:w="1664" w:type="pct"/>
            <w:shd w:val="clear" w:color="auto" w:fill="auto"/>
          </w:tcPr>
          <w:p w14:paraId="36866E0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Village</w:t>
            </w:r>
          </w:p>
        </w:tc>
      </w:tr>
      <w:tr w:rsidR="00006737" w:rsidRPr="00563D71" w14:paraId="294A572E" w14:textId="77777777" w:rsidTr="0032029F">
        <w:tc>
          <w:tcPr>
            <w:tcW w:w="1675" w:type="pct"/>
            <w:shd w:val="clear" w:color="auto" w:fill="auto"/>
          </w:tcPr>
          <w:p w14:paraId="7B11D74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Buwun Sejati Village</w:t>
            </w:r>
          </w:p>
        </w:tc>
        <w:tc>
          <w:tcPr>
            <w:tcW w:w="1661" w:type="pct"/>
            <w:shd w:val="clear" w:color="auto" w:fill="auto"/>
          </w:tcPr>
          <w:p w14:paraId="767C6BF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Bambang Kurdi</w:t>
            </w:r>
          </w:p>
        </w:tc>
        <w:tc>
          <w:tcPr>
            <w:tcW w:w="1664" w:type="pct"/>
            <w:shd w:val="clear" w:color="auto" w:fill="auto"/>
          </w:tcPr>
          <w:p w14:paraId="1E471DA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Village</w:t>
            </w:r>
          </w:p>
        </w:tc>
      </w:tr>
      <w:tr w:rsidR="00006737" w:rsidRPr="00563D71" w14:paraId="20E34E49" w14:textId="77777777" w:rsidTr="0032029F">
        <w:tc>
          <w:tcPr>
            <w:tcW w:w="1675" w:type="pct"/>
            <w:shd w:val="clear" w:color="auto" w:fill="auto"/>
          </w:tcPr>
          <w:p w14:paraId="23FF57A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Pokdarwis (NGO) (</w:t>
            </w:r>
            <w:r w:rsidRPr="00563D71">
              <w:rPr>
                <w:rFonts w:asciiTheme="majorBidi" w:hAnsiTheme="majorBidi" w:cstheme="majorBidi"/>
                <w:i/>
              </w:rPr>
              <w:t>Kelompok Sadar Wisata</w:t>
            </w:r>
            <w:r w:rsidRPr="00563D71">
              <w:rPr>
                <w:rFonts w:asciiTheme="majorBidi" w:hAnsiTheme="majorBidi" w:cstheme="majorBidi"/>
              </w:rPr>
              <w:t xml:space="preserve">) </w:t>
            </w:r>
          </w:p>
        </w:tc>
        <w:tc>
          <w:tcPr>
            <w:tcW w:w="1661" w:type="pct"/>
            <w:shd w:val="clear" w:color="auto" w:fill="auto"/>
          </w:tcPr>
          <w:p w14:paraId="15D36B2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Azudin Nur</w:t>
            </w:r>
          </w:p>
        </w:tc>
        <w:tc>
          <w:tcPr>
            <w:tcW w:w="1664" w:type="pct"/>
            <w:shd w:val="clear" w:color="auto" w:fill="auto"/>
          </w:tcPr>
          <w:p w14:paraId="6AC19E5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the Pokdarwis</w:t>
            </w:r>
          </w:p>
        </w:tc>
      </w:tr>
    </w:tbl>
    <w:tbl>
      <w:tblPr>
        <w:tblW w:w="5000" w:type="pct"/>
        <w:tblInd w:w="-10"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148"/>
        <w:gridCol w:w="34"/>
        <w:gridCol w:w="3069"/>
        <w:gridCol w:w="13"/>
        <w:gridCol w:w="3069"/>
        <w:gridCol w:w="7"/>
      </w:tblGrid>
      <w:tr w:rsidR="00006737" w:rsidRPr="00563D71" w14:paraId="217D25E6" w14:textId="77777777" w:rsidTr="0032029F">
        <w:trPr>
          <w:gridAfter w:val="1"/>
          <w:wAfter w:w="4" w:type="pct"/>
        </w:trPr>
        <w:tc>
          <w:tcPr>
            <w:tcW w:w="1685" w:type="pct"/>
            <w:tcBorders>
              <w:top w:val="nil"/>
              <w:bottom w:val="single" w:sz="8" w:space="0" w:color="auto"/>
            </w:tcBorders>
          </w:tcPr>
          <w:p w14:paraId="4B3F1D96"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Environmental and Research Agency of NTB Province</w:t>
            </w:r>
          </w:p>
        </w:tc>
        <w:tc>
          <w:tcPr>
            <w:tcW w:w="1668" w:type="pct"/>
            <w:gridSpan w:val="3"/>
            <w:tcBorders>
              <w:top w:val="nil"/>
              <w:bottom w:val="single" w:sz="8" w:space="0" w:color="auto"/>
            </w:tcBorders>
            <w:tcMar>
              <w:top w:w="0" w:type="dxa"/>
              <w:left w:w="108" w:type="dxa"/>
              <w:bottom w:w="0" w:type="dxa"/>
              <w:right w:w="108" w:type="dxa"/>
            </w:tcMar>
          </w:tcPr>
          <w:p w14:paraId="4F5EDFE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Haris Rayed</w:t>
            </w:r>
          </w:p>
        </w:tc>
        <w:tc>
          <w:tcPr>
            <w:tcW w:w="1643" w:type="pct"/>
            <w:tcBorders>
              <w:top w:val="nil"/>
              <w:bottom w:val="single" w:sz="8" w:space="0" w:color="auto"/>
            </w:tcBorders>
            <w:tcMar>
              <w:top w:w="0" w:type="dxa"/>
              <w:left w:w="108" w:type="dxa"/>
              <w:bottom w:w="0" w:type="dxa"/>
              <w:right w:w="108" w:type="dxa"/>
            </w:tcMar>
          </w:tcPr>
          <w:p w14:paraId="05BF932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Agency</w:t>
            </w:r>
          </w:p>
        </w:tc>
      </w:tr>
      <w:tr w:rsidR="00006737" w:rsidRPr="00563D71" w14:paraId="11D63ACD" w14:textId="77777777" w:rsidTr="0032029F">
        <w:trPr>
          <w:gridAfter w:val="1"/>
          <w:wAfter w:w="4" w:type="pct"/>
        </w:trPr>
        <w:tc>
          <w:tcPr>
            <w:tcW w:w="1703" w:type="pct"/>
            <w:gridSpan w:val="2"/>
            <w:tcBorders>
              <w:top w:val="nil"/>
              <w:bottom w:val="single" w:sz="8" w:space="0" w:color="auto"/>
            </w:tcBorders>
          </w:tcPr>
          <w:p w14:paraId="59239D27"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 Environmental and Research   Agency of NTB Province</w:t>
            </w:r>
          </w:p>
        </w:tc>
        <w:tc>
          <w:tcPr>
            <w:tcW w:w="1643" w:type="pct"/>
            <w:tcBorders>
              <w:top w:val="nil"/>
              <w:bottom w:val="single" w:sz="8" w:space="0" w:color="auto"/>
            </w:tcBorders>
            <w:tcMar>
              <w:top w:w="0" w:type="dxa"/>
              <w:left w:w="108" w:type="dxa"/>
              <w:bottom w:w="0" w:type="dxa"/>
              <w:right w:w="108" w:type="dxa"/>
            </w:tcMar>
          </w:tcPr>
          <w:p w14:paraId="4650CEA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Gatot</w:t>
            </w:r>
          </w:p>
        </w:tc>
        <w:tc>
          <w:tcPr>
            <w:tcW w:w="1650" w:type="pct"/>
            <w:gridSpan w:val="2"/>
            <w:tcBorders>
              <w:top w:val="nil"/>
              <w:bottom w:val="single" w:sz="8" w:space="0" w:color="auto"/>
            </w:tcBorders>
            <w:tcMar>
              <w:top w:w="0" w:type="dxa"/>
              <w:left w:w="108" w:type="dxa"/>
              <w:bottom w:w="0" w:type="dxa"/>
              <w:right w:w="108" w:type="dxa"/>
            </w:tcMar>
          </w:tcPr>
          <w:p w14:paraId="25142B8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Planning and Development </w:t>
            </w:r>
          </w:p>
        </w:tc>
      </w:tr>
      <w:tr w:rsidR="00006737" w:rsidRPr="00563D71" w14:paraId="58ED93E8" w14:textId="77777777" w:rsidTr="0032029F">
        <w:tc>
          <w:tcPr>
            <w:tcW w:w="1703" w:type="pct"/>
            <w:gridSpan w:val="2"/>
            <w:tcBorders>
              <w:top w:val="single" w:sz="8" w:space="0" w:color="auto"/>
            </w:tcBorders>
          </w:tcPr>
          <w:p w14:paraId="629A87C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Environmental and Research Agency of NTB Province</w:t>
            </w:r>
          </w:p>
        </w:tc>
        <w:tc>
          <w:tcPr>
            <w:tcW w:w="1650" w:type="pct"/>
            <w:gridSpan w:val="2"/>
            <w:tcBorders>
              <w:top w:val="single" w:sz="8" w:space="0" w:color="auto"/>
            </w:tcBorders>
            <w:tcMar>
              <w:top w:w="0" w:type="dxa"/>
              <w:left w:w="108" w:type="dxa"/>
              <w:bottom w:w="0" w:type="dxa"/>
              <w:right w:w="108" w:type="dxa"/>
            </w:tcMar>
          </w:tcPr>
          <w:p w14:paraId="5D57340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Nyoman</w:t>
            </w:r>
          </w:p>
        </w:tc>
        <w:tc>
          <w:tcPr>
            <w:tcW w:w="1647" w:type="pct"/>
            <w:gridSpan w:val="2"/>
            <w:tcBorders>
              <w:top w:val="single" w:sz="8" w:space="0" w:color="auto"/>
            </w:tcBorders>
            <w:tcMar>
              <w:top w:w="0" w:type="dxa"/>
              <w:left w:w="108" w:type="dxa"/>
              <w:bottom w:w="0" w:type="dxa"/>
              <w:right w:w="108" w:type="dxa"/>
            </w:tcMar>
          </w:tcPr>
          <w:p w14:paraId="7573075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Kasi AMDAL</w:t>
            </w:r>
          </w:p>
        </w:tc>
      </w:tr>
      <w:tr w:rsidR="00006737" w:rsidRPr="00563D71" w14:paraId="6E4C4C8B" w14:textId="77777777" w:rsidTr="0032029F">
        <w:trPr>
          <w:trHeight w:val="574"/>
        </w:trPr>
        <w:tc>
          <w:tcPr>
            <w:tcW w:w="1703" w:type="pct"/>
            <w:gridSpan w:val="2"/>
          </w:tcPr>
          <w:p w14:paraId="2D501C8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Environmental and Research Agency of NTB Province</w:t>
            </w:r>
          </w:p>
        </w:tc>
        <w:tc>
          <w:tcPr>
            <w:tcW w:w="1650" w:type="pct"/>
            <w:gridSpan w:val="2"/>
            <w:tcMar>
              <w:top w:w="0" w:type="dxa"/>
              <w:left w:w="108" w:type="dxa"/>
              <w:bottom w:w="0" w:type="dxa"/>
              <w:right w:w="108" w:type="dxa"/>
            </w:tcMar>
          </w:tcPr>
          <w:p w14:paraId="75621F9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Syaiful </w:t>
            </w:r>
          </w:p>
        </w:tc>
        <w:tc>
          <w:tcPr>
            <w:tcW w:w="1647" w:type="pct"/>
            <w:gridSpan w:val="2"/>
            <w:tcMar>
              <w:top w:w="0" w:type="dxa"/>
              <w:left w:w="108" w:type="dxa"/>
              <w:bottom w:w="0" w:type="dxa"/>
              <w:right w:w="108" w:type="dxa"/>
            </w:tcMar>
          </w:tcPr>
          <w:p w14:paraId="5062831A"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Laboratory</w:t>
            </w:r>
          </w:p>
        </w:tc>
      </w:tr>
      <w:tr w:rsidR="00006737" w:rsidRPr="00563D71" w14:paraId="4B50CFB1" w14:textId="77777777" w:rsidTr="0032029F">
        <w:tc>
          <w:tcPr>
            <w:tcW w:w="1703" w:type="pct"/>
            <w:gridSpan w:val="2"/>
          </w:tcPr>
          <w:p w14:paraId="0021510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Environmental and Research Agency of NTB Province</w:t>
            </w:r>
          </w:p>
        </w:tc>
        <w:tc>
          <w:tcPr>
            <w:tcW w:w="1650" w:type="pct"/>
            <w:gridSpan w:val="2"/>
            <w:tcMar>
              <w:top w:w="0" w:type="dxa"/>
              <w:left w:w="108" w:type="dxa"/>
              <w:bottom w:w="0" w:type="dxa"/>
              <w:right w:w="108" w:type="dxa"/>
            </w:tcMar>
          </w:tcPr>
          <w:p w14:paraId="192D6B6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Syahrul</w:t>
            </w:r>
          </w:p>
        </w:tc>
        <w:tc>
          <w:tcPr>
            <w:tcW w:w="1647" w:type="pct"/>
            <w:gridSpan w:val="2"/>
            <w:tcMar>
              <w:top w:w="0" w:type="dxa"/>
              <w:left w:w="108" w:type="dxa"/>
              <w:bottom w:w="0" w:type="dxa"/>
              <w:right w:w="108" w:type="dxa"/>
            </w:tcMar>
          </w:tcPr>
          <w:p w14:paraId="7E7E38AA"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Research UPT</w:t>
            </w:r>
          </w:p>
        </w:tc>
      </w:tr>
      <w:tr w:rsidR="00006737" w:rsidRPr="00563D71" w14:paraId="03DB53AD" w14:textId="77777777" w:rsidTr="0032029F">
        <w:tc>
          <w:tcPr>
            <w:tcW w:w="1703" w:type="pct"/>
            <w:gridSpan w:val="2"/>
          </w:tcPr>
          <w:p w14:paraId="763CA7F8"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Environmental and Research Agency of NTB Province</w:t>
            </w:r>
          </w:p>
        </w:tc>
        <w:tc>
          <w:tcPr>
            <w:tcW w:w="1650" w:type="pct"/>
            <w:gridSpan w:val="2"/>
            <w:tcMar>
              <w:top w:w="0" w:type="dxa"/>
              <w:left w:w="108" w:type="dxa"/>
              <w:bottom w:w="0" w:type="dxa"/>
              <w:right w:w="108" w:type="dxa"/>
            </w:tcMar>
          </w:tcPr>
          <w:p w14:paraId="1004B9CD"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Retno Researcher</w:t>
            </w:r>
          </w:p>
        </w:tc>
        <w:tc>
          <w:tcPr>
            <w:tcW w:w="1647" w:type="pct"/>
            <w:gridSpan w:val="2"/>
            <w:tcMar>
              <w:top w:w="0" w:type="dxa"/>
              <w:left w:w="108" w:type="dxa"/>
              <w:bottom w:w="0" w:type="dxa"/>
              <w:right w:w="108" w:type="dxa"/>
            </w:tcMar>
          </w:tcPr>
          <w:p w14:paraId="2058A5BF" w14:textId="77777777" w:rsidR="00006737" w:rsidRPr="00563D71" w:rsidRDefault="00006737" w:rsidP="0032029F">
            <w:pPr>
              <w:spacing w:before="0"/>
              <w:ind w:left="162"/>
              <w:rPr>
                <w:rFonts w:asciiTheme="majorBidi" w:hAnsiTheme="majorBidi" w:cstheme="majorBidi"/>
              </w:rPr>
            </w:pPr>
          </w:p>
        </w:tc>
      </w:tr>
      <w:tr w:rsidR="00006737" w:rsidRPr="00563D71" w14:paraId="175623FC" w14:textId="77777777" w:rsidTr="0032029F">
        <w:tc>
          <w:tcPr>
            <w:tcW w:w="1703" w:type="pct"/>
            <w:gridSpan w:val="2"/>
          </w:tcPr>
          <w:p w14:paraId="1025CBAC"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Tourism Agency of NTB Province</w:t>
            </w:r>
          </w:p>
        </w:tc>
        <w:tc>
          <w:tcPr>
            <w:tcW w:w="1650" w:type="pct"/>
            <w:gridSpan w:val="2"/>
            <w:tcMar>
              <w:top w:w="0" w:type="dxa"/>
              <w:left w:w="108" w:type="dxa"/>
              <w:bottom w:w="0" w:type="dxa"/>
              <w:right w:w="108" w:type="dxa"/>
            </w:tcMar>
          </w:tcPr>
          <w:p w14:paraId="15034554"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Muhamad</w:t>
            </w:r>
          </w:p>
        </w:tc>
        <w:tc>
          <w:tcPr>
            <w:tcW w:w="1647" w:type="pct"/>
            <w:gridSpan w:val="2"/>
            <w:tcMar>
              <w:top w:w="0" w:type="dxa"/>
              <w:left w:w="108" w:type="dxa"/>
              <w:bottom w:w="0" w:type="dxa"/>
              <w:right w:w="108" w:type="dxa"/>
            </w:tcMar>
          </w:tcPr>
          <w:p w14:paraId="398751B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Secretary of the Agency</w:t>
            </w:r>
          </w:p>
        </w:tc>
      </w:tr>
      <w:tr w:rsidR="00006737" w:rsidRPr="00563D71" w14:paraId="4B9951C2" w14:textId="77777777" w:rsidTr="0032029F">
        <w:tc>
          <w:tcPr>
            <w:tcW w:w="1703" w:type="pct"/>
            <w:gridSpan w:val="2"/>
          </w:tcPr>
          <w:p w14:paraId="5EAF39DC"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Tourism Agency of NTB Province</w:t>
            </w:r>
          </w:p>
        </w:tc>
        <w:tc>
          <w:tcPr>
            <w:tcW w:w="1650" w:type="pct"/>
            <w:gridSpan w:val="2"/>
            <w:tcMar>
              <w:top w:w="0" w:type="dxa"/>
              <w:left w:w="108" w:type="dxa"/>
              <w:bottom w:w="0" w:type="dxa"/>
              <w:right w:w="108" w:type="dxa"/>
            </w:tcMar>
          </w:tcPr>
          <w:p w14:paraId="034B996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Alfi</w:t>
            </w:r>
          </w:p>
        </w:tc>
        <w:tc>
          <w:tcPr>
            <w:tcW w:w="1647" w:type="pct"/>
            <w:gridSpan w:val="2"/>
            <w:tcMar>
              <w:top w:w="0" w:type="dxa"/>
              <w:left w:w="108" w:type="dxa"/>
              <w:bottom w:w="0" w:type="dxa"/>
              <w:right w:w="108" w:type="dxa"/>
            </w:tcMar>
          </w:tcPr>
          <w:p w14:paraId="06497850"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Destination Sub-division</w:t>
            </w:r>
          </w:p>
        </w:tc>
      </w:tr>
      <w:tr w:rsidR="00006737" w:rsidRPr="00563D71" w14:paraId="74EFC443" w14:textId="77777777" w:rsidTr="0032029F">
        <w:tc>
          <w:tcPr>
            <w:tcW w:w="1703" w:type="pct"/>
            <w:gridSpan w:val="2"/>
          </w:tcPr>
          <w:p w14:paraId="53E24EE4"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Tourism Agency of NTB Province</w:t>
            </w:r>
          </w:p>
        </w:tc>
        <w:tc>
          <w:tcPr>
            <w:tcW w:w="1650" w:type="pct"/>
            <w:gridSpan w:val="2"/>
            <w:tcMar>
              <w:top w:w="0" w:type="dxa"/>
              <w:left w:w="108" w:type="dxa"/>
              <w:bottom w:w="0" w:type="dxa"/>
              <w:right w:w="108" w:type="dxa"/>
            </w:tcMar>
          </w:tcPr>
          <w:p w14:paraId="2BF96010"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Budi </w:t>
            </w:r>
          </w:p>
        </w:tc>
        <w:tc>
          <w:tcPr>
            <w:tcW w:w="1647" w:type="pct"/>
            <w:gridSpan w:val="2"/>
            <w:tcMar>
              <w:top w:w="0" w:type="dxa"/>
              <w:left w:w="108" w:type="dxa"/>
              <w:bottom w:w="0" w:type="dxa"/>
              <w:right w:w="108" w:type="dxa"/>
            </w:tcMar>
          </w:tcPr>
          <w:p w14:paraId="18E71A7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Geo-park Secretariat</w:t>
            </w:r>
          </w:p>
        </w:tc>
      </w:tr>
      <w:tr w:rsidR="00006737" w:rsidRPr="00563D71" w14:paraId="0D84DE12" w14:textId="77777777" w:rsidTr="0032029F">
        <w:tc>
          <w:tcPr>
            <w:tcW w:w="1703" w:type="pct"/>
            <w:gridSpan w:val="2"/>
          </w:tcPr>
          <w:p w14:paraId="2D49278A"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Tourism Agency of NTB Province</w:t>
            </w:r>
          </w:p>
        </w:tc>
        <w:tc>
          <w:tcPr>
            <w:tcW w:w="1650" w:type="pct"/>
            <w:gridSpan w:val="2"/>
            <w:tcMar>
              <w:top w:w="0" w:type="dxa"/>
              <w:left w:w="108" w:type="dxa"/>
              <w:bottom w:w="0" w:type="dxa"/>
              <w:right w:w="108" w:type="dxa"/>
            </w:tcMar>
          </w:tcPr>
          <w:p w14:paraId="6A7EB3DE"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Akbar</w:t>
            </w:r>
          </w:p>
        </w:tc>
        <w:tc>
          <w:tcPr>
            <w:tcW w:w="1647" w:type="pct"/>
            <w:gridSpan w:val="2"/>
            <w:tcMar>
              <w:top w:w="0" w:type="dxa"/>
              <w:left w:w="108" w:type="dxa"/>
              <w:bottom w:w="0" w:type="dxa"/>
              <w:right w:w="108" w:type="dxa"/>
            </w:tcMar>
          </w:tcPr>
          <w:p w14:paraId="19C74A94"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Geo-park Secretariat</w:t>
            </w:r>
          </w:p>
        </w:tc>
      </w:tr>
      <w:tr w:rsidR="00006737" w:rsidRPr="00563D71" w14:paraId="2FF2D46B" w14:textId="77777777" w:rsidTr="0032029F">
        <w:tc>
          <w:tcPr>
            <w:tcW w:w="1703" w:type="pct"/>
            <w:gridSpan w:val="2"/>
          </w:tcPr>
          <w:p w14:paraId="3D4804E6"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National Land Agency in NTB Province</w:t>
            </w:r>
          </w:p>
        </w:tc>
        <w:tc>
          <w:tcPr>
            <w:tcW w:w="1650" w:type="pct"/>
            <w:gridSpan w:val="2"/>
            <w:tcMar>
              <w:top w:w="0" w:type="dxa"/>
              <w:left w:w="108" w:type="dxa"/>
              <w:bottom w:w="0" w:type="dxa"/>
              <w:right w:w="108" w:type="dxa"/>
            </w:tcMar>
          </w:tcPr>
          <w:p w14:paraId="0EF0B36A"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Dina</w:t>
            </w:r>
          </w:p>
        </w:tc>
        <w:tc>
          <w:tcPr>
            <w:tcW w:w="1647" w:type="pct"/>
            <w:gridSpan w:val="2"/>
            <w:tcMar>
              <w:top w:w="0" w:type="dxa"/>
              <w:left w:w="108" w:type="dxa"/>
              <w:bottom w:w="0" w:type="dxa"/>
              <w:right w:w="108" w:type="dxa"/>
            </w:tcMar>
          </w:tcPr>
          <w:p w14:paraId="431FA46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Mapping</w:t>
            </w:r>
          </w:p>
        </w:tc>
      </w:tr>
      <w:tr w:rsidR="00006737" w:rsidRPr="00563D71" w14:paraId="67BD3A09" w14:textId="77777777" w:rsidTr="0032029F">
        <w:tc>
          <w:tcPr>
            <w:tcW w:w="1703" w:type="pct"/>
            <w:gridSpan w:val="2"/>
          </w:tcPr>
          <w:p w14:paraId="11CBCDE9"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National Land Agency in NTB Province</w:t>
            </w:r>
          </w:p>
        </w:tc>
        <w:tc>
          <w:tcPr>
            <w:tcW w:w="1650" w:type="pct"/>
            <w:gridSpan w:val="2"/>
            <w:tcMar>
              <w:top w:w="0" w:type="dxa"/>
              <w:left w:w="108" w:type="dxa"/>
              <w:bottom w:w="0" w:type="dxa"/>
              <w:right w:w="108" w:type="dxa"/>
            </w:tcMar>
          </w:tcPr>
          <w:p w14:paraId="52A73098"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Dipta</w:t>
            </w:r>
          </w:p>
        </w:tc>
        <w:tc>
          <w:tcPr>
            <w:tcW w:w="1647" w:type="pct"/>
            <w:gridSpan w:val="2"/>
            <w:tcMar>
              <w:top w:w="0" w:type="dxa"/>
              <w:left w:w="108" w:type="dxa"/>
              <w:bottom w:w="0" w:type="dxa"/>
              <w:right w:w="108" w:type="dxa"/>
            </w:tcMar>
          </w:tcPr>
          <w:p w14:paraId="730025F6"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Land Measuring and Mapping Section</w:t>
            </w:r>
          </w:p>
        </w:tc>
      </w:tr>
      <w:tr w:rsidR="00006737" w:rsidRPr="00563D71" w14:paraId="32E3FF11" w14:textId="77777777" w:rsidTr="0032029F">
        <w:tc>
          <w:tcPr>
            <w:tcW w:w="1703" w:type="pct"/>
            <w:gridSpan w:val="2"/>
          </w:tcPr>
          <w:p w14:paraId="61686C38"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National Land Agency in NTB Province</w:t>
            </w:r>
          </w:p>
        </w:tc>
        <w:tc>
          <w:tcPr>
            <w:tcW w:w="1650" w:type="pct"/>
            <w:gridSpan w:val="2"/>
            <w:tcMar>
              <w:top w:w="0" w:type="dxa"/>
              <w:left w:w="108" w:type="dxa"/>
              <w:bottom w:w="0" w:type="dxa"/>
              <w:right w:w="108" w:type="dxa"/>
            </w:tcMar>
          </w:tcPr>
          <w:p w14:paraId="7E0C9155"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Mardon</w:t>
            </w:r>
          </w:p>
        </w:tc>
        <w:tc>
          <w:tcPr>
            <w:tcW w:w="1647" w:type="pct"/>
            <w:gridSpan w:val="2"/>
            <w:tcMar>
              <w:top w:w="0" w:type="dxa"/>
              <w:left w:w="108" w:type="dxa"/>
              <w:bottom w:w="0" w:type="dxa"/>
              <w:right w:w="108" w:type="dxa"/>
            </w:tcMar>
          </w:tcPr>
          <w:p w14:paraId="433066C9"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Land Title and Registration Section</w:t>
            </w:r>
          </w:p>
        </w:tc>
      </w:tr>
      <w:tr w:rsidR="00006737" w:rsidRPr="00563D71" w14:paraId="236BCDCE" w14:textId="77777777" w:rsidTr="0032029F">
        <w:tc>
          <w:tcPr>
            <w:tcW w:w="1703" w:type="pct"/>
            <w:gridSpan w:val="2"/>
          </w:tcPr>
          <w:p w14:paraId="6FBD050B"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National Land Agency in NTB Province</w:t>
            </w:r>
          </w:p>
        </w:tc>
        <w:tc>
          <w:tcPr>
            <w:tcW w:w="1650" w:type="pct"/>
            <w:gridSpan w:val="2"/>
            <w:tcMar>
              <w:top w:w="0" w:type="dxa"/>
              <w:left w:w="108" w:type="dxa"/>
              <w:bottom w:w="0" w:type="dxa"/>
              <w:right w:w="108" w:type="dxa"/>
            </w:tcMar>
          </w:tcPr>
          <w:p w14:paraId="417756FB"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Bayu</w:t>
            </w:r>
          </w:p>
        </w:tc>
        <w:tc>
          <w:tcPr>
            <w:tcW w:w="1647" w:type="pct"/>
            <w:gridSpan w:val="2"/>
            <w:tcMar>
              <w:top w:w="0" w:type="dxa"/>
              <w:left w:w="108" w:type="dxa"/>
              <w:bottom w:w="0" w:type="dxa"/>
              <w:right w:w="108" w:type="dxa"/>
            </w:tcMar>
          </w:tcPr>
          <w:p w14:paraId="1A50A8E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Land Control and Management Section</w:t>
            </w:r>
          </w:p>
        </w:tc>
      </w:tr>
      <w:tr w:rsidR="00006737" w:rsidRPr="00563D71" w14:paraId="3E675C75" w14:textId="77777777" w:rsidTr="0032029F">
        <w:tc>
          <w:tcPr>
            <w:tcW w:w="1703" w:type="pct"/>
            <w:gridSpan w:val="2"/>
          </w:tcPr>
          <w:p w14:paraId="79C31A4B"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National Land Agency in NTB Province</w:t>
            </w:r>
          </w:p>
        </w:tc>
        <w:tc>
          <w:tcPr>
            <w:tcW w:w="1650" w:type="pct"/>
            <w:gridSpan w:val="2"/>
            <w:tcMar>
              <w:top w:w="0" w:type="dxa"/>
              <w:left w:w="108" w:type="dxa"/>
              <w:bottom w:w="0" w:type="dxa"/>
              <w:right w:w="108" w:type="dxa"/>
            </w:tcMar>
          </w:tcPr>
          <w:p w14:paraId="4CD4B3DE"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Elman</w:t>
            </w:r>
          </w:p>
        </w:tc>
        <w:tc>
          <w:tcPr>
            <w:tcW w:w="1647" w:type="pct"/>
            <w:gridSpan w:val="2"/>
            <w:tcMar>
              <w:top w:w="0" w:type="dxa"/>
              <w:left w:w="108" w:type="dxa"/>
              <w:bottom w:w="0" w:type="dxa"/>
              <w:right w:w="108" w:type="dxa"/>
            </w:tcMar>
          </w:tcPr>
          <w:p w14:paraId="170538F9"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Land Control and Empowerment Section</w:t>
            </w:r>
          </w:p>
        </w:tc>
      </w:tr>
      <w:tr w:rsidR="00006737" w:rsidRPr="00563D71" w14:paraId="34796967" w14:textId="77777777" w:rsidTr="0032029F">
        <w:tc>
          <w:tcPr>
            <w:tcW w:w="1703" w:type="pct"/>
            <w:gridSpan w:val="2"/>
          </w:tcPr>
          <w:p w14:paraId="1E52D098"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Public Works Agency of NTB Province</w:t>
            </w:r>
          </w:p>
        </w:tc>
        <w:tc>
          <w:tcPr>
            <w:tcW w:w="1650" w:type="pct"/>
            <w:gridSpan w:val="2"/>
            <w:tcMar>
              <w:top w:w="0" w:type="dxa"/>
              <w:left w:w="108" w:type="dxa"/>
              <w:bottom w:w="0" w:type="dxa"/>
              <w:right w:w="108" w:type="dxa"/>
            </w:tcMar>
          </w:tcPr>
          <w:p w14:paraId="6A1913C2"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Mahfud</w:t>
            </w:r>
          </w:p>
        </w:tc>
        <w:tc>
          <w:tcPr>
            <w:tcW w:w="1647" w:type="pct"/>
            <w:gridSpan w:val="2"/>
            <w:tcMar>
              <w:top w:w="0" w:type="dxa"/>
              <w:left w:w="108" w:type="dxa"/>
              <w:bottom w:w="0" w:type="dxa"/>
              <w:right w:w="108" w:type="dxa"/>
            </w:tcMar>
          </w:tcPr>
          <w:p w14:paraId="5F17F0B0"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Secretary of the Agency</w:t>
            </w:r>
          </w:p>
        </w:tc>
      </w:tr>
      <w:tr w:rsidR="00006737" w:rsidRPr="00563D71" w14:paraId="743E8651" w14:textId="77777777" w:rsidTr="0032029F">
        <w:tc>
          <w:tcPr>
            <w:tcW w:w="1703" w:type="pct"/>
            <w:gridSpan w:val="2"/>
          </w:tcPr>
          <w:p w14:paraId="30CD699D"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Public Works Agency of NTB Province</w:t>
            </w:r>
          </w:p>
        </w:tc>
        <w:tc>
          <w:tcPr>
            <w:tcW w:w="1650" w:type="pct"/>
            <w:gridSpan w:val="2"/>
            <w:tcMar>
              <w:top w:w="0" w:type="dxa"/>
              <w:left w:w="108" w:type="dxa"/>
              <w:bottom w:w="0" w:type="dxa"/>
              <w:right w:w="108" w:type="dxa"/>
            </w:tcMar>
          </w:tcPr>
          <w:p w14:paraId="535973AA"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Ahlul</w:t>
            </w:r>
          </w:p>
        </w:tc>
        <w:tc>
          <w:tcPr>
            <w:tcW w:w="1647" w:type="pct"/>
            <w:gridSpan w:val="2"/>
            <w:tcMar>
              <w:top w:w="0" w:type="dxa"/>
              <w:left w:w="108" w:type="dxa"/>
              <w:bottom w:w="0" w:type="dxa"/>
              <w:right w:w="108" w:type="dxa"/>
            </w:tcMar>
          </w:tcPr>
          <w:p w14:paraId="29B7337A"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Housing</w:t>
            </w:r>
          </w:p>
        </w:tc>
      </w:tr>
      <w:tr w:rsidR="00006737" w:rsidRPr="00563D71" w14:paraId="334B1F7B" w14:textId="77777777" w:rsidTr="0032029F">
        <w:tc>
          <w:tcPr>
            <w:tcW w:w="1703" w:type="pct"/>
            <w:gridSpan w:val="2"/>
          </w:tcPr>
          <w:p w14:paraId="1DB3B7B5"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Public Works Agency of NTB Province</w:t>
            </w:r>
          </w:p>
        </w:tc>
        <w:tc>
          <w:tcPr>
            <w:tcW w:w="1650" w:type="pct"/>
            <w:gridSpan w:val="2"/>
            <w:tcMar>
              <w:top w:w="0" w:type="dxa"/>
              <w:left w:w="108" w:type="dxa"/>
              <w:bottom w:w="0" w:type="dxa"/>
              <w:right w:w="108" w:type="dxa"/>
            </w:tcMar>
          </w:tcPr>
          <w:p w14:paraId="129B4BF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Sahdan</w:t>
            </w:r>
          </w:p>
        </w:tc>
        <w:tc>
          <w:tcPr>
            <w:tcW w:w="1647" w:type="pct"/>
            <w:gridSpan w:val="2"/>
            <w:tcMar>
              <w:top w:w="0" w:type="dxa"/>
              <w:left w:w="108" w:type="dxa"/>
              <w:bottom w:w="0" w:type="dxa"/>
              <w:right w:w="108" w:type="dxa"/>
            </w:tcMar>
          </w:tcPr>
          <w:p w14:paraId="6ABEC2F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Bina Marga</w:t>
            </w:r>
          </w:p>
        </w:tc>
      </w:tr>
      <w:tr w:rsidR="00006737" w:rsidRPr="00563D71" w14:paraId="68C6175F" w14:textId="77777777" w:rsidTr="0032029F">
        <w:tc>
          <w:tcPr>
            <w:tcW w:w="1703" w:type="pct"/>
            <w:gridSpan w:val="2"/>
          </w:tcPr>
          <w:p w14:paraId="640374AB"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lastRenderedPageBreak/>
              <w:t>Public Works Agency of NTB Province</w:t>
            </w:r>
          </w:p>
        </w:tc>
        <w:tc>
          <w:tcPr>
            <w:tcW w:w="1650" w:type="pct"/>
            <w:gridSpan w:val="2"/>
            <w:tcMar>
              <w:top w:w="0" w:type="dxa"/>
              <w:left w:w="108" w:type="dxa"/>
              <w:bottom w:w="0" w:type="dxa"/>
              <w:right w:w="108" w:type="dxa"/>
            </w:tcMar>
          </w:tcPr>
          <w:p w14:paraId="739FACCB"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Teguh</w:t>
            </w:r>
          </w:p>
        </w:tc>
        <w:tc>
          <w:tcPr>
            <w:tcW w:w="1647" w:type="pct"/>
            <w:gridSpan w:val="2"/>
            <w:tcMar>
              <w:top w:w="0" w:type="dxa"/>
              <w:left w:w="108" w:type="dxa"/>
              <w:bottom w:w="0" w:type="dxa"/>
              <w:right w:w="108" w:type="dxa"/>
            </w:tcMar>
          </w:tcPr>
          <w:p w14:paraId="4FB4DE6F"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Spatial Plan</w:t>
            </w:r>
          </w:p>
        </w:tc>
      </w:tr>
      <w:tr w:rsidR="00006737" w:rsidRPr="00563D71" w14:paraId="719BF3D9" w14:textId="77777777" w:rsidTr="0032029F">
        <w:tc>
          <w:tcPr>
            <w:tcW w:w="1703" w:type="pct"/>
            <w:gridSpan w:val="2"/>
          </w:tcPr>
          <w:p w14:paraId="127B898E" w14:textId="77777777" w:rsidR="00006737" w:rsidRPr="00563D71" w:rsidRDefault="00006737" w:rsidP="0032029F">
            <w:pPr>
              <w:spacing w:before="0"/>
              <w:ind w:left="180"/>
              <w:rPr>
                <w:rFonts w:asciiTheme="majorBidi" w:hAnsiTheme="majorBidi" w:cstheme="majorBidi"/>
              </w:rPr>
            </w:pPr>
            <w:r w:rsidRPr="00563D71">
              <w:rPr>
                <w:rFonts w:asciiTheme="majorBidi" w:hAnsiTheme="majorBidi" w:cstheme="majorBidi"/>
              </w:rPr>
              <w:t>Public Works Agency of NTB Province</w:t>
            </w:r>
          </w:p>
        </w:tc>
        <w:tc>
          <w:tcPr>
            <w:tcW w:w="1650" w:type="pct"/>
            <w:gridSpan w:val="2"/>
            <w:tcMar>
              <w:top w:w="0" w:type="dxa"/>
              <w:left w:w="108" w:type="dxa"/>
              <w:bottom w:w="0" w:type="dxa"/>
              <w:right w:w="108" w:type="dxa"/>
            </w:tcMar>
          </w:tcPr>
          <w:p w14:paraId="2858D199"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Syuaib</w:t>
            </w:r>
          </w:p>
        </w:tc>
        <w:tc>
          <w:tcPr>
            <w:tcW w:w="1647" w:type="pct"/>
            <w:gridSpan w:val="2"/>
            <w:tcMar>
              <w:top w:w="0" w:type="dxa"/>
              <w:left w:w="108" w:type="dxa"/>
              <w:bottom w:w="0" w:type="dxa"/>
              <w:right w:w="108" w:type="dxa"/>
            </w:tcMar>
          </w:tcPr>
          <w:p w14:paraId="726D9938"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SDA</w:t>
            </w:r>
          </w:p>
        </w:tc>
      </w:tr>
      <w:tr w:rsidR="00006737" w:rsidRPr="00563D71" w14:paraId="3365280C" w14:textId="77777777" w:rsidTr="0032029F">
        <w:tc>
          <w:tcPr>
            <w:tcW w:w="1703" w:type="pct"/>
            <w:gridSpan w:val="2"/>
          </w:tcPr>
          <w:p w14:paraId="06E6CB70"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Environment Agency of Lombok Barat</w:t>
            </w:r>
          </w:p>
        </w:tc>
        <w:tc>
          <w:tcPr>
            <w:tcW w:w="1650" w:type="pct"/>
            <w:gridSpan w:val="2"/>
            <w:tcMar>
              <w:top w:w="0" w:type="dxa"/>
              <w:left w:w="108" w:type="dxa"/>
              <w:bottom w:w="0" w:type="dxa"/>
              <w:right w:w="108" w:type="dxa"/>
            </w:tcMar>
          </w:tcPr>
          <w:p w14:paraId="5F17480D"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L Edy Sadikin</w:t>
            </w:r>
          </w:p>
        </w:tc>
        <w:tc>
          <w:tcPr>
            <w:tcW w:w="1647" w:type="pct"/>
            <w:gridSpan w:val="2"/>
            <w:tcMar>
              <w:top w:w="0" w:type="dxa"/>
              <w:left w:w="108" w:type="dxa"/>
              <w:bottom w:w="0" w:type="dxa"/>
              <w:right w:w="108" w:type="dxa"/>
            </w:tcMar>
          </w:tcPr>
          <w:p w14:paraId="1B33F5B0"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Agency</w:t>
            </w:r>
          </w:p>
        </w:tc>
      </w:tr>
      <w:tr w:rsidR="00006737" w:rsidRPr="00563D71" w14:paraId="3BED0A10" w14:textId="77777777" w:rsidTr="0032029F">
        <w:trPr>
          <w:trHeight w:val="331"/>
        </w:trPr>
        <w:tc>
          <w:tcPr>
            <w:tcW w:w="1703" w:type="pct"/>
            <w:gridSpan w:val="2"/>
          </w:tcPr>
          <w:p w14:paraId="4ABE164C"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Tourism Agency of Lombok Barat</w:t>
            </w:r>
          </w:p>
        </w:tc>
        <w:tc>
          <w:tcPr>
            <w:tcW w:w="1650" w:type="pct"/>
            <w:gridSpan w:val="2"/>
            <w:tcMar>
              <w:top w:w="0" w:type="dxa"/>
              <w:left w:w="108" w:type="dxa"/>
              <w:bottom w:w="0" w:type="dxa"/>
              <w:right w:w="108" w:type="dxa"/>
            </w:tcMar>
          </w:tcPr>
          <w:p w14:paraId="796A357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Ristan Junaidi</w:t>
            </w:r>
          </w:p>
        </w:tc>
        <w:tc>
          <w:tcPr>
            <w:tcW w:w="1647" w:type="pct"/>
            <w:gridSpan w:val="2"/>
            <w:tcMar>
              <w:top w:w="0" w:type="dxa"/>
              <w:left w:w="108" w:type="dxa"/>
              <w:bottom w:w="0" w:type="dxa"/>
              <w:right w:w="108" w:type="dxa"/>
            </w:tcMar>
          </w:tcPr>
          <w:p w14:paraId="7A9186CB"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Agency</w:t>
            </w:r>
          </w:p>
        </w:tc>
      </w:tr>
      <w:tr w:rsidR="00006737" w:rsidRPr="00563D71" w14:paraId="7851390F" w14:textId="77777777" w:rsidTr="0032029F">
        <w:tc>
          <w:tcPr>
            <w:tcW w:w="1703" w:type="pct"/>
            <w:gridSpan w:val="2"/>
          </w:tcPr>
          <w:p w14:paraId="0FA7EC72"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Tourism Agency of Lombok Barat</w:t>
            </w:r>
          </w:p>
        </w:tc>
        <w:tc>
          <w:tcPr>
            <w:tcW w:w="1650" w:type="pct"/>
            <w:gridSpan w:val="2"/>
            <w:tcMar>
              <w:top w:w="0" w:type="dxa"/>
              <w:left w:w="108" w:type="dxa"/>
              <w:bottom w:w="0" w:type="dxa"/>
              <w:right w:w="108" w:type="dxa"/>
            </w:tcMar>
          </w:tcPr>
          <w:p w14:paraId="382682B8"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Sandra</w:t>
            </w:r>
          </w:p>
        </w:tc>
        <w:tc>
          <w:tcPr>
            <w:tcW w:w="1647" w:type="pct"/>
            <w:gridSpan w:val="2"/>
            <w:tcMar>
              <w:top w:w="0" w:type="dxa"/>
              <w:left w:w="108" w:type="dxa"/>
              <w:bottom w:w="0" w:type="dxa"/>
              <w:right w:w="108" w:type="dxa"/>
            </w:tcMar>
          </w:tcPr>
          <w:p w14:paraId="38719440"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Secretary of Agency</w:t>
            </w:r>
          </w:p>
        </w:tc>
      </w:tr>
      <w:tr w:rsidR="00006737" w:rsidRPr="00563D71" w14:paraId="2AEFE7ED" w14:textId="77777777" w:rsidTr="0032029F">
        <w:tc>
          <w:tcPr>
            <w:tcW w:w="1703" w:type="pct"/>
            <w:gridSpan w:val="2"/>
          </w:tcPr>
          <w:p w14:paraId="5F06DE2C"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Public Works Agency of Lombok Barat</w:t>
            </w:r>
          </w:p>
        </w:tc>
        <w:tc>
          <w:tcPr>
            <w:tcW w:w="1650" w:type="pct"/>
            <w:gridSpan w:val="2"/>
            <w:tcMar>
              <w:top w:w="0" w:type="dxa"/>
              <w:left w:w="108" w:type="dxa"/>
              <w:bottom w:w="0" w:type="dxa"/>
              <w:right w:w="108" w:type="dxa"/>
            </w:tcMar>
          </w:tcPr>
          <w:p w14:paraId="2586233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L Sudiana</w:t>
            </w:r>
          </w:p>
        </w:tc>
        <w:tc>
          <w:tcPr>
            <w:tcW w:w="1647" w:type="pct"/>
            <w:gridSpan w:val="2"/>
            <w:tcMar>
              <w:top w:w="0" w:type="dxa"/>
              <w:left w:w="108" w:type="dxa"/>
              <w:bottom w:w="0" w:type="dxa"/>
              <w:right w:w="108" w:type="dxa"/>
            </w:tcMar>
          </w:tcPr>
          <w:p w14:paraId="2601B7AB"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Program Sub-division</w:t>
            </w:r>
          </w:p>
        </w:tc>
      </w:tr>
      <w:tr w:rsidR="00006737" w:rsidRPr="00563D71" w14:paraId="6237E354" w14:textId="77777777" w:rsidTr="0032029F">
        <w:tc>
          <w:tcPr>
            <w:tcW w:w="1703" w:type="pct"/>
            <w:gridSpan w:val="2"/>
          </w:tcPr>
          <w:p w14:paraId="50A1298B"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Public Works Agency of Lombok Barat</w:t>
            </w:r>
          </w:p>
        </w:tc>
        <w:tc>
          <w:tcPr>
            <w:tcW w:w="1650" w:type="pct"/>
            <w:gridSpan w:val="2"/>
            <w:tcMar>
              <w:top w:w="0" w:type="dxa"/>
              <w:left w:w="108" w:type="dxa"/>
              <w:bottom w:w="0" w:type="dxa"/>
              <w:right w:w="108" w:type="dxa"/>
            </w:tcMar>
          </w:tcPr>
          <w:p w14:paraId="51C3870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Utami</w:t>
            </w:r>
          </w:p>
        </w:tc>
        <w:tc>
          <w:tcPr>
            <w:tcW w:w="1647" w:type="pct"/>
            <w:gridSpan w:val="2"/>
            <w:tcMar>
              <w:top w:w="0" w:type="dxa"/>
              <w:left w:w="108" w:type="dxa"/>
              <w:bottom w:w="0" w:type="dxa"/>
              <w:right w:w="108" w:type="dxa"/>
            </w:tcMar>
          </w:tcPr>
          <w:p w14:paraId="5520B11F"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Section of BM</w:t>
            </w:r>
          </w:p>
        </w:tc>
      </w:tr>
      <w:tr w:rsidR="00006737" w:rsidRPr="00563D71" w14:paraId="4A053276" w14:textId="77777777" w:rsidTr="0032029F">
        <w:tc>
          <w:tcPr>
            <w:tcW w:w="1703" w:type="pct"/>
            <w:gridSpan w:val="2"/>
          </w:tcPr>
          <w:p w14:paraId="1518EB07"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Public Works Agency of Lombok Barat</w:t>
            </w:r>
          </w:p>
        </w:tc>
        <w:tc>
          <w:tcPr>
            <w:tcW w:w="1650" w:type="pct"/>
            <w:gridSpan w:val="2"/>
            <w:tcMar>
              <w:top w:w="0" w:type="dxa"/>
              <w:left w:w="108" w:type="dxa"/>
              <w:bottom w:w="0" w:type="dxa"/>
              <w:right w:w="108" w:type="dxa"/>
            </w:tcMar>
          </w:tcPr>
          <w:p w14:paraId="77FD3964"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Ahad</w:t>
            </w:r>
          </w:p>
        </w:tc>
        <w:tc>
          <w:tcPr>
            <w:tcW w:w="1647" w:type="pct"/>
            <w:gridSpan w:val="2"/>
            <w:tcMar>
              <w:top w:w="0" w:type="dxa"/>
              <w:left w:w="108" w:type="dxa"/>
              <w:bottom w:w="0" w:type="dxa"/>
              <w:right w:w="108" w:type="dxa"/>
            </w:tcMar>
          </w:tcPr>
          <w:p w14:paraId="488FA6F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Cipta Karya</w:t>
            </w:r>
          </w:p>
        </w:tc>
      </w:tr>
      <w:tr w:rsidR="00006737" w:rsidRPr="00563D71" w14:paraId="702204D7" w14:textId="77777777" w:rsidTr="0032029F">
        <w:tc>
          <w:tcPr>
            <w:tcW w:w="1703" w:type="pct"/>
            <w:gridSpan w:val="2"/>
          </w:tcPr>
          <w:p w14:paraId="446DC5D0"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Public Works Agency of Lombok Barat</w:t>
            </w:r>
          </w:p>
        </w:tc>
        <w:tc>
          <w:tcPr>
            <w:tcW w:w="1650" w:type="pct"/>
            <w:gridSpan w:val="2"/>
            <w:tcMar>
              <w:top w:w="0" w:type="dxa"/>
              <w:left w:w="108" w:type="dxa"/>
              <w:bottom w:w="0" w:type="dxa"/>
              <w:right w:w="108" w:type="dxa"/>
            </w:tcMar>
          </w:tcPr>
          <w:p w14:paraId="424A9A7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Arif</w:t>
            </w:r>
          </w:p>
        </w:tc>
        <w:tc>
          <w:tcPr>
            <w:tcW w:w="1647" w:type="pct"/>
            <w:gridSpan w:val="2"/>
            <w:tcMar>
              <w:top w:w="0" w:type="dxa"/>
              <w:left w:w="108" w:type="dxa"/>
              <w:bottom w:w="0" w:type="dxa"/>
              <w:right w:w="108" w:type="dxa"/>
            </w:tcMar>
          </w:tcPr>
          <w:p w14:paraId="4313F81B"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Infrastructure Division</w:t>
            </w:r>
          </w:p>
        </w:tc>
      </w:tr>
      <w:tr w:rsidR="00006737" w:rsidRPr="00563D71" w14:paraId="49BFC46D" w14:textId="77777777" w:rsidTr="0032029F">
        <w:tc>
          <w:tcPr>
            <w:tcW w:w="1703" w:type="pct"/>
            <w:gridSpan w:val="2"/>
          </w:tcPr>
          <w:p w14:paraId="64208E8F" w14:textId="1D30D893" w:rsidR="00006737" w:rsidRPr="00563D71" w:rsidRDefault="00E350A2" w:rsidP="0032029F">
            <w:pPr>
              <w:spacing w:before="0"/>
              <w:ind w:left="90"/>
              <w:rPr>
                <w:rFonts w:asciiTheme="majorBidi" w:hAnsiTheme="majorBidi" w:cstheme="majorBidi"/>
              </w:rPr>
            </w:pPr>
            <w:r>
              <w:rPr>
                <w:rFonts w:asciiTheme="majorBidi" w:hAnsiTheme="majorBidi" w:cstheme="majorBidi"/>
              </w:rPr>
              <w:t>BAPPEDA</w:t>
            </w:r>
            <w:r w:rsidR="00006737" w:rsidRPr="00563D71">
              <w:rPr>
                <w:rFonts w:asciiTheme="majorBidi" w:hAnsiTheme="majorBidi" w:cstheme="majorBidi"/>
              </w:rPr>
              <w:t xml:space="preserve"> of Lombok Barat</w:t>
            </w:r>
          </w:p>
        </w:tc>
        <w:tc>
          <w:tcPr>
            <w:tcW w:w="1650" w:type="pct"/>
            <w:gridSpan w:val="2"/>
            <w:tcMar>
              <w:top w:w="0" w:type="dxa"/>
              <w:left w:w="108" w:type="dxa"/>
              <w:bottom w:w="0" w:type="dxa"/>
              <w:right w:w="108" w:type="dxa"/>
            </w:tcMar>
          </w:tcPr>
          <w:p w14:paraId="5009F7DD"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 Junaidy</w:t>
            </w:r>
          </w:p>
        </w:tc>
        <w:tc>
          <w:tcPr>
            <w:tcW w:w="1647" w:type="pct"/>
            <w:gridSpan w:val="2"/>
            <w:tcMar>
              <w:top w:w="0" w:type="dxa"/>
              <w:left w:w="108" w:type="dxa"/>
              <w:bottom w:w="0" w:type="dxa"/>
              <w:right w:w="108" w:type="dxa"/>
            </w:tcMar>
          </w:tcPr>
          <w:p w14:paraId="2976B30D"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Agency</w:t>
            </w:r>
          </w:p>
        </w:tc>
      </w:tr>
      <w:tr w:rsidR="00006737" w:rsidRPr="00563D71" w14:paraId="032506BA" w14:textId="77777777" w:rsidTr="0032029F">
        <w:tc>
          <w:tcPr>
            <w:tcW w:w="1703" w:type="pct"/>
            <w:gridSpan w:val="2"/>
          </w:tcPr>
          <w:p w14:paraId="5CDF671B"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Social Affairs District Office of Lombok Barat</w:t>
            </w:r>
          </w:p>
        </w:tc>
        <w:tc>
          <w:tcPr>
            <w:tcW w:w="1650" w:type="pct"/>
            <w:gridSpan w:val="2"/>
            <w:tcMar>
              <w:top w:w="0" w:type="dxa"/>
              <w:left w:w="108" w:type="dxa"/>
              <w:bottom w:w="0" w:type="dxa"/>
              <w:right w:w="108" w:type="dxa"/>
            </w:tcMar>
          </w:tcPr>
          <w:p w14:paraId="01836B0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Drs. Faturrahium M.si</w:t>
            </w:r>
          </w:p>
        </w:tc>
        <w:tc>
          <w:tcPr>
            <w:tcW w:w="1647" w:type="pct"/>
            <w:gridSpan w:val="2"/>
            <w:tcMar>
              <w:top w:w="0" w:type="dxa"/>
              <w:left w:w="108" w:type="dxa"/>
              <w:bottom w:w="0" w:type="dxa"/>
              <w:right w:w="108" w:type="dxa"/>
            </w:tcMar>
          </w:tcPr>
          <w:p w14:paraId="29AD9475"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Office</w:t>
            </w:r>
          </w:p>
        </w:tc>
      </w:tr>
      <w:tr w:rsidR="00006737" w:rsidRPr="00563D71" w14:paraId="2BA61E50" w14:textId="77777777" w:rsidTr="0032029F">
        <w:tc>
          <w:tcPr>
            <w:tcW w:w="1703" w:type="pct"/>
            <w:gridSpan w:val="2"/>
          </w:tcPr>
          <w:p w14:paraId="3E7FD1B8"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Social Affairs District Office of Lombok Barat</w:t>
            </w:r>
          </w:p>
        </w:tc>
        <w:tc>
          <w:tcPr>
            <w:tcW w:w="1650" w:type="pct"/>
            <w:gridSpan w:val="2"/>
            <w:tcMar>
              <w:top w:w="0" w:type="dxa"/>
              <w:left w:w="108" w:type="dxa"/>
              <w:bottom w:w="0" w:type="dxa"/>
              <w:right w:w="108" w:type="dxa"/>
            </w:tcMar>
          </w:tcPr>
          <w:p w14:paraId="489D4E42"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Anik Soelistyoi, Bsw</w:t>
            </w:r>
          </w:p>
        </w:tc>
        <w:tc>
          <w:tcPr>
            <w:tcW w:w="1647" w:type="pct"/>
            <w:gridSpan w:val="2"/>
            <w:tcMar>
              <w:top w:w="0" w:type="dxa"/>
              <w:left w:w="108" w:type="dxa"/>
              <w:bottom w:w="0" w:type="dxa"/>
              <w:right w:w="108" w:type="dxa"/>
            </w:tcMar>
            <w:vAlign w:val="center"/>
          </w:tcPr>
          <w:p w14:paraId="55D01AEF"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Social Empowerment Sub-division</w:t>
            </w:r>
          </w:p>
        </w:tc>
      </w:tr>
      <w:tr w:rsidR="00006737" w:rsidRPr="00563D71" w14:paraId="048C9DC2" w14:textId="77777777" w:rsidTr="0032029F">
        <w:tc>
          <w:tcPr>
            <w:tcW w:w="1703" w:type="pct"/>
            <w:gridSpan w:val="2"/>
          </w:tcPr>
          <w:p w14:paraId="1EE5B496"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Social Affairs District Office of Lombok Barat</w:t>
            </w:r>
          </w:p>
        </w:tc>
        <w:tc>
          <w:tcPr>
            <w:tcW w:w="1650" w:type="pct"/>
            <w:gridSpan w:val="2"/>
            <w:tcMar>
              <w:top w:w="0" w:type="dxa"/>
              <w:left w:w="108" w:type="dxa"/>
              <w:bottom w:w="0" w:type="dxa"/>
              <w:right w:w="108" w:type="dxa"/>
            </w:tcMar>
          </w:tcPr>
          <w:p w14:paraId="6D4DA9F1"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Drs. Yunus Suhaimi </w:t>
            </w:r>
          </w:p>
        </w:tc>
        <w:tc>
          <w:tcPr>
            <w:tcW w:w="1647" w:type="pct"/>
            <w:gridSpan w:val="2"/>
            <w:tcMar>
              <w:top w:w="0" w:type="dxa"/>
              <w:left w:w="108" w:type="dxa"/>
              <w:bottom w:w="0" w:type="dxa"/>
              <w:right w:w="108" w:type="dxa"/>
            </w:tcMar>
            <w:vAlign w:val="center"/>
          </w:tcPr>
          <w:p w14:paraId="577D7F61"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Head of Social of Social Welfare Sub-division </w:t>
            </w:r>
          </w:p>
        </w:tc>
      </w:tr>
      <w:tr w:rsidR="00006737" w:rsidRPr="00563D71" w14:paraId="3C09A9A1" w14:textId="77777777" w:rsidTr="0032029F">
        <w:tc>
          <w:tcPr>
            <w:tcW w:w="1703" w:type="pct"/>
            <w:gridSpan w:val="2"/>
          </w:tcPr>
          <w:p w14:paraId="218CD613"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Social Affairs District Office of Lombok Barat</w:t>
            </w:r>
          </w:p>
        </w:tc>
        <w:tc>
          <w:tcPr>
            <w:tcW w:w="1650" w:type="pct"/>
            <w:gridSpan w:val="2"/>
            <w:tcMar>
              <w:top w:w="0" w:type="dxa"/>
              <w:left w:w="108" w:type="dxa"/>
              <w:bottom w:w="0" w:type="dxa"/>
              <w:right w:w="108" w:type="dxa"/>
            </w:tcMar>
          </w:tcPr>
          <w:p w14:paraId="32FD4C07"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Lalu Muliadi S.sos </w:t>
            </w:r>
          </w:p>
        </w:tc>
        <w:tc>
          <w:tcPr>
            <w:tcW w:w="1647" w:type="pct"/>
            <w:gridSpan w:val="2"/>
            <w:tcMar>
              <w:top w:w="0" w:type="dxa"/>
              <w:left w:w="108" w:type="dxa"/>
              <w:bottom w:w="0" w:type="dxa"/>
              <w:right w:w="108" w:type="dxa"/>
            </w:tcMar>
            <w:vAlign w:val="center"/>
          </w:tcPr>
          <w:p w14:paraId="3A5A7A11"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Head of Social Rehabilitation and Violence Sub-division  </w:t>
            </w:r>
          </w:p>
        </w:tc>
      </w:tr>
      <w:tr w:rsidR="00006737" w:rsidRPr="00563D71" w14:paraId="772B9F1D" w14:textId="77777777" w:rsidTr="0032029F">
        <w:tc>
          <w:tcPr>
            <w:tcW w:w="1703" w:type="pct"/>
            <w:gridSpan w:val="2"/>
          </w:tcPr>
          <w:p w14:paraId="59BD5BF4"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District Land Office of Lombok Barat - NTB Province</w:t>
            </w:r>
          </w:p>
        </w:tc>
        <w:tc>
          <w:tcPr>
            <w:tcW w:w="1650" w:type="pct"/>
            <w:gridSpan w:val="2"/>
            <w:tcMar>
              <w:top w:w="0" w:type="dxa"/>
              <w:left w:w="108" w:type="dxa"/>
              <w:bottom w:w="0" w:type="dxa"/>
              <w:right w:w="108" w:type="dxa"/>
            </w:tcMar>
          </w:tcPr>
          <w:p w14:paraId="507D9102"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 Lukman SH, MH </w:t>
            </w:r>
          </w:p>
        </w:tc>
        <w:tc>
          <w:tcPr>
            <w:tcW w:w="1647" w:type="pct"/>
            <w:gridSpan w:val="2"/>
            <w:tcMar>
              <w:top w:w="0" w:type="dxa"/>
              <w:left w:w="108" w:type="dxa"/>
              <w:bottom w:w="0" w:type="dxa"/>
              <w:right w:w="108" w:type="dxa"/>
            </w:tcMar>
            <w:vAlign w:val="center"/>
          </w:tcPr>
          <w:p w14:paraId="7C30CCBE"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Head of Office </w:t>
            </w:r>
          </w:p>
        </w:tc>
      </w:tr>
      <w:tr w:rsidR="00006737" w:rsidRPr="00563D71" w14:paraId="04B53FDB" w14:textId="77777777" w:rsidTr="0032029F">
        <w:tc>
          <w:tcPr>
            <w:tcW w:w="1703" w:type="pct"/>
            <w:gridSpan w:val="2"/>
          </w:tcPr>
          <w:p w14:paraId="5F8412BF"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District Land Office of Lombok Barat - NTB Province</w:t>
            </w:r>
          </w:p>
        </w:tc>
        <w:tc>
          <w:tcPr>
            <w:tcW w:w="1650" w:type="pct"/>
            <w:gridSpan w:val="2"/>
            <w:tcMar>
              <w:top w:w="0" w:type="dxa"/>
              <w:left w:w="108" w:type="dxa"/>
              <w:bottom w:w="0" w:type="dxa"/>
              <w:right w:w="108" w:type="dxa"/>
            </w:tcMar>
          </w:tcPr>
          <w:p w14:paraId="68D002ED"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I Gusti Ketut Suardika SH</w:t>
            </w:r>
          </w:p>
        </w:tc>
        <w:tc>
          <w:tcPr>
            <w:tcW w:w="1647" w:type="pct"/>
            <w:gridSpan w:val="2"/>
            <w:tcMar>
              <w:top w:w="0" w:type="dxa"/>
              <w:left w:w="108" w:type="dxa"/>
              <w:bottom w:w="0" w:type="dxa"/>
              <w:right w:w="108" w:type="dxa"/>
            </w:tcMar>
            <w:vAlign w:val="center"/>
          </w:tcPr>
          <w:p w14:paraId="0F0D1A4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Head of Land Title and Registration Section </w:t>
            </w:r>
          </w:p>
        </w:tc>
      </w:tr>
      <w:tr w:rsidR="00006737" w:rsidRPr="00563D71" w14:paraId="6391784A" w14:textId="77777777" w:rsidTr="0032029F">
        <w:tc>
          <w:tcPr>
            <w:tcW w:w="1703" w:type="pct"/>
            <w:gridSpan w:val="2"/>
          </w:tcPr>
          <w:p w14:paraId="385F5AEC"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District Land Office of Lombok Barat - NTB Province</w:t>
            </w:r>
          </w:p>
        </w:tc>
        <w:tc>
          <w:tcPr>
            <w:tcW w:w="1650" w:type="pct"/>
            <w:gridSpan w:val="2"/>
            <w:tcMar>
              <w:top w:w="0" w:type="dxa"/>
              <w:left w:w="108" w:type="dxa"/>
              <w:bottom w:w="0" w:type="dxa"/>
              <w:right w:w="108" w:type="dxa"/>
            </w:tcMar>
          </w:tcPr>
          <w:p w14:paraId="3D2FE993"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Salhin SH </w:t>
            </w:r>
          </w:p>
        </w:tc>
        <w:tc>
          <w:tcPr>
            <w:tcW w:w="1647" w:type="pct"/>
            <w:gridSpan w:val="2"/>
            <w:tcMar>
              <w:top w:w="0" w:type="dxa"/>
              <w:left w:w="108" w:type="dxa"/>
              <w:bottom w:w="0" w:type="dxa"/>
              <w:right w:w="108" w:type="dxa"/>
            </w:tcMar>
            <w:vAlign w:val="center"/>
          </w:tcPr>
          <w:p w14:paraId="72207E12"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Head of land Survey, Measuring and Mapping  Section</w:t>
            </w:r>
          </w:p>
        </w:tc>
      </w:tr>
      <w:tr w:rsidR="00006737" w:rsidRPr="00563D71" w14:paraId="13F397CF" w14:textId="77777777" w:rsidTr="0032029F">
        <w:tc>
          <w:tcPr>
            <w:tcW w:w="1703" w:type="pct"/>
            <w:gridSpan w:val="2"/>
          </w:tcPr>
          <w:p w14:paraId="5EC0A38B" w14:textId="77777777" w:rsidR="00006737" w:rsidRPr="00563D71" w:rsidRDefault="00006737" w:rsidP="0032029F">
            <w:pPr>
              <w:spacing w:before="0"/>
              <w:ind w:left="90"/>
              <w:rPr>
                <w:rFonts w:asciiTheme="majorBidi" w:hAnsiTheme="majorBidi" w:cstheme="majorBidi"/>
              </w:rPr>
            </w:pPr>
            <w:r w:rsidRPr="00563D71">
              <w:rPr>
                <w:rFonts w:asciiTheme="majorBidi" w:hAnsiTheme="majorBidi" w:cstheme="majorBidi"/>
              </w:rPr>
              <w:t>District Land Office of Lombok Barat - NTB Province</w:t>
            </w:r>
          </w:p>
        </w:tc>
        <w:tc>
          <w:tcPr>
            <w:tcW w:w="1650" w:type="pct"/>
            <w:gridSpan w:val="2"/>
            <w:tcMar>
              <w:top w:w="0" w:type="dxa"/>
              <w:left w:w="108" w:type="dxa"/>
              <w:bottom w:w="0" w:type="dxa"/>
              <w:right w:w="108" w:type="dxa"/>
            </w:tcMar>
          </w:tcPr>
          <w:p w14:paraId="1F4F0495"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Salah Basyarah SH </w:t>
            </w:r>
          </w:p>
        </w:tc>
        <w:tc>
          <w:tcPr>
            <w:tcW w:w="1647" w:type="pct"/>
            <w:gridSpan w:val="2"/>
            <w:tcMar>
              <w:top w:w="0" w:type="dxa"/>
              <w:left w:w="108" w:type="dxa"/>
              <w:bottom w:w="0" w:type="dxa"/>
              <w:right w:w="108" w:type="dxa"/>
            </w:tcMar>
            <w:vAlign w:val="center"/>
          </w:tcPr>
          <w:p w14:paraId="356F8FFC" w14:textId="77777777" w:rsidR="00006737" w:rsidRPr="00563D71" w:rsidRDefault="00006737" w:rsidP="0032029F">
            <w:pPr>
              <w:spacing w:before="0"/>
              <w:ind w:left="162"/>
              <w:rPr>
                <w:rFonts w:asciiTheme="majorBidi" w:hAnsiTheme="majorBidi" w:cstheme="majorBidi"/>
              </w:rPr>
            </w:pPr>
            <w:r w:rsidRPr="00563D71">
              <w:rPr>
                <w:rFonts w:asciiTheme="majorBidi" w:hAnsiTheme="majorBidi" w:cstheme="majorBidi"/>
              </w:rPr>
              <w:t xml:space="preserve">Head of Land Dispute, Conflict and Litigation Section </w:t>
            </w:r>
          </w:p>
        </w:tc>
      </w:tr>
    </w:tbl>
    <w:p w14:paraId="03138AD6" w14:textId="77777777" w:rsidR="00006737" w:rsidRPr="00563D71" w:rsidRDefault="00006737" w:rsidP="00BB0277">
      <w:pPr>
        <w:rPr>
          <w:rFonts w:asciiTheme="majorBidi" w:hAnsiTheme="majorBidi" w:cstheme="majorBidi"/>
        </w:rPr>
      </w:pPr>
    </w:p>
    <w:p w14:paraId="1FC1F4C8" w14:textId="77777777" w:rsidR="00006737" w:rsidRPr="00563D71" w:rsidRDefault="00006737" w:rsidP="00BB0277">
      <w:pPr>
        <w:numPr>
          <w:ilvl w:val="0"/>
          <w:numId w:val="14"/>
        </w:numPr>
        <w:contextualSpacing/>
        <w:rPr>
          <w:rFonts w:asciiTheme="majorBidi" w:hAnsiTheme="majorBidi" w:cstheme="majorBidi"/>
        </w:rPr>
      </w:pPr>
      <w:r w:rsidRPr="00563D71">
        <w:rPr>
          <w:rFonts w:asciiTheme="majorBidi" w:hAnsiTheme="majorBidi" w:cstheme="majorBidi"/>
        </w:rPr>
        <w:t>Other meetings in Jakarta</w:t>
      </w:r>
    </w:p>
    <w:tbl>
      <w:tblPr>
        <w:tblStyle w:val="TableGrid2"/>
        <w:tblW w:w="5000" w:type="pct"/>
        <w:tblLook w:val="04A0" w:firstRow="1" w:lastRow="0" w:firstColumn="1" w:lastColumn="0" w:noHBand="0" w:noVBand="1"/>
      </w:tblPr>
      <w:tblGrid>
        <w:gridCol w:w="3104"/>
        <w:gridCol w:w="3123"/>
        <w:gridCol w:w="3123"/>
      </w:tblGrid>
      <w:tr w:rsidR="00006737" w:rsidRPr="00563D71" w14:paraId="42D5BD96" w14:textId="77777777" w:rsidTr="0032029F">
        <w:trPr>
          <w:trHeight w:val="530"/>
        </w:trPr>
        <w:tc>
          <w:tcPr>
            <w:tcW w:w="1660" w:type="pct"/>
            <w:vAlign w:val="center"/>
          </w:tcPr>
          <w:p w14:paraId="6ED8699B" w14:textId="56711B4A" w:rsidR="00006737" w:rsidRPr="00563D71" w:rsidRDefault="00006737" w:rsidP="0032029F">
            <w:pPr>
              <w:spacing w:before="0"/>
              <w:rPr>
                <w:rFonts w:asciiTheme="majorBidi" w:eastAsiaTheme="minorEastAsia" w:hAnsiTheme="majorBidi" w:cstheme="majorBidi"/>
                <w:b/>
              </w:rPr>
            </w:pPr>
            <w:r w:rsidRPr="00563D71">
              <w:rPr>
                <w:rFonts w:asciiTheme="majorBidi" w:eastAsiaTheme="minorEastAsia" w:hAnsiTheme="majorBidi" w:cstheme="majorBidi"/>
                <w:b/>
              </w:rPr>
              <w:t>Ministry/Agency</w:t>
            </w:r>
          </w:p>
        </w:tc>
        <w:tc>
          <w:tcPr>
            <w:tcW w:w="1670" w:type="pct"/>
            <w:vAlign w:val="center"/>
          </w:tcPr>
          <w:p w14:paraId="7F58650D" w14:textId="77777777" w:rsidR="00006737" w:rsidRPr="00563D71" w:rsidRDefault="00006737" w:rsidP="0032029F">
            <w:pPr>
              <w:spacing w:before="0"/>
              <w:jc w:val="center"/>
              <w:rPr>
                <w:rFonts w:asciiTheme="majorBidi" w:hAnsiTheme="majorBidi" w:cstheme="majorBidi"/>
                <w:b/>
              </w:rPr>
            </w:pPr>
            <w:r w:rsidRPr="00563D71">
              <w:rPr>
                <w:rFonts w:asciiTheme="majorBidi" w:hAnsiTheme="majorBidi" w:cstheme="majorBidi"/>
                <w:b/>
              </w:rPr>
              <w:t>Name</w:t>
            </w:r>
          </w:p>
        </w:tc>
        <w:tc>
          <w:tcPr>
            <w:tcW w:w="1670" w:type="pct"/>
            <w:vAlign w:val="center"/>
          </w:tcPr>
          <w:p w14:paraId="7D29ACC3" w14:textId="77777777" w:rsidR="00006737" w:rsidRPr="00563D71" w:rsidRDefault="00006737" w:rsidP="0032029F">
            <w:pPr>
              <w:spacing w:before="0"/>
              <w:jc w:val="center"/>
              <w:rPr>
                <w:rFonts w:asciiTheme="majorBidi" w:hAnsiTheme="majorBidi" w:cstheme="majorBidi"/>
                <w:b/>
              </w:rPr>
            </w:pPr>
            <w:r w:rsidRPr="00563D71">
              <w:rPr>
                <w:rFonts w:asciiTheme="majorBidi" w:hAnsiTheme="majorBidi" w:cstheme="majorBidi"/>
                <w:b/>
              </w:rPr>
              <w:t>Title</w:t>
            </w:r>
          </w:p>
        </w:tc>
      </w:tr>
      <w:tr w:rsidR="00006737" w:rsidRPr="00563D71" w14:paraId="7BDBD8EA" w14:textId="77777777" w:rsidTr="0032029F">
        <w:tc>
          <w:tcPr>
            <w:tcW w:w="5000" w:type="pct"/>
            <w:gridSpan w:val="3"/>
            <w:shd w:val="clear" w:color="auto" w:fill="DEEAF6" w:themeFill="accent1" w:themeFillTint="33"/>
          </w:tcPr>
          <w:p w14:paraId="1CD6EA01" w14:textId="77777777" w:rsidR="00006737" w:rsidRPr="00563D71" w:rsidRDefault="00006737" w:rsidP="0032029F">
            <w:pPr>
              <w:spacing w:before="0"/>
              <w:jc w:val="center"/>
              <w:rPr>
                <w:rFonts w:asciiTheme="majorBidi" w:hAnsiTheme="majorBidi" w:cstheme="majorBidi"/>
                <w:b/>
                <w:i/>
              </w:rPr>
            </w:pPr>
            <w:r w:rsidRPr="00563D71">
              <w:rPr>
                <w:rFonts w:asciiTheme="majorBidi" w:hAnsiTheme="majorBidi" w:cstheme="majorBidi"/>
                <w:b/>
                <w:i/>
              </w:rPr>
              <w:t>Jakarta</w:t>
            </w:r>
          </w:p>
        </w:tc>
      </w:tr>
      <w:tr w:rsidR="00006737" w:rsidRPr="00563D71" w14:paraId="2E6BE4BA" w14:textId="77777777" w:rsidTr="0032029F">
        <w:tc>
          <w:tcPr>
            <w:tcW w:w="1660" w:type="pct"/>
          </w:tcPr>
          <w:p w14:paraId="3C1D7DD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lastRenderedPageBreak/>
              <w:t>Ministry of Public Works and Housing</w:t>
            </w:r>
          </w:p>
        </w:tc>
        <w:tc>
          <w:tcPr>
            <w:tcW w:w="1670" w:type="pct"/>
          </w:tcPr>
          <w:p w14:paraId="5270C20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Hermanto Dardak</w:t>
            </w:r>
          </w:p>
        </w:tc>
        <w:tc>
          <w:tcPr>
            <w:tcW w:w="1670" w:type="pct"/>
          </w:tcPr>
          <w:p w14:paraId="4AD026C3"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 General of Regional Infrastructure Development Agency</w:t>
            </w:r>
          </w:p>
        </w:tc>
      </w:tr>
      <w:tr w:rsidR="00006737" w:rsidRPr="00563D71" w14:paraId="107D0C8D" w14:textId="77777777" w:rsidTr="0032029F">
        <w:tc>
          <w:tcPr>
            <w:tcW w:w="1660" w:type="pct"/>
          </w:tcPr>
          <w:p w14:paraId="7C327DE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Public Works and Housing</w:t>
            </w:r>
          </w:p>
        </w:tc>
        <w:tc>
          <w:tcPr>
            <w:tcW w:w="1670" w:type="pct"/>
          </w:tcPr>
          <w:p w14:paraId="3814C19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Rezeki Peranginangin</w:t>
            </w:r>
          </w:p>
        </w:tc>
        <w:tc>
          <w:tcPr>
            <w:tcW w:w="1670" w:type="pct"/>
          </w:tcPr>
          <w:p w14:paraId="0F537A07"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Head of Strategic Area Development Center,  </w:t>
            </w:r>
          </w:p>
        </w:tc>
      </w:tr>
      <w:tr w:rsidR="00006737" w:rsidRPr="00563D71" w14:paraId="3FF29DD8" w14:textId="77777777" w:rsidTr="0032029F">
        <w:tc>
          <w:tcPr>
            <w:tcW w:w="1660" w:type="pct"/>
          </w:tcPr>
          <w:p w14:paraId="285744E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Public Works and Housing</w:t>
            </w:r>
          </w:p>
        </w:tc>
        <w:tc>
          <w:tcPr>
            <w:tcW w:w="1670" w:type="pct"/>
          </w:tcPr>
          <w:p w14:paraId="36FC31C8"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Endra S. Atmawidjaja </w:t>
            </w:r>
          </w:p>
        </w:tc>
        <w:tc>
          <w:tcPr>
            <w:tcW w:w="1670" w:type="pct"/>
          </w:tcPr>
          <w:p w14:paraId="040E9EE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Deputy Director for Big Cities and New Towns Infrastructure</w:t>
            </w:r>
          </w:p>
        </w:tc>
      </w:tr>
      <w:tr w:rsidR="00006737" w:rsidRPr="00563D71" w14:paraId="2B2CCA6A" w14:textId="77777777" w:rsidTr="0032029F">
        <w:tc>
          <w:tcPr>
            <w:tcW w:w="1660" w:type="pct"/>
          </w:tcPr>
          <w:p w14:paraId="599E3B7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Public Works and Housing</w:t>
            </w:r>
          </w:p>
        </w:tc>
        <w:tc>
          <w:tcPr>
            <w:tcW w:w="1670" w:type="pct"/>
          </w:tcPr>
          <w:p w14:paraId="265C0F76" w14:textId="77777777" w:rsidR="00006737" w:rsidRPr="00563D71" w:rsidRDefault="00006737" w:rsidP="0032029F">
            <w:pPr>
              <w:widowControl w:val="0"/>
              <w:suppressAutoHyphens/>
              <w:spacing w:before="0"/>
              <w:rPr>
                <w:rFonts w:asciiTheme="majorBidi" w:eastAsia="Droid Sans Fallback" w:hAnsiTheme="majorBidi" w:cstheme="majorBidi"/>
              </w:rPr>
            </w:pPr>
            <w:r w:rsidRPr="00563D71">
              <w:rPr>
                <w:rFonts w:asciiTheme="majorBidi" w:eastAsia="Droid Sans Fallback" w:hAnsiTheme="majorBidi" w:cstheme="majorBidi"/>
              </w:rPr>
              <w:t>IGW Samsi Gunarta</w:t>
            </w:r>
          </w:p>
          <w:p w14:paraId="34C9E36E" w14:textId="77777777" w:rsidR="00006737" w:rsidRPr="00563D71" w:rsidRDefault="00006737" w:rsidP="0032029F">
            <w:pPr>
              <w:spacing w:before="0"/>
              <w:rPr>
                <w:rFonts w:asciiTheme="majorBidi" w:hAnsiTheme="majorBidi" w:cstheme="majorBidi"/>
              </w:rPr>
            </w:pPr>
          </w:p>
        </w:tc>
        <w:tc>
          <w:tcPr>
            <w:tcW w:w="1670" w:type="pct"/>
          </w:tcPr>
          <w:p w14:paraId="4026CA54" w14:textId="37558A0D"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of Division/Land Acquisition Facilitation</w:t>
            </w:r>
          </w:p>
        </w:tc>
      </w:tr>
      <w:tr w:rsidR="00006737" w:rsidRPr="00563D71" w14:paraId="2AD85AC0" w14:textId="77777777" w:rsidTr="0032029F">
        <w:tc>
          <w:tcPr>
            <w:tcW w:w="1660" w:type="pct"/>
          </w:tcPr>
          <w:p w14:paraId="705E0C7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Tourism</w:t>
            </w:r>
          </w:p>
        </w:tc>
        <w:tc>
          <w:tcPr>
            <w:tcW w:w="1670" w:type="pct"/>
          </w:tcPr>
          <w:p w14:paraId="63100CE9"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Frans Teguh</w:t>
            </w:r>
          </w:p>
        </w:tc>
        <w:tc>
          <w:tcPr>
            <w:tcW w:w="1670" w:type="pct"/>
          </w:tcPr>
          <w:p w14:paraId="79CC39F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 of Destination and Investment Planning</w:t>
            </w:r>
          </w:p>
        </w:tc>
      </w:tr>
      <w:tr w:rsidR="00006737" w:rsidRPr="00563D71" w14:paraId="45E29466" w14:textId="77777777" w:rsidTr="0032029F">
        <w:tc>
          <w:tcPr>
            <w:tcW w:w="1660" w:type="pct"/>
          </w:tcPr>
          <w:p w14:paraId="491E3D3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Tourism</w:t>
            </w:r>
          </w:p>
        </w:tc>
        <w:tc>
          <w:tcPr>
            <w:tcW w:w="1670" w:type="pct"/>
          </w:tcPr>
          <w:p w14:paraId="281F02B5"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Dadang Rizki Ratman</w:t>
            </w:r>
          </w:p>
        </w:tc>
        <w:tc>
          <w:tcPr>
            <w:tcW w:w="1670" w:type="pct"/>
          </w:tcPr>
          <w:p w14:paraId="48B7952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Deputy Minister for Development of Tourism Destinations and Industry</w:t>
            </w:r>
          </w:p>
        </w:tc>
      </w:tr>
      <w:tr w:rsidR="00006737" w:rsidRPr="00563D71" w14:paraId="6E72BCB5" w14:textId="77777777" w:rsidTr="0032029F">
        <w:tc>
          <w:tcPr>
            <w:tcW w:w="1660" w:type="pct"/>
          </w:tcPr>
          <w:p w14:paraId="2063D79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Ministry of Environment and Forestry </w:t>
            </w:r>
          </w:p>
        </w:tc>
        <w:tc>
          <w:tcPr>
            <w:tcW w:w="1670" w:type="pct"/>
          </w:tcPr>
          <w:p w14:paraId="31534B3F"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shd w:val="clear" w:color="auto" w:fill="FFFFFF"/>
              </w:rPr>
              <w:t>Heru Waluyo</w:t>
            </w:r>
          </w:p>
        </w:tc>
        <w:tc>
          <w:tcPr>
            <w:tcW w:w="1670" w:type="pct"/>
          </w:tcPr>
          <w:p w14:paraId="637A85F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shd w:val="clear" w:color="auto" w:fill="FFFFFF"/>
              </w:rPr>
              <w:t>Director of Coastal and Marine Pollution and Degradation Control</w:t>
            </w:r>
          </w:p>
        </w:tc>
      </w:tr>
      <w:tr w:rsidR="00006737" w:rsidRPr="00563D71" w14:paraId="319263E4" w14:textId="77777777" w:rsidTr="0032029F">
        <w:tc>
          <w:tcPr>
            <w:tcW w:w="1660" w:type="pct"/>
          </w:tcPr>
          <w:p w14:paraId="42BE5361"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Environment and Forestry</w:t>
            </w:r>
          </w:p>
        </w:tc>
        <w:tc>
          <w:tcPr>
            <w:tcW w:w="1670" w:type="pct"/>
          </w:tcPr>
          <w:p w14:paraId="1A91922C"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Nugraha Prasetyadi</w:t>
            </w:r>
          </w:p>
          <w:p w14:paraId="5DA164F8" w14:textId="77777777" w:rsidR="00006737" w:rsidRPr="00563D71" w:rsidRDefault="00006737" w:rsidP="0032029F">
            <w:pPr>
              <w:spacing w:before="0"/>
              <w:rPr>
                <w:rFonts w:asciiTheme="majorBidi" w:hAnsiTheme="majorBidi" w:cstheme="majorBidi"/>
              </w:rPr>
            </w:pPr>
          </w:p>
        </w:tc>
        <w:tc>
          <w:tcPr>
            <w:tcW w:w="1670" w:type="pct"/>
          </w:tcPr>
          <w:p w14:paraId="13AB66C6"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Directorate of Environmental Control and Policies for District and Sector</w:t>
            </w:r>
          </w:p>
        </w:tc>
      </w:tr>
      <w:tr w:rsidR="00006737" w:rsidRPr="00563D71" w14:paraId="24386D2C" w14:textId="77777777" w:rsidTr="0032029F">
        <w:tc>
          <w:tcPr>
            <w:tcW w:w="1660" w:type="pct"/>
          </w:tcPr>
          <w:p w14:paraId="580EF0E0"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Environment and Forestry</w:t>
            </w:r>
          </w:p>
        </w:tc>
        <w:tc>
          <w:tcPr>
            <w:tcW w:w="1670" w:type="pct"/>
          </w:tcPr>
          <w:p w14:paraId="503BB36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Wahyu Rudjanto</w:t>
            </w:r>
          </w:p>
          <w:p w14:paraId="1D5ED4E2" w14:textId="77777777" w:rsidR="00006737" w:rsidRPr="00563D71" w:rsidRDefault="00006737" w:rsidP="0032029F">
            <w:pPr>
              <w:spacing w:before="0"/>
              <w:rPr>
                <w:rFonts w:asciiTheme="majorBidi" w:hAnsiTheme="majorBidi" w:cstheme="majorBidi"/>
              </w:rPr>
            </w:pPr>
          </w:p>
        </w:tc>
        <w:tc>
          <w:tcPr>
            <w:tcW w:w="1670" w:type="pct"/>
          </w:tcPr>
          <w:p w14:paraId="5A19A0BE"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Head Balai Kepulauan Seribu</w:t>
            </w:r>
          </w:p>
        </w:tc>
      </w:tr>
      <w:tr w:rsidR="00006737" w:rsidRPr="00563D71" w14:paraId="0AD2BAB7" w14:textId="77777777" w:rsidTr="0032029F">
        <w:tc>
          <w:tcPr>
            <w:tcW w:w="1660" w:type="pct"/>
          </w:tcPr>
          <w:p w14:paraId="23C0E3CA"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Ministry of Environment and Forestry</w:t>
            </w:r>
          </w:p>
        </w:tc>
        <w:tc>
          <w:tcPr>
            <w:tcW w:w="1670" w:type="pct"/>
          </w:tcPr>
          <w:p w14:paraId="39EF75B4"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Agus Supriyanto</w:t>
            </w:r>
          </w:p>
        </w:tc>
        <w:tc>
          <w:tcPr>
            <w:tcW w:w="1670" w:type="pct"/>
          </w:tcPr>
          <w:p w14:paraId="32835282" w14:textId="77777777" w:rsidR="00006737" w:rsidRPr="00563D71" w:rsidRDefault="00006737" w:rsidP="0032029F">
            <w:pPr>
              <w:spacing w:before="0"/>
              <w:rPr>
                <w:rFonts w:asciiTheme="majorBidi" w:hAnsiTheme="majorBidi" w:cstheme="majorBidi"/>
              </w:rPr>
            </w:pPr>
            <w:r w:rsidRPr="00563D71">
              <w:rPr>
                <w:rFonts w:asciiTheme="majorBidi" w:hAnsiTheme="majorBidi" w:cstheme="majorBidi"/>
              </w:rPr>
              <w:t xml:space="preserve">Head Section of Law KSDAE </w:t>
            </w:r>
          </w:p>
          <w:p w14:paraId="73011014" w14:textId="77777777" w:rsidR="00006737" w:rsidRPr="00563D71" w:rsidRDefault="00006737" w:rsidP="0032029F">
            <w:pPr>
              <w:spacing w:before="0"/>
              <w:rPr>
                <w:rFonts w:asciiTheme="majorBidi" w:hAnsiTheme="majorBidi" w:cstheme="majorBidi"/>
              </w:rPr>
            </w:pPr>
          </w:p>
        </w:tc>
      </w:tr>
    </w:tbl>
    <w:p w14:paraId="540144C4" w14:textId="77777777" w:rsidR="00BB0277" w:rsidRPr="00563D71" w:rsidRDefault="00BB0277">
      <w:pPr>
        <w:spacing w:before="0"/>
        <w:ind w:left="11" w:hanging="11"/>
        <w:rPr>
          <w:rFonts w:asciiTheme="majorBidi" w:eastAsiaTheme="majorEastAsia" w:hAnsiTheme="majorBidi" w:cstheme="majorBidi"/>
          <w:b/>
          <w:color w:val="000000" w:themeColor="text1"/>
          <w:szCs w:val="24"/>
        </w:rPr>
      </w:pPr>
      <w:bookmarkStart w:id="118" w:name="_Toc481484066"/>
      <w:r w:rsidRPr="00563D71">
        <w:rPr>
          <w:rFonts w:asciiTheme="majorBidi" w:eastAsiaTheme="majorEastAsia" w:hAnsiTheme="majorBidi" w:cstheme="majorBidi"/>
          <w:b/>
          <w:color w:val="000000" w:themeColor="text1"/>
          <w:szCs w:val="24"/>
        </w:rPr>
        <w:br w:type="page"/>
      </w:r>
    </w:p>
    <w:p w14:paraId="0D0FCB93" w14:textId="77777777" w:rsidR="004B7CDD" w:rsidRPr="00563D71" w:rsidRDefault="004B7CDD" w:rsidP="004B7CDD">
      <w:pPr>
        <w:keepNext/>
        <w:keepLines/>
        <w:spacing w:after="2"/>
        <w:ind w:left="10" w:hanging="10"/>
        <w:jc w:val="center"/>
        <w:outlineLvl w:val="0"/>
        <w:rPr>
          <w:b/>
          <w:color w:val="auto"/>
        </w:rPr>
      </w:pPr>
      <w:r w:rsidRPr="00563D71">
        <w:rPr>
          <w:rFonts w:eastAsiaTheme="majorEastAsia"/>
          <w:b/>
        </w:rPr>
        <w:lastRenderedPageBreak/>
        <w:t xml:space="preserve">ANNEX  3:  SCREENING FOR PROGRAM </w:t>
      </w:r>
      <w:r w:rsidRPr="00563D71">
        <w:rPr>
          <w:b/>
          <w:color w:val="auto"/>
        </w:rPr>
        <w:t>ELIGIBILITY</w:t>
      </w:r>
    </w:p>
    <w:p w14:paraId="32019035" w14:textId="77777777" w:rsidR="004B7CDD" w:rsidRPr="00563D71" w:rsidRDefault="004B7CDD" w:rsidP="004B7CDD">
      <w:pPr>
        <w:rPr>
          <w:b/>
        </w:rPr>
      </w:pPr>
      <w:r w:rsidRPr="00563D71">
        <w:rPr>
          <w:b/>
        </w:rPr>
        <w:t xml:space="preserve"> </w:t>
      </w:r>
    </w:p>
    <w:p w14:paraId="010617E0" w14:textId="77777777" w:rsidR="004B7CDD" w:rsidRPr="00563D71" w:rsidRDefault="004B7CDD" w:rsidP="004B7CDD">
      <w:pPr>
        <w:ind w:left="0"/>
        <w:jc w:val="center"/>
        <w:rPr>
          <w:b/>
          <w:bCs/>
        </w:rPr>
      </w:pPr>
      <w:r w:rsidRPr="00563D71">
        <w:rPr>
          <w:b/>
          <w:bCs/>
        </w:rPr>
        <w:t>A Framework for Screening Proposed Investments</w:t>
      </w:r>
    </w:p>
    <w:p w14:paraId="61CE9EF3" w14:textId="77777777" w:rsidR="004B7CDD" w:rsidRPr="00563D71" w:rsidRDefault="004B7CDD" w:rsidP="004B7CDD">
      <w:pPr>
        <w:ind w:left="0"/>
        <w:jc w:val="center"/>
        <w:rPr>
          <w:b/>
          <w:bCs/>
          <w:color w:val="auto"/>
          <w:szCs w:val="24"/>
        </w:rPr>
      </w:pPr>
    </w:p>
    <w:p w14:paraId="5E42C295" w14:textId="61E57D14" w:rsidR="00E80D80" w:rsidRPr="00563D71" w:rsidRDefault="004B7CDD" w:rsidP="0032029F">
      <w:pPr>
        <w:ind w:left="0" w:firstLine="0"/>
        <w:contextualSpacing/>
      </w:pPr>
      <w:r w:rsidRPr="00563D71">
        <w:rPr>
          <w:color w:val="auto"/>
          <w:szCs w:val="24"/>
        </w:rPr>
        <w:t xml:space="preserve">In terms of environmental and social risk management, the Program must comply with </w:t>
      </w:r>
      <w:r w:rsidRPr="00563D71">
        <w:rPr>
          <w:i/>
          <w:color w:val="auto"/>
          <w:szCs w:val="24"/>
        </w:rPr>
        <w:t>Bank Policy: Program-for-Results Financing</w:t>
      </w:r>
      <w:r w:rsidRPr="00563D71">
        <w:rPr>
          <w:color w:val="auto"/>
          <w:szCs w:val="24"/>
        </w:rPr>
        <w:t xml:space="preserve"> issued on July 10, 2015. Activities that are judged to be likely to have significant impacts that are sensitive, unprecedented, or diverse are not eligible for PforR financing.</w:t>
      </w:r>
      <w:r w:rsidR="003C57A6" w:rsidRPr="00563D71">
        <w:rPr>
          <w:color w:val="auto"/>
          <w:szCs w:val="24"/>
        </w:rPr>
        <w:t xml:space="preserve"> </w:t>
      </w:r>
      <w:r w:rsidR="00E80D80" w:rsidRPr="00563D71">
        <w:rPr>
          <w:color w:val="auto"/>
          <w:szCs w:val="24"/>
        </w:rPr>
        <w:t>T</w:t>
      </w:r>
      <w:r w:rsidR="00E80D80" w:rsidRPr="00563D71">
        <w:t>he environmental assessment category that would apply if the Program were financed by a Bank IPF is shown in Table 3 to make clear that no Category A-type investments will be financed under the Program. It is of course possible that an investment that would normally have only moderate impacts could have significant impacts if placed in a location with sensitive environmental, social</w:t>
      </w:r>
      <w:r w:rsidR="005B3D03" w:rsidRPr="00563D71">
        <w:t>,</w:t>
      </w:r>
      <w:r w:rsidR="00E80D80" w:rsidRPr="00563D71">
        <w:t xml:space="preserve"> or cultural features. One of the objectives of the ITMPs is to prevent this through systematic</w:t>
      </w:r>
      <w:r w:rsidR="005B3D03" w:rsidRPr="00563D71">
        <w:t xml:space="preserve"> and</w:t>
      </w:r>
      <w:r w:rsidR="00E80D80" w:rsidRPr="00563D71">
        <w:t xml:space="preserve"> sound siting of infrastructure. In the first year of the Program, before ITMPs are finalized, a screening process based on the Indonesian system will be applied. In case the Program’s Steering Committee wants to add new types of investments to the Program’s Investment and Expenditure Menu, they also need to be screened according to the significance of their potential environmental and social impacts using the adopted screening process. This screening process is described in this Annex. </w:t>
      </w:r>
    </w:p>
    <w:p w14:paraId="17FCB524" w14:textId="1F60B616" w:rsidR="00E80D80" w:rsidRPr="00563D71" w:rsidRDefault="00E80D80" w:rsidP="004B7CDD">
      <w:pPr>
        <w:ind w:left="0" w:firstLine="0"/>
        <w:contextualSpacing/>
        <w:rPr>
          <w:color w:val="auto"/>
          <w:szCs w:val="24"/>
        </w:rPr>
      </w:pPr>
    </w:p>
    <w:p w14:paraId="4EB4C16B" w14:textId="6AA870F5" w:rsidR="004B7CDD" w:rsidRPr="00563D71" w:rsidRDefault="002D6186" w:rsidP="004B7CDD">
      <w:pPr>
        <w:ind w:left="0" w:firstLine="0"/>
        <w:contextualSpacing/>
        <w:rPr>
          <w:color w:val="auto"/>
          <w:szCs w:val="24"/>
        </w:rPr>
      </w:pPr>
      <w:r w:rsidRPr="00563D71">
        <w:rPr>
          <w:i/>
          <w:color w:val="auto"/>
          <w:szCs w:val="24"/>
        </w:rPr>
        <w:t xml:space="preserve">For the first-year </w:t>
      </w:r>
      <w:r w:rsidR="003C57A6" w:rsidRPr="00563D71">
        <w:rPr>
          <w:i/>
          <w:color w:val="auto"/>
          <w:szCs w:val="24"/>
        </w:rPr>
        <w:t xml:space="preserve">investments </w:t>
      </w:r>
      <w:r w:rsidRPr="00563D71">
        <w:rPr>
          <w:i/>
          <w:color w:val="auto"/>
          <w:szCs w:val="24"/>
        </w:rPr>
        <w:t xml:space="preserve">that will be implemented before the ITMPs </w:t>
      </w:r>
      <w:r w:rsidR="003C57A6" w:rsidRPr="00563D71">
        <w:rPr>
          <w:i/>
          <w:color w:val="auto"/>
          <w:szCs w:val="24"/>
        </w:rPr>
        <w:t xml:space="preserve">are </w:t>
      </w:r>
      <w:r w:rsidRPr="00563D71">
        <w:rPr>
          <w:i/>
          <w:color w:val="auto"/>
          <w:szCs w:val="24"/>
        </w:rPr>
        <w:t>completed</w:t>
      </w:r>
      <w:r w:rsidR="003C57A6" w:rsidRPr="00563D71">
        <w:rPr>
          <w:i/>
          <w:color w:val="auto"/>
          <w:szCs w:val="24"/>
        </w:rPr>
        <w:t xml:space="preserve">, </w:t>
      </w:r>
      <w:r w:rsidR="00E80D80" w:rsidRPr="00563D71">
        <w:rPr>
          <w:i/>
          <w:color w:val="auto"/>
          <w:szCs w:val="24"/>
        </w:rPr>
        <w:t>and in case the</w:t>
      </w:r>
      <w:r w:rsidR="00E80D80" w:rsidRPr="00563D71">
        <w:rPr>
          <w:i/>
        </w:rPr>
        <w:t xml:space="preserve"> Program’s Steering Committee wants to add new types of investments to the Program’s Investment and Expenditure Menu</w:t>
      </w:r>
      <w:r w:rsidR="000B37CA" w:rsidRPr="00563D71">
        <w:rPr>
          <w:i/>
        </w:rPr>
        <w:t xml:space="preserve"> (Table 3)</w:t>
      </w:r>
      <w:r w:rsidR="00E80D80" w:rsidRPr="00563D71">
        <w:rPr>
          <w:i/>
        </w:rPr>
        <w:t>,</w:t>
      </w:r>
      <w:r w:rsidR="00E80D80" w:rsidRPr="00563D71">
        <w:rPr>
          <w:color w:val="auto"/>
          <w:szCs w:val="24"/>
        </w:rPr>
        <w:t xml:space="preserve"> </w:t>
      </w:r>
      <w:r w:rsidR="003C57A6" w:rsidRPr="00563D71">
        <w:rPr>
          <w:color w:val="auto"/>
          <w:szCs w:val="24"/>
        </w:rPr>
        <w:t>t</w:t>
      </w:r>
      <w:r w:rsidR="004B7CDD" w:rsidRPr="00563D71">
        <w:rPr>
          <w:color w:val="auto"/>
          <w:szCs w:val="24"/>
        </w:rPr>
        <w:t xml:space="preserve">he Program will rely on </w:t>
      </w:r>
      <w:r w:rsidRPr="00563D71">
        <w:rPr>
          <w:color w:val="auto"/>
          <w:szCs w:val="24"/>
        </w:rPr>
        <w:t>the</w:t>
      </w:r>
      <w:r w:rsidR="004B7CDD" w:rsidRPr="00563D71">
        <w:rPr>
          <w:color w:val="auto"/>
          <w:szCs w:val="24"/>
        </w:rPr>
        <w:t xml:space="preserve"> two-level screening system </w:t>
      </w:r>
      <w:r w:rsidRPr="00563D71">
        <w:rPr>
          <w:color w:val="auto"/>
          <w:szCs w:val="24"/>
        </w:rPr>
        <w:t xml:space="preserve">described below </w:t>
      </w:r>
      <w:r w:rsidR="004B7CDD" w:rsidRPr="00563D71">
        <w:rPr>
          <w:color w:val="auto"/>
          <w:szCs w:val="24"/>
        </w:rPr>
        <w:t xml:space="preserve">to ensure that this policy requirement is met. </w:t>
      </w:r>
    </w:p>
    <w:p w14:paraId="076D15D1" w14:textId="04C59EDF" w:rsidR="004B7CDD" w:rsidRPr="00563D71" w:rsidRDefault="004B7CDD" w:rsidP="004B7CDD">
      <w:pPr>
        <w:numPr>
          <w:ilvl w:val="0"/>
          <w:numId w:val="123"/>
        </w:numPr>
        <w:spacing w:before="0" w:after="160" w:line="259" w:lineRule="auto"/>
        <w:contextualSpacing/>
        <w:rPr>
          <w:color w:val="auto"/>
          <w:szCs w:val="24"/>
        </w:rPr>
      </w:pPr>
      <w:r w:rsidRPr="00563D71">
        <w:rPr>
          <w:color w:val="auto"/>
          <w:szCs w:val="24"/>
        </w:rPr>
        <w:t>Level 1:</w:t>
      </w:r>
      <w:r w:rsidR="00E80D80" w:rsidRPr="00563D71">
        <w:rPr>
          <w:color w:val="auto"/>
          <w:szCs w:val="24"/>
        </w:rPr>
        <w:t xml:space="preserve"> </w:t>
      </w:r>
      <w:r w:rsidRPr="00563D71">
        <w:rPr>
          <w:color w:val="auto"/>
          <w:szCs w:val="24"/>
        </w:rPr>
        <w:t xml:space="preserve">the Indonesian system for identifying </w:t>
      </w:r>
      <w:r w:rsidR="00E80D80" w:rsidRPr="00563D71">
        <w:rPr>
          <w:color w:val="auto"/>
          <w:szCs w:val="24"/>
        </w:rPr>
        <w:t xml:space="preserve">investments </w:t>
      </w:r>
      <w:r w:rsidRPr="00563D71">
        <w:rPr>
          <w:color w:val="auto"/>
          <w:szCs w:val="24"/>
        </w:rPr>
        <w:t>for which AMDAL (full environmental and social impact assessment) is required, i.e.,</w:t>
      </w:r>
      <w:r w:rsidR="00E530AC" w:rsidRPr="00563D71">
        <w:rPr>
          <w:color w:val="auto"/>
          <w:szCs w:val="24"/>
        </w:rPr>
        <w:t xml:space="preserve"> </w:t>
      </w:r>
      <w:r w:rsidRPr="00563D71">
        <w:rPr>
          <w:color w:val="auto"/>
          <w:szCs w:val="24"/>
        </w:rPr>
        <w:t>projects that in most cases would fall into environmental assessment Category A if being implemented under World Bank safeguards policies, hence are normally not eligible for PforR financing.</w:t>
      </w:r>
    </w:p>
    <w:p w14:paraId="7EEAB4A2" w14:textId="77777777" w:rsidR="004B7CDD" w:rsidRPr="00563D71" w:rsidRDefault="004B7CDD" w:rsidP="004B7CDD">
      <w:pPr>
        <w:numPr>
          <w:ilvl w:val="0"/>
          <w:numId w:val="123"/>
        </w:numPr>
        <w:spacing w:before="0" w:after="160" w:line="259" w:lineRule="auto"/>
        <w:contextualSpacing/>
        <w:rPr>
          <w:color w:val="auto"/>
          <w:szCs w:val="24"/>
        </w:rPr>
      </w:pPr>
      <w:r w:rsidRPr="00563D71">
        <w:rPr>
          <w:color w:val="auto"/>
          <w:szCs w:val="24"/>
        </w:rPr>
        <w:t>Level 2:  supplementary screening criteria adopted for the Program to account for the fact that the Indonesian system relies heavily on size thresholds – capacity, area, length, volume, etc. – and thus may exempt a proposed project from AMDAL that could because of sensitive environmental or social context have significant impacts that would make it ineligible for PforR financing.</w:t>
      </w:r>
    </w:p>
    <w:p w14:paraId="0D20B685" w14:textId="77777777" w:rsidR="004B7CDD" w:rsidRPr="00563D71" w:rsidRDefault="004B7CDD" w:rsidP="004B7CDD">
      <w:pPr>
        <w:tabs>
          <w:tab w:val="left" w:pos="5325"/>
        </w:tabs>
        <w:ind w:left="0" w:firstLine="0"/>
        <w:contextualSpacing/>
        <w:rPr>
          <w:color w:val="auto"/>
          <w:szCs w:val="24"/>
        </w:rPr>
      </w:pPr>
    </w:p>
    <w:p w14:paraId="3B06D5F9" w14:textId="77777777" w:rsidR="004B7CDD" w:rsidRPr="00563D71" w:rsidRDefault="004B7CDD" w:rsidP="004B7CDD">
      <w:pPr>
        <w:tabs>
          <w:tab w:val="left" w:pos="5325"/>
        </w:tabs>
        <w:ind w:left="0" w:firstLine="0"/>
        <w:contextualSpacing/>
        <w:rPr>
          <w:b/>
          <w:color w:val="auto"/>
          <w:szCs w:val="24"/>
        </w:rPr>
      </w:pPr>
      <w:r w:rsidRPr="00563D71">
        <w:rPr>
          <w:b/>
          <w:color w:val="auto"/>
          <w:szCs w:val="24"/>
        </w:rPr>
        <w:t>Level 1.  Requirement for AMDAL</w:t>
      </w:r>
    </w:p>
    <w:p w14:paraId="104B7A24" w14:textId="77777777" w:rsidR="004B7CDD" w:rsidRPr="00563D71" w:rsidRDefault="004B7CDD" w:rsidP="004B7CDD">
      <w:pPr>
        <w:tabs>
          <w:tab w:val="left" w:pos="5325"/>
        </w:tabs>
        <w:ind w:left="0" w:firstLine="0"/>
        <w:contextualSpacing/>
        <w:rPr>
          <w:b/>
          <w:color w:val="auto"/>
          <w:szCs w:val="24"/>
        </w:rPr>
      </w:pPr>
    </w:p>
    <w:p w14:paraId="3A9971E6" w14:textId="71C0F64D" w:rsidR="004B7CDD" w:rsidRPr="00563D71" w:rsidRDefault="004B7CDD" w:rsidP="004B7CDD">
      <w:pPr>
        <w:ind w:left="0" w:firstLine="0"/>
        <w:contextualSpacing/>
        <w:rPr>
          <w:szCs w:val="24"/>
        </w:rPr>
      </w:pPr>
      <w:r w:rsidRPr="00563D71">
        <w:rPr>
          <w:szCs w:val="24"/>
        </w:rPr>
        <w:t xml:space="preserve">The Indonesian Ministry of Environment Regulation No. 5 of Year 2012 states the requirement on activities required to have AMDAL (full environmental and social impact assessment). It is in itself a two-level screening process. Annex 1, which is an integral part of this regulation, is an extensive list of types of activities organized by sector. A few of them require AMDAL regardless of size, but for most, the size threshold at or above which AMDAL is required is defined.  Below the threshold, the less intensive “environmental management effort” (UKL) and “environmental monitoring effort” (UPL) must be prepared, except in cases of negligible impact. </w:t>
      </w:r>
      <w:r w:rsidR="00B92DB5">
        <w:rPr>
          <w:szCs w:val="24"/>
        </w:rPr>
        <w:t>UKL-UPL</w:t>
      </w:r>
      <w:r w:rsidRPr="00563D71">
        <w:rPr>
          <w:szCs w:val="24"/>
        </w:rPr>
        <w:t xml:space="preserve"> is comparable to the ESMP that is often used for Category B projects being implemented under Bank safeguards. When impacts are negligible, in projects that would be in Category C under Bank </w:t>
      </w:r>
      <w:r w:rsidRPr="00563D71">
        <w:rPr>
          <w:szCs w:val="24"/>
        </w:rPr>
        <w:lastRenderedPageBreak/>
        <w:t xml:space="preserve">safeguards, the Indonesian system provides for a third instrument, a Statement of Environmental Management and Monitoring Undertaking (SPPL) to be executed by the proponent. Most of the investments in Results Area 1 of the Program will probably require </w:t>
      </w:r>
      <w:r w:rsidR="00B92DB5">
        <w:rPr>
          <w:szCs w:val="24"/>
        </w:rPr>
        <w:t>UKL-UPL</w:t>
      </w:r>
      <w:r w:rsidRPr="00563D71">
        <w:rPr>
          <w:szCs w:val="24"/>
        </w:rPr>
        <w:t xml:space="preserve">, but an SPPL will suffice for some. </w:t>
      </w:r>
    </w:p>
    <w:p w14:paraId="2BB34E96" w14:textId="77777777" w:rsidR="004B7CDD" w:rsidRPr="00563D71" w:rsidRDefault="004B7CDD" w:rsidP="004B7CDD">
      <w:pPr>
        <w:ind w:left="0" w:firstLine="0"/>
        <w:contextualSpacing/>
        <w:rPr>
          <w:szCs w:val="24"/>
        </w:rPr>
      </w:pPr>
    </w:p>
    <w:p w14:paraId="18DA95A7" w14:textId="77777777" w:rsidR="004B7CDD" w:rsidRPr="00563D71" w:rsidRDefault="004B7CDD" w:rsidP="004B7CDD">
      <w:pPr>
        <w:ind w:left="0" w:firstLine="0"/>
        <w:contextualSpacing/>
        <w:rPr>
          <w:szCs w:val="24"/>
        </w:rPr>
      </w:pPr>
      <w:r w:rsidRPr="00563D71">
        <w:rPr>
          <w:szCs w:val="24"/>
        </w:rPr>
        <w:t>Annex 1 of the regulation is too extensive to reproduce in this ESSA, but some examples of the types of activities or investment plans which require AMDAL are:</w:t>
      </w:r>
    </w:p>
    <w:p w14:paraId="14ABF43F"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Shoreline land reclamation of ≥ 25 ha</w:t>
      </w:r>
    </w:p>
    <w:p w14:paraId="23C5E0CB"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Cut and fill involving ≥ 500,000 m</w:t>
      </w:r>
      <w:r w:rsidRPr="00563D71">
        <w:rPr>
          <w:color w:val="auto"/>
          <w:szCs w:val="24"/>
          <w:vertAlign w:val="superscript"/>
        </w:rPr>
        <w:t>3</w:t>
      </w:r>
    </w:p>
    <w:p w14:paraId="794D7F4B"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Surface water withdrawal ≥ 250 l/sec</w:t>
      </w:r>
    </w:p>
    <w:p w14:paraId="2D195F40"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Groundwater withdrawal ≥ 50 l/sec</w:t>
      </w:r>
    </w:p>
    <w:p w14:paraId="4167EF98"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At-grade railway construction ≥ 25 km</w:t>
      </w:r>
    </w:p>
    <w:p w14:paraId="4B5F6FC9"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Port construction involving piers or breakwaters ≥ 200 m in length</w:t>
      </w:r>
    </w:p>
    <w:p w14:paraId="27505C7F"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Airports with runway ≥ 1200 m or terminal buildings ≥10,000 m</w:t>
      </w:r>
      <w:r w:rsidRPr="00563D71">
        <w:rPr>
          <w:color w:val="auto"/>
          <w:szCs w:val="24"/>
          <w:vertAlign w:val="superscript"/>
        </w:rPr>
        <w:t>2</w:t>
      </w:r>
    </w:p>
    <w:p w14:paraId="50F92BE2"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Dams ≥ 15 m high</w:t>
      </w:r>
    </w:p>
    <w:p w14:paraId="02155C57" w14:textId="55533F6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Construction or widening of roads ≥ 5 km that involve land acquisition of 30 ha or more in cities, or 40 or more in rural areas</w:t>
      </w:r>
      <w:r w:rsidR="00E530AC" w:rsidRPr="00563D71">
        <w:rPr>
          <w:color w:val="auto"/>
          <w:szCs w:val="24"/>
        </w:rPr>
        <w:t xml:space="preserve"> </w:t>
      </w:r>
      <w:r w:rsidRPr="00563D71">
        <w:rPr>
          <w:color w:val="auto"/>
          <w:szCs w:val="24"/>
        </w:rPr>
        <w:t>Toll roads ≥ 5 km</w:t>
      </w:r>
    </w:p>
    <w:p w14:paraId="088423EA"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Sanitary landfills ≥ 10 ha</w:t>
      </w:r>
    </w:p>
    <w:p w14:paraId="5062853A" w14:textId="77777777" w:rsidR="004B7CDD" w:rsidRPr="00563D71" w:rsidRDefault="004B7CDD" w:rsidP="004B7CDD">
      <w:pPr>
        <w:numPr>
          <w:ilvl w:val="0"/>
          <w:numId w:val="124"/>
        </w:numPr>
        <w:spacing w:before="0" w:after="160" w:line="259" w:lineRule="auto"/>
        <w:contextualSpacing/>
        <w:jc w:val="left"/>
        <w:rPr>
          <w:color w:val="auto"/>
          <w:szCs w:val="24"/>
        </w:rPr>
      </w:pPr>
      <w:r w:rsidRPr="00563D71">
        <w:rPr>
          <w:color w:val="auto"/>
          <w:szCs w:val="24"/>
        </w:rPr>
        <w:t>Wastewater treatment plants with area ≥ 3 ha or organic load ≥ 2.4 tons/day</w:t>
      </w:r>
    </w:p>
    <w:p w14:paraId="1B706AB9" w14:textId="77777777" w:rsidR="00E80D80" w:rsidRPr="00563D71" w:rsidRDefault="00E80D80" w:rsidP="004B7CDD">
      <w:pPr>
        <w:ind w:left="0" w:firstLine="0"/>
        <w:rPr>
          <w:szCs w:val="24"/>
        </w:rPr>
      </w:pPr>
    </w:p>
    <w:p w14:paraId="3909EF4E" w14:textId="3D7962C6" w:rsidR="004B7CDD" w:rsidRPr="00563D71" w:rsidRDefault="004B7CDD" w:rsidP="004B7CDD">
      <w:pPr>
        <w:ind w:left="0" w:firstLine="0"/>
        <w:rPr>
          <w:color w:val="auto"/>
          <w:szCs w:val="24"/>
        </w:rPr>
      </w:pPr>
      <w:r w:rsidRPr="00563D71">
        <w:rPr>
          <w:szCs w:val="24"/>
        </w:rPr>
        <w:t xml:space="preserve">Annex 2 in this regulation provides for screening of investments and activities regardless of type or scale to determine whether AMDAL is required based on their location sensitivity. Annex 2 lists 20 types of protected or sensitive areas in which AMDAL is mandatory for any activity that could adversely affect the environment. </w:t>
      </w:r>
      <w:r w:rsidRPr="00563D71">
        <w:rPr>
          <w:color w:val="auto"/>
          <w:szCs w:val="24"/>
        </w:rPr>
        <w:t>Examples include protection forests, nature reserves, mangroves, peatlands, coastal areas, national parks, coral reefs, cultural preservation districts, and refuges for protected animals and marine biota.</w:t>
      </w:r>
    </w:p>
    <w:p w14:paraId="4D2E5AC7" w14:textId="77777777" w:rsidR="004B7CDD" w:rsidRPr="00563D71" w:rsidRDefault="004B7CDD" w:rsidP="004B7CDD">
      <w:pPr>
        <w:ind w:left="0" w:firstLine="0"/>
        <w:contextualSpacing/>
        <w:rPr>
          <w:szCs w:val="24"/>
        </w:rPr>
      </w:pPr>
    </w:p>
    <w:p w14:paraId="065D5D29" w14:textId="74CF1700" w:rsidR="004B7CDD" w:rsidRPr="00563D71" w:rsidRDefault="004B7CDD" w:rsidP="004B7CDD">
      <w:pPr>
        <w:tabs>
          <w:tab w:val="left" w:pos="0"/>
        </w:tabs>
        <w:ind w:left="0" w:firstLine="0"/>
        <w:rPr>
          <w:b/>
          <w:color w:val="auto"/>
          <w:szCs w:val="24"/>
        </w:rPr>
      </w:pPr>
      <w:r w:rsidRPr="00563D71">
        <w:rPr>
          <w:b/>
          <w:color w:val="auto"/>
          <w:szCs w:val="24"/>
        </w:rPr>
        <w:t>Level 2.  Supplementary Screening</w:t>
      </w:r>
    </w:p>
    <w:p w14:paraId="46CBB1B4" w14:textId="4377CE78" w:rsidR="004B7CDD" w:rsidRPr="00563D71" w:rsidRDefault="004B7CDD" w:rsidP="004B7CDD">
      <w:pPr>
        <w:tabs>
          <w:tab w:val="left" w:pos="0"/>
        </w:tabs>
        <w:ind w:left="0" w:firstLine="0"/>
        <w:rPr>
          <w:color w:val="auto"/>
          <w:szCs w:val="24"/>
        </w:rPr>
      </w:pPr>
      <w:r w:rsidRPr="00563D71">
        <w:rPr>
          <w:color w:val="auto"/>
          <w:szCs w:val="24"/>
        </w:rPr>
        <w:t>Recognizing that the Indonesian screening process is based on quantitative thresholds and location with respect to protected or sensitive areas</w:t>
      </w:r>
      <w:r w:rsidR="00E80D80" w:rsidRPr="00563D71">
        <w:rPr>
          <w:color w:val="auto"/>
          <w:szCs w:val="24"/>
        </w:rPr>
        <w:t xml:space="preserve">, </w:t>
      </w:r>
      <w:r w:rsidRPr="00563D71">
        <w:rPr>
          <w:color w:val="auto"/>
          <w:szCs w:val="24"/>
        </w:rPr>
        <w:t>whereas the Bank’s is more risk-based, the main function of this second level of screening is to eliminate from PforR financing proposed</w:t>
      </w:r>
      <w:r w:rsidR="000B37CA" w:rsidRPr="00563D71">
        <w:rPr>
          <w:color w:val="auto"/>
          <w:szCs w:val="24"/>
        </w:rPr>
        <w:t xml:space="preserve"> investments</w:t>
      </w:r>
      <w:r w:rsidRPr="00563D71">
        <w:rPr>
          <w:color w:val="auto"/>
          <w:szCs w:val="24"/>
        </w:rPr>
        <w:t xml:space="preserve"> that do not require AMDAL but are high risk because of their environmental or social context or intrinsic characteristics. The list below is not intended to be exclusive; the </w:t>
      </w:r>
      <w:r w:rsidR="000B37CA" w:rsidRPr="00563D71">
        <w:rPr>
          <w:color w:val="auto"/>
          <w:szCs w:val="24"/>
        </w:rPr>
        <w:t>C</w:t>
      </w:r>
      <w:r w:rsidRPr="00563D71">
        <w:rPr>
          <w:color w:val="auto"/>
          <w:szCs w:val="24"/>
        </w:rPr>
        <w:t xml:space="preserve">onsultants for the Integrated Tourism Master Plans and for Program Management may identify additional criteria for Level 2.   </w:t>
      </w:r>
    </w:p>
    <w:p w14:paraId="0F6D2EFE" w14:textId="77777777" w:rsidR="004B7CDD" w:rsidRPr="00563D71" w:rsidRDefault="004B7CDD" w:rsidP="004B7CDD">
      <w:pPr>
        <w:tabs>
          <w:tab w:val="left" w:pos="0"/>
        </w:tabs>
        <w:ind w:left="0" w:firstLine="0"/>
        <w:rPr>
          <w:color w:val="auto"/>
          <w:szCs w:val="24"/>
        </w:rPr>
      </w:pPr>
      <w:r w:rsidRPr="00563D71">
        <w:rPr>
          <w:color w:val="auto"/>
          <w:szCs w:val="24"/>
        </w:rPr>
        <w:t>An investment for which AMDAL is not required would still be ineligible for PforR financing if it had any of the following characteristics:</w:t>
      </w:r>
    </w:p>
    <w:p w14:paraId="6AB08FA0" w14:textId="77777777" w:rsidR="004B7CDD" w:rsidRPr="00563D71" w:rsidRDefault="004B7CDD" w:rsidP="004B7CDD">
      <w:pPr>
        <w:tabs>
          <w:tab w:val="left" w:pos="0"/>
        </w:tabs>
        <w:ind w:left="0" w:firstLine="0"/>
        <w:rPr>
          <w:color w:val="auto"/>
          <w:szCs w:val="24"/>
        </w:rPr>
      </w:pPr>
    </w:p>
    <w:p w14:paraId="1282E6A9"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result in significant conversion or degradation of natural habitat.</w:t>
      </w:r>
    </w:p>
    <w:p w14:paraId="42D7ACB3"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reduce or cause fragmentation of habitat important for the survival of threatened or endangered species.</w:t>
      </w:r>
    </w:p>
    <w:p w14:paraId="6709178E"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lastRenderedPageBreak/>
        <w:t>It would cause the physical displacement of more than 200 persons.</w:t>
      </w:r>
    </w:p>
    <w:p w14:paraId="62D99C31"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involve production of hazardous waste or storage or use of hazardous substances that would pose risk to surrounding communities.</w:t>
      </w:r>
    </w:p>
    <w:p w14:paraId="5149FC6F"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pose unavoidable risk of destruction of or damage to physical cultural resources.</w:t>
      </w:r>
    </w:p>
    <w:p w14:paraId="1E661919"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affect land or other assets of indigenous peoples and does not have documented proof of free, prior and informed consultation leading to broad community support.</w:t>
      </w:r>
    </w:p>
    <w:p w14:paraId="4DDDA7B4"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have air emissions that would result in exceedance of the stricter of Indonesian or WHO ambient air quality standards or guidelines.</w:t>
      </w:r>
    </w:p>
    <w:p w14:paraId="4B777324"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would generate solid or liquid wastes for which proper treatment and disposal facilities are not available, and/or produce effluents exceeding the stricter of Indonesian or World Bank Group limits.</w:t>
      </w:r>
    </w:p>
    <w:p w14:paraId="4089023F" w14:textId="77777777"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It could result in induced development with potentially adverse social and environmental impacts for which adequate local management capacity does not exist.</w:t>
      </w:r>
    </w:p>
    <w:p w14:paraId="63280061" w14:textId="6638B120" w:rsidR="004B7CDD" w:rsidRPr="00563D71" w:rsidRDefault="004B7CDD" w:rsidP="004B7CDD">
      <w:pPr>
        <w:numPr>
          <w:ilvl w:val="0"/>
          <w:numId w:val="40"/>
        </w:numPr>
        <w:tabs>
          <w:tab w:val="left" w:pos="0"/>
        </w:tabs>
        <w:spacing w:before="0" w:after="160" w:line="259" w:lineRule="auto"/>
        <w:contextualSpacing/>
        <w:jc w:val="left"/>
        <w:rPr>
          <w:color w:val="auto"/>
          <w:szCs w:val="24"/>
        </w:rPr>
      </w:pPr>
      <w:r w:rsidRPr="00563D71">
        <w:rPr>
          <w:color w:val="auto"/>
          <w:szCs w:val="24"/>
        </w:rPr>
        <w:t>The proposed location is so sensitive to the potential impacts of the investment that effective mitigation is unlikely. Sites with unique visual amenity, uses for traditional cultural events, and essential sources of livelihoods are examples.</w:t>
      </w:r>
    </w:p>
    <w:p w14:paraId="10A36CBF" w14:textId="77777777" w:rsidR="004B7CDD" w:rsidRPr="00563D71" w:rsidRDefault="004B7CDD" w:rsidP="004B7CDD">
      <w:pPr>
        <w:numPr>
          <w:ilvl w:val="0"/>
          <w:numId w:val="40"/>
        </w:numPr>
        <w:spacing w:before="0" w:after="160" w:line="259" w:lineRule="auto"/>
        <w:contextualSpacing/>
        <w:jc w:val="left"/>
        <w:rPr>
          <w:rFonts w:eastAsiaTheme="minorEastAsia"/>
          <w:color w:val="auto"/>
          <w:szCs w:val="24"/>
        </w:rPr>
      </w:pPr>
      <w:r w:rsidRPr="00563D71">
        <w:rPr>
          <w:rFonts w:eastAsiaTheme="minorEastAsia"/>
          <w:color w:val="auto"/>
          <w:szCs w:val="24"/>
        </w:rPr>
        <w:t>There are land legacy issues that have not been addressed properly, agreed by the involved parties, in accordance to the prevailing Indonesian laws and regulations.</w:t>
      </w:r>
    </w:p>
    <w:p w14:paraId="688F9741" w14:textId="77777777" w:rsidR="004B7CDD" w:rsidRPr="00563D71" w:rsidRDefault="004B7CDD" w:rsidP="004B7CDD">
      <w:pPr>
        <w:tabs>
          <w:tab w:val="left" w:pos="0"/>
        </w:tabs>
        <w:ind w:left="0" w:firstLine="0"/>
        <w:rPr>
          <w:color w:val="auto"/>
          <w:szCs w:val="24"/>
        </w:rPr>
      </w:pPr>
    </w:p>
    <w:p w14:paraId="39D475C5" w14:textId="68DDAF58" w:rsidR="00E80D80" w:rsidRPr="00563D71" w:rsidRDefault="00E80D80" w:rsidP="00E80D80">
      <w:pPr>
        <w:rPr>
          <w:rFonts w:eastAsiaTheme="majorEastAsia"/>
          <w:szCs w:val="24"/>
        </w:rPr>
      </w:pPr>
      <w:r w:rsidRPr="00563D71">
        <w:rPr>
          <w:rFonts w:eastAsiaTheme="majorEastAsia"/>
          <w:szCs w:val="24"/>
        </w:rPr>
        <w:t>The negative list of investment that contains items that the Program cannot finance. They include:</w:t>
      </w:r>
    </w:p>
    <w:p w14:paraId="26B6CAE7" w14:textId="77777777" w:rsidR="00E80D80" w:rsidRPr="00563D71" w:rsidRDefault="00E80D80" w:rsidP="00E80D80">
      <w:pPr>
        <w:numPr>
          <w:ilvl w:val="0"/>
          <w:numId w:val="122"/>
        </w:numPr>
        <w:spacing w:before="0" w:after="160" w:line="259" w:lineRule="auto"/>
        <w:contextualSpacing/>
        <w:jc w:val="left"/>
        <w:rPr>
          <w:rFonts w:eastAsiaTheme="majorEastAsia"/>
          <w:szCs w:val="24"/>
        </w:rPr>
      </w:pPr>
      <w:r w:rsidRPr="00563D71">
        <w:rPr>
          <w:rFonts w:eastAsiaTheme="majorEastAsia"/>
          <w:szCs w:val="24"/>
        </w:rPr>
        <w:t xml:space="preserve">No new landfills </w:t>
      </w:r>
    </w:p>
    <w:p w14:paraId="4D92CC92" w14:textId="77777777" w:rsidR="00E80D80" w:rsidRPr="00563D71" w:rsidRDefault="00E80D80" w:rsidP="00E80D80">
      <w:pPr>
        <w:numPr>
          <w:ilvl w:val="0"/>
          <w:numId w:val="122"/>
        </w:numPr>
        <w:spacing w:before="0" w:after="160" w:line="259" w:lineRule="auto"/>
        <w:contextualSpacing/>
        <w:jc w:val="left"/>
        <w:rPr>
          <w:rFonts w:eastAsiaTheme="majorEastAsia"/>
          <w:szCs w:val="24"/>
        </w:rPr>
      </w:pPr>
      <w:r w:rsidRPr="00563D71">
        <w:rPr>
          <w:rFonts w:eastAsiaTheme="majorEastAsia"/>
          <w:szCs w:val="24"/>
        </w:rPr>
        <w:t>Roads – construction or rehabilitation of roads that require significant resettlement of people (more than 200 people).</w:t>
      </w:r>
    </w:p>
    <w:p w14:paraId="13BECFEA" w14:textId="77777777" w:rsidR="00E80D80" w:rsidRPr="00563D71" w:rsidRDefault="00E80D80" w:rsidP="00E80D80">
      <w:pPr>
        <w:numPr>
          <w:ilvl w:val="0"/>
          <w:numId w:val="122"/>
        </w:numPr>
        <w:spacing w:before="0" w:after="160" w:line="259" w:lineRule="auto"/>
        <w:contextualSpacing/>
        <w:jc w:val="left"/>
        <w:rPr>
          <w:rFonts w:eastAsiaTheme="majorEastAsia"/>
          <w:szCs w:val="24"/>
        </w:rPr>
      </w:pPr>
      <w:r w:rsidRPr="00563D71">
        <w:rPr>
          <w:rFonts w:eastAsiaTheme="majorEastAsia"/>
          <w:szCs w:val="24"/>
        </w:rPr>
        <w:t xml:space="preserve">No large regional solid waste facilities </w:t>
      </w:r>
    </w:p>
    <w:p w14:paraId="1A3AF371" w14:textId="77777777" w:rsidR="00E80D80" w:rsidRPr="00563D71" w:rsidRDefault="00E80D80" w:rsidP="00E80D80">
      <w:pPr>
        <w:numPr>
          <w:ilvl w:val="0"/>
          <w:numId w:val="122"/>
        </w:numPr>
        <w:spacing w:before="0" w:after="160" w:line="259" w:lineRule="auto"/>
        <w:contextualSpacing/>
        <w:jc w:val="left"/>
        <w:rPr>
          <w:rFonts w:eastAsiaTheme="majorEastAsia"/>
          <w:szCs w:val="24"/>
        </w:rPr>
      </w:pPr>
      <w:r w:rsidRPr="00563D71">
        <w:rPr>
          <w:rFonts w:eastAsiaTheme="majorEastAsia"/>
          <w:szCs w:val="24"/>
        </w:rPr>
        <w:t xml:space="preserve">No large regional waste water facilities/ system </w:t>
      </w:r>
    </w:p>
    <w:p w14:paraId="6299E8B3" w14:textId="77777777" w:rsidR="00E80D80" w:rsidRPr="00563D71" w:rsidRDefault="00E80D80" w:rsidP="00E80D80">
      <w:pPr>
        <w:numPr>
          <w:ilvl w:val="0"/>
          <w:numId w:val="122"/>
        </w:numPr>
        <w:spacing w:before="0" w:after="160" w:line="259" w:lineRule="auto"/>
        <w:contextualSpacing/>
        <w:jc w:val="left"/>
        <w:rPr>
          <w:rFonts w:eastAsiaTheme="majorEastAsia"/>
          <w:szCs w:val="24"/>
        </w:rPr>
      </w:pPr>
      <w:r w:rsidRPr="00563D71">
        <w:rPr>
          <w:rFonts w:eastAsiaTheme="majorEastAsia"/>
          <w:szCs w:val="24"/>
        </w:rPr>
        <w:t xml:space="preserve">No new toll roads </w:t>
      </w:r>
    </w:p>
    <w:p w14:paraId="24E2C33A" w14:textId="77777777" w:rsidR="004B7CDD" w:rsidRPr="007768FA" w:rsidRDefault="004B7CDD" w:rsidP="004B7CDD">
      <w:pPr>
        <w:rPr>
          <w:rFonts w:eastAsiaTheme="majorEastAsia"/>
          <w:szCs w:val="24"/>
        </w:rPr>
      </w:pPr>
    </w:p>
    <w:p w14:paraId="076671E0" w14:textId="6329869C" w:rsidR="004B7CDD" w:rsidRPr="007768FA" w:rsidRDefault="00E80D80" w:rsidP="0032029F">
      <w:pPr>
        <w:rPr>
          <w:rFonts w:eastAsiaTheme="minorHAnsi"/>
          <w:color w:val="000000" w:themeColor="text1"/>
          <w:szCs w:val="24"/>
          <w:lang w:val="en-MY"/>
        </w:rPr>
      </w:pPr>
      <w:r w:rsidDel="00E80D80">
        <w:rPr>
          <w:rFonts w:eastAsiaTheme="majorEastAsia"/>
          <w:b/>
          <w:szCs w:val="24"/>
        </w:rPr>
        <w:t xml:space="preserve"> </w:t>
      </w:r>
    </w:p>
    <w:p w14:paraId="002B409F" w14:textId="77777777" w:rsidR="004B7CDD" w:rsidRPr="007768FA" w:rsidRDefault="004B7CDD" w:rsidP="004B7CDD">
      <w:pPr>
        <w:spacing w:before="0" w:after="160" w:line="259" w:lineRule="auto"/>
        <w:ind w:left="0" w:firstLine="0"/>
        <w:rPr>
          <w:rFonts w:eastAsiaTheme="minorHAnsi"/>
          <w:color w:val="000000" w:themeColor="text1"/>
          <w:szCs w:val="24"/>
          <w:lang w:val="en-MY"/>
        </w:rPr>
      </w:pPr>
    </w:p>
    <w:p w14:paraId="165AC79D" w14:textId="77777777" w:rsidR="004B7CDD" w:rsidRPr="007768FA" w:rsidRDefault="004B7CDD" w:rsidP="004B7CDD">
      <w:pPr>
        <w:spacing w:before="0" w:after="160" w:line="259" w:lineRule="auto"/>
        <w:ind w:left="0" w:firstLine="0"/>
        <w:rPr>
          <w:rFonts w:eastAsiaTheme="minorHAnsi"/>
          <w:color w:val="auto"/>
          <w:szCs w:val="24"/>
          <w:lang w:val="en-MY"/>
        </w:rPr>
      </w:pPr>
    </w:p>
    <w:bookmarkEnd w:id="117"/>
    <w:bookmarkEnd w:id="118"/>
    <w:p w14:paraId="6381E061" w14:textId="70BE8802" w:rsidR="00F52275" w:rsidRPr="003544E5" w:rsidRDefault="00F52275" w:rsidP="00CF22F2">
      <w:pPr>
        <w:rPr>
          <w:rFonts w:eastAsiaTheme="majorEastAsia"/>
        </w:rPr>
      </w:pPr>
    </w:p>
    <w:sectPr w:rsidR="00F52275" w:rsidRPr="003544E5" w:rsidSect="00DA3B7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1FE9" w14:textId="77777777" w:rsidR="00625207" w:rsidRDefault="00625207">
      <w:r>
        <w:separator/>
      </w:r>
    </w:p>
    <w:p w14:paraId="2C9AFF51" w14:textId="77777777" w:rsidR="00625207" w:rsidRDefault="00625207"/>
  </w:endnote>
  <w:endnote w:type="continuationSeparator" w:id="0">
    <w:p w14:paraId="5D9CE326" w14:textId="77777777" w:rsidR="00625207" w:rsidRDefault="00625207">
      <w:r>
        <w:continuationSeparator/>
      </w:r>
    </w:p>
    <w:p w14:paraId="66C31AEB" w14:textId="77777777" w:rsidR="00625207" w:rsidRDefault="00625207"/>
  </w:endnote>
  <w:endnote w:type="continuationNotice" w:id="1">
    <w:p w14:paraId="411E7600" w14:textId="77777777" w:rsidR="00625207" w:rsidRDefault="00625207"/>
    <w:p w14:paraId="48A1B285" w14:textId="77777777" w:rsidR="00625207" w:rsidRDefault="0062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7A33" w14:textId="77777777" w:rsidR="00400158" w:rsidRDefault="00400158" w:rsidP="00B850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5FD11" w14:textId="19987C8A" w:rsidR="00400158" w:rsidRDefault="00400158">
    <w:pPr>
      <w:spacing w:line="259" w:lineRule="auto"/>
      <w:ind w:left="0" w:right="2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01A13B7" wp14:editId="23731725">
              <wp:simplePos x="0" y="0"/>
              <wp:positionH relativeFrom="page">
                <wp:posOffset>904875</wp:posOffset>
              </wp:positionH>
              <wp:positionV relativeFrom="page">
                <wp:posOffset>9201086</wp:posOffset>
              </wp:positionV>
              <wp:extent cx="5886450" cy="952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6" name="Shape 105370"/>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5F97EB46" id="Group 5" o:spid="_x0000_s1026" style="position:absolute;margin-left:71.25pt;margin-top:724.5pt;width:463.5pt;height:.75pt;z-index:251676672;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">
              <v:shape id="Shape 105370"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" path="m,l5886450,e" filled="f">
                <v:path arrowok="t" textboxrect="0,0,5886450,0"/>
              </v:shape>
              <w10:wrap type="square" anchorx="page" anchory="page"/>
            </v:group>
          </w:pict>
        </mc:Fallback>
      </mc:AlternateContent>
    </w:r>
    <w:r>
      <w:rPr>
        <w:rFonts w:ascii="Calibri" w:eastAsia="Calibri" w:hAnsi="Calibri" w:cs="Calibri"/>
        <w:sz w:val="22"/>
      </w:rPr>
      <w:t xml:space="preserve">                                                                                                                                                                               </w:t>
    </w:r>
  </w:p>
  <w:p w14:paraId="50EA59F4" w14:textId="77777777" w:rsidR="00400158" w:rsidRDefault="00400158">
    <w:pPr>
      <w:spacing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E348" w14:textId="15F7A132" w:rsidR="00400158" w:rsidRDefault="00400158" w:rsidP="004001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F59">
      <w:rPr>
        <w:rStyle w:val="PageNumber"/>
        <w:noProof/>
      </w:rPr>
      <w:t>ii</w:t>
    </w:r>
    <w:r>
      <w:rPr>
        <w:rStyle w:val="PageNumber"/>
      </w:rPr>
      <w:fldChar w:fldCharType="end"/>
    </w:r>
  </w:p>
  <w:p w14:paraId="4989CB3E" w14:textId="08284887" w:rsidR="00400158" w:rsidRDefault="00400158" w:rsidP="00B85075">
    <w:pPr>
      <w:pStyle w:val="Footer"/>
      <w:jc w:val="center"/>
    </w:pPr>
  </w:p>
  <w:p w14:paraId="4646EF0D" w14:textId="77777777" w:rsidR="00400158" w:rsidRDefault="00400158">
    <w:pPr>
      <w:spacing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40D5" w14:textId="6DDC618C" w:rsidR="00400158" w:rsidRDefault="00400158" w:rsidP="00B85075">
    <w:pPr>
      <w:tabs>
        <w:tab w:val="center" w:pos="4680"/>
      </w:tabs>
      <w:spacing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C09E" w14:textId="77777777" w:rsidR="00400158" w:rsidRDefault="00400158">
    <w:pPr>
      <w:spacing w:line="259" w:lineRule="auto"/>
      <w:ind w:left="0" w:right="20" w:firstLine="0"/>
      <w:jc w:val="center"/>
    </w:pPr>
    <w:r>
      <w:rPr>
        <w:rFonts w:ascii="Calibri" w:eastAsia="Calibri" w:hAnsi="Calibri" w:cs="Calibri"/>
        <w:noProof/>
        <w:sz w:val="22"/>
      </w:rPr>
      <mc:AlternateContent>
        <mc:Choice Requires="wpg">
          <w:drawing>
            <wp:anchor distT="0" distB="0" distL="114300" distR="114300" simplePos="0" relativeHeight="251652608" behindDoc="0" locked="0" layoutInCell="1" allowOverlap="1" wp14:anchorId="201A13B7" wp14:editId="23731725">
              <wp:simplePos x="0" y="0"/>
              <wp:positionH relativeFrom="page">
                <wp:posOffset>904875</wp:posOffset>
              </wp:positionH>
              <wp:positionV relativeFrom="page">
                <wp:posOffset>9201086</wp:posOffset>
              </wp:positionV>
              <wp:extent cx="5886450" cy="9525"/>
              <wp:effectExtent l="0" t="0" r="0" b="0"/>
              <wp:wrapSquare wrapText="bothSides"/>
              <wp:docPr id="105369" name="Group 105369"/>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05370" name="Shape 105370"/>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3CC846A2" id="Group 105369" o:spid="_x0000_s1026" style="position:absolute;margin-left:71.25pt;margin-top:724.5pt;width:463.5pt;height:.75pt;z-index:251652608;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">
              <v:shape id="Shape 105370"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" path="m,l5886450,e" filled="f">
                <v:path arrowok="t" textboxrect="0,0,5886450,0"/>
              </v:shape>
              <w10:wrap type="square" anchorx="page" anchory="page"/>
            </v:group>
          </w:pict>
        </mc:Fallback>
      </mc:AlternateConten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9FC54A6" w14:textId="77777777" w:rsidR="00400158" w:rsidRDefault="00400158" w:rsidP="00FB7E1E">
    <w:pPr>
      <w:spacing w:line="259" w:lineRule="auto"/>
      <w:ind w:left="0" w:firstLine="0"/>
      <w:jc w:val="left"/>
    </w:pPr>
    <w:r>
      <w:rPr>
        <w:rFonts w:ascii="Calibri" w:eastAsia="Calibri" w:hAnsi="Calibri" w:cs="Calibri"/>
        <w:sz w:val="22"/>
      </w:rPr>
      <w:t xml:space="preserve"> </w:t>
    </w:r>
  </w:p>
  <w:p w14:paraId="31F52DAB" w14:textId="77777777" w:rsidR="00400158" w:rsidRDefault="0040015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72320"/>
      <w:docPartObj>
        <w:docPartGallery w:val="Page Numbers (Bottom of Page)"/>
        <w:docPartUnique/>
      </w:docPartObj>
    </w:sdtPr>
    <w:sdtEndPr>
      <w:rPr>
        <w:noProof/>
      </w:rPr>
    </w:sdtEndPr>
    <w:sdtContent>
      <w:p w14:paraId="2683F6D2" w14:textId="7CDEBCE4" w:rsidR="00400158" w:rsidRDefault="00400158">
        <w:pPr>
          <w:pStyle w:val="Footer"/>
          <w:jc w:val="center"/>
        </w:pPr>
        <w:r>
          <w:fldChar w:fldCharType="begin"/>
        </w:r>
        <w:r>
          <w:instrText xml:space="preserve"> PAGE   \* MERGEFORMAT </w:instrText>
        </w:r>
        <w:r>
          <w:fldChar w:fldCharType="separate"/>
        </w:r>
        <w:r w:rsidR="00CD6F59">
          <w:rPr>
            <w:noProof/>
          </w:rPr>
          <w:t>45</w:t>
        </w:r>
        <w:r>
          <w:rPr>
            <w:noProof/>
          </w:rPr>
          <w:fldChar w:fldCharType="end"/>
        </w:r>
      </w:p>
    </w:sdtContent>
  </w:sdt>
  <w:p w14:paraId="41655C16" w14:textId="11BD4EC8" w:rsidR="00400158" w:rsidRDefault="00400158" w:rsidP="00FB7E1E">
    <w:pPr>
      <w:spacing w:line="259" w:lineRule="auto"/>
      <w:ind w:left="0" w:firstLine="0"/>
      <w:jc w:val="left"/>
    </w:pPr>
  </w:p>
  <w:p w14:paraId="2B902ED8" w14:textId="77777777" w:rsidR="00400158" w:rsidRDefault="0040015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7CBB" w14:textId="77777777" w:rsidR="00400158" w:rsidRDefault="00400158">
    <w:pPr>
      <w:spacing w:line="259" w:lineRule="auto"/>
      <w:ind w:left="0" w:right="20" w:firstLine="0"/>
      <w:jc w:val="center"/>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652E722E" wp14:editId="41DF476C">
              <wp:simplePos x="0" y="0"/>
              <wp:positionH relativeFrom="page">
                <wp:posOffset>904875</wp:posOffset>
              </wp:positionH>
              <wp:positionV relativeFrom="page">
                <wp:posOffset>9201086</wp:posOffset>
              </wp:positionV>
              <wp:extent cx="5886450" cy="9525"/>
              <wp:effectExtent l="0" t="0" r="0" b="0"/>
              <wp:wrapSquare wrapText="bothSides"/>
              <wp:docPr id="105341" name="Group 105341"/>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05342" name="Shape 105342"/>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04871F70" id="Group 105341" o:spid="_x0000_s1026" style="position:absolute;margin-left:71.25pt;margin-top:724.5pt;width:463.5pt;height:.75pt;z-index:251655680;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">
              <v:shape id="Shape 105342"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" path="m,l5886450,e" filled="f">
                <v:path arrowok="t" textboxrect="0,0,5886450,0"/>
              </v:shape>
              <w10:wrap type="square" anchorx="page" anchory="page"/>
            </v:group>
          </w:pict>
        </mc:Fallback>
      </mc:AlternateConten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8AE8DB" w14:textId="77777777" w:rsidR="00400158" w:rsidRDefault="00400158" w:rsidP="00FB7E1E">
    <w:pPr>
      <w:spacing w:line="259" w:lineRule="auto"/>
      <w:ind w:left="0" w:firstLine="0"/>
      <w:jc w:val="left"/>
    </w:pPr>
    <w:r>
      <w:rPr>
        <w:rFonts w:ascii="Calibri" w:eastAsia="Calibri" w:hAnsi="Calibri" w:cs="Calibri"/>
        <w:sz w:val="22"/>
      </w:rPr>
      <w:t xml:space="preserve"> </w:t>
    </w:r>
  </w:p>
  <w:p w14:paraId="49E1A1C0" w14:textId="77777777" w:rsidR="00400158" w:rsidRDefault="004001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E231" w14:textId="77777777" w:rsidR="00400158" w:rsidRDefault="00400158">
    <w:pPr>
      <w:spacing w:line="259" w:lineRule="auto"/>
      <w:ind w:left="0" w:right="189"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7821008" wp14:editId="63ADE5BC">
              <wp:simplePos x="0" y="0"/>
              <wp:positionH relativeFrom="page">
                <wp:posOffset>904875</wp:posOffset>
              </wp:positionH>
              <wp:positionV relativeFrom="page">
                <wp:posOffset>9201086</wp:posOffset>
              </wp:positionV>
              <wp:extent cx="5886450" cy="9525"/>
              <wp:effectExtent l="0" t="0" r="0" b="0"/>
              <wp:wrapSquare wrapText="bothSides"/>
              <wp:docPr id="105455" name="Group 105455"/>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05456" name="Shape 105456"/>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3DF86322" id="Group 105455" o:spid="_x0000_s1026" style="position:absolute;margin-left:71.25pt;margin-top:724.5pt;width:463.5pt;height:.75pt;z-index:251669504;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">
              <v:shape id="Shape 105456"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" path="m,l5886450,e" filled="f">
                <v:path arrowok="t" textboxrect="0,0,5886450,0"/>
              </v:shape>
              <w10:wrap type="square" anchorx="page" anchory="page"/>
            </v:group>
          </w:pict>
        </mc:Fallback>
      </mc:AlternateConten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40</w:t>
    </w:r>
    <w:r>
      <w:rPr>
        <w:rFonts w:ascii="Calibri" w:eastAsia="Calibri" w:hAnsi="Calibri" w:cs="Calibri"/>
        <w:sz w:val="22"/>
      </w:rPr>
      <w:fldChar w:fldCharType="end"/>
    </w:r>
    <w:r>
      <w:rPr>
        <w:rFonts w:ascii="Calibri" w:eastAsia="Calibri" w:hAnsi="Calibri" w:cs="Calibri"/>
        <w:sz w:val="22"/>
      </w:rPr>
      <w:t xml:space="preserve"> </w:t>
    </w:r>
  </w:p>
  <w:p w14:paraId="5BCE6B09" w14:textId="77777777" w:rsidR="00400158" w:rsidRDefault="00400158">
    <w:pPr>
      <w:spacing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1491" w14:textId="5AE3D229" w:rsidR="00400158" w:rsidRDefault="00400158">
    <w:pPr>
      <w:spacing w:line="259" w:lineRule="auto"/>
      <w:ind w:left="0" w:right="189"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1534D8B" wp14:editId="13D284B9">
              <wp:simplePos x="0" y="0"/>
              <wp:positionH relativeFrom="page">
                <wp:posOffset>904875</wp:posOffset>
              </wp:positionH>
              <wp:positionV relativeFrom="page">
                <wp:posOffset>9201086</wp:posOffset>
              </wp:positionV>
              <wp:extent cx="5886450" cy="9525"/>
              <wp:effectExtent l="0" t="0" r="0" b="0"/>
              <wp:wrapSquare wrapText="bothSides"/>
              <wp:docPr id="105441" name="Group 105441"/>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05442" name="Shape 105442"/>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16455A8E" id="Group 105441" o:spid="_x0000_s1026" style="position:absolute;margin-left:71.25pt;margin-top:724.5pt;width:463.5pt;height:.75pt;z-index:251670528;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">
              <v:shape id="Shape 105442"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" path="m,l5886450,e" filled="f">
                <v:path arrowok="t" textboxrect="0,0,5886450,0"/>
              </v:shape>
              <w10:wrap type="square" anchorx="page" anchory="page"/>
            </v:group>
          </w:pict>
        </mc:Fallback>
      </mc:AlternateContent>
    </w:r>
    <w:r>
      <w:rPr>
        <w:rFonts w:ascii="Calibri" w:eastAsia="Calibri" w:hAnsi="Calibri" w:cs="Calibri"/>
        <w:sz w:val="22"/>
      </w:rPr>
      <w:t xml:space="preserve">                                                                                                                                                                              </w:t>
    </w:r>
    <w:r>
      <w:fldChar w:fldCharType="begin"/>
    </w:r>
    <w:r>
      <w:instrText xml:space="preserve"> PAGE   \* MERGEFORMAT </w:instrText>
    </w:r>
    <w:r>
      <w:fldChar w:fldCharType="separate"/>
    </w:r>
    <w:r w:rsidR="00CD6F59" w:rsidRPr="00CD6F59">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6ECEE8C" w14:textId="77777777" w:rsidR="00400158" w:rsidRDefault="00400158">
    <w:pPr>
      <w:spacing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9C5E" w14:textId="77777777" w:rsidR="00400158" w:rsidRDefault="00400158">
    <w:pPr>
      <w:spacing w:line="259" w:lineRule="auto"/>
      <w:ind w:left="0" w:right="189"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E3A5BAA" wp14:editId="6FDB53E9">
              <wp:simplePos x="0" y="0"/>
              <wp:positionH relativeFrom="page">
                <wp:posOffset>904875</wp:posOffset>
              </wp:positionH>
              <wp:positionV relativeFrom="page">
                <wp:posOffset>9201086</wp:posOffset>
              </wp:positionV>
              <wp:extent cx="5886450" cy="9525"/>
              <wp:effectExtent l="0" t="0" r="0" b="0"/>
              <wp:wrapSquare wrapText="bothSides"/>
              <wp:docPr id="105427" name="Group 105427"/>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05428" name="Shape 105428"/>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3A4829FD" id="Group 105427" o:spid="_x0000_s1026" style="position:absolute;margin-left:71.25pt;margin-top:724.5pt;width:463.5pt;height:.75pt;z-index:251671552;mso-position-horizontal-relative:page;mso-position-vertical-relative:page" coordsize="58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">
              <v:shape id="Shape 105428" o:spid="_x0000_s1027" style="position:absolute;width:58864;height:0;visibility:visible;mso-wrap-style:square;v-text-anchor:top" coordsize="588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" path="m,l5886450,e" filled="f">
                <v:path arrowok="t" textboxrect="0,0,5886450,0"/>
              </v:shape>
              <w10:wrap type="square" anchorx="page" anchory="page"/>
            </v:group>
          </w:pict>
        </mc:Fallback>
      </mc:AlternateConten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40</w:t>
    </w:r>
    <w:r>
      <w:rPr>
        <w:rFonts w:ascii="Calibri" w:eastAsia="Calibri" w:hAnsi="Calibri" w:cs="Calibri"/>
        <w:sz w:val="22"/>
      </w:rPr>
      <w:fldChar w:fldCharType="end"/>
    </w:r>
    <w:r>
      <w:rPr>
        <w:rFonts w:ascii="Calibri" w:eastAsia="Calibri" w:hAnsi="Calibri" w:cs="Calibri"/>
        <w:sz w:val="22"/>
      </w:rPr>
      <w:t xml:space="preserve"> </w:t>
    </w:r>
  </w:p>
  <w:p w14:paraId="4064B1CB" w14:textId="77777777" w:rsidR="00400158" w:rsidRDefault="00400158">
    <w:pPr>
      <w:spacing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0E03" w14:textId="77777777" w:rsidR="00625207" w:rsidRDefault="00625207">
      <w:pPr>
        <w:spacing w:after="8" w:line="246" w:lineRule="auto"/>
        <w:ind w:left="72" w:hanging="72"/>
      </w:pPr>
      <w:r>
        <w:separator/>
      </w:r>
    </w:p>
    <w:p w14:paraId="12F84569" w14:textId="77777777" w:rsidR="00625207" w:rsidRDefault="00625207"/>
  </w:footnote>
  <w:footnote w:type="continuationSeparator" w:id="0">
    <w:p w14:paraId="5916F6D2" w14:textId="77777777" w:rsidR="00625207" w:rsidRDefault="00625207">
      <w:pPr>
        <w:spacing w:after="8" w:line="246" w:lineRule="auto"/>
        <w:ind w:left="72" w:hanging="72"/>
      </w:pPr>
      <w:r>
        <w:continuationSeparator/>
      </w:r>
    </w:p>
    <w:p w14:paraId="6107AA5B" w14:textId="77777777" w:rsidR="00625207" w:rsidRDefault="00625207"/>
  </w:footnote>
  <w:footnote w:type="continuationNotice" w:id="1">
    <w:p w14:paraId="14575A35" w14:textId="77777777" w:rsidR="00625207" w:rsidRDefault="00625207"/>
    <w:p w14:paraId="762C54A1" w14:textId="77777777" w:rsidR="00625207" w:rsidRDefault="00625207"/>
  </w:footnote>
  <w:footnote w:id="2">
    <w:p w14:paraId="1CF5C151" w14:textId="198A3291" w:rsidR="00400158" w:rsidRPr="0034118B" w:rsidRDefault="00400158" w:rsidP="0032029F">
      <w:pPr>
        <w:pStyle w:val="FootnoteText"/>
        <w:spacing w:before="0"/>
        <w:contextualSpacing/>
      </w:pPr>
      <w:r w:rsidRPr="0034118B">
        <w:rPr>
          <w:rStyle w:val="FootnoteReference"/>
        </w:rPr>
        <w:footnoteRef/>
      </w:r>
      <w:r w:rsidRPr="00C5686D">
        <w:t xml:space="preserve"> In Indonesia, subnational governance includes four levels: (1) province/</w:t>
      </w:r>
      <w:r w:rsidRPr="00604C9B">
        <w:rPr>
          <w:i/>
        </w:rPr>
        <w:t>Provinci</w:t>
      </w:r>
      <w:r w:rsidRPr="00604C9B">
        <w:t>, (2) city/</w:t>
      </w:r>
      <w:r>
        <w:rPr>
          <w:i/>
        </w:rPr>
        <w:t>k</w:t>
      </w:r>
      <w:r w:rsidRPr="0034118B">
        <w:rPr>
          <w:i/>
        </w:rPr>
        <w:t>ota</w:t>
      </w:r>
      <w:r w:rsidRPr="0034118B">
        <w:t xml:space="preserve"> and regency/</w:t>
      </w:r>
      <w:r>
        <w:rPr>
          <w:i/>
        </w:rPr>
        <w:t>k</w:t>
      </w:r>
      <w:r w:rsidRPr="0034118B">
        <w:rPr>
          <w:i/>
        </w:rPr>
        <w:t>abupaten</w:t>
      </w:r>
      <w:r w:rsidRPr="0034118B">
        <w:t>, (3) sub-district/</w:t>
      </w:r>
      <w:r>
        <w:rPr>
          <w:i/>
        </w:rPr>
        <w:t>k</w:t>
      </w:r>
      <w:r w:rsidRPr="0034118B">
        <w:rPr>
          <w:i/>
        </w:rPr>
        <w:t>ecamatan</w:t>
      </w:r>
      <w:r w:rsidRPr="0034118B">
        <w:t xml:space="preserve"> or district/</w:t>
      </w:r>
      <w:r>
        <w:rPr>
          <w:i/>
        </w:rPr>
        <w:t>d</w:t>
      </w:r>
      <w:r w:rsidRPr="0034118B">
        <w:rPr>
          <w:i/>
        </w:rPr>
        <w:t>istrik</w:t>
      </w:r>
      <w:r w:rsidRPr="0034118B">
        <w:t>,</w:t>
      </w:r>
      <w:r w:rsidRPr="0034118B">
        <w:rPr>
          <w:i/>
        </w:rPr>
        <w:t xml:space="preserve"> </w:t>
      </w:r>
      <w:r w:rsidRPr="0034118B">
        <w:t>and (4) urban community/</w:t>
      </w:r>
      <w:r>
        <w:rPr>
          <w:i/>
        </w:rPr>
        <w:t>k</w:t>
      </w:r>
      <w:r w:rsidRPr="0034118B">
        <w:rPr>
          <w:i/>
        </w:rPr>
        <w:t xml:space="preserve">elurahan </w:t>
      </w:r>
      <w:r w:rsidRPr="0034118B">
        <w:t>or village/</w:t>
      </w:r>
      <w:r>
        <w:rPr>
          <w:i/>
        </w:rPr>
        <w:t>d</w:t>
      </w:r>
      <w:r w:rsidRPr="0034118B">
        <w:rPr>
          <w:i/>
        </w:rPr>
        <w:t>esa</w:t>
      </w:r>
      <w:r w:rsidRPr="0034118B">
        <w:t xml:space="preserve">.  </w:t>
      </w:r>
    </w:p>
  </w:footnote>
  <w:footnote w:id="3">
    <w:p w14:paraId="7709ADB6" w14:textId="4E6A8D17" w:rsidR="00400158" w:rsidRPr="00C5686D" w:rsidRDefault="00400158" w:rsidP="0032029F">
      <w:pPr>
        <w:pStyle w:val="FootnoteText"/>
        <w:spacing w:before="0"/>
        <w:contextualSpacing/>
      </w:pPr>
      <w:r w:rsidRPr="00C5686D">
        <w:rPr>
          <w:rStyle w:val="FootnoteReference"/>
        </w:rPr>
        <w:footnoteRef/>
      </w:r>
      <w:r w:rsidRPr="00C5686D">
        <w:t xml:space="preserve"> TripAdvisor</w:t>
      </w:r>
    </w:p>
  </w:footnote>
  <w:footnote w:id="4">
    <w:p w14:paraId="7A25F85B" w14:textId="15E766E9" w:rsidR="00400158" w:rsidRPr="0034118B" w:rsidRDefault="00400158" w:rsidP="0032029F">
      <w:pPr>
        <w:pStyle w:val="FootnoteText"/>
        <w:spacing w:before="0"/>
        <w:contextualSpacing/>
      </w:pPr>
      <w:r w:rsidRPr="00C5686D">
        <w:rPr>
          <w:rStyle w:val="FootnoteReference"/>
        </w:rPr>
        <w:footnoteRef/>
      </w:r>
      <w:r w:rsidRPr="00C5686D">
        <w:t xml:space="preserve"> The licensing simplification </w:t>
      </w:r>
      <w:r w:rsidRPr="00604C9B">
        <w:t xml:space="preserve">efforts are not seeking substantive changes in the </w:t>
      </w:r>
      <w:r w:rsidRPr="0034118B">
        <w:t>environmental requirements and review process. The World Bank Group has a longstanding engagement with the Investment Coordinating Board (BKPM), and ongoing support will help BKPM prepare the methods for conducting this effort. Past experience shows that s</w:t>
      </w:r>
      <w:r w:rsidRPr="0034118B">
        <w:rPr>
          <w:color w:val="000000" w:themeColor="text1"/>
        </w:rPr>
        <w:t xml:space="preserve">ignificant licensing simplification opportunities are possible simply by reducing/making more efficient the administrative processing (e.g. parallel processing, online submission), and without the removal of any of the requirements that safeguard environmental and social risks. </w:t>
      </w:r>
      <w:r w:rsidRPr="0034118B">
        <w:t xml:space="preserve"> BKPM has no authority over the Ministry of Environment and Forestry to make substantive changes in the environmental requirements and review process. </w:t>
      </w:r>
    </w:p>
  </w:footnote>
  <w:footnote w:id="5">
    <w:p w14:paraId="7A0CDA4A" w14:textId="13E540FF" w:rsidR="00400158" w:rsidRPr="0034118B" w:rsidRDefault="00400158" w:rsidP="0032029F">
      <w:pPr>
        <w:pStyle w:val="FootnoteText"/>
        <w:spacing w:before="0"/>
        <w:contextualSpacing/>
      </w:pPr>
      <w:r w:rsidRPr="00C5686D">
        <w:rPr>
          <w:rStyle w:val="FootnoteReference"/>
        </w:rPr>
        <w:footnoteRef/>
      </w:r>
      <w:r w:rsidRPr="00C5686D">
        <w:t xml:space="preserve"> Including the proposed </w:t>
      </w:r>
      <w:r w:rsidRPr="00604C9B">
        <w:rPr>
          <w:i/>
        </w:rPr>
        <w:t>Echelon 1</w:t>
      </w:r>
      <w:r w:rsidRPr="00604C9B">
        <w:t xml:space="preserve"> Steering Committee, the proposed </w:t>
      </w:r>
      <w:r w:rsidRPr="0034118B">
        <w:rPr>
          <w:i/>
        </w:rPr>
        <w:t>Echelon 2</w:t>
      </w:r>
      <w:r w:rsidRPr="0034118B">
        <w:t xml:space="preserve"> Technical Committee, and the proposed increased Program management support through additional staff in the Regional Infrastructure Development Agency (RIDA) of the Ministry of Public Works and Housing (MPWH, the Program’s Executing Agency), or the Program Management Support Consultants’ Services (financed under the IPF).</w:t>
      </w:r>
    </w:p>
  </w:footnote>
  <w:footnote w:id="6">
    <w:p w14:paraId="7EF1151C" w14:textId="4F0FF79A" w:rsidR="00400158" w:rsidRPr="00604C9B" w:rsidRDefault="00400158" w:rsidP="0032029F">
      <w:pPr>
        <w:pStyle w:val="FootnoteText"/>
        <w:spacing w:before="0"/>
        <w:contextualSpacing/>
      </w:pPr>
      <w:r w:rsidRPr="00C5686D">
        <w:rPr>
          <w:rStyle w:val="FootnoteReference"/>
        </w:rPr>
        <w:footnoteRef/>
      </w:r>
      <w:r w:rsidRPr="00C5686D">
        <w:t xml:space="preserve"> Some of the Consultants’ Services required for achieving these results will be </w:t>
      </w:r>
      <w:r w:rsidRPr="00604C9B">
        <w:t xml:space="preserve">financed through the IPF. </w:t>
      </w:r>
    </w:p>
  </w:footnote>
  <w:footnote w:id="7">
    <w:p w14:paraId="7F3C4276" w14:textId="5EC5016A" w:rsidR="00400158" w:rsidRPr="00604C9B" w:rsidRDefault="00400158" w:rsidP="0032029F">
      <w:pPr>
        <w:pStyle w:val="FootnoteText"/>
        <w:spacing w:before="0"/>
        <w:contextualSpacing/>
      </w:pPr>
      <w:r w:rsidRPr="00C5686D">
        <w:rPr>
          <w:rStyle w:val="FootnoteReference"/>
        </w:rPr>
        <w:footnoteRef/>
      </w:r>
      <w:r w:rsidRPr="00C5686D">
        <w:t xml:space="preserve"> World Travel and Tourism Council (WTTC). 2015. “Indonesia: How does Travel and Tourism compare to other sectors?,” Benchmark report; World Tourism Organization and UN Women. 2011. Global Report on Women in Tourism 2010; WTTC. 2</w:t>
      </w:r>
      <w:r w:rsidRPr="00604C9B">
        <w:t>014. Gender equality and youth employment; and WTTC. 2015. Indonesia: How does Travel and Tourism compare to other sectors?</w:t>
      </w:r>
    </w:p>
  </w:footnote>
  <w:footnote w:id="8">
    <w:p w14:paraId="1CEB8F96" w14:textId="77777777" w:rsidR="00400158" w:rsidRPr="0034118B" w:rsidRDefault="00400158" w:rsidP="0032029F">
      <w:pPr>
        <w:pStyle w:val="FootnoteText"/>
        <w:spacing w:before="0"/>
        <w:contextualSpacing/>
      </w:pPr>
      <w:r w:rsidRPr="00C5686D">
        <w:rPr>
          <w:rStyle w:val="FootnoteReference"/>
        </w:rPr>
        <w:footnoteRef/>
      </w:r>
      <w:r w:rsidRPr="00C5686D">
        <w:t xml:space="preserve"> Drawn from the tourism satellite account produced by Statistics Indonesia (</w:t>
      </w:r>
      <w:r w:rsidRPr="00604C9B">
        <w:rPr>
          <w:i/>
        </w:rPr>
        <w:t>Badan Pusat Statistik</w:t>
      </w:r>
      <w:r w:rsidRPr="00604C9B">
        <w:t>, BPS) and the Ministry of Tourism, which are available at the national level and for certain provinces.</w:t>
      </w:r>
      <w:r w:rsidRPr="0034118B">
        <w:rPr>
          <w:color w:val="FF0000"/>
          <w:kern w:val="28"/>
        </w:rPr>
        <w:t xml:space="preserve"> </w:t>
      </w:r>
    </w:p>
  </w:footnote>
  <w:footnote w:id="9">
    <w:p w14:paraId="13F0319B" w14:textId="77777777" w:rsidR="00400158" w:rsidRPr="00C5686D" w:rsidRDefault="00400158" w:rsidP="0032029F">
      <w:pPr>
        <w:pStyle w:val="FootnoteText"/>
        <w:spacing w:before="0"/>
        <w:contextualSpacing/>
      </w:pPr>
      <w:r w:rsidRPr="00C5686D">
        <w:rPr>
          <w:rStyle w:val="FootnoteReference"/>
        </w:rPr>
        <w:footnoteRef/>
      </w:r>
      <w:r w:rsidRPr="00C5686D">
        <w:t xml:space="preserve"> Recent WTTC studies of Indonesia’s tourism sector suggest spending multiplier values ranging from 1.7 to 3.</w:t>
      </w:r>
    </w:p>
  </w:footnote>
  <w:footnote w:id="10">
    <w:p w14:paraId="76616009" w14:textId="1A8D302A" w:rsidR="00400158" w:rsidRPr="0034118B" w:rsidRDefault="00400158" w:rsidP="0032029F">
      <w:pPr>
        <w:pStyle w:val="FootnoteText"/>
        <w:spacing w:before="0"/>
        <w:ind w:left="0"/>
        <w:contextualSpacing/>
      </w:pPr>
      <w:r w:rsidRPr="00C5686D">
        <w:rPr>
          <w:rStyle w:val="FootnoteReference"/>
        </w:rPr>
        <w:footnoteRef/>
      </w:r>
      <w:r w:rsidRPr="00C5686D">
        <w:t xml:space="preserve"> The six policy elements are: a) </w:t>
      </w:r>
      <w:r w:rsidRPr="00604C9B">
        <w:t>promote environmental and social sustainability in the Program design; avoid, minimize, or mitigate adverse impacts, and promote informed decision-making relating to the Program’s environmental and social impacts; b) avoid, minimize, or mitigate adverse impacts on natural habitats and physical cultural resources resulting from the Program; c) protect public and worker safety against the potential risks associated with: (i) construction a</w:t>
      </w:r>
      <w:r w:rsidRPr="0034118B">
        <w:t>nd/or operations of facilities or other operational practices under the Program; (ii) exposure to toxic chemicals, hazardous wastes, and other dangerous materials under the Program; and (iii) reconstruction or rehabilitation of infrastructure located in areas prone to natural hazards; d) manage land acquisition and loss of access to natural resources in a way that avoids or minimizes displacement, and assist the affected people in improving, or at the minimum restoring, their livelihoods and living standards; e) give due consideration to the cultural appropriateness of, and equitable access to, Program benefits, giving special attention to the rights and interests of Indigenous Peoples and to the needs or concerns of vulnerable groups; f) avoid exacerbating social conflict, especially in fragile states, post-conflict areas, or areas subject to territorial disputes.</w:t>
      </w:r>
    </w:p>
  </w:footnote>
  <w:footnote w:id="11">
    <w:p w14:paraId="44080D3C" w14:textId="3DE89766" w:rsidR="00400158" w:rsidRPr="0034118B" w:rsidRDefault="00400158" w:rsidP="0032029F">
      <w:pPr>
        <w:pStyle w:val="FootnoteText"/>
        <w:spacing w:before="0"/>
        <w:contextualSpacing/>
      </w:pPr>
      <w:r w:rsidRPr="00C5686D">
        <w:rPr>
          <w:rStyle w:val="FootnoteReference"/>
        </w:rPr>
        <w:footnoteRef/>
      </w:r>
      <w:r w:rsidRPr="00C5686D">
        <w:t xml:space="preserve"> </w:t>
      </w:r>
      <w:r w:rsidRPr="00604C9B">
        <w:t xml:space="preserve">For </w:t>
      </w:r>
      <w:r w:rsidRPr="0034118B">
        <w:t>details, see Table 9, Policy Element 4 on Actions and Opportunities</w:t>
      </w:r>
    </w:p>
  </w:footnote>
  <w:footnote w:id="12">
    <w:p w14:paraId="228CACD6" w14:textId="1C98B6DC" w:rsidR="00400158" w:rsidRPr="0034118B" w:rsidRDefault="00400158" w:rsidP="0032029F">
      <w:pPr>
        <w:pStyle w:val="FootnoteText"/>
        <w:spacing w:before="0"/>
        <w:contextualSpacing/>
      </w:pPr>
      <w:r w:rsidRPr="00C5686D">
        <w:rPr>
          <w:rStyle w:val="FootnoteReference"/>
        </w:rPr>
        <w:footnoteRef/>
      </w:r>
      <w:r w:rsidRPr="00C5686D">
        <w:t xml:space="preserve"> </w:t>
      </w:r>
      <w:r w:rsidRPr="00604C9B">
        <w:t xml:space="preserve">For </w:t>
      </w:r>
      <w:r w:rsidRPr="0034118B">
        <w:t>detail, see Table 9, Policy Element 5 on Actions and Opportunities</w:t>
      </w:r>
    </w:p>
  </w:footnote>
  <w:footnote w:id="13">
    <w:p w14:paraId="722A47F9" w14:textId="3F0977D7" w:rsidR="00400158" w:rsidRPr="0034118B" w:rsidRDefault="00400158" w:rsidP="0032029F">
      <w:pPr>
        <w:tabs>
          <w:tab w:val="left" w:pos="0"/>
        </w:tabs>
        <w:spacing w:before="0"/>
        <w:ind w:left="0"/>
        <w:contextualSpacing/>
        <w:jc w:val="left"/>
      </w:pPr>
      <w:r w:rsidRPr="0034118B">
        <w:rPr>
          <w:rStyle w:val="FootnoteReference"/>
          <w:sz w:val="20"/>
          <w:szCs w:val="20"/>
        </w:rPr>
        <w:footnoteRef/>
      </w:r>
      <w:r w:rsidRPr="0034118B">
        <w:rPr>
          <w:sz w:val="20"/>
          <w:szCs w:val="20"/>
        </w:rPr>
        <w:t xml:space="preserve"> This includes support </w:t>
      </w:r>
      <w:r>
        <w:rPr>
          <w:sz w:val="20"/>
          <w:szCs w:val="20"/>
        </w:rPr>
        <w:t>for</w:t>
      </w:r>
      <w:r w:rsidRPr="0034118B">
        <w:rPr>
          <w:sz w:val="20"/>
          <w:szCs w:val="20"/>
        </w:rPr>
        <w:t xml:space="preserve"> the development of a practical tool/guidance tailored for the Program to implement free, prior, informed consultations that lead to broad community support and </w:t>
      </w:r>
      <w:r>
        <w:rPr>
          <w:sz w:val="20"/>
          <w:szCs w:val="20"/>
        </w:rPr>
        <w:t>that</w:t>
      </w:r>
      <w:r w:rsidRPr="0034118B">
        <w:rPr>
          <w:sz w:val="20"/>
          <w:szCs w:val="20"/>
        </w:rPr>
        <w:t xml:space="preserve"> empower IPs so that they will benefit from the Program as operationalization of the relevant sectoral laws and regulations.</w:t>
      </w:r>
    </w:p>
  </w:footnote>
  <w:footnote w:id="14">
    <w:p w14:paraId="17E03B0A" w14:textId="77777777" w:rsidR="00400158" w:rsidRPr="00604C9B" w:rsidRDefault="00400158" w:rsidP="0032029F">
      <w:pPr>
        <w:pStyle w:val="FootnoteText"/>
        <w:spacing w:before="0"/>
        <w:contextualSpacing/>
      </w:pPr>
      <w:r w:rsidRPr="00C5686D">
        <w:rPr>
          <w:rStyle w:val="FootnoteReference"/>
        </w:rPr>
        <w:footnoteRef/>
      </w:r>
      <w:r w:rsidRPr="00C5686D">
        <w:t xml:space="preserve"> Through Program Management Support Consultants’ Services fi</w:t>
      </w:r>
      <w:r w:rsidRPr="00604C9B">
        <w:t xml:space="preserve">nanced under the IPF, and/or additional qualified MPWH staff. </w:t>
      </w:r>
    </w:p>
  </w:footnote>
  <w:footnote w:id="15">
    <w:p w14:paraId="49B64817" w14:textId="6947374A" w:rsidR="00400158" w:rsidRPr="003C3101" w:rsidRDefault="00400158" w:rsidP="00E62B1E">
      <w:pPr>
        <w:pStyle w:val="FootnoteText"/>
        <w:spacing w:before="0"/>
        <w:contextualSpacing/>
      </w:pPr>
      <w:r w:rsidRPr="003C3101">
        <w:rPr>
          <w:rStyle w:val="FootnoteReference"/>
        </w:rPr>
        <w:footnoteRef/>
      </w:r>
      <w:r w:rsidRPr="003C3101">
        <w:t xml:space="preserve"> Through Program Management Support Consultants’ Services financed under the IPF and/or additional qualified MPWH staff. </w:t>
      </w:r>
    </w:p>
  </w:footnote>
  <w:footnote w:id="16">
    <w:p w14:paraId="11CB0045" w14:textId="0F2C5CA2" w:rsidR="00400158" w:rsidRPr="00604C9B" w:rsidRDefault="00400158" w:rsidP="0032029F">
      <w:pPr>
        <w:pStyle w:val="FootnoteText"/>
        <w:spacing w:before="0"/>
        <w:contextualSpacing/>
      </w:pPr>
      <w:r w:rsidRPr="00C5686D">
        <w:rPr>
          <w:rStyle w:val="FootnoteReference"/>
        </w:rPr>
        <w:footnoteRef/>
      </w:r>
      <w:r w:rsidRPr="00C5686D">
        <w:t xml:space="preserve"> </w:t>
      </w:r>
      <w:r>
        <w:t>In order to monitor their satisfaction, sufficient IPs will be included in</w:t>
      </w:r>
      <w:r w:rsidRPr="00C5686D">
        <w:t xml:space="preserve"> the local community satisfaction surveys (under RA4, where increased satisfaction is aimed for over the Program period) on satisfaction with participation in destination planning a</w:t>
      </w:r>
      <w:r w:rsidRPr="00604C9B">
        <w:t>nd budgeting processes</w:t>
      </w:r>
      <w:r>
        <w:t>,</w:t>
      </w:r>
      <w:r w:rsidRPr="00604C9B">
        <w:t xml:space="preserve"> as well as access to Program activities</w:t>
      </w:r>
      <w:r>
        <w:t>.</w:t>
      </w:r>
    </w:p>
  </w:footnote>
  <w:footnote w:id="17">
    <w:p w14:paraId="7EED4D03" w14:textId="41FD671C" w:rsidR="00400158" w:rsidRPr="0034118B" w:rsidRDefault="00400158" w:rsidP="0032029F">
      <w:pPr>
        <w:pStyle w:val="FootnoteText"/>
        <w:spacing w:before="0"/>
        <w:contextualSpacing/>
      </w:pPr>
      <w:r w:rsidRPr="00C5686D">
        <w:rPr>
          <w:rStyle w:val="FootnoteReference"/>
        </w:rPr>
        <w:footnoteRef/>
      </w:r>
      <w:r w:rsidRPr="00C5686D">
        <w:t xml:space="preserve"> As applicable this should include a Plan of Act</w:t>
      </w:r>
      <w:r w:rsidRPr="00604C9B">
        <w:t>ion in the case that an investment lead</w:t>
      </w:r>
      <w:r>
        <w:t>s</w:t>
      </w:r>
      <w:r w:rsidRPr="00604C9B">
        <w:t xml:space="preserve"> to access restriction to </w:t>
      </w:r>
      <w:r w:rsidRPr="0034118B">
        <w:t>natural resources in designated parks and protected areas.</w:t>
      </w:r>
    </w:p>
  </w:footnote>
  <w:footnote w:id="18">
    <w:p w14:paraId="2E93D5E2" w14:textId="36879A1A" w:rsidR="00400158" w:rsidRPr="00C5686D" w:rsidRDefault="00400158" w:rsidP="0032029F">
      <w:pPr>
        <w:pStyle w:val="FootnoteText"/>
        <w:spacing w:before="0"/>
        <w:contextualSpacing/>
      </w:pPr>
      <w:r w:rsidRPr="00C5686D">
        <w:rPr>
          <w:rStyle w:val="FootnoteReference"/>
        </w:rPr>
        <w:footnoteRef/>
      </w:r>
      <w:r w:rsidRPr="00C5686D">
        <w:t xml:space="preserve"> Through Program Management Support Consultants’ Services financed under the IPF, and/or additional qualified MPWH staff. </w:t>
      </w:r>
    </w:p>
  </w:footnote>
  <w:footnote w:id="19">
    <w:p w14:paraId="7B6A12B2" w14:textId="77777777" w:rsidR="00400158" w:rsidRDefault="00400158" w:rsidP="00B9762D">
      <w:pPr>
        <w:pStyle w:val="FootnoteText"/>
      </w:pPr>
      <w:r>
        <w:rPr>
          <w:rStyle w:val="FootnoteReference"/>
        </w:rPr>
        <w:footnoteRef/>
      </w:r>
      <w:r>
        <w:t xml:space="preserve"> </w:t>
      </w:r>
      <w:r w:rsidRPr="0028086B">
        <w:t>Most of the investments in Results Area 1 of the Program (Table 3) will require UKL-UPL, but an SPPL will suffice for some. Few, if any, are likely to need AMDAL.</w:t>
      </w:r>
      <w:r>
        <w:t xml:space="preserve"> </w:t>
      </w:r>
      <w:r>
        <w:rPr>
          <w:b/>
        </w:rPr>
        <w:t xml:space="preserve"> </w:t>
      </w:r>
    </w:p>
  </w:footnote>
  <w:footnote w:id="20">
    <w:p w14:paraId="06F866B6" w14:textId="100DD617" w:rsidR="00400158" w:rsidRPr="0034118B" w:rsidRDefault="00400158" w:rsidP="0032029F">
      <w:pPr>
        <w:pStyle w:val="FootnoteText"/>
        <w:spacing w:before="0"/>
        <w:contextualSpacing/>
      </w:pPr>
      <w:r w:rsidRPr="00C5686D">
        <w:rPr>
          <w:rStyle w:val="FootnoteReference"/>
        </w:rPr>
        <w:footnoteRef/>
      </w:r>
      <w:r w:rsidRPr="00C5686D">
        <w:t xml:space="preserve"> </w:t>
      </w:r>
      <w:r w:rsidRPr="00604C9B">
        <w:rPr>
          <w:i/>
        </w:rPr>
        <w:t>Program Prioritas Nasional Pembangunan Parawisata Indonesia</w:t>
      </w:r>
      <w:r w:rsidRPr="0034118B">
        <w:t xml:space="preserve">, as per </w:t>
      </w:r>
      <w:r>
        <w:t>Presidential Decree</w:t>
      </w:r>
      <w:r w:rsidRPr="0034118B">
        <w:t xml:space="preserve"> No</w:t>
      </w:r>
      <w:r>
        <w:t>.</w:t>
      </w:r>
      <w:r w:rsidRPr="0034118B">
        <w:t xml:space="preserve"> 45 </w:t>
      </w:r>
      <w:r>
        <w:t>Year</w:t>
      </w:r>
      <w:r w:rsidRPr="0034118B">
        <w:t xml:space="preserve"> 2016 </w:t>
      </w:r>
      <w:r>
        <w:t xml:space="preserve">on the Government Work Plan </w:t>
      </w:r>
      <w:r w:rsidRPr="0034118B">
        <w:t>(RKP) 2017, pp. III-70-III-80</w:t>
      </w:r>
    </w:p>
  </w:footnote>
  <w:footnote w:id="21">
    <w:p w14:paraId="1241F434" w14:textId="7DDAD824" w:rsidR="00400158" w:rsidRPr="00C5686D" w:rsidRDefault="00400158" w:rsidP="0032029F">
      <w:pPr>
        <w:pStyle w:val="FootnoteText"/>
        <w:spacing w:before="0"/>
        <w:contextualSpacing/>
      </w:pPr>
      <w:r w:rsidRPr="00C5686D">
        <w:rPr>
          <w:rStyle w:val="FootnoteReference"/>
        </w:rPr>
        <w:footnoteRef/>
      </w:r>
      <w:r w:rsidRPr="00C5686D">
        <w:t xml:space="preserve"> As part of Program preparation, upon the government’s request, </w:t>
      </w:r>
      <w:r w:rsidRPr="00604C9B">
        <w:t xml:space="preserve">a report (the </w:t>
      </w:r>
      <w:r w:rsidRPr="0034118B">
        <w:t>“Demand Assessment”) was prepared that covered for each of the destinations: (i) baseline supply and demand of tourism services; (ii) investment analysis; future market demand analysis (future visitors and investors); and (iv) investment needs (destination infrastructure, tourism infrastructure, skills, firm capabilities</w:t>
      </w:r>
      <w:r>
        <w:t>,</w:t>
      </w:r>
      <w:r w:rsidRPr="0034118B">
        <w:t xml:space="preserve"> and legal and regulatory environment). The final reports are available at </w:t>
      </w:r>
      <w:r w:rsidRPr="00563D71">
        <w:t>www.bpiw.go.id</w:t>
      </w:r>
    </w:p>
  </w:footnote>
  <w:footnote w:id="22">
    <w:p w14:paraId="381BD105" w14:textId="77777777" w:rsidR="00400158" w:rsidRPr="00C5686D" w:rsidRDefault="00400158" w:rsidP="0032029F">
      <w:pPr>
        <w:pStyle w:val="FootnoteText"/>
        <w:spacing w:before="0"/>
        <w:contextualSpacing/>
      </w:pPr>
      <w:r w:rsidRPr="00C5686D">
        <w:rPr>
          <w:rStyle w:val="FootnoteReference"/>
        </w:rPr>
        <w:footnoteRef/>
      </w:r>
      <w:r w:rsidRPr="00C5686D">
        <w:t xml:space="preserve"> TripAdvisor</w:t>
      </w:r>
    </w:p>
  </w:footnote>
  <w:footnote w:id="23">
    <w:p w14:paraId="2D5EB65A" w14:textId="25F171B1" w:rsidR="00400158" w:rsidRPr="00C5686D" w:rsidRDefault="00400158" w:rsidP="0032029F">
      <w:pPr>
        <w:pStyle w:val="FootnoteText"/>
        <w:spacing w:before="0"/>
        <w:contextualSpacing/>
      </w:pPr>
      <w:r w:rsidRPr="00C5686D">
        <w:rPr>
          <w:rStyle w:val="FootnoteReference"/>
        </w:rPr>
        <w:footnoteRef/>
      </w:r>
      <w:r w:rsidRPr="00C5686D">
        <w:t xml:space="preserve"> Indonesia: Investment Climate, Competitive Sectors and Competition project (602128).</w:t>
      </w:r>
      <w:r w:rsidRPr="00604C9B">
        <w:t xml:space="preserve"> </w:t>
      </w:r>
      <w:r w:rsidRPr="0032029F">
        <w:t>The licensing simplification efforts are not seeking substantive changes in the environmental requirements and review process. The World Bank Group has a longstanding engagement with the Investment Coordinating Board (BKPM), and ongoing support will help BKPM prepare the methods for conducting this effort. Past experience shows that s</w:t>
      </w:r>
      <w:r w:rsidRPr="0032029F">
        <w:rPr>
          <w:color w:val="000000" w:themeColor="text1"/>
        </w:rPr>
        <w:t xml:space="preserve">ignificant licensing simplification opportunities are possible simply by reducing/making more efficient the administrative processing (e.g. parallel processing, online submission), and without the removal of any of the requirements that safeguard environmental and social risks. </w:t>
      </w:r>
      <w:r w:rsidRPr="0032029F">
        <w:t xml:space="preserve"> BKPM has no authority over </w:t>
      </w:r>
      <w:r>
        <w:t xml:space="preserve">the Ministry of Environment and Forestry </w:t>
      </w:r>
      <w:r w:rsidRPr="0032029F">
        <w:t>to make substantive changes in the environmental requirements and review process.</w:t>
      </w:r>
    </w:p>
  </w:footnote>
  <w:footnote w:id="24">
    <w:p w14:paraId="5CC51B28" w14:textId="2C32C269" w:rsidR="00400158" w:rsidRPr="0034118B" w:rsidRDefault="00400158" w:rsidP="0032029F">
      <w:pPr>
        <w:pStyle w:val="FootnoteText"/>
        <w:spacing w:before="0"/>
        <w:contextualSpacing/>
      </w:pPr>
      <w:r w:rsidRPr="00C5686D">
        <w:rPr>
          <w:rStyle w:val="FootnoteReference"/>
        </w:rPr>
        <w:footnoteRef/>
      </w:r>
      <w:r w:rsidRPr="00C5686D">
        <w:t xml:space="preserve"> Including the proposed </w:t>
      </w:r>
      <w:r w:rsidRPr="00C5686D">
        <w:rPr>
          <w:i/>
        </w:rPr>
        <w:t>Echelon 1</w:t>
      </w:r>
      <w:r w:rsidRPr="00604C9B">
        <w:t xml:space="preserve"> Steering Committee, the proposed </w:t>
      </w:r>
      <w:r w:rsidRPr="00604C9B">
        <w:rPr>
          <w:i/>
        </w:rPr>
        <w:t>Echelon 2</w:t>
      </w:r>
      <w:r w:rsidRPr="0034118B">
        <w:t xml:space="preserve"> Technical Committee, and the proposed increased Program management support through additional qualified staff in the Regional Infrastructure Development Agency (RIDA) of the Ministry of Public Works and Housing (MPWH, the Program’s Executing Agency), or Program Management Support Consultants’ Services (the latter financed under the IPF). For more details, see Section II.c. on ‘Institutional Arrangements’. </w:t>
      </w:r>
    </w:p>
  </w:footnote>
  <w:footnote w:id="25">
    <w:p w14:paraId="10AFB78F" w14:textId="77777777" w:rsidR="00400158" w:rsidRPr="00C5686D" w:rsidRDefault="00400158" w:rsidP="0032029F">
      <w:pPr>
        <w:pStyle w:val="FootnoteText"/>
        <w:spacing w:before="0"/>
        <w:contextualSpacing/>
      </w:pPr>
      <w:r w:rsidRPr="00C5686D">
        <w:rPr>
          <w:rStyle w:val="FootnoteReference"/>
        </w:rPr>
        <w:footnoteRef/>
      </w:r>
      <w:r w:rsidRPr="00C5686D">
        <w:t xml:space="preserve"> Some of the Consultants’ Services required for achieving these results will be financed through the IPF. </w:t>
      </w:r>
    </w:p>
  </w:footnote>
  <w:footnote w:id="26">
    <w:p w14:paraId="5321FF6F" w14:textId="77FC0DEA" w:rsidR="00400158" w:rsidRPr="0034118B" w:rsidRDefault="00400158" w:rsidP="0032029F">
      <w:pPr>
        <w:pStyle w:val="FootnoteText"/>
        <w:spacing w:before="0"/>
        <w:contextualSpacing/>
      </w:pPr>
      <w:r w:rsidRPr="00C5686D">
        <w:rPr>
          <w:rStyle w:val="FootnoteReference"/>
        </w:rPr>
        <w:footnoteRef/>
      </w:r>
      <w:r w:rsidRPr="00C5686D">
        <w:t xml:space="preserve"> Such as </w:t>
      </w:r>
      <w:r w:rsidRPr="00C5686D">
        <w:rPr>
          <w:i/>
        </w:rPr>
        <w:t>Rencana Tata Ruang Wilayah</w:t>
      </w:r>
      <w:r w:rsidRPr="00604C9B">
        <w:t xml:space="preserve"> (RTRWP) </w:t>
      </w:r>
      <w:r w:rsidRPr="00604C9B">
        <w:rPr>
          <w:i/>
        </w:rPr>
        <w:t>Provinsi</w:t>
      </w:r>
      <w:r w:rsidRPr="0034118B">
        <w:t xml:space="preserve">, RTRW </w:t>
      </w:r>
      <w:r w:rsidRPr="0034118B">
        <w:rPr>
          <w:i/>
        </w:rPr>
        <w:t>Kawasan Strategis Pariwisata</w:t>
      </w:r>
      <w:r w:rsidRPr="0034118B">
        <w:t xml:space="preserve">, RTRW </w:t>
      </w:r>
      <w:r w:rsidRPr="0034118B">
        <w:rPr>
          <w:i/>
        </w:rPr>
        <w:t>Kota/Kabupaten</w:t>
      </w:r>
      <w:r w:rsidRPr="0034118B">
        <w:t xml:space="preserve">, RDTR </w:t>
      </w:r>
      <w:r w:rsidRPr="0034118B">
        <w:rPr>
          <w:i/>
        </w:rPr>
        <w:t>Kawasan Strategis Pariwisata</w:t>
      </w:r>
      <w:r w:rsidRPr="0034118B">
        <w:t xml:space="preserve">, and sectoral master plans, including those for water supply, and wastewater management. </w:t>
      </w:r>
    </w:p>
  </w:footnote>
  <w:footnote w:id="27">
    <w:p w14:paraId="008EC6D0" w14:textId="4856C007" w:rsidR="00400158" w:rsidRPr="00C5686D" w:rsidRDefault="00400158" w:rsidP="0032029F">
      <w:pPr>
        <w:pStyle w:val="FootnoteText"/>
        <w:spacing w:before="0"/>
        <w:contextualSpacing/>
      </w:pPr>
      <w:r w:rsidRPr="00C5686D">
        <w:rPr>
          <w:rStyle w:val="FootnoteReference"/>
        </w:rPr>
        <w:footnoteRef/>
      </w:r>
      <w:r w:rsidRPr="00C5686D">
        <w:t xml:space="preserve"> on TripAdvisor. </w:t>
      </w:r>
    </w:p>
  </w:footnote>
  <w:footnote w:id="28">
    <w:p w14:paraId="63737CD4" w14:textId="4FA2C83A" w:rsidR="00400158" w:rsidRPr="0034118B" w:rsidRDefault="00400158" w:rsidP="0032029F">
      <w:pPr>
        <w:pStyle w:val="FootnoteText"/>
        <w:spacing w:before="0"/>
        <w:contextualSpacing/>
      </w:pPr>
      <w:r w:rsidRPr="00C5686D">
        <w:rPr>
          <w:rStyle w:val="FootnoteReference"/>
        </w:rPr>
        <w:footnoteRef/>
      </w:r>
      <w:r w:rsidRPr="00C5686D">
        <w:t xml:space="preserve"> The World Bank </w:t>
      </w:r>
      <w:r w:rsidRPr="00604C9B">
        <w:t xml:space="preserve">team </w:t>
      </w:r>
      <w:r>
        <w:t xml:space="preserve">is </w:t>
      </w:r>
      <w:r w:rsidRPr="00604C9B">
        <w:t>discuss</w:t>
      </w:r>
      <w:r>
        <w:t>ing</w:t>
      </w:r>
      <w:r w:rsidRPr="00604C9B">
        <w:t xml:space="preserve"> opportunities with the government to use this indicator as</w:t>
      </w:r>
      <w:r w:rsidRPr="0034118B">
        <w:t xml:space="preserve"> an DLI instead of #16. </w:t>
      </w:r>
    </w:p>
  </w:footnote>
  <w:footnote w:id="29">
    <w:p w14:paraId="5FE61604" w14:textId="19550BC8" w:rsidR="00400158" w:rsidRPr="00604C9B" w:rsidRDefault="00400158" w:rsidP="0032029F">
      <w:pPr>
        <w:pStyle w:val="FootnoteText"/>
        <w:spacing w:before="0"/>
        <w:contextualSpacing/>
      </w:pPr>
      <w:r w:rsidRPr="00C5686D">
        <w:rPr>
          <w:rStyle w:val="FootnoteReference"/>
        </w:rPr>
        <w:footnoteRef/>
      </w:r>
      <w:r w:rsidRPr="00C5686D">
        <w:t xml:space="preserve"> The Steering Committee is proposed to consist</w:t>
      </w:r>
      <w:r w:rsidRPr="00604C9B">
        <w:t xml:space="preserve"> of Echelon 1 officers from each involved Ministry or Agency and a Technical Committee team. It is co-chaired by the Deputy Infrastructure in the Ministry of National Development Planning (Bappenas) and the Deputy Destination Development and Tourism Industry in the Ministry of Tourism. The Head of RIDA will be secretary of the Steering Committee. The Steering Committee members include (indicative list):</w:t>
      </w:r>
    </w:p>
    <w:p w14:paraId="18E772F1" w14:textId="7B77AD2E" w:rsidR="00400158" w:rsidRPr="0034118B" w:rsidRDefault="00400158" w:rsidP="0032029F">
      <w:pPr>
        <w:pStyle w:val="FootnoteText"/>
        <w:numPr>
          <w:ilvl w:val="0"/>
          <w:numId w:val="113"/>
        </w:numPr>
        <w:tabs>
          <w:tab w:val="left" w:pos="720"/>
        </w:tabs>
        <w:spacing w:before="0"/>
        <w:ind w:left="720" w:hanging="360"/>
        <w:contextualSpacing/>
      </w:pPr>
      <w:r w:rsidRPr="0034118B">
        <w:t>Deputy Economy, Bappenas;</w:t>
      </w:r>
    </w:p>
    <w:p w14:paraId="02315914" w14:textId="558DFA17" w:rsidR="00400158" w:rsidRPr="0034118B" w:rsidRDefault="00400158" w:rsidP="0032029F">
      <w:pPr>
        <w:pStyle w:val="FootnoteText"/>
        <w:numPr>
          <w:ilvl w:val="0"/>
          <w:numId w:val="113"/>
        </w:numPr>
        <w:tabs>
          <w:tab w:val="left" w:pos="720"/>
        </w:tabs>
        <w:spacing w:before="0"/>
        <w:ind w:left="720" w:hanging="360"/>
        <w:contextualSpacing/>
      </w:pPr>
      <w:r w:rsidRPr="0034118B">
        <w:t>Deputy Multilateral Funding, Bappenas;</w:t>
      </w:r>
    </w:p>
    <w:p w14:paraId="3A32F95B" w14:textId="42C03A38" w:rsidR="00400158" w:rsidRPr="0034118B" w:rsidRDefault="00400158" w:rsidP="0032029F">
      <w:pPr>
        <w:pStyle w:val="FootnoteText"/>
        <w:numPr>
          <w:ilvl w:val="0"/>
          <w:numId w:val="113"/>
        </w:numPr>
        <w:tabs>
          <w:tab w:val="left" w:pos="720"/>
        </w:tabs>
        <w:spacing w:before="0"/>
        <w:ind w:left="720" w:hanging="360"/>
        <w:contextualSpacing/>
      </w:pPr>
      <w:r w:rsidRPr="0034118B">
        <w:t>Deputy Infrastructure, Coordinating Ministry for Maritime Affairs;</w:t>
      </w:r>
    </w:p>
    <w:p w14:paraId="5094EE87" w14:textId="63864577" w:rsidR="00400158" w:rsidRPr="0034118B" w:rsidRDefault="00400158" w:rsidP="0032029F">
      <w:pPr>
        <w:pStyle w:val="FootnoteText"/>
        <w:numPr>
          <w:ilvl w:val="0"/>
          <w:numId w:val="113"/>
        </w:numPr>
        <w:tabs>
          <w:tab w:val="left" w:pos="720"/>
        </w:tabs>
        <w:spacing w:before="0"/>
        <w:ind w:left="720" w:hanging="360"/>
        <w:contextualSpacing/>
      </w:pPr>
      <w:r w:rsidRPr="0034118B">
        <w:t>Deputy Regional Development, Coordinating for Economy;</w:t>
      </w:r>
    </w:p>
    <w:p w14:paraId="7C8F930C" w14:textId="3123DF3E" w:rsidR="00400158" w:rsidRPr="0034118B" w:rsidRDefault="00400158" w:rsidP="0032029F">
      <w:pPr>
        <w:pStyle w:val="FootnoteText"/>
        <w:numPr>
          <w:ilvl w:val="0"/>
          <w:numId w:val="113"/>
        </w:numPr>
        <w:tabs>
          <w:tab w:val="left" w:pos="720"/>
        </w:tabs>
        <w:spacing w:before="0"/>
        <w:ind w:left="720" w:hanging="360"/>
        <w:contextualSpacing/>
      </w:pPr>
      <w:r w:rsidRPr="0034118B">
        <w:t>Financing and Risk Management Director, Ministry of Finance</w:t>
      </w:r>
    </w:p>
    <w:p w14:paraId="2B0923AE" w14:textId="6E9AB440" w:rsidR="00400158" w:rsidRPr="0034118B" w:rsidRDefault="00400158" w:rsidP="0032029F">
      <w:pPr>
        <w:pStyle w:val="FootnoteText"/>
        <w:numPr>
          <w:ilvl w:val="0"/>
          <w:numId w:val="113"/>
        </w:numPr>
        <w:tabs>
          <w:tab w:val="left" w:pos="720"/>
        </w:tabs>
        <w:spacing w:before="0"/>
        <w:ind w:left="720" w:hanging="360"/>
        <w:contextualSpacing/>
      </w:pPr>
      <w:r w:rsidRPr="0034118B">
        <w:t>Plt. (</w:t>
      </w:r>
      <w:r w:rsidRPr="0034118B">
        <w:rPr>
          <w:i/>
        </w:rPr>
        <w:t>pelaksana tugas</w:t>
      </w:r>
      <w:r w:rsidRPr="0034118B">
        <w:t xml:space="preserve"> or temporary tasks implementer) Director General Regional Development, Minister of Home Affairs</w:t>
      </w:r>
    </w:p>
    <w:p w14:paraId="18AA887B" w14:textId="298DB786" w:rsidR="00400158" w:rsidRPr="0034118B" w:rsidRDefault="00400158" w:rsidP="0032029F">
      <w:pPr>
        <w:pStyle w:val="FootnoteText"/>
        <w:numPr>
          <w:ilvl w:val="0"/>
          <w:numId w:val="113"/>
        </w:numPr>
        <w:tabs>
          <w:tab w:val="left" w:pos="720"/>
        </w:tabs>
        <w:spacing w:before="0"/>
        <w:ind w:left="720" w:hanging="360"/>
        <w:contextualSpacing/>
      </w:pPr>
      <w:r w:rsidRPr="0034118B">
        <w:t>Director General of Pollution Control and Environmental Degradation, MOEF</w:t>
      </w:r>
    </w:p>
    <w:p w14:paraId="614287FC" w14:textId="3CC6604E" w:rsidR="00400158" w:rsidRPr="0034118B" w:rsidRDefault="00400158" w:rsidP="0032029F">
      <w:pPr>
        <w:pStyle w:val="FootnoteText"/>
        <w:numPr>
          <w:ilvl w:val="0"/>
          <w:numId w:val="113"/>
        </w:numPr>
        <w:tabs>
          <w:tab w:val="left" w:pos="720"/>
        </w:tabs>
        <w:spacing w:before="0"/>
        <w:ind w:left="720" w:hanging="360"/>
        <w:contextualSpacing/>
      </w:pPr>
      <w:r w:rsidRPr="0034118B">
        <w:t>The Secretary General, Ministry of Transportation</w:t>
      </w:r>
    </w:p>
    <w:p w14:paraId="5067BC51" w14:textId="216954E6" w:rsidR="00400158" w:rsidRPr="0034118B" w:rsidRDefault="00400158" w:rsidP="0032029F">
      <w:pPr>
        <w:pStyle w:val="FootnoteText"/>
        <w:numPr>
          <w:ilvl w:val="0"/>
          <w:numId w:val="113"/>
        </w:numPr>
        <w:tabs>
          <w:tab w:val="left" w:pos="720"/>
        </w:tabs>
        <w:spacing w:before="0"/>
        <w:ind w:left="720" w:hanging="360"/>
        <w:contextualSpacing/>
      </w:pPr>
      <w:r w:rsidRPr="0034118B">
        <w:t>Director General of Renewable Energy, Ministry of Energy and Mineral Resources</w:t>
      </w:r>
    </w:p>
    <w:p w14:paraId="36B04D3D" w14:textId="60EAB6BF" w:rsidR="00400158" w:rsidRPr="0034118B" w:rsidRDefault="00400158" w:rsidP="0032029F">
      <w:pPr>
        <w:pStyle w:val="FootnoteText"/>
        <w:numPr>
          <w:ilvl w:val="0"/>
          <w:numId w:val="113"/>
        </w:numPr>
        <w:tabs>
          <w:tab w:val="left" w:pos="720"/>
        </w:tabs>
        <w:spacing w:before="0"/>
        <w:ind w:left="720" w:hanging="360"/>
        <w:contextualSpacing/>
      </w:pPr>
      <w:r w:rsidRPr="0034118B">
        <w:t>The Secretary General, Micro, Small and Medium Scale Enterprises</w:t>
      </w:r>
    </w:p>
    <w:p w14:paraId="248FE086" w14:textId="2771AA42" w:rsidR="00400158" w:rsidRPr="0034118B" w:rsidRDefault="00400158" w:rsidP="0032029F">
      <w:pPr>
        <w:pStyle w:val="FootnoteText"/>
        <w:numPr>
          <w:ilvl w:val="0"/>
          <w:numId w:val="113"/>
        </w:numPr>
        <w:tabs>
          <w:tab w:val="left" w:pos="720"/>
        </w:tabs>
        <w:spacing w:before="0"/>
        <w:ind w:left="720" w:hanging="360"/>
        <w:contextualSpacing/>
      </w:pPr>
      <w:r w:rsidRPr="0034118B">
        <w:t>Investment Climate Development Deputy, The Investment Coordinating Board</w:t>
      </w:r>
    </w:p>
    <w:p w14:paraId="3457055F" w14:textId="4E9D7CE5" w:rsidR="00400158" w:rsidRPr="0034118B" w:rsidRDefault="00400158" w:rsidP="0032029F">
      <w:pPr>
        <w:pStyle w:val="FootnoteText"/>
        <w:numPr>
          <w:ilvl w:val="0"/>
          <w:numId w:val="113"/>
        </w:numPr>
        <w:tabs>
          <w:tab w:val="left" w:pos="720"/>
        </w:tabs>
        <w:spacing w:before="0"/>
        <w:ind w:left="720" w:hanging="360"/>
        <w:contextualSpacing/>
      </w:pPr>
      <w:r w:rsidRPr="0034118B">
        <w:t>The Director General of Spatial Space, Ministry of Agrarian Affairs and Spatial Planning.</w:t>
      </w:r>
    </w:p>
    <w:p w14:paraId="0877B889" w14:textId="77777777" w:rsidR="00400158" w:rsidRPr="0034118B" w:rsidRDefault="00400158" w:rsidP="0032029F">
      <w:pPr>
        <w:pStyle w:val="FootnoteText"/>
        <w:tabs>
          <w:tab w:val="left" w:pos="720"/>
        </w:tabs>
        <w:spacing w:before="0"/>
        <w:ind w:left="720" w:firstLine="0"/>
        <w:contextualSpacing/>
      </w:pPr>
    </w:p>
  </w:footnote>
  <w:footnote w:id="30">
    <w:p w14:paraId="1E7AA392" w14:textId="00E2F650" w:rsidR="00400158" w:rsidRPr="00604C9B" w:rsidRDefault="00400158" w:rsidP="0032029F">
      <w:pPr>
        <w:pStyle w:val="FootnoteText"/>
        <w:spacing w:before="0"/>
        <w:contextualSpacing/>
      </w:pPr>
      <w:r w:rsidRPr="00C5686D">
        <w:rPr>
          <w:rStyle w:val="FootnoteReference"/>
        </w:rPr>
        <w:footnoteRef/>
      </w:r>
      <w:r w:rsidRPr="00C5686D">
        <w:t xml:space="preserve"> The proposed Technical Committee consists of tourism development Echelon II officials of each involved ministry or agency. It is co-chaired by the Director of Industry, Tourism and Creative Economy in the Ministry of Planning / Bappenas and the Deputy Assistant Infrastructure Development and Impacts of Tourism in the Ministry of </w:t>
      </w:r>
      <w:r w:rsidRPr="00604C9B">
        <w:t>Tourism. Head Strategic Area Development Center, RIDA will be secretary with the composition the team as follows (indicative):</w:t>
      </w:r>
    </w:p>
    <w:p w14:paraId="61E1D87A" w14:textId="71E0FD64" w:rsidR="00400158" w:rsidRPr="00604C9B" w:rsidRDefault="00400158" w:rsidP="0032029F">
      <w:pPr>
        <w:pStyle w:val="FootnoteText"/>
        <w:numPr>
          <w:ilvl w:val="0"/>
          <w:numId w:val="111"/>
        </w:numPr>
        <w:spacing w:before="0"/>
        <w:ind w:left="720" w:hanging="360"/>
        <w:contextualSpacing/>
      </w:pPr>
      <w:r w:rsidRPr="00604C9B">
        <w:t>The Director of Multilateral Foreign Funding, Bappenas;</w:t>
      </w:r>
    </w:p>
    <w:p w14:paraId="303AA241" w14:textId="09564253" w:rsidR="00400158" w:rsidRPr="0034118B" w:rsidRDefault="00400158" w:rsidP="0032029F">
      <w:pPr>
        <w:pStyle w:val="FootnoteText"/>
        <w:numPr>
          <w:ilvl w:val="0"/>
          <w:numId w:val="111"/>
        </w:numPr>
        <w:spacing w:before="0"/>
        <w:ind w:left="720" w:hanging="360"/>
        <w:contextualSpacing/>
      </w:pPr>
      <w:r w:rsidRPr="0034118B">
        <w:t>The Director of Transportation, National Development Planning Agency;</w:t>
      </w:r>
    </w:p>
    <w:p w14:paraId="546F5A99" w14:textId="4D3B256C" w:rsidR="00400158" w:rsidRPr="0034118B" w:rsidRDefault="00400158" w:rsidP="0032029F">
      <w:pPr>
        <w:pStyle w:val="FootnoteText"/>
        <w:numPr>
          <w:ilvl w:val="0"/>
          <w:numId w:val="111"/>
        </w:numPr>
        <w:spacing w:before="0"/>
        <w:ind w:left="720" w:hanging="360"/>
        <w:contextualSpacing/>
      </w:pPr>
      <w:r w:rsidRPr="0034118B">
        <w:t>The Director of Water and Irrigation, National Development Planning Agency;</w:t>
      </w:r>
    </w:p>
    <w:p w14:paraId="4EF38842" w14:textId="71176DB5" w:rsidR="00400158" w:rsidRPr="0034118B" w:rsidRDefault="00400158" w:rsidP="0032029F">
      <w:pPr>
        <w:pStyle w:val="FootnoteText"/>
        <w:numPr>
          <w:ilvl w:val="0"/>
          <w:numId w:val="111"/>
        </w:numPr>
        <w:spacing w:before="0"/>
        <w:ind w:left="720" w:hanging="360"/>
        <w:contextualSpacing/>
      </w:pPr>
      <w:r w:rsidRPr="0034118B">
        <w:t>Deputy Infrastructure, Coordinating Minister for Maritime Affairs;</w:t>
      </w:r>
    </w:p>
    <w:p w14:paraId="6FBF1C4C" w14:textId="2AD8B1EA" w:rsidR="00400158" w:rsidRPr="0034118B" w:rsidRDefault="00400158" w:rsidP="0032029F">
      <w:pPr>
        <w:pStyle w:val="FootnoteText"/>
        <w:numPr>
          <w:ilvl w:val="0"/>
          <w:numId w:val="111"/>
        </w:numPr>
        <w:spacing w:before="0"/>
        <w:ind w:left="720" w:hanging="360"/>
        <w:contextualSpacing/>
      </w:pPr>
      <w:r w:rsidRPr="0034118B">
        <w:t>Director of Environmental Pollution, Ministry of Environment and Forestry;</w:t>
      </w:r>
    </w:p>
    <w:p w14:paraId="11AD8506" w14:textId="562E2CE8" w:rsidR="00400158" w:rsidRPr="0034118B" w:rsidRDefault="00400158" w:rsidP="0032029F">
      <w:pPr>
        <w:pStyle w:val="FootnoteText"/>
        <w:numPr>
          <w:ilvl w:val="0"/>
          <w:numId w:val="111"/>
        </w:numPr>
        <w:spacing w:before="0"/>
        <w:ind w:left="720" w:hanging="360"/>
        <w:contextualSpacing/>
      </w:pPr>
      <w:r w:rsidRPr="0034118B">
        <w:t>Head Planning Bureau, Ministry of Transportation;</w:t>
      </w:r>
    </w:p>
    <w:p w14:paraId="48D502EF" w14:textId="447DA463" w:rsidR="00400158" w:rsidRPr="0034118B" w:rsidRDefault="00400158" w:rsidP="0032029F">
      <w:pPr>
        <w:pStyle w:val="FootnoteText"/>
        <w:numPr>
          <w:ilvl w:val="0"/>
          <w:numId w:val="111"/>
        </w:numPr>
        <w:spacing w:before="0"/>
        <w:ind w:left="720" w:hanging="360"/>
        <w:contextualSpacing/>
      </w:pPr>
      <w:r w:rsidRPr="0034118B">
        <w:t>The Secretary of the Board of Special Economic Zone;</w:t>
      </w:r>
    </w:p>
    <w:p w14:paraId="2EDE56CE" w14:textId="23183738" w:rsidR="00400158" w:rsidRPr="0034118B" w:rsidRDefault="00400158" w:rsidP="0032029F">
      <w:pPr>
        <w:pStyle w:val="FootnoteText"/>
        <w:numPr>
          <w:ilvl w:val="0"/>
          <w:numId w:val="111"/>
        </w:numPr>
        <w:spacing w:before="0"/>
        <w:ind w:left="720" w:hanging="360"/>
        <w:contextualSpacing/>
      </w:pPr>
      <w:r w:rsidRPr="0034118B">
        <w:t>Director of Investment Promotion, The Investment Coordinating Board;</w:t>
      </w:r>
    </w:p>
    <w:p w14:paraId="22B4D75B" w14:textId="730B1D3B" w:rsidR="00400158" w:rsidRPr="0034118B" w:rsidRDefault="00400158" w:rsidP="0032029F">
      <w:pPr>
        <w:pStyle w:val="FootnoteText"/>
        <w:numPr>
          <w:ilvl w:val="0"/>
          <w:numId w:val="111"/>
        </w:numPr>
        <w:spacing w:before="0"/>
        <w:ind w:left="720" w:hanging="360"/>
        <w:contextualSpacing/>
      </w:pPr>
      <w:r w:rsidRPr="0034118B">
        <w:t>Deputy Assistant Business Sectors Energy, Logistics, Metro, and Tourism, the Ministry of State Owned Enterprises;</w:t>
      </w:r>
    </w:p>
    <w:p w14:paraId="4B1671E3" w14:textId="0C6D61FD" w:rsidR="00400158" w:rsidRPr="0034118B" w:rsidRDefault="00400158" w:rsidP="0032029F">
      <w:pPr>
        <w:pStyle w:val="FootnoteText"/>
        <w:numPr>
          <w:ilvl w:val="0"/>
          <w:numId w:val="111"/>
        </w:numPr>
        <w:spacing w:before="0"/>
        <w:ind w:left="720" w:hanging="360"/>
        <w:contextualSpacing/>
      </w:pPr>
      <w:r w:rsidRPr="0034118B">
        <w:t>The Ministry of Cooperatives and Small-scale Enterprises (MSME).</w:t>
      </w:r>
    </w:p>
  </w:footnote>
  <w:footnote w:id="31">
    <w:p w14:paraId="7DDD6E8A" w14:textId="77777777" w:rsidR="00400158" w:rsidRPr="00C5686D" w:rsidRDefault="00400158" w:rsidP="0032029F">
      <w:pPr>
        <w:pStyle w:val="FootnoteText"/>
        <w:spacing w:before="0"/>
        <w:contextualSpacing/>
      </w:pPr>
      <w:r w:rsidRPr="00C5686D">
        <w:rPr>
          <w:rStyle w:val="FootnoteReference"/>
        </w:rPr>
        <w:footnoteRef/>
      </w:r>
      <w:r w:rsidRPr="00C5686D">
        <w:t xml:space="preserve"> Presidential Regulation No. 49 concerning “The Lake Toba Tourism Area Management Authority Board”</w:t>
      </w:r>
    </w:p>
  </w:footnote>
  <w:footnote w:id="32">
    <w:p w14:paraId="27DB0EB3" w14:textId="5028A792" w:rsidR="00400158" w:rsidRPr="0034118B" w:rsidRDefault="00400158" w:rsidP="0032029F">
      <w:pPr>
        <w:pStyle w:val="FootnoteText"/>
        <w:spacing w:before="0"/>
        <w:contextualSpacing/>
      </w:pPr>
      <w:r w:rsidRPr="00C5686D">
        <w:rPr>
          <w:rStyle w:val="FootnoteReference"/>
        </w:rPr>
        <w:footnoteRef/>
      </w:r>
      <w:r w:rsidRPr="00C5686D">
        <w:t xml:space="preserve"> As part of Program preparation, upon the government’s request, a report (the “Demand Assessment”) wa</w:t>
      </w:r>
      <w:r w:rsidRPr="00604C9B">
        <w:t xml:space="preserve">s prepared that covered for each of the destinations: (i) baseline supply and demand of tourism services; (ii) investment analysis; future market demand analysis (future visitors and investors); and (iv) investment needs (destination infrastructure, tourism infrastructure, skills, firm capabilities and legal and regulatory environment). The final reports are available at: </w:t>
      </w:r>
      <w:r w:rsidRPr="00753BF9">
        <w:t>www.bpiw.go.id</w:t>
      </w:r>
    </w:p>
  </w:footnote>
  <w:footnote w:id="33">
    <w:p w14:paraId="398CB8DC" w14:textId="2457447B" w:rsidR="00400158" w:rsidRPr="0034118B" w:rsidRDefault="00400158" w:rsidP="0032029F">
      <w:pPr>
        <w:pStyle w:val="FootnoteText"/>
        <w:spacing w:before="0"/>
        <w:ind w:left="0" w:firstLine="0"/>
        <w:contextualSpacing/>
      </w:pPr>
      <w:r w:rsidRPr="00C5686D">
        <w:rPr>
          <w:rStyle w:val="FootnoteReference"/>
        </w:rPr>
        <w:footnoteRef/>
      </w:r>
      <w:r w:rsidRPr="00C5686D">
        <w:t xml:space="preserve"> As explained above, in the absence of ITMPs, s</w:t>
      </w:r>
      <w:r w:rsidRPr="00604C9B">
        <w:t>ubject to screening to eliminate activities likely to have significant adverse impacts that are sensitive, diverse, or unprecedented on the environment and/or affected people</w:t>
      </w:r>
      <w:r w:rsidRPr="0034118B">
        <w:t xml:space="preserve">, as per Annex 3. Once, ITMPs have been finalized, subject to alignment with ITMPs.  </w:t>
      </w:r>
    </w:p>
  </w:footnote>
  <w:footnote w:id="34">
    <w:p w14:paraId="0B67482B" w14:textId="7E983129" w:rsidR="00400158" w:rsidRPr="0032029F" w:rsidRDefault="00400158" w:rsidP="0032029F">
      <w:pPr>
        <w:pStyle w:val="NoSpacing"/>
        <w:ind w:left="0" w:firstLine="0"/>
        <w:contextualSpacing/>
        <w:rPr>
          <w:b w:val="0"/>
          <w:szCs w:val="20"/>
        </w:rPr>
      </w:pPr>
      <w:r w:rsidRPr="0032029F">
        <w:rPr>
          <w:rStyle w:val="FootnoteReference"/>
          <w:b w:val="0"/>
          <w:szCs w:val="20"/>
        </w:rPr>
        <w:footnoteRef/>
      </w:r>
      <w:r w:rsidRPr="0032029F">
        <w:rPr>
          <w:b w:val="0"/>
          <w:szCs w:val="20"/>
        </w:rPr>
        <w:t xml:space="preserve"> </w:t>
      </w:r>
      <w:r w:rsidRPr="00C5686D">
        <w:rPr>
          <w:b w:val="0"/>
          <w:szCs w:val="20"/>
        </w:rPr>
        <w:t xml:space="preserve">First five bullets are </w:t>
      </w:r>
      <w:r w:rsidRPr="00604C9B">
        <w:rPr>
          <w:b w:val="0"/>
          <w:szCs w:val="20"/>
        </w:rPr>
        <w:t xml:space="preserve">based on the Demand Assessment as </w:t>
      </w:r>
      <w:r w:rsidRPr="001867D7">
        <w:rPr>
          <w:b w:val="0"/>
          <w:szCs w:val="20"/>
        </w:rPr>
        <w:t>par</w:t>
      </w:r>
      <w:r w:rsidRPr="00932A73">
        <w:rPr>
          <w:b w:val="0"/>
          <w:szCs w:val="20"/>
        </w:rPr>
        <w:t>t of Program preparation. The last five</w:t>
      </w:r>
      <w:r>
        <w:rPr>
          <w:b w:val="0"/>
          <w:szCs w:val="20"/>
        </w:rPr>
        <w:t xml:space="preserve"> bullets could </w:t>
      </w:r>
      <w:r w:rsidRPr="001867D7">
        <w:rPr>
          <w:b w:val="0"/>
          <w:szCs w:val="20"/>
        </w:rPr>
        <w:t>possibly also be needed to achieve results.</w:t>
      </w:r>
      <w:r w:rsidRPr="0032029F">
        <w:rPr>
          <w:b w:val="0"/>
          <w:szCs w:val="20"/>
        </w:rPr>
        <w:t xml:space="preserve"> </w:t>
      </w:r>
    </w:p>
  </w:footnote>
  <w:footnote w:id="35">
    <w:p w14:paraId="1EB2FBE3" w14:textId="73D0D724" w:rsidR="00400158" w:rsidRPr="00C5686D" w:rsidRDefault="00400158" w:rsidP="0032029F">
      <w:pPr>
        <w:pStyle w:val="FootnoteText"/>
        <w:spacing w:before="0"/>
        <w:contextualSpacing/>
      </w:pPr>
      <w:r w:rsidRPr="00C5686D">
        <w:rPr>
          <w:rStyle w:val="FootnoteReference"/>
        </w:rPr>
        <w:footnoteRef/>
      </w:r>
      <w:r w:rsidRPr="00C5686D">
        <w:t xml:space="preserve"> Based on the Demand Assessment, none of these types of investment have been identified as required to achieve the Program’s results. </w:t>
      </w:r>
      <w:r>
        <w:t xml:space="preserve">They are mentioned here as a precaution. </w:t>
      </w:r>
    </w:p>
  </w:footnote>
  <w:footnote w:id="36">
    <w:p w14:paraId="4FC250B7" w14:textId="42EADA81" w:rsidR="00400158" w:rsidRPr="000F5058" w:rsidRDefault="00400158" w:rsidP="007B1A26">
      <w:pPr>
        <w:pStyle w:val="FootnoteText"/>
        <w:spacing w:before="0"/>
        <w:contextualSpacing/>
        <w:rPr>
          <w:lang w:val="en-MY"/>
        </w:rPr>
      </w:pPr>
      <w:r w:rsidRPr="009341AC">
        <w:rPr>
          <w:rStyle w:val="FootnoteReference"/>
        </w:rPr>
        <w:footnoteRef/>
      </w:r>
      <w:r w:rsidRPr="009341AC">
        <w:t xml:space="preserve"> </w:t>
      </w:r>
      <w:r w:rsidRPr="000F5058">
        <w:rPr>
          <w:lang w:val="en-MY"/>
        </w:rPr>
        <w:t>No new landfill is needed in the short term planning</w:t>
      </w:r>
      <w:r w:rsidRPr="0032029F">
        <w:rPr>
          <w:lang w:val="en-MY"/>
        </w:rPr>
        <w:t>. P</w:t>
      </w:r>
      <w:r w:rsidRPr="009341AC">
        <w:rPr>
          <w:lang w:val="en-MY"/>
        </w:rPr>
        <w:t xml:space="preserve">ossible expansion of </w:t>
      </w:r>
      <w:r w:rsidRPr="0032029F">
        <w:rPr>
          <w:lang w:val="en-MY"/>
        </w:rPr>
        <w:t xml:space="preserve">an </w:t>
      </w:r>
      <w:r w:rsidRPr="009341AC">
        <w:rPr>
          <w:lang w:val="en-MY"/>
        </w:rPr>
        <w:t>existing Final Disposal Si</w:t>
      </w:r>
      <w:r w:rsidRPr="000F5058">
        <w:rPr>
          <w:lang w:val="en-MY"/>
        </w:rPr>
        <w:t xml:space="preserve">te is already in planning stage by </w:t>
      </w:r>
      <w:r w:rsidRPr="0032029F">
        <w:rPr>
          <w:lang w:val="en-MY"/>
        </w:rPr>
        <w:t xml:space="preserve">the </w:t>
      </w:r>
      <w:r w:rsidRPr="009341AC">
        <w:rPr>
          <w:lang w:val="en-MY"/>
        </w:rPr>
        <w:t>local government.</w:t>
      </w:r>
      <w:r w:rsidRPr="000F5058">
        <w:rPr>
          <w:lang w:val="en-MY"/>
        </w:rPr>
        <w:t xml:space="preserve"> </w:t>
      </w:r>
    </w:p>
  </w:footnote>
  <w:footnote w:id="37">
    <w:p w14:paraId="12FDD049" w14:textId="5C92E86B" w:rsidR="00400158" w:rsidRPr="000F5058" w:rsidRDefault="00400158" w:rsidP="007B1A26">
      <w:pPr>
        <w:pStyle w:val="FootnoteText"/>
        <w:spacing w:before="0"/>
      </w:pPr>
      <w:r w:rsidRPr="009341AC">
        <w:rPr>
          <w:rStyle w:val="FootnoteReference"/>
        </w:rPr>
        <w:footnoteRef/>
      </w:r>
      <w:r w:rsidRPr="009341AC">
        <w:t xml:space="preserve"> Large and medium-scale solid waste facilities are currently in the identification and project preparation stage under a potential World Bank investment loan for cities identified as Tier 1 and Tie</w:t>
      </w:r>
      <w:r w:rsidRPr="000F5058">
        <w:t xml:space="preserve">r 2 cities for potential construction regional solid waste facilities.  Some of the Tier 1 and Tier 2 cities that are possible participants are near key tourism destinations, including Magelang in Central Java Province; Padang in </w:t>
      </w:r>
      <w:r>
        <w:t>West</w:t>
      </w:r>
      <w:r w:rsidRPr="000F5058">
        <w:t xml:space="preserve"> Sumatera and Palembang in South Sumatera.  </w:t>
      </w:r>
    </w:p>
  </w:footnote>
  <w:footnote w:id="38">
    <w:p w14:paraId="2C102E24" w14:textId="33D528DA" w:rsidR="00400158" w:rsidRDefault="00400158" w:rsidP="007B1A26">
      <w:pPr>
        <w:pStyle w:val="FootnoteText"/>
        <w:spacing w:before="0"/>
      </w:pPr>
      <w:r w:rsidRPr="009341AC">
        <w:rPr>
          <w:rStyle w:val="FootnoteReference"/>
        </w:rPr>
        <w:footnoteRef/>
      </w:r>
      <w:r w:rsidRPr="009341AC">
        <w:t xml:space="preserve"> </w:t>
      </w:r>
      <w:r w:rsidRPr="000F5058">
        <w:t>The assessment is guided in part by the IEG’s observation that PforR projects have been too risk-averse in excluding waste and wastewater infrastructure, thereby missing opportunities to make substantial environmental improvements. As far as roads are concerned, most rehabilitation and reconstruction activities do not entail significant risks and are normally in Category B when under IPF loans. Widening can sometimes (but not always) result in substantial resettlement, but the negative list would eliminate such projects from the Program. A $350million Category B roads project active in Indonesia today includes minor roads widening.</w:t>
      </w:r>
    </w:p>
  </w:footnote>
  <w:footnote w:id="39">
    <w:p w14:paraId="759AEA15" w14:textId="3D754859" w:rsidR="00400158" w:rsidRPr="00C5686D" w:rsidRDefault="00400158" w:rsidP="0032029F">
      <w:pPr>
        <w:pStyle w:val="FootnoteText"/>
        <w:spacing w:before="0"/>
        <w:contextualSpacing/>
      </w:pPr>
      <w:r w:rsidRPr="00C5686D">
        <w:rPr>
          <w:rStyle w:val="FootnoteReference"/>
        </w:rPr>
        <w:footnoteRef/>
      </w:r>
      <w:r w:rsidRPr="00C5686D">
        <w:t xml:space="preserve"> Some of these Consultants’ Services will be financed under the IPF component. </w:t>
      </w:r>
    </w:p>
  </w:footnote>
  <w:footnote w:id="40">
    <w:p w14:paraId="6508AF18" w14:textId="1247B770" w:rsidR="00400158" w:rsidRPr="00C5686D" w:rsidRDefault="00400158" w:rsidP="00C5686D">
      <w:pPr>
        <w:pStyle w:val="MainParanoChapter-Ch3"/>
        <w:numPr>
          <w:ilvl w:val="0"/>
          <w:numId w:val="0"/>
        </w:numPr>
        <w:tabs>
          <w:tab w:val="left" w:pos="8730"/>
          <w:tab w:val="left" w:pos="8820"/>
        </w:tabs>
        <w:rPr>
          <w:b/>
          <w:sz w:val="20"/>
          <w:szCs w:val="20"/>
        </w:rPr>
      </w:pPr>
      <w:r w:rsidRPr="00C5686D">
        <w:rPr>
          <w:rStyle w:val="FootnoteReference"/>
          <w:b/>
          <w:sz w:val="20"/>
          <w:szCs w:val="20"/>
        </w:rPr>
        <w:footnoteRef/>
      </w:r>
      <w:r w:rsidRPr="00C5686D">
        <w:rPr>
          <w:b/>
          <w:sz w:val="20"/>
          <w:szCs w:val="20"/>
        </w:rPr>
        <w:t xml:space="preserve"> </w:t>
      </w:r>
      <w:r w:rsidRPr="00614EA1">
        <w:rPr>
          <w:bCs/>
          <w:sz w:val="20"/>
          <w:szCs w:val="20"/>
        </w:rPr>
        <w:t>Issuance of Presidential Regulation for Destination Level coordination and implementation arrangements will be part of Program Action Plan.</w:t>
      </w:r>
      <w:r w:rsidRPr="00C5686D">
        <w:rPr>
          <w:b/>
          <w:sz w:val="20"/>
          <w:szCs w:val="20"/>
        </w:rPr>
        <w:t xml:space="preserve"> </w:t>
      </w:r>
    </w:p>
    <w:p w14:paraId="5084BD17" w14:textId="17F4DAB9" w:rsidR="00400158" w:rsidRPr="00C5686D" w:rsidRDefault="00400158" w:rsidP="0032029F">
      <w:pPr>
        <w:pStyle w:val="FootnoteText"/>
        <w:spacing w:before="0"/>
        <w:contextualSpacing/>
        <w:rPr>
          <w:color w:val="auto"/>
        </w:rPr>
      </w:pPr>
    </w:p>
  </w:footnote>
  <w:footnote w:id="41">
    <w:p w14:paraId="47C36287" w14:textId="7BD0029A" w:rsidR="00400158" w:rsidRPr="00604C9B" w:rsidRDefault="00400158" w:rsidP="0032029F">
      <w:pPr>
        <w:pStyle w:val="FootnoteText"/>
        <w:spacing w:before="0"/>
        <w:contextualSpacing/>
      </w:pPr>
      <w:r w:rsidRPr="00C5686D">
        <w:rPr>
          <w:rStyle w:val="FootnoteReference"/>
        </w:rPr>
        <w:footnoteRef/>
      </w:r>
      <w:r w:rsidRPr="00C5686D">
        <w:t xml:space="preserve"> Silahisabungan, Merek, Muara, Baktiraja, Lintongnihuta, Paranginan, Pematang Silimahuta, Silimakuta, Purba, Haranggaol Horison, Dolok Pardamea</w:t>
      </w:r>
      <w:r w:rsidRPr="00604C9B">
        <w:t xml:space="preserve">n, Pematang Sidamanik, Girsang Sipangan Bolon, Ajibata, Lumban Julu, Uluan, Porsea, Siantar Narumonda, Sigumpar, Laguboti, Balige, Tampahan, Sianjur Mulamula, Harian, Sitiotio, Balige, Simanindo, Pangururan, Nainggolan, Onan Runggu, Palipi, and Ronggur Nihuta. </w:t>
      </w:r>
    </w:p>
  </w:footnote>
  <w:footnote w:id="42">
    <w:p w14:paraId="703B0E72" w14:textId="77777777" w:rsidR="00400158" w:rsidRPr="00604C9B" w:rsidRDefault="00400158" w:rsidP="0032029F">
      <w:pPr>
        <w:pStyle w:val="footnotedescription"/>
        <w:spacing w:line="240" w:lineRule="auto"/>
        <w:ind w:left="0" w:firstLine="0"/>
        <w:contextualSpacing/>
        <w:rPr>
          <w:szCs w:val="20"/>
        </w:rPr>
      </w:pPr>
      <w:r w:rsidRPr="00C5686D">
        <w:rPr>
          <w:rStyle w:val="footnotemark"/>
          <w:szCs w:val="20"/>
        </w:rPr>
        <w:footnoteRef/>
      </w:r>
      <w:r w:rsidRPr="00C5686D">
        <w:rPr>
          <w:szCs w:val="20"/>
        </w:rPr>
        <w:t xml:space="preserve"> RKL: </w:t>
      </w:r>
      <w:r w:rsidRPr="00C5686D">
        <w:rPr>
          <w:i/>
          <w:szCs w:val="20"/>
        </w:rPr>
        <w:t>Rencana Pengelolaan Lingkungan</w:t>
      </w:r>
      <w:r w:rsidRPr="00C5686D">
        <w:rPr>
          <w:szCs w:val="20"/>
        </w:rPr>
        <w:t xml:space="preserve"> (Environmental Management Plan) and RPL: </w:t>
      </w:r>
      <w:r w:rsidRPr="00C5686D">
        <w:rPr>
          <w:i/>
          <w:szCs w:val="20"/>
        </w:rPr>
        <w:t>Rencana Pemantauan Lingkungan</w:t>
      </w:r>
      <w:r w:rsidRPr="00604C9B">
        <w:rPr>
          <w:szCs w:val="20"/>
        </w:rPr>
        <w:t xml:space="preserve"> (Environmental Monitoring Plan)  </w:t>
      </w:r>
    </w:p>
  </w:footnote>
  <w:footnote w:id="43">
    <w:p w14:paraId="70A8D6EB" w14:textId="46BAE0D9" w:rsidR="00400158" w:rsidRPr="0034118B" w:rsidRDefault="00400158" w:rsidP="0032029F">
      <w:pPr>
        <w:spacing w:before="0"/>
        <w:contextualSpacing/>
        <w:rPr>
          <w:sz w:val="20"/>
          <w:szCs w:val="20"/>
        </w:rPr>
      </w:pPr>
      <w:r w:rsidRPr="00C5686D">
        <w:rPr>
          <w:rStyle w:val="FootnoteReference"/>
          <w:sz w:val="20"/>
          <w:szCs w:val="20"/>
        </w:rPr>
        <w:footnoteRef/>
      </w:r>
      <w:r w:rsidRPr="00C5686D">
        <w:rPr>
          <w:sz w:val="20"/>
          <w:szCs w:val="20"/>
        </w:rPr>
        <w:t xml:space="preserve"> Presidential Regulation No. 71/2012 Concerning Implementing Regulation of Law No. 2 Year </w:t>
      </w:r>
      <w:r w:rsidRPr="00604C9B">
        <w:rPr>
          <w:sz w:val="20"/>
          <w:szCs w:val="20"/>
        </w:rPr>
        <w:t>2012 on Land Acquisition for Development of Public Use; Head of National Land Agency Regulation No. 5 Year 2012 Concerning Implementing Regulation on Land Acquisition for Development of Public Use; Ministry of Finance Regulation No. 13/PMK.02 Year 2013 Concerning Operational and Supporting Cost of Land Acquisition for Development of Public Use provided by National Budget (APBN); Ministry of Home Affairs Regulation (Permendagri) No. 72 Year 2012 Conce</w:t>
      </w:r>
      <w:r w:rsidRPr="0034118B">
        <w:rPr>
          <w:sz w:val="20"/>
          <w:szCs w:val="20"/>
        </w:rPr>
        <w:t>rning Operational and Supporting Cost in Implementation of Land Acquisition for Development of Public Use provided by Regional Budget (APBD).</w:t>
      </w:r>
    </w:p>
  </w:footnote>
  <w:footnote w:id="44">
    <w:p w14:paraId="626FF71E" w14:textId="550230E4" w:rsidR="00400158" w:rsidRPr="00604C9B" w:rsidRDefault="00400158" w:rsidP="0032029F">
      <w:pPr>
        <w:pStyle w:val="FootnoteText"/>
        <w:spacing w:before="0"/>
        <w:contextualSpacing/>
      </w:pPr>
      <w:r w:rsidRPr="00C5686D">
        <w:rPr>
          <w:rStyle w:val="FootnoteReference"/>
        </w:rPr>
        <w:footnoteRef/>
      </w:r>
      <w:r w:rsidRPr="00C5686D">
        <w:t xml:space="preserve"> </w:t>
      </w:r>
      <w:r w:rsidRPr="00C5686D">
        <w:rPr>
          <w:i/>
          <w:iCs/>
        </w:rPr>
        <w:t xml:space="preserve">Lex specialis </w:t>
      </w:r>
      <w:r w:rsidRPr="00C5686D">
        <w:t xml:space="preserve">is a legal </w:t>
      </w:r>
      <w:bookmarkStart w:id="75" w:name="OLE_LINK67"/>
      <w:r w:rsidRPr="00C5686D">
        <w:t xml:space="preserve">doctrine </w:t>
      </w:r>
      <w:bookmarkEnd w:id="75"/>
      <w:r w:rsidRPr="00C5686D">
        <w:t>regarding the interpretation of laws, which says that a law which governs a specific matter overrides a more general law governing the same matters more broadly.</w:t>
      </w:r>
    </w:p>
  </w:footnote>
  <w:footnote w:id="45">
    <w:p w14:paraId="291A4D78" w14:textId="08EBC61E" w:rsidR="00400158" w:rsidRPr="00604C9B" w:rsidRDefault="00400158" w:rsidP="0032029F">
      <w:pPr>
        <w:pStyle w:val="FootnoteText"/>
        <w:spacing w:before="0"/>
        <w:contextualSpacing/>
      </w:pPr>
      <w:r w:rsidRPr="00C5686D">
        <w:rPr>
          <w:rStyle w:val="FootnoteReference"/>
        </w:rPr>
        <w:footnoteRef/>
      </w:r>
      <w:r w:rsidRPr="00C5686D">
        <w:t xml:space="preserve"> Law No. 51</w:t>
      </w:r>
      <w:r w:rsidRPr="00604C9B">
        <w:t xml:space="preserve"> Year 1960 Concerning Prohibition of Land Utilization Without Permission from Owner or Representative</w:t>
      </w:r>
    </w:p>
  </w:footnote>
  <w:footnote w:id="46">
    <w:p w14:paraId="3D7DB980" w14:textId="4048E910" w:rsidR="00400158" w:rsidRPr="0034118B" w:rsidRDefault="00400158" w:rsidP="0032029F">
      <w:pPr>
        <w:pStyle w:val="FootnoteText"/>
        <w:spacing w:before="0"/>
        <w:contextualSpacing/>
        <w:rPr>
          <w:vertAlign w:val="superscript"/>
        </w:rPr>
      </w:pPr>
      <w:r w:rsidRPr="00604C9B">
        <w:rPr>
          <w:rStyle w:val="FootnoteReference"/>
        </w:rPr>
        <w:t xml:space="preserve">30 </w:t>
      </w:r>
      <w:r w:rsidRPr="00604C9B">
        <w:t>See provisions regarding preparation phase of land acqu</w:t>
      </w:r>
      <w:r w:rsidRPr="0034118B">
        <w:t>isition project of Law No. 2 Year 2012.</w:t>
      </w:r>
    </w:p>
  </w:footnote>
  <w:footnote w:id="47">
    <w:p w14:paraId="0E6FA373" w14:textId="3AED34D6" w:rsidR="00400158" w:rsidRPr="00604C9B" w:rsidRDefault="00400158" w:rsidP="0032029F">
      <w:pPr>
        <w:pStyle w:val="FootnoteText"/>
        <w:spacing w:before="0"/>
        <w:contextualSpacing/>
      </w:pPr>
      <w:r w:rsidRPr="00C5686D">
        <w:rPr>
          <w:rStyle w:val="FootnoteReference"/>
        </w:rPr>
        <w:footnoteRef/>
      </w:r>
      <w:r w:rsidRPr="00C5686D">
        <w:t xml:space="preserve"> Elucidation of Article 33 on “Other appraisable loss” means nonphysical loss equivalent to money value, for example, loss due to loss of business or job, cost of change of location, cost of change of profession, and loss of value of the remaining property.</w:t>
      </w:r>
    </w:p>
  </w:footnote>
  <w:footnote w:id="48">
    <w:p w14:paraId="4012BF92" w14:textId="1CB52CD5" w:rsidR="00400158" w:rsidRPr="00C5686D" w:rsidRDefault="00400158" w:rsidP="0032029F">
      <w:pPr>
        <w:pStyle w:val="FootnoteText"/>
        <w:spacing w:before="0"/>
        <w:contextualSpacing/>
      </w:pPr>
      <w:r w:rsidRPr="00C5686D">
        <w:rPr>
          <w:rStyle w:val="FootnoteReference"/>
        </w:rPr>
        <w:footnoteRef/>
      </w:r>
      <w:r w:rsidRPr="00C5686D">
        <w:t xml:space="preserve"> Based on discussion with Head of BPN, “Good faith” means illegal occupants who during their occupation do not conduct activities which are different from its land use.  For instance, if the occupant builds a house on the government land (idle) assigned for agriculture uses, the illegal occupant is categorized as non-good faith and is not entitled to compensation. </w:t>
      </w:r>
    </w:p>
  </w:footnote>
  <w:footnote w:id="49">
    <w:p w14:paraId="2707965B" w14:textId="77777777" w:rsidR="00400158" w:rsidRPr="00C5686D" w:rsidRDefault="00400158" w:rsidP="0032029F">
      <w:pPr>
        <w:pStyle w:val="FootnoteText"/>
        <w:spacing w:before="0"/>
        <w:contextualSpacing/>
        <w:rPr>
          <w:i/>
        </w:rPr>
      </w:pPr>
      <w:r w:rsidRPr="00C5686D">
        <w:rPr>
          <w:rStyle w:val="FootnoteReference"/>
        </w:rPr>
        <w:footnoteRef/>
      </w:r>
      <w:r w:rsidRPr="00C5686D">
        <w:t xml:space="preserve"> UNWTO. 2004. </w:t>
      </w:r>
      <w:r w:rsidRPr="00C5686D">
        <w:rPr>
          <w:i/>
        </w:rPr>
        <w:t xml:space="preserve">Indicators of Sustainable Development for Tourism Destinations. A Guidebook. </w:t>
      </w:r>
    </w:p>
  </w:footnote>
  <w:footnote w:id="50">
    <w:p w14:paraId="1E398332" w14:textId="51DDF5B9" w:rsidR="00400158" w:rsidRPr="0034118B" w:rsidRDefault="00400158" w:rsidP="0032029F">
      <w:pPr>
        <w:pStyle w:val="FootnoteText"/>
        <w:spacing w:before="0"/>
        <w:contextualSpacing/>
      </w:pPr>
      <w:r w:rsidRPr="00C5686D">
        <w:rPr>
          <w:rStyle w:val="FootnoteReference"/>
        </w:rPr>
        <w:footnoteRef/>
      </w:r>
      <w:r w:rsidRPr="00C5686D">
        <w:t xml:space="preserve"> I</w:t>
      </w:r>
      <w:r w:rsidRPr="00C5686D">
        <w:rPr>
          <w:color w:val="auto"/>
        </w:rPr>
        <w:t>n recent years following Constitutional Court Ruling (MK35), there has been increasing political pressure for land rights recognition. Such pressure has helped to shift greater roles in the recognition and protection of the rights of MHA to the Ministry of the Environment and Forestry (MOEF)</w:t>
      </w:r>
      <w:r w:rsidRPr="00604C9B">
        <w:rPr>
          <w:color w:val="auto"/>
        </w:rPr>
        <w:t xml:space="preserve">, since many MHAs reside or have claims in forest areas. In the past, government-sponsored MHA empowerment only focused on a specific subset of MHA, namely </w:t>
      </w:r>
      <w:r w:rsidRPr="00604C9B">
        <w:rPr>
          <w:i/>
          <w:color w:val="auto"/>
        </w:rPr>
        <w:t>Komunitas Adat Terpencil (</w:t>
      </w:r>
      <w:r w:rsidRPr="0034118B">
        <w:rPr>
          <w:color w:val="auto"/>
        </w:rPr>
        <w:t xml:space="preserve">Isolated Adat Communities), which falls under the purview of the Ministry of Social Affairs (MoSA) in the Directorate of KAT empowerment. The latter was often criticized for lack of free, prior, and informed consultations with KAT concerned due to its top down priorities. The issuance of MK35 on the recognition of </w:t>
      </w:r>
      <w:r w:rsidRPr="0032029F">
        <w:rPr>
          <w:i/>
          <w:color w:val="auto"/>
        </w:rPr>
        <w:t>Adat</w:t>
      </w:r>
      <w:r w:rsidRPr="00C5686D">
        <w:rPr>
          <w:color w:val="auto"/>
        </w:rPr>
        <w:t xml:space="preserve"> Forests as separate from the State forest has helped to change the dynamics in MHA empowerment where greater recognition of land rights shall go in tandem with community empowerment. To support this effort, the current administration has been endorsing a </w:t>
      </w:r>
      <w:r w:rsidRPr="00604C9B">
        <w:rPr>
          <w:color w:val="auto"/>
        </w:rPr>
        <w:t>large-scale</w:t>
      </w:r>
      <w:r w:rsidRPr="0034118B">
        <w:rPr>
          <w:color w:val="auto"/>
        </w:rPr>
        <w:t xml:space="preserve"> agrarian reform to hand over 12.7 million hectares to the poor including forest and land dependent MHA.</w:t>
      </w:r>
    </w:p>
  </w:footnote>
  <w:footnote w:id="51">
    <w:p w14:paraId="01055088" w14:textId="70487092" w:rsidR="00400158" w:rsidRPr="00604C9B" w:rsidRDefault="00400158" w:rsidP="0032029F">
      <w:pPr>
        <w:pStyle w:val="FootnoteText"/>
        <w:spacing w:before="0"/>
        <w:contextualSpacing/>
      </w:pPr>
      <w:r w:rsidRPr="00C5686D">
        <w:rPr>
          <w:rStyle w:val="FootnoteReference"/>
        </w:rPr>
        <w:footnoteRef/>
      </w:r>
      <w:r w:rsidRPr="00C5686D">
        <w:t xml:space="preserve"> At the kabupaten/district level, various agencies involved in the protecting, empowering and ensuring that the MHA would benefit from development and use/management of natural resources. Among others, </w:t>
      </w:r>
      <w:r w:rsidRPr="0032029F">
        <w:rPr>
          <w:i/>
        </w:rPr>
        <w:t>Dinas Sosial</w:t>
      </w:r>
      <w:r w:rsidRPr="00C5686D">
        <w:t xml:space="preserve"> ((e.g. Social Agency), </w:t>
      </w:r>
      <w:r w:rsidRPr="0032029F">
        <w:rPr>
          <w:i/>
        </w:rPr>
        <w:t>Dinas Pendidikan</w:t>
      </w:r>
      <w:r w:rsidRPr="00C5686D">
        <w:t xml:space="preserve">, </w:t>
      </w:r>
      <w:r w:rsidRPr="0032029F">
        <w:rPr>
          <w:i/>
        </w:rPr>
        <w:t>Dinas Pemberdayaan Masyarakat Desa</w:t>
      </w:r>
      <w:r w:rsidRPr="00C5686D">
        <w:t xml:space="preserve"> (</w:t>
      </w:r>
      <w:r w:rsidRPr="00604C9B">
        <w:t xml:space="preserve">Education Agency, Village Empowerment Agency) contribute to MHA empowerment through various cross-cutting initiatives and are often financed through the national government’s programs. During public consultations the role and relevance of these agencies will be further explored. </w:t>
      </w:r>
    </w:p>
  </w:footnote>
  <w:footnote w:id="52">
    <w:p w14:paraId="279A178D" w14:textId="77777777" w:rsidR="00400158" w:rsidRPr="0034118B" w:rsidRDefault="00400158" w:rsidP="009341AC">
      <w:pPr>
        <w:tabs>
          <w:tab w:val="left" w:pos="0"/>
        </w:tabs>
        <w:spacing w:before="0"/>
        <w:ind w:left="0"/>
        <w:contextualSpacing/>
        <w:jc w:val="left"/>
      </w:pPr>
      <w:r w:rsidRPr="0034118B">
        <w:rPr>
          <w:rStyle w:val="FootnoteReference"/>
          <w:sz w:val="20"/>
          <w:szCs w:val="20"/>
        </w:rPr>
        <w:footnoteRef/>
      </w:r>
      <w:r w:rsidRPr="0034118B">
        <w:rPr>
          <w:sz w:val="20"/>
          <w:szCs w:val="20"/>
        </w:rPr>
        <w:t xml:space="preserve"> This includes support to the development of a practical tool/guidance tailored for the Program to implement free, prior, informed consultations that lead to broad community support and to empower IPs so that they will benefit from the Program as operationalization of the relevant sectoral laws and regulations.</w:t>
      </w:r>
    </w:p>
  </w:footnote>
  <w:footnote w:id="53">
    <w:p w14:paraId="5D863218" w14:textId="77777777" w:rsidR="00400158" w:rsidRPr="00604C9B" w:rsidRDefault="00400158" w:rsidP="009341AC">
      <w:pPr>
        <w:pStyle w:val="FootnoteText"/>
        <w:spacing w:before="0"/>
        <w:contextualSpacing/>
      </w:pPr>
      <w:r w:rsidRPr="00C5686D">
        <w:rPr>
          <w:rStyle w:val="FootnoteReference"/>
        </w:rPr>
        <w:footnoteRef/>
      </w:r>
      <w:r w:rsidRPr="00C5686D">
        <w:t xml:space="preserve"> Through Program Management Support Consultants’ Services fi</w:t>
      </w:r>
      <w:r w:rsidRPr="00604C9B">
        <w:t xml:space="preserve">nanced under the IPF, and/or additional qualified MPWH staff. </w:t>
      </w:r>
    </w:p>
  </w:footnote>
  <w:footnote w:id="54">
    <w:p w14:paraId="003CB391" w14:textId="77777777" w:rsidR="00400158" w:rsidRPr="003C3101" w:rsidRDefault="00400158" w:rsidP="009341AC">
      <w:pPr>
        <w:pStyle w:val="FootnoteText"/>
        <w:spacing w:before="0"/>
        <w:contextualSpacing/>
      </w:pPr>
      <w:r w:rsidRPr="003C3101">
        <w:rPr>
          <w:rStyle w:val="FootnoteReference"/>
        </w:rPr>
        <w:footnoteRef/>
      </w:r>
      <w:r w:rsidRPr="003C3101">
        <w:t xml:space="preserve"> Through Program Management Support Consultants’ Services financed under the IPF, and/or additional qualified MPWH staff. </w:t>
      </w:r>
    </w:p>
  </w:footnote>
  <w:footnote w:id="55">
    <w:p w14:paraId="33C163EB" w14:textId="77777777" w:rsidR="00400158" w:rsidRPr="00604C9B" w:rsidRDefault="00400158" w:rsidP="009341AC">
      <w:pPr>
        <w:pStyle w:val="FootnoteText"/>
        <w:spacing w:before="0"/>
        <w:contextualSpacing/>
      </w:pPr>
      <w:r w:rsidRPr="00C5686D">
        <w:rPr>
          <w:rStyle w:val="FootnoteReference"/>
        </w:rPr>
        <w:footnoteRef/>
      </w:r>
      <w:r w:rsidRPr="00C5686D">
        <w:t xml:space="preserve"> As part of the local community satisfaction surveys (under RA4, where increased satisfaction is aimed for over the Program period) on satisfaction with participation in destination planning a</w:t>
      </w:r>
      <w:r w:rsidRPr="00604C9B">
        <w:t>nd budgeting processes as well as access to Program activities, sufficient IPs will be included to monitor their satisfaction as well.</w:t>
      </w:r>
    </w:p>
  </w:footnote>
  <w:footnote w:id="56">
    <w:p w14:paraId="1D230897" w14:textId="77777777" w:rsidR="00400158" w:rsidRPr="0034118B" w:rsidRDefault="00400158" w:rsidP="009341AC">
      <w:pPr>
        <w:pStyle w:val="FootnoteText"/>
        <w:spacing w:before="0"/>
        <w:contextualSpacing/>
      </w:pPr>
      <w:r w:rsidRPr="00C5686D">
        <w:rPr>
          <w:rStyle w:val="FootnoteReference"/>
        </w:rPr>
        <w:footnoteRef/>
      </w:r>
      <w:r w:rsidRPr="00C5686D">
        <w:t xml:space="preserve"> As applicable this should include a Plan of Act</w:t>
      </w:r>
      <w:r w:rsidRPr="00604C9B">
        <w:t xml:space="preserve">ion in the case that an investment lead to access restriction to </w:t>
      </w:r>
      <w:r w:rsidRPr="0034118B">
        <w:t>natural resources in designated parks and protected areas.</w:t>
      </w:r>
    </w:p>
  </w:footnote>
  <w:footnote w:id="57">
    <w:p w14:paraId="640D3F07" w14:textId="77777777" w:rsidR="00400158" w:rsidRPr="00C5686D" w:rsidRDefault="00400158" w:rsidP="009341AC">
      <w:pPr>
        <w:pStyle w:val="FootnoteText"/>
        <w:spacing w:before="0"/>
        <w:contextualSpacing/>
      </w:pPr>
      <w:r w:rsidRPr="00C5686D">
        <w:rPr>
          <w:rStyle w:val="FootnoteReference"/>
        </w:rPr>
        <w:footnoteRef/>
      </w:r>
      <w:r w:rsidRPr="00C5686D">
        <w:t xml:space="preserve"> Through Program Management Support Consultants’ Services financed under the IPF, and/or additional qualified MPWH staff. </w:t>
      </w:r>
    </w:p>
  </w:footnote>
  <w:footnote w:id="58">
    <w:p w14:paraId="6B37D5E5" w14:textId="77777777" w:rsidR="00400158" w:rsidRDefault="00400158" w:rsidP="009341AC">
      <w:pPr>
        <w:pStyle w:val="FootnoteText"/>
      </w:pPr>
      <w:r>
        <w:rPr>
          <w:rStyle w:val="FootnoteReference"/>
        </w:rPr>
        <w:footnoteRef/>
      </w:r>
      <w:r>
        <w:t xml:space="preserve"> </w:t>
      </w:r>
      <w:r w:rsidRPr="0028086B">
        <w:t>Most of the investments in Results Area 1 of the Program (Table 3) will require UKL-UPL, but an SPPL will suffice for some. Few, if any, are likely to need AMDAL.</w:t>
      </w:r>
      <w:r>
        <w:t xml:space="preserve"> </w:t>
      </w:r>
      <w:r>
        <w:rPr>
          <w:b/>
        </w:rPr>
        <w:t xml:space="preserve"> </w:t>
      </w:r>
    </w:p>
  </w:footnote>
  <w:footnote w:id="59">
    <w:p w14:paraId="1F0DC449" w14:textId="46C231C0" w:rsidR="00400158" w:rsidRPr="00604C9B" w:rsidRDefault="00400158" w:rsidP="0032029F">
      <w:pPr>
        <w:pStyle w:val="FootnoteText"/>
        <w:spacing w:before="0"/>
        <w:contextualSpacing/>
      </w:pPr>
      <w:r w:rsidRPr="00C5686D">
        <w:rPr>
          <w:rStyle w:val="FootnoteReference"/>
        </w:rPr>
        <w:footnoteRef/>
      </w:r>
      <w:r w:rsidRPr="00C5686D">
        <w:t xml:space="preserve"> For (i) integrated tourism master planning; (ii) downstream planning documents; (iii) Program management capabilities, including capacity building to strengthening the natural, cultural and social asset monitoring and preservation capabilities; and (iv) additional studies related to SME and skill development and busine</w:t>
      </w:r>
      <w:r w:rsidRPr="00604C9B">
        <w:t>ss environment improvements.</w:t>
      </w:r>
    </w:p>
  </w:footnote>
  <w:footnote w:id="60">
    <w:p w14:paraId="1B83AA23" w14:textId="7657934E" w:rsidR="00400158" w:rsidRPr="00604C9B" w:rsidRDefault="00400158" w:rsidP="0032029F">
      <w:pPr>
        <w:spacing w:before="0" w:after="120"/>
        <w:contextualSpacing/>
      </w:pPr>
      <w:r w:rsidRPr="00C5686D">
        <w:rPr>
          <w:rStyle w:val="FootnoteReference"/>
          <w:sz w:val="20"/>
          <w:szCs w:val="20"/>
        </w:rPr>
        <w:footnoteRef/>
      </w:r>
      <w:r w:rsidRPr="00C5686D">
        <w:rPr>
          <w:sz w:val="20"/>
          <w:szCs w:val="20"/>
        </w:rPr>
        <w:t xml:space="preserve"> The Program will document the land ownership, issues</w:t>
      </w:r>
      <w:r>
        <w:rPr>
          <w:sz w:val="20"/>
          <w:szCs w:val="20"/>
        </w:rPr>
        <w:t>,</w:t>
      </w:r>
      <w:r w:rsidRPr="00C5686D">
        <w:rPr>
          <w:sz w:val="20"/>
          <w:szCs w:val="20"/>
        </w:rPr>
        <w:t xml:space="preserve"> and resolution status of such land issues in the strategic tourism areas in all of the three destinations as part of the ITMP preparation. The ITMP will screen and identify</w:t>
      </w:r>
      <w:r w:rsidRPr="00604C9B">
        <w:rPr>
          <w:sz w:val="20"/>
          <w:szCs w:val="20"/>
        </w:rPr>
        <w:t xml:space="preserve"> the environmentally and socially sensitive areas, including those where legacy issues on land remain. The ITMP, through its analysis of development opportunities and constraints, will direct the development of tourism-related infrastructure including those under RA-1 so that it will not impinge on environmentally and socially sensitive areas, including those with legacy issues on land.</w:t>
      </w:r>
      <w:r w:rsidRPr="0034118B">
        <w:rPr>
          <w:sz w:val="20"/>
          <w:szCs w:val="20"/>
        </w:rPr>
        <w:t xml:space="preserve"> </w:t>
      </w:r>
      <w:r w:rsidRPr="0032029F">
        <w:rPr>
          <w:sz w:val="20"/>
          <w:szCs w:val="20"/>
        </w:rPr>
        <w:t xml:space="preserve">Land legacy issues can be considered as constraints from further development of the affected area in the ITMPs, until the issues are resolved meeting the Indonesian Regulations, or if there is a clear plan to resolve this issue (with monitoring milestones and clear timeline) in accordance with the prevailing Indonesian Regulations. </w:t>
      </w:r>
      <w:r w:rsidRPr="00C5686D">
        <w:rPr>
          <w:sz w:val="20"/>
          <w:szCs w:val="20"/>
        </w:rPr>
        <w:t>Such locations will be excluded from short-term or medium-term tourism development or beyond, until the legacy issues are addressed properly, agreed by the involved parties, in accordance to the prevailing Indonesian laws and regulations.</w:t>
      </w:r>
    </w:p>
  </w:footnote>
  <w:footnote w:id="61">
    <w:p w14:paraId="3AF67963" w14:textId="5D409258" w:rsidR="00400158" w:rsidRPr="0032029F" w:rsidRDefault="00400158" w:rsidP="0032029F">
      <w:pPr>
        <w:pStyle w:val="NumberList1"/>
        <w:numPr>
          <w:ilvl w:val="0"/>
          <w:numId w:val="0"/>
        </w:numPr>
        <w:spacing w:after="0" w:line="240" w:lineRule="auto"/>
        <w:contextualSpacing/>
        <w:rPr>
          <w:rFonts w:ascii="Times New Roman" w:hAnsi="Times New Roman" w:cs="Times New Roman"/>
          <w:szCs w:val="20"/>
        </w:rPr>
      </w:pPr>
      <w:r w:rsidRPr="0032029F">
        <w:rPr>
          <w:rStyle w:val="FootnoteReference"/>
          <w:rFonts w:ascii="Times New Roman" w:hAnsi="Times New Roman" w:cs="Times New Roman"/>
          <w:szCs w:val="20"/>
        </w:rPr>
        <w:footnoteRef/>
      </w:r>
      <w:r w:rsidRPr="0032029F">
        <w:rPr>
          <w:rFonts w:ascii="Times New Roman" w:hAnsi="Times New Roman" w:cs="Times New Roman"/>
          <w:szCs w:val="20"/>
        </w:rPr>
        <w:t xml:space="preserve"> For addressing land legacy issues</w:t>
      </w:r>
      <w:r w:rsidRPr="00C5686D">
        <w:rPr>
          <w:rFonts w:ascii="Times New Roman" w:hAnsi="Times New Roman" w:cs="Times New Roman"/>
          <w:szCs w:val="20"/>
        </w:rPr>
        <w:t xml:space="preserve"> </w:t>
      </w:r>
      <w:r w:rsidRPr="0032029F">
        <w:rPr>
          <w:rFonts w:ascii="Times New Roman" w:hAnsi="Times New Roman" w:cs="Times New Roman"/>
          <w:szCs w:val="20"/>
        </w:rPr>
        <w:t xml:space="preserve">: The planning area of the ITMPs might have some sites with land legacy issues. In this case, the consultant of the ITMPs should carry out rapid assessment to: </w:t>
      </w:r>
    </w:p>
    <w:p w14:paraId="1C9B95D2" w14:textId="77777777" w:rsidR="00400158" w:rsidRPr="0032029F" w:rsidRDefault="00400158" w:rsidP="0032029F">
      <w:pPr>
        <w:pStyle w:val="NumberList1"/>
        <w:numPr>
          <w:ilvl w:val="0"/>
          <w:numId w:val="119"/>
        </w:numPr>
        <w:spacing w:after="0" w:line="240" w:lineRule="auto"/>
        <w:contextualSpacing/>
        <w:rPr>
          <w:rFonts w:ascii="Times New Roman" w:hAnsi="Times New Roman" w:cs="Times New Roman"/>
          <w:szCs w:val="20"/>
        </w:rPr>
      </w:pPr>
      <w:r w:rsidRPr="0032029F">
        <w:rPr>
          <w:rFonts w:ascii="Times New Roman" w:hAnsi="Times New Roman" w:cs="Times New Roman"/>
          <w:szCs w:val="20"/>
        </w:rPr>
        <w:t xml:space="preserve">identify the sites (with map) with land legacy issues during the development of baseline information; </w:t>
      </w:r>
    </w:p>
    <w:p w14:paraId="17CF5E60" w14:textId="113B16E2" w:rsidR="00400158" w:rsidRPr="0032029F" w:rsidRDefault="00400158" w:rsidP="0032029F">
      <w:pPr>
        <w:pStyle w:val="NumberList1"/>
        <w:numPr>
          <w:ilvl w:val="0"/>
          <w:numId w:val="119"/>
        </w:numPr>
        <w:spacing w:after="0" w:line="240" w:lineRule="auto"/>
        <w:contextualSpacing/>
        <w:rPr>
          <w:rFonts w:ascii="Times New Roman" w:hAnsi="Times New Roman" w:cs="Times New Roman"/>
          <w:szCs w:val="20"/>
        </w:rPr>
      </w:pPr>
      <w:r w:rsidRPr="0032029F">
        <w:rPr>
          <w:rFonts w:ascii="Times New Roman" w:hAnsi="Times New Roman" w:cs="Times New Roman"/>
          <w:szCs w:val="20"/>
        </w:rPr>
        <w:t>assess the potential risks and opportunities should such sites be included in the ITMPs;</w:t>
      </w:r>
    </w:p>
    <w:p w14:paraId="09644E7D" w14:textId="77777777" w:rsidR="00400158" w:rsidRPr="0032029F" w:rsidRDefault="00400158" w:rsidP="0032029F">
      <w:pPr>
        <w:pStyle w:val="NumberList1"/>
        <w:numPr>
          <w:ilvl w:val="0"/>
          <w:numId w:val="119"/>
        </w:numPr>
        <w:spacing w:after="0" w:line="240" w:lineRule="auto"/>
        <w:contextualSpacing/>
        <w:rPr>
          <w:rFonts w:ascii="Times New Roman" w:hAnsi="Times New Roman" w:cs="Times New Roman"/>
          <w:szCs w:val="20"/>
        </w:rPr>
      </w:pPr>
      <w:r w:rsidRPr="0032029F">
        <w:rPr>
          <w:rFonts w:ascii="Times New Roman" w:hAnsi="Times New Roman" w:cs="Times New Roman"/>
          <w:szCs w:val="20"/>
        </w:rPr>
        <w:t>assess options for possible solutions, each with its risks and opportunities;</w:t>
      </w:r>
    </w:p>
    <w:p w14:paraId="3DCC7B14" w14:textId="22E99892" w:rsidR="00400158" w:rsidRPr="0032029F" w:rsidRDefault="00400158" w:rsidP="0032029F">
      <w:pPr>
        <w:pStyle w:val="NumberList1"/>
        <w:numPr>
          <w:ilvl w:val="0"/>
          <w:numId w:val="119"/>
        </w:numPr>
        <w:spacing w:after="0" w:line="240" w:lineRule="auto"/>
        <w:contextualSpacing/>
        <w:rPr>
          <w:rFonts w:ascii="Times New Roman" w:hAnsi="Times New Roman" w:cs="Times New Roman"/>
          <w:szCs w:val="20"/>
        </w:rPr>
      </w:pPr>
      <w:r w:rsidRPr="0032029F">
        <w:rPr>
          <w:rFonts w:ascii="Times New Roman" w:hAnsi="Times New Roman" w:cs="Times New Roman"/>
          <w:iCs w:val="0"/>
          <w:szCs w:val="20"/>
        </w:rPr>
        <w:t xml:space="preserve">historical background, identify legacy issues and status of solutions that have been achieved by the local government and the likely solutions in the future </w:t>
      </w:r>
    </w:p>
    <w:p w14:paraId="689A8A6D" w14:textId="51AEE6AD" w:rsidR="00400158" w:rsidRPr="0032029F" w:rsidRDefault="00400158" w:rsidP="0032029F">
      <w:pPr>
        <w:pStyle w:val="NumberList1"/>
        <w:numPr>
          <w:ilvl w:val="0"/>
          <w:numId w:val="0"/>
        </w:numPr>
        <w:spacing w:after="0" w:line="240" w:lineRule="auto"/>
        <w:contextualSpacing/>
        <w:rPr>
          <w:rFonts w:ascii="Times New Roman" w:hAnsi="Times New Roman" w:cs="Times New Roman"/>
          <w:szCs w:val="20"/>
        </w:rPr>
      </w:pPr>
      <w:r w:rsidRPr="0032029F">
        <w:rPr>
          <w:rFonts w:ascii="Times New Roman" w:hAnsi="Times New Roman" w:cs="Times New Roman"/>
          <w:szCs w:val="20"/>
        </w:rPr>
        <w:t xml:space="preserve">The rapid assessment should be done in close discussion with the relevant local government agencies (could be provincial or district or cities), and </w:t>
      </w:r>
      <w:r>
        <w:rPr>
          <w:rFonts w:ascii="Times New Roman" w:hAnsi="Times New Roman" w:cs="Times New Roman"/>
          <w:szCs w:val="20"/>
        </w:rPr>
        <w:t>include</w:t>
      </w:r>
      <w:r w:rsidRPr="0032029F">
        <w:rPr>
          <w:rFonts w:ascii="Times New Roman" w:hAnsi="Times New Roman" w:cs="Times New Roman"/>
          <w:szCs w:val="20"/>
        </w:rPr>
        <w:t xml:space="preserve"> site visits and interviews with relevant stakeholders. </w:t>
      </w:r>
      <w:r>
        <w:rPr>
          <w:rFonts w:ascii="Times New Roman" w:hAnsi="Times New Roman" w:cs="Times New Roman"/>
          <w:szCs w:val="20"/>
        </w:rPr>
        <w:t>The r</w:t>
      </w:r>
      <w:r w:rsidRPr="0032029F">
        <w:rPr>
          <w:rFonts w:ascii="Times New Roman" w:hAnsi="Times New Roman" w:cs="Times New Roman"/>
          <w:szCs w:val="20"/>
        </w:rPr>
        <w:t>eport of this rapid assessment will be part of the information for the ITMPs consultant team that should be used as key consideration in analyzing and developing development scenario in the ITMPs and in recommending land development and physical investment</w:t>
      </w:r>
    </w:p>
    <w:p w14:paraId="7B512BAE" w14:textId="2F39B8F9" w:rsidR="00400158" w:rsidRPr="0032029F" w:rsidRDefault="00400158" w:rsidP="0032029F">
      <w:pPr>
        <w:pStyle w:val="NumberList1"/>
        <w:numPr>
          <w:ilvl w:val="0"/>
          <w:numId w:val="0"/>
        </w:numPr>
        <w:tabs>
          <w:tab w:val="clear" w:pos="720"/>
        </w:tabs>
        <w:spacing w:after="0" w:line="240" w:lineRule="auto"/>
        <w:contextualSpacing/>
        <w:rPr>
          <w:rFonts w:ascii="Times New Roman" w:hAnsi="Times New Roman" w:cs="Times New Roman"/>
          <w:iCs w:val="0"/>
          <w:szCs w:val="20"/>
        </w:rPr>
      </w:pPr>
      <w:r w:rsidRPr="0032029F">
        <w:rPr>
          <w:rFonts w:ascii="Times New Roman" w:hAnsi="Times New Roman" w:cs="Times New Roman"/>
          <w:iCs w:val="0"/>
          <w:szCs w:val="20"/>
        </w:rPr>
        <w:t>The ITMPs consultant team should share the Rapid Assessment Report and discuss with the RIDA and the Bank to find</w:t>
      </w:r>
      <w:r>
        <w:rPr>
          <w:rFonts w:ascii="Times New Roman" w:hAnsi="Times New Roman" w:cs="Times New Roman"/>
          <w:iCs w:val="0"/>
          <w:szCs w:val="20"/>
        </w:rPr>
        <w:t xml:space="preserve"> a</w:t>
      </w:r>
      <w:r w:rsidRPr="0032029F">
        <w:rPr>
          <w:rFonts w:ascii="Times New Roman" w:hAnsi="Times New Roman" w:cs="Times New Roman"/>
          <w:iCs w:val="0"/>
          <w:szCs w:val="20"/>
        </w:rPr>
        <w:t xml:space="preserve"> solution on how to proceed with the ITMPs, provided tradeoffs between the risks (including reputational risks) and opportunities. </w:t>
      </w:r>
    </w:p>
    <w:p w14:paraId="3ACAAC10" w14:textId="350F338F" w:rsidR="00400158" w:rsidRPr="00C5686D" w:rsidRDefault="00400158" w:rsidP="0032029F">
      <w:pPr>
        <w:pStyle w:val="NumberList1"/>
        <w:numPr>
          <w:ilvl w:val="0"/>
          <w:numId w:val="0"/>
        </w:numPr>
        <w:spacing w:after="0" w:line="240" w:lineRule="auto"/>
        <w:contextualSpacing/>
        <w:rPr>
          <w:rFonts w:ascii="Times New Roman" w:eastAsia="Times New Roman" w:hAnsi="Times New Roman" w:cs="Times New Roman"/>
          <w:b/>
          <w:color w:val="007161"/>
          <w:kern w:val="0"/>
          <w:szCs w:val="20"/>
        </w:rPr>
      </w:pPr>
      <w:r w:rsidRPr="0032029F">
        <w:rPr>
          <w:rFonts w:ascii="Times New Roman" w:hAnsi="Times New Roman" w:cs="Times New Roman"/>
          <w:iCs w:val="0"/>
          <w:szCs w:val="20"/>
        </w:rPr>
        <w:t xml:space="preserve">Some possible options which might </w:t>
      </w:r>
      <w:r>
        <w:rPr>
          <w:rFonts w:ascii="Times New Roman" w:hAnsi="Times New Roman" w:cs="Times New Roman"/>
          <w:iCs w:val="0"/>
          <w:szCs w:val="20"/>
        </w:rPr>
        <w:t>make it</w:t>
      </w:r>
      <w:r w:rsidRPr="0032029F">
        <w:rPr>
          <w:rFonts w:ascii="Times New Roman" w:hAnsi="Times New Roman" w:cs="Times New Roman"/>
          <w:iCs w:val="0"/>
          <w:szCs w:val="20"/>
        </w:rPr>
        <w:t xml:space="preserve"> feasible to proceed with the ITMPs based on the information provided by the Rapid Assessment Report and agreement between the RIDA and the Bank</w:t>
      </w:r>
      <w:r>
        <w:rPr>
          <w:rFonts w:ascii="Times New Roman" w:hAnsi="Times New Roman" w:cs="Times New Roman"/>
          <w:iCs w:val="0"/>
          <w:szCs w:val="20"/>
        </w:rPr>
        <w:t xml:space="preserve"> include</w:t>
      </w:r>
      <w:r w:rsidRPr="0032029F">
        <w:rPr>
          <w:rFonts w:ascii="Times New Roman" w:hAnsi="Times New Roman" w:cs="Times New Roman"/>
          <w:iCs w:val="0"/>
          <w:szCs w:val="20"/>
        </w:rPr>
        <w:t xml:space="preserve">: (a) include the sites with legacy issues in the planning area with clear and agreed measures to mitigate risks as part of the provisions in the ITMPs; (b) exclude/screen out the sites with legacy issues from the planning area, with provisional measures to avoid associated risks with the remaining planning area; (c) </w:t>
      </w:r>
      <w:r>
        <w:rPr>
          <w:rFonts w:ascii="Times New Roman" w:hAnsi="Times New Roman" w:cs="Times New Roman"/>
          <w:iCs w:val="0"/>
          <w:szCs w:val="20"/>
        </w:rPr>
        <w:t xml:space="preserve">a </w:t>
      </w:r>
      <w:r w:rsidRPr="0032029F">
        <w:rPr>
          <w:rFonts w:ascii="Times New Roman" w:hAnsi="Times New Roman" w:cs="Times New Roman"/>
          <w:iCs w:val="0"/>
          <w:szCs w:val="20"/>
        </w:rPr>
        <w:t>combination of (a) and (b) for the case</w:t>
      </w:r>
      <w:r>
        <w:rPr>
          <w:rFonts w:ascii="Times New Roman" w:hAnsi="Times New Roman" w:cs="Times New Roman"/>
          <w:iCs w:val="0"/>
          <w:szCs w:val="20"/>
        </w:rPr>
        <w:t>s in which</w:t>
      </w:r>
      <w:r w:rsidRPr="0032029F">
        <w:rPr>
          <w:rFonts w:ascii="Times New Roman" w:hAnsi="Times New Roman" w:cs="Times New Roman"/>
          <w:iCs w:val="0"/>
          <w:szCs w:val="20"/>
        </w:rPr>
        <w:t xml:space="preserve"> an acceptable solution through phased-resolutions (issues can be solved one after the other gradually with clear time frame) can be </w:t>
      </w:r>
      <w:r>
        <w:rPr>
          <w:rFonts w:ascii="Times New Roman" w:hAnsi="Times New Roman" w:cs="Times New Roman"/>
          <w:iCs w:val="0"/>
          <w:szCs w:val="20"/>
        </w:rPr>
        <w:t>found</w:t>
      </w:r>
      <w:r w:rsidRPr="0032029F">
        <w:rPr>
          <w:rFonts w:ascii="Times New Roman" w:hAnsi="Times New Roman" w:cs="Times New Roman"/>
          <w:iCs w:val="0"/>
          <w:szCs w:val="20"/>
        </w:rPr>
        <w:t xml:space="preserve"> based on Indonesia regulations. </w:t>
      </w:r>
    </w:p>
  </w:footnote>
  <w:footnote w:id="62">
    <w:p w14:paraId="4D2141B1" w14:textId="765808EA" w:rsidR="00400158" w:rsidRPr="00604C9B" w:rsidRDefault="00400158" w:rsidP="0032029F">
      <w:pPr>
        <w:pStyle w:val="FootnoteText"/>
        <w:spacing w:before="0"/>
        <w:contextualSpacing/>
        <w:rPr>
          <w:noProof/>
        </w:rPr>
      </w:pPr>
      <w:r w:rsidRPr="00C5686D">
        <w:rPr>
          <w:rStyle w:val="FootnoteReference"/>
        </w:rPr>
        <w:footnoteRef/>
      </w:r>
      <w:r w:rsidRPr="00C5686D">
        <w:t xml:space="preserve"> </w:t>
      </w:r>
      <w:r w:rsidRPr="00C5686D">
        <w:rPr>
          <w:noProof/>
        </w:rPr>
        <w:t xml:space="preserve">Aliansi Masyarakat Adat Nusantara or Indigenous Peoples Alliance of the Archipelago. </w:t>
      </w:r>
      <w:r w:rsidRPr="00604C9B">
        <w:t xml:space="preserve">AMAN has as members more than 2,300 MHA communities in the country covering 17 million individuals. AMAN has also networks in Lombok and Toba destinations. They have information on the presence and characteristics of their members MHA communities in the respective provinces until the village level. </w:t>
      </w:r>
    </w:p>
  </w:footnote>
  <w:footnote w:id="63">
    <w:p w14:paraId="753A4F70" w14:textId="4CAA198B" w:rsidR="00400158" w:rsidRPr="0032029F" w:rsidRDefault="00400158" w:rsidP="0032029F">
      <w:pPr>
        <w:pStyle w:val="NoSpacing"/>
        <w:ind w:left="0" w:hanging="14"/>
        <w:contextualSpacing/>
        <w:rPr>
          <w:b w:val="0"/>
          <w:szCs w:val="20"/>
        </w:rPr>
      </w:pPr>
      <w:r w:rsidRPr="00C5686D">
        <w:rPr>
          <w:rStyle w:val="FootnoteReference"/>
          <w:szCs w:val="20"/>
        </w:rPr>
        <w:footnoteRef/>
      </w:r>
      <w:r w:rsidRPr="00C5686D">
        <w:rPr>
          <w:szCs w:val="20"/>
        </w:rPr>
        <w:t xml:space="preserve"> </w:t>
      </w:r>
      <w:r w:rsidRPr="0032029F">
        <w:rPr>
          <w:b w:val="0"/>
          <w:szCs w:val="20"/>
        </w:rPr>
        <w:t xml:space="preserve">As explained in the </w:t>
      </w:r>
      <w:r w:rsidRPr="00C5686D">
        <w:rPr>
          <w:b w:val="0"/>
          <w:szCs w:val="20"/>
        </w:rPr>
        <w:t xml:space="preserve">Table 9 on </w:t>
      </w:r>
      <w:r w:rsidRPr="0032029F">
        <w:rPr>
          <w:b w:val="0"/>
          <w:szCs w:val="20"/>
        </w:rPr>
        <w:t>Evaluation of the GoI Environmental and Social Systems in Relation to the PforR Policy of</w:t>
      </w:r>
      <w:r w:rsidRPr="00C5686D">
        <w:rPr>
          <w:b w:val="0"/>
          <w:szCs w:val="20"/>
        </w:rPr>
        <w:t xml:space="preserve"> the World Bank, Policy Element 4, Law</w:t>
      </w:r>
      <w:r>
        <w:rPr>
          <w:b w:val="0"/>
          <w:szCs w:val="20"/>
        </w:rPr>
        <w:t xml:space="preserve"> No.</w:t>
      </w:r>
      <w:r w:rsidRPr="00C5686D">
        <w:rPr>
          <w:b w:val="0"/>
          <w:szCs w:val="20"/>
        </w:rPr>
        <w:t xml:space="preserve"> 2</w:t>
      </w:r>
      <w:r>
        <w:rPr>
          <w:b w:val="0"/>
          <w:szCs w:val="20"/>
        </w:rPr>
        <w:t xml:space="preserve"> Year </w:t>
      </w:r>
      <w:r w:rsidRPr="00C5686D">
        <w:rPr>
          <w:b w:val="0"/>
          <w:szCs w:val="20"/>
        </w:rPr>
        <w:t xml:space="preserve">2012 regulates that compensation level is assessed by a licensed-  independent </w:t>
      </w:r>
      <w:r w:rsidRPr="00604C9B">
        <w:rPr>
          <w:b w:val="0"/>
          <w:szCs w:val="20"/>
        </w:rPr>
        <w:t>appraisers, and is defined based on values of physical assets and non-physical assets including premium. Regardless whether the abbreviated LARAP and/or LARAP is prepared and implemented under the IPF or not, compensation level defined based on consistent implementation of Law 2/2012 reflects the replacement value as required by OP 4.12 on Involuntary Resettlement.</w:t>
      </w:r>
    </w:p>
    <w:p w14:paraId="1C253ABC" w14:textId="38429A07" w:rsidR="00400158" w:rsidRPr="00C5686D" w:rsidRDefault="00400158" w:rsidP="0032029F">
      <w:pPr>
        <w:pStyle w:val="FootnoteText"/>
        <w:spacing w:before="0"/>
        <w:ind w:left="0"/>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5F24" w14:textId="77777777" w:rsidR="009E5075" w:rsidRDefault="009E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2B47" w14:textId="5CF85CEC" w:rsidR="00C752D5" w:rsidRPr="009E5075" w:rsidRDefault="009E5075" w:rsidP="009E5075">
    <w:pPr>
      <w:pStyle w:val="Header"/>
      <w:jc w:val="center"/>
      <w:rPr>
        <w:i/>
        <w:sz w:val="20"/>
        <w:szCs w:val="20"/>
      </w:rPr>
    </w:pPr>
    <w:r w:rsidRPr="009E5075">
      <w:rPr>
        <w:i/>
        <w:sz w:val="20"/>
        <w:szCs w:val="20"/>
      </w:rPr>
      <w:t>DRAFT, June 21,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BC49" w14:textId="77777777" w:rsidR="009E5075" w:rsidRDefault="009E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D55"/>
    <w:multiLevelType w:val="hybridMultilevel"/>
    <w:tmpl w:val="B5E8F2CA"/>
    <w:lvl w:ilvl="0" w:tplc="1A4C2D86">
      <w:start w:val="1"/>
      <w:numFmt w:val="lowerLetter"/>
      <w:lvlText w:val="%1)"/>
      <w:lvlJc w:val="left"/>
      <w:pPr>
        <w:ind w:left="364" w:hanging="360"/>
      </w:pPr>
      <w:rPr>
        <w:rFonts w:hint="default"/>
      </w:rPr>
    </w:lvl>
    <w:lvl w:ilvl="1" w:tplc="44090019" w:tentative="1">
      <w:start w:val="1"/>
      <w:numFmt w:val="lowerLetter"/>
      <w:lvlText w:val="%2."/>
      <w:lvlJc w:val="left"/>
      <w:pPr>
        <w:ind w:left="1084" w:hanging="360"/>
      </w:pPr>
    </w:lvl>
    <w:lvl w:ilvl="2" w:tplc="4409001B" w:tentative="1">
      <w:start w:val="1"/>
      <w:numFmt w:val="lowerRoman"/>
      <w:lvlText w:val="%3."/>
      <w:lvlJc w:val="right"/>
      <w:pPr>
        <w:ind w:left="1804" w:hanging="180"/>
      </w:pPr>
    </w:lvl>
    <w:lvl w:ilvl="3" w:tplc="4409000F" w:tentative="1">
      <w:start w:val="1"/>
      <w:numFmt w:val="decimal"/>
      <w:lvlText w:val="%4."/>
      <w:lvlJc w:val="left"/>
      <w:pPr>
        <w:ind w:left="2524" w:hanging="360"/>
      </w:pPr>
    </w:lvl>
    <w:lvl w:ilvl="4" w:tplc="44090019" w:tentative="1">
      <w:start w:val="1"/>
      <w:numFmt w:val="lowerLetter"/>
      <w:lvlText w:val="%5."/>
      <w:lvlJc w:val="left"/>
      <w:pPr>
        <w:ind w:left="3244" w:hanging="360"/>
      </w:pPr>
    </w:lvl>
    <w:lvl w:ilvl="5" w:tplc="4409001B" w:tentative="1">
      <w:start w:val="1"/>
      <w:numFmt w:val="lowerRoman"/>
      <w:lvlText w:val="%6."/>
      <w:lvlJc w:val="right"/>
      <w:pPr>
        <w:ind w:left="3964" w:hanging="180"/>
      </w:pPr>
    </w:lvl>
    <w:lvl w:ilvl="6" w:tplc="4409000F" w:tentative="1">
      <w:start w:val="1"/>
      <w:numFmt w:val="decimal"/>
      <w:lvlText w:val="%7."/>
      <w:lvlJc w:val="left"/>
      <w:pPr>
        <w:ind w:left="4684" w:hanging="360"/>
      </w:pPr>
    </w:lvl>
    <w:lvl w:ilvl="7" w:tplc="44090019" w:tentative="1">
      <w:start w:val="1"/>
      <w:numFmt w:val="lowerLetter"/>
      <w:lvlText w:val="%8."/>
      <w:lvlJc w:val="left"/>
      <w:pPr>
        <w:ind w:left="5404" w:hanging="360"/>
      </w:pPr>
    </w:lvl>
    <w:lvl w:ilvl="8" w:tplc="4409001B" w:tentative="1">
      <w:start w:val="1"/>
      <w:numFmt w:val="lowerRoman"/>
      <w:lvlText w:val="%9."/>
      <w:lvlJc w:val="right"/>
      <w:pPr>
        <w:ind w:left="6124" w:hanging="180"/>
      </w:pPr>
    </w:lvl>
  </w:abstractNum>
  <w:abstractNum w:abstractNumId="1" w15:restartNumberingAfterBreak="0">
    <w:nsid w:val="018F6F2D"/>
    <w:multiLevelType w:val="multilevel"/>
    <w:tmpl w:val="9B4EA432"/>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A66D27"/>
    <w:multiLevelType w:val="hybridMultilevel"/>
    <w:tmpl w:val="84BA5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A355FF"/>
    <w:multiLevelType w:val="hybridMultilevel"/>
    <w:tmpl w:val="BCB60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DB3B86"/>
    <w:multiLevelType w:val="hybridMultilevel"/>
    <w:tmpl w:val="7CC40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FE0B4D"/>
    <w:multiLevelType w:val="multilevel"/>
    <w:tmpl w:val="5B1CA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038C371E"/>
    <w:multiLevelType w:val="hybridMultilevel"/>
    <w:tmpl w:val="0F1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B74BA"/>
    <w:multiLevelType w:val="hybridMultilevel"/>
    <w:tmpl w:val="51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164B50"/>
    <w:multiLevelType w:val="hybridMultilevel"/>
    <w:tmpl w:val="05AC0232"/>
    <w:lvl w:ilvl="0" w:tplc="4D3670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D436C"/>
    <w:multiLevelType w:val="hybridMultilevel"/>
    <w:tmpl w:val="B5CE28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06687866"/>
    <w:multiLevelType w:val="hybridMultilevel"/>
    <w:tmpl w:val="1CD8F5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07863F63"/>
    <w:multiLevelType w:val="hybridMultilevel"/>
    <w:tmpl w:val="058ADB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07B73434"/>
    <w:multiLevelType w:val="hybridMultilevel"/>
    <w:tmpl w:val="C7F210BC"/>
    <w:lvl w:ilvl="0" w:tplc="ABA45106">
      <w:start w:val="27"/>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61DB7"/>
    <w:multiLevelType w:val="hybridMultilevel"/>
    <w:tmpl w:val="1558543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09204667"/>
    <w:multiLevelType w:val="hybridMultilevel"/>
    <w:tmpl w:val="5E02DAA2"/>
    <w:lvl w:ilvl="0" w:tplc="D084D0F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0B1B4BB0"/>
    <w:multiLevelType w:val="hybridMultilevel"/>
    <w:tmpl w:val="D22C748A"/>
    <w:lvl w:ilvl="0" w:tplc="04090017">
      <w:start w:val="1"/>
      <w:numFmt w:val="lowerLetter"/>
      <w:lvlText w:val="%1)"/>
      <w:lvlJc w:val="lef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52B13"/>
    <w:multiLevelType w:val="multilevel"/>
    <w:tmpl w:val="B4E4143E"/>
    <w:lvl w:ilvl="0">
      <w:start w:val="1"/>
      <w:numFmt w:val="lowerRoman"/>
      <w:lvlText w:val="%1."/>
      <w:lvlJc w:val="right"/>
      <w:pPr>
        <w:ind w:left="720" w:hanging="360"/>
      </w:pPr>
    </w:lvl>
    <w:lvl w:ilvl="1">
      <w:start w:val="1"/>
      <w:numFmt w:val="decimal"/>
      <w:isLgl/>
      <w:lvlText w:val="%1.%2"/>
      <w:lvlJc w:val="left"/>
      <w:pPr>
        <w:ind w:left="1080"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800" w:hanging="144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7" w15:restartNumberingAfterBreak="0">
    <w:nsid w:val="0B4B7B3B"/>
    <w:multiLevelType w:val="hybridMultilevel"/>
    <w:tmpl w:val="A580C60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0B667F8A"/>
    <w:multiLevelType w:val="hybridMultilevel"/>
    <w:tmpl w:val="537667F0"/>
    <w:lvl w:ilvl="0" w:tplc="CA5CB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281C5F"/>
    <w:multiLevelType w:val="hybridMultilevel"/>
    <w:tmpl w:val="28C44B26"/>
    <w:lvl w:ilvl="0" w:tplc="4409000F">
      <w:start w:val="1"/>
      <w:numFmt w:val="decimal"/>
      <w:lvlText w:val="%1."/>
      <w:lvlJc w:val="left"/>
      <w:pPr>
        <w:ind w:left="1500" w:hanging="360"/>
      </w:pPr>
    </w:lvl>
    <w:lvl w:ilvl="1" w:tplc="44090019" w:tentative="1">
      <w:start w:val="1"/>
      <w:numFmt w:val="lowerLetter"/>
      <w:lvlText w:val="%2."/>
      <w:lvlJc w:val="left"/>
      <w:pPr>
        <w:ind w:left="2220" w:hanging="360"/>
      </w:pPr>
    </w:lvl>
    <w:lvl w:ilvl="2" w:tplc="4409001B" w:tentative="1">
      <w:start w:val="1"/>
      <w:numFmt w:val="lowerRoman"/>
      <w:lvlText w:val="%3."/>
      <w:lvlJc w:val="right"/>
      <w:pPr>
        <w:ind w:left="2940" w:hanging="180"/>
      </w:pPr>
    </w:lvl>
    <w:lvl w:ilvl="3" w:tplc="4409000F" w:tentative="1">
      <w:start w:val="1"/>
      <w:numFmt w:val="decimal"/>
      <w:lvlText w:val="%4."/>
      <w:lvlJc w:val="left"/>
      <w:pPr>
        <w:ind w:left="3660" w:hanging="360"/>
      </w:pPr>
    </w:lvl>
    <w:lvl w:ilvl="4" w:tplc="44090019" w:tentative="1">
      <w:start w:val="1"/>
      <w:numFmt w:val="lowerLetter"/>
      <w:lvlText w:val="%5."/>
      <w:lvlJc w:val="left"/>
      <w:pPr>
        <w:ind w:left="4380" w:hanging="360"/>
      </w:pPr>
    </w:lvl>
    <w:lvl w:ilvl="5" w:tplc="4409001B" w:tentative="1">
      <w:start w:val="1"/>
      <w:numFmt w:val="lowerRoman"/>
      <w:lvlText w:val="%6."/>
      <w:lvlJc w:val="right"/>
      <w:pPr>
        <w:ind w:left="5100" w:hanging="180"/>
      </w:pPr>
    </w:lvl>
    <w:lvl w:ilvl="6" w:tplc="4409000F" w:tentative="1">
      <w:start w:val="1"/>
      <w:numFmt w:val="decimal"/>
      <w:lvlText w:val="%7."/>
      <w:lvlJc w:val="left"/>
      <w:pPr>
        <w:ind w:left="5820" w:hanging="360"/>
      </w:pPr>
    </w:lvl>
    <w:lvl w:ilvl="7" w:tplc="44090019" w:tentative="1">
      <w:start w:val="1"/>
      <w:numFmt w:val="lowerLetter"/>
      <w:lvlText w:val="%8."/>
      <w:lvlJc w:val="left"/>
      <w:pPr>
        <w:ind w:left="6540" w:hanging="360"/>
      </w:pPr>
    </w:lvl>
    <w:lvl w:ilvl="8" w:tplc="4409001B" w:tentative="1">
      <w:start w:val="1"/>
      <w:numFmt w:val="lowerRoman"/>
      <w:lvlText w:val="%9."/>
      <w:lvlJc w:val="right"/>
      <w:pPr>
        <w:ind w:left="7260" w:hanging="180"/>
      </w:pPr>
    </w:lvl>
  </w:abstractNum>
  <w:abstractNum w:abstractNumId="20" w15:restartNumberingAfterBreak="0">
    <w:nsid w:val="0D5C319E"/>
    <w:multiLevelType w:val="hybridMultilevel"/>
    <w:tmpl w:val="338AB3B4"/>
    <w:lvl w:ilvl="0" w:tplc="729ADE7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DB63AF1"/>
    <w:multiLevelType w:val="hybridMultilevel"/>
    <w:tmpl w:val="F6AC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6E4668"/>
    <w:multiLevelType w:val="hybridMultilevel"/>
    <w:tmpl w:val="AB6CCD1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12376FB3"/>
    <w:multiLevelType w:val="hybridMultilevel"/>
    <w:tmpl w:val="63BE08BE"/>
    <w:lvl w:ilvl="0" w:tplc="B6BA7020">
      <w:start w:val="1"/>
      <w:numFmt w:val="lowerRoman"/>
      <w:lvlText w:val="(%1)"/>
      <w:lvlJc w:val="left"/>
      <w:pPr>
        <w:ind w:left="780" w:hanging="360"/>
      </w:pPr>
      <w:rPr>
        <w:rFonts w:ascii="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25A3085"/>
    <w:multiLevelType w:val="hybridMultilevel"/>
    <w:tmpl w:val="4508D3E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13154BC4"/>
    <w:multiLevelType w:val="hybridMultilevel"/>
    <w:tmpl w:val="BB903422"/>
    <w:lvl w:ilvl="0" w:tplc="1362F7D8">
      <w:start w:val="1"/>
      <w:numFmt w:val="bullet"/>
      <w:lvlText w:val="•"/>
      <w:lvlJc w:val="left"/>
      <w:pPr>
        <w:ind w:left="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767" w:hanging="360"/>
      </w:pPr>
      <w:rPr>
        <w:rFonts w:ascii="Courier New" w:hAnsi="Courier New" w:cs="Courier New" w:hint="default"/>
      </w:rPr>
    </w:lvl>
    <w:lvl w:ilvl="2" w:tplc="04090005" w:tentative="1">
      <w:start w:val="1"/>
      <w:numFmt w:val="bullet"/>
      <w:lvlText w:val=""/>
      <w:lvlJc w:val="left"/>
      <w:pPr>
        <w:ind w:left="1487" w:hanging="360"/>
      </w:pPr>
      <w:rPr>
        <w:rFonts w:ascii="Wingdings" w:hAnsi="Wingdings" w:hint="default"/>
      </w:rPr>
    </w:lvl>
    <w:lvl w:ilvl="3" w:tplc="04090001" w:tentative="1">
      <w:start w:val="1"/>
      <w:numFmt w:val="bullet"/>
      <w:lvlText w:val=""/>
      <w:lvlJc w:val="left"/>
      <w:pPr>
        <w:ind w:left="2207" w:hanging="360"/>
      </w:pPr>
      <w:rPr>
        <w:rFonts w:ascii="Symbol" w:hAnsi="Symbol" w:hint="default"/>
      </w:rPr>
    </w:lvl>
    <w:lvl w:ilvl="4" w:tplc="04090003" w:tentative="1">
      <w:start w:val="1"/>
      <w:numFmt w:val="bullet"/>
      <w:lvlText w:val="o"/>
      <w:lvlJc w:val="left"/>
      <w:pPr>
        <w:ind w:left="2927" w:hanging="360"/>
      </w:pPr>
      <w:rPr>
        <w:rFonts w:ascii="Courier New" w:hAnsi="Courier New" w:cs="Courier New" w:hint="default"/>
      </w:rPr>
    </w:lvl>
    <w:lvl w:ilvl="5" w:tplc="04090005" w:tentative="1">
      <w:start w:val="1"/>
      <w:numFmt w:val="bullet"/>
      <w:lvlText w:val=""/>
      <w:lvlJc w:val="left"/>
      <w:pPr>
        <w:ind w:left="3647" w:hanging="360"/>
      </w:pPr>
      <w:rPr>
        <w:rFonts w:ascii="Wingdings" w:hAnsi="Wingdings" w:hint="default"/>
      </w:rPr>
    </w:lvl>
    <w:lvl w:ilvl="6" w:tplc="04090001" w:tentative="1">
      <w:start w:val="1"/>
      <w:numFmt w:val="bullet"/>
      <w:lvlText w:val=""/>
      <w:lvlJc w:val="left"/>
      <w:pPr>
        <w:ind w:left="4367" w:hanging="360"/>
      </w:pPr>
      <w:rPr>
        <w:rFonts w:ascii="Symbol" w:hAnsi="Symbol" w:hint="default"/>
      </w:rPr>
    </w:lvl>
    <w:lvl w:ilvl="7" w:tplc="04090003" w:tentative="1">
      <w:start w:val="1"/>
      <w:numFmt w:val="bullet"/>
      <w:lvlText w:val="o"/>
      <w:lvlJc w:val="left"/>
      <w:pPr>
        <w:ind w:left="5087" w:hanging="360"/>
      </w:pPr>
      <w:rPr>
        <w:rFonts w:ascii="Courier New" w:hAnsi="Courier New" w:cs="Courier New" w:hint="default"/>
      </w:rPr>
    </w:lvl>
    <w:lvl w:ilvl="8" w:tplc="04090005" w:tentative="1">
      <w:start w:val="1"/>
      <w:numFmt w:val="bullet"/>
      <w:lvlText w:val=""/>
      <w:lvlJc w:val="left"/>
      <w:pPr>
        <w:ind w:left="5807" w:hanging="360"/>
      </w:pPr>
      <w:rPr>
        <w:rFonts w:ascii="Wingdings" w:hAnsi="Wingdings" w:hint="default"/>
      </w:rPr>
    </w:lvl>
  </w:abstractNum>
  <w:abstractNum w:abstractNumId="26" w15:restartNumberingAfterBreak="0">
    <w:nsid w:val="15F45D87"/>
    <w:multiLevelType w:val="hybridMultilevel"/>
    <w:tmpl w:val="90F6A398"/>
    <w:lvl w:ilvl="0" w:tplc="34090001">
      <w:start w:val="1"/>
      <w:numFmt w:val="bullet"/>
      <w:lvlText w:val=""/>
      <w:lvlJc w:val="left"/>
      <w:pPr>
        <w:ind w:left="927" w:hanging="360"/>
      </w:pPr>
      <w:rPr>
        <w:rFonts w:ascii="Symbol" w:hAnsi="Symbol" w:hint="default"/>
      </w:rPr>
    </w:lvl>
    <w:lvl w:ilvl="1" w:tplc="34090003" w:tentative="1">
      <w:start w:val="1"/>
      <w:numFmt w:val="bullet"/>
      <w:lvlText w:val="o"/>
      <w:lvlJc w:val="left"/>
      <w:pPr>
        <w:ind w:left="1647" w:hanging="360"/>
      </w:pPr>
      <w:rPr>
        <w:rFonts w:ascii="Courier New" w:hAnsi="Courier New" w:cs="Courier New" w:hint="default"/>
      </w:rPr>
    </w:lvl>
    <w:lvl w:ilvl="2" w:tplc="34090005" w:tentative="1">
      <w:start w:val="1"/>
      <w:numFmt w:val="bullet"/>
      <w:lvlText w:val=""/>
      <w:lvlJc w:val="left"/>
      <w:pPr>
        <w:ind w:left="2367" w:hanging="360"/>
      </w:pPr>
      <w:rPr>
        <w:rFonts w:ascii="Wingdings" w:hAnsi="Wingdings" w:hint="default"/>
      </w:rPr>
    </w:lvl>
    <w:lvl w:ilvl="3" w:tplc="34090001" w:tentative="1">
      <w:start w:val="1"/>
      <w:numFmt w:val="bullet"/>
      <w:lvlText w:val=""/>
      <w:lvlJc w:val="left"/>
      <w:pPr>
        <w:ind w:left="3087" w:hanging="360"/>
      </w:pPr>
      <w:rPr>
        <w:rFonts w:ascii="Symbol" w:hAnsi="Symbol" w:hint="default"/>
      </w:rPr>
    </w:lvl>
    <w:lvl w:ilvl="4" w:tplc="34090003" w:tentative="1">
      <w:start w:val="1"/>
      <w:numFmt w:val="bullet"/>
      <w:lvlText w:val="o"/>
      <w:lvlJc w:val="left"/>
      <w:pPr>
        <w:ind w:left="3807" w:hanging="360"/>
      </w:pPr>
      <w:rPr>
        <w:rFonts w:ascii="Courier New" w:hAnsi="Courier New" w:cs="Courier New" w:hint="default"/>
      </w:rPr>
    </w:lvl>
    <w:lvl w:ilvl="5" w:tplc="34090005" w:tentative="1">
      <w:start w:val="1"/>
      <w:numFmt w:val="bullet"/>
      <w:lvlText w:val=""/>
      <w:lvlJc w:val="left"/>
      <w:pPr>
        <w:ind w:left="4527" w:hanging="360"/>
      </w:pPr>
      <w:rPr>
        <w:rFonts w:ascii="Wingdings" w:hAnsi="Wingdings" w:hint="default"/>
      </w:rPr>
    </w:lvl>
    <w:lvl w:ilvl="6" w:tplc="34090001" w:tentative="1">
      <w:start w:val="1"/>
      <w:numFmt w:val="bullet"/>
      <w:lvlText w:val=""/>
      <w:lvlJc w:val="left"/>
      <w:pPr>
        <w:ind w:left="5247" w:hanging="360"/>
      </w:pPr>
      <w:rPr>
        <w:rFonts w:ascii="Symbol" w:hAnsi="Symbol" w:hint="default"/>
      </w:rPr>
    </w:lvl>
    <w:lvl w:ilvl="7" w:tplc="34090003" w:tentative="1">
      <w:start w:val="1"/>
      <w:numFmt w:val="bullet"/>
      <w:lvlText w:val="o"/>
      <w:lvlJc w:val="left"/>
      <w:pPr>
        <w:ind w:left="5967" w:hanging="360"/>
      </w:pPr>
      <w:rPr>
        <w:rFonts w:ascii="Courier New" w:hAnsi="Courier New" w:cs="Courier New" w:hint="default"/>
      </w:rPr>
    </w:lvl>
    <w:lvl w:ilvl="8" w:tplc="34090005" w:tentative="1">
      <w:start w:val="1"/>
      <w:numFmt w:val="bullet"/>
      <w:lvlText w:val=""/>
      <w:lvlJc w:val="left"/>
      <w:pPr>
        <w:ind w:left="6687" w:hanging="360"/>
      </w:pPr>
      <w:rPr>
        <w:rFonts w:ascii="Wingdings" w:hAnsi="Wingdings" w:hint="default"/>
      </w:rPr>
    </w:lvl>
  </w:abstractNum>
  <w:abstractNum w:abstractNumId="27" w15:restartNumberingAfterBreak="0">
    <w:nsid w:val="16987BCA"/>
    <w:multiLevelType w:val="hybridMultilevel"/>
    <w:tmpl w:val="F6B40A82"/>
    <w:lvl w:ilvl="0" w:tplc="04090003">
      <w:start w:val="1"/>
      <w:numFmt w:val="bullet"/>
      <w:lvlText w:val="o"/>
      <w:lvlJc w:val="left"/>
      <w:pPr>
        <w:ind w:left="181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9D227B"/>
    <w:multiLevelType w:val="hybridMultilevel"/>
    <w:tmpl w:val="EB1E67F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198C5249"/>
    <w:multiLevelType w:val="hybridMultilevel"/>
    <w:tmpl w:val="B5C84C6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1A6C489D"/>
    <w:multiLevelType w:val="hybridMultilevel"/>
    <w:tmpl w:val="948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EC7677"/>
    <w:multiLevelType w:val="hybridMultilevel"/>
    <w:tmpl w:val="E90E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0D7A83"/>
    <w:multiLevelType w:val="multilevel"/>
    <w:tmpl w:val="225471D4"/>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1C15797B"/>
    <w:multiLevelType w:val="hybridMultilevel"/>
    <w:tmpl w:val="54F6CA9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1CEA00D0"/>
    <w:multiLevelType w:val="hybridMultilevel"/>
    <w:tmpl w:val="3BD245BA"/>
    <w:lvl w:ilvl="0" w:tplc="3AFA1064">
      <w:start w:val="2"/>
      <w:numFmt w:val="lowerLetter"/>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1D050FE2"/>
    <w:multiLevelType w:val="hybridMultilevel"/>
    <w:tmpl w:val="11ECFE50"/>
    <w:lvl w:ilvl="0" w:tplc="5CC6B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570074"/>
    <w:multiLevelType w:val="hybridMultilevel"/>
    <w:tmpl w:val="44F000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22717B2A"/>
    <w:multiLevelType w:val="hybridMultilevel"/>
    <w:tmpl w:val="6908DCA0"/>
    <w:lvl w:ilvl="0" w:tplc="CDDE681C">
      <w:start w:val="28"/>
      <w:numFmt w:val="decimal"/>
      <w:lvlText w:val="%1."/>
      <w:lvlJc w:val="left"/>
      <w:pPr>
        <w:ind w:left="5670" w:hanging="360"/>
      </w:pPr>
      <w:rPr>
        <w:rFonts w:ascii="Times New Roman" w:hAnsi="Times New Roman" w:cs="Times New Roman" w:hint="default"/>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45335E2"/>
    <w:multiLevelType w:val="hybridMultilevel"/>
    <w:tmpl w:val="ABCAE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C01C32"/>
    <w:multiLevelType w:val="hybridMultilevel"/>
    <w:tmpl w:val="1A86F8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261E0BA3"/>
    <w:multiLevelType w:val="hybridMultilevel"/>
    <w:tmpl w:val="214A7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6A40C10"/>
    <w:multiLevelType w:val="hybridMultilevel"/>
    <w:tmpl w:val="E0BE5834"/>
    <w:lvl w:ilvl="0" w:tplc="D3B43D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DE4193"/>
    <w:multiLevelType w:val="hybridMultilevel"/>
    <w:tmpl w:val="DB6C4EEC"/>
    <w:lvl w:ilvl="0" w:tplc="FD765C5A">
      <w:start w:val="1"/>
      <w:numFmt w:val="decimal"/>
      <w:pStyle w:val="NumberList1"/>
      <w:lvlText w:val="%1."/>
      <w:lvlJc w:val="left"/>
      <w:pPr>
        <w:ind w:left="720" w:hanging="360"/>
      </w:pPr>
      <w:rPr>
        <w:rFonts w:ascii="Arial" w:hAnsi="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28365DDE"/>
    <w:multiLevelType w:val="hybridMultilevel"/>
    <w:tmpl w:val="D200C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960A25"/>
    <w:multiLevelType w:val="hybridMultilevel"/>
    <w:tmpl w:val="BE36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DCE6E48"/>
    <w:multiLevelType w:val="hybridMultilevel"/>
    <w:tmpl w:val="4516D61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6" w15:restartNumberingAfterBreak="0">
    <w:nsid w:val="2E2D3BC7"/>
    <w:multiLevelType w:val="hybridMultilevel"/>
    <w:tmpl w:val="20D26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E884D53"/>
    <w:multiLevelType w:val="hybridMultilevel"/>
    <w:tmpl w:val="AD68FB6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320F2C10"/>
    <w:multiLevelType w:val="hybridMultilevel"/>
    <w:tmpl w:val="4190A524"/>
    <w:lvl w:ilvl="0" w:tplc="0DDAE37E">
      <w:numFmt w:val="bullet"/>
      <w:lvlText w:val="-"/>
      <w:lvlJc w:val="left"/>
      <w:pPr>
        <w:ind w:left="734" w:hanging="360"/>
      </w:pPr>
      <w:rPr>
        <w:rFonts w:ascii="Times New Roman" w:eastAsia="Times New Roman"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9" w15:restartNumberingAfterBreak="0">
    <w:nsid w:val="32C01EB7"/>
    <w:multiLevelType w:val="hybridMultilevel"/>
    <w:tmpl w:val="194A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4FE2F6A"/>
    <w:multiLevelType w:val="hybridMultilevel"/>
    <w:tmpl w:val="49F6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4A0746"/>
    <w:multiLevelType w:val="hybridMultilevel"/>
    <w:tmpl w:val="4BE4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7CE1CED"/>
    <w:multiLevelType w:val="hybridMultilevel"/>
    <w:tmpl w:val="BA501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E518B4"/>
    <w:multiLevelType w:val="hybridMultilevel"/>
    <w:tmpl w:val="7716FEC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393B442A"/>
    <w:multiLevelType w:val="hybridMultilevel"/>
    <w:tmpl w:val="1B40CD96"/>
    <w:lvl w:ilvl="0" w:tplc="5CC6B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FC2E96"/>
    <w:multiLevelType w:val="hybridMultilevel"/>
    <w:tmpl w:val="EF705974"/>
    <w:lvl w:ilvl="0" w:tplc="0E68EB62">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56" w15:restartNumberingAfterBreak="0">
    <w:nsid w:val="3A9C3C5E"/>
    <w:multiLevelType w:val="hybridMultilevel"/>
    <w:tmpl w:val="24068216"/>
    <w:lvl w:ilvl="0" w:tplc="A38EF786">
      <w:start w:val="4"/>
      <w:numFmt w:val="decimal"/>
      <w:lvlText w:val="%1)"/>
      <w:lvlJc w:val="left"/>
      <w:pPr>
        <w:ind w:left="349"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7" w15:restartNumberingAfterBreak="0">
    <w:nsid w:val="3AFE72A8"/>
    <w:multiLevelType w:val="hybridMultilevel"/>
    <w:tmpl w:val="AF02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393640"/>
    <w:multiLevelType w:val="hybridMultilevel"/>
    <w:tmpl w:val="06A08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F962FCC"/>
    <w:multiLevelType w:val="hybridMultilevel"/>
    <w:tmpl w:val="C02C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0B35E2"/>
    <w:multiLevelType w:val="hybridMultilevel"/>
    <w:tmpl w:val="D50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81543C"/>
    <w:multiLevelType w:val="hybridMultilevel"/>
    <w:tmpl w:val="0B0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DD1686"/>
    <w:multiLevelType w:val="hybridMultilevel"/>
    <w:tmpl w:val="5D9CA8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3" w15:restartNumberingAfterBreak="0">
    <w:nsid w:val="4301485B"/>
    <w:multiLevelType w:val="hybridMultilevel"/>
    <w:tmpl w:val="8EA4CA2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4" w15:restartNumberingAfterBreak="0">
    <w:nsid w:val="43B6712B"/>
    <w:multiLevelType w:val="hybridMultilevel"/>
    <w:tmpl w:val="D780F5F0"/>
    <w:lvl w:ilvl="0" w:tplc="959055F6">
      <w:start w:val="1"/>
      <w:numFmt w:val="decimal"/>
      <w:pStyle w:val="MainParanoChapter-Ch3"/>
      <w:lvlText w:val="%1."/>
      <w:lvlJc w:val="left"/>
      <w:pPr>
        <w:ind w:left="1080" w:hanging="360"/>
      </w:pPr>
      <w:rPr>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50B6C4B"/>
    <w:multiLevelType w:val="hybridMultilevel"/>
    <w:tmpl w:val="8E62BDB6"/>
    <w:lvl w:ilvl="0" w:tplc="81FAE1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81F1B02"/>
    <w:multiLevelType w:val="hybridMultilevel"/>
    <w:tmpl w:val="69FA1320"/>
    <w:lvl w:ilvl="0" w:tplc="45E2788E">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4D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4A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22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A9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86B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46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ED2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D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8D56629"/>
    <w:multiLevelType w:val="hybridMultilevel"/>
    <w:tmpl w:val="763A101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A0577F3"/>
    <w:multiLevelType w:val="hybridMultilevel"/>
    <w:tmpl w:val="ECB8E50A"/>
    <w:lvl w:ilvl="0" w:tplc="44090001">
      <w:start w:val="1"/>
      <w:numFmt w:val="bullet"/>
      <w:lvlText w:val=""/>
      <w:lvlJc w:val="left"/>
      <w:pPr>
        <w:ind w:left="774" w:hanging="360"/>
      </w:pPr>
      <w:rPr>
        <w:rFonts w:ascii="Symbol" w:hAnsi="Symbol" w:hint="default"/>
      </w:rPr>
    </w:lvl>
    <w:lvl w:ilvl="1" w:tplc="44090003" w:tentative="1">
      <w:start w:val="1"/>
      <w:numFmt w:val="bullet"/>
      <w:lvlText w:val="o"/>
      <w:lvlJc w:val="left"/>
      <w:pPr>
        <w:ind w:left="1494" w:hanging="360"/>
      </w:pPr>
      <w:rPr>
        <w:rFonts w:ascii="Courier New" w:hAnsi="Courier New" w:cs="Courier New" w:hint="default"/>
      </w:rPr>
    </w:lvl>
    <w:lvl w:ilvl="2" w:tplc="44090005" w:tentative="1">
      <w:start w:val="1"/>
      <w:numFmt w:val="bullet"/>
      <w:lvlText w:val=""/>
      <w:lvlJc w:val="left"/>
      <w:pPr>
        <w:ind w:left="2214" w:hanging="360"/>
      </w:pPr>
      <w:rPr>
        <w:rFonts w:ascii="Wingdings" w:hAnsi="Wingdings" w:hint="default"/>
      </w:rPr>
    </w:lvl>
    <w:lvl w:ilvl="3" w:tplc="44090001" w:tentative="1">
      <w:start w:val="1"/>
      <w:numFmt w:val="bullet"/>
      <w:lvlText w:val=""/>
      <w:lvlJc w:val="left"/>
      <w:pPr>
        <w:ind w:left="2934" w:hanging="360"/>
      </w:pPr>
      <w:rPr>
        <w:rFonts w:ascii="Symbol" w:hAnsi="Symbol" w:hint="default"/>
      </w:rPr>
    </w:lvl>
    <w:lvl w:ilvl="4" w:tplc="44090003" w:tentative="1">
      <w:start w:val="1"/>
      <w:numFmt w:val="bullet"/>
      <w:lvlText w:val="o"/>
      <w:lvlJc w:val="left"/>
      <w:pPr>
        <w:ind w:left="3654" w:hanging="360"/>
      </w:pPr>
      <w:rPr>
        <w:rFonts w:ascii="Courier New" w:hAnsi="Courier New" w:cs="Courier New" w:hint="default"/>
      </w:rPr>
    </w:lvl>
    <w:lvl w:ilvl="5" w:tplc="44090005" w:tentative="1">
      <w:start w:val="1"/>
      <w:numFmt w:val="bullet"/>
      <w:lvlText w:val=""/>
      <w:lvlJc w:val="left"/>
      <w:pPr>
        <w:ind w:left="4374" w:hanging="360"/>
      </w:pPr>
      <w:rPr>
        <w:rFonts w:ascii="Wingdings" w:hAnsi="Wingdings" w:hint="default"/>
      </w:rPr>
    </w:lvl>
    <w:lvl w:ilvl="6" w:tplc="44090001" w:tentative="1">
      <w:start w:val="1"/>
      <w:numFmt w:val="bullet"/>
      <w:lvlText w:val=""/>
      <w:lvlJc w:val="left"/>
      <w:pPr>
        <w:ind w:left="5094" w:hanging="360"/>
      </w:pPr>
      <w:rPr>
        <w:rFonts w:ascii="Symbol" w:hAnsi="Symbol" w:hint="default"/>
      </w:rPr>
    </w:lvl>
    <w:lvl w:ilvl="7" w:tplc="44090003" w:tentative="1">
      <w:start w:val="1"/>
      <w:numFmt w:val="bullet"/>
      <w:lvlText w:val="o"/>
      <w:lvlJc w:val="left"/>
      <w:pPr>
        <w:ind w:left="5814" w:hanging="360"/>
      </w:pPr>
      <w:rPr>
        <w:rFonts w:ascii="Courier New" w:hAnsi="Courier New" w:cs="Courier New" w:hint="default"/>
      </w:rPr>
    </w:lvl>
    <w:lvl w:ilvl="8" w:tplc="44090005" w:tentative="1">
      <w:start w:val="1"/>
      <w:numFmt w:val="bullet"/>
      <w:lvlText w:val=""/>
      <w:lvlJc w:val="left"/>
      <w:pPr>
        <w:ind w:left="6534" w:hanging="360"/>
      </w:pPr>
      <w:rPr>
        <w:rFonts w:ascii="Wingdings" w:hAnsi="Wingdings" w:hint="default"/>
      </w:rPr>
    </w:lvl>
  </w:abstractNum>
  <w:abstractNum w:abstractNumId="69" w15:restartNumberingAfterBreak="0">
    <w:nsid w:val="4A085210"/>
    <w:multiLevelType w:val="hybridMultilevel"/>
    <w:tmpl w:val="5FE4376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15:restartNumberingAfterBreak="0">
    <w:nsid w:val="4B04121B"/>
    <w:multiLevelType w:val="hybridMultilevel"/>
    <w:tmpl w:val="7EF887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1" w15:restartNumberingAfterBreak="0">
    <w:nsid w:val="4B5955DE"/>
    <w:multiLevelType w:val="hybridMultilevel"/>
    <w:tmpl w:val="C32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622282"/>
    <w:multiLevelType w:val="hybridMultilevel"/>
    <w:tmpl w:val="B452428E"/>
    <w:lvl w:ilvl="0" w:tplc="111CA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750AE5"/>
    <w:multiLevelType w:val="hybridMultilevel"/>
    <w:tmpl w:val="54140138"/>
    <w:lvl w:ilvl="0" w:tplc="0409000F">
      <w:start w:val="1"/>
      <w:numFmt w:val="decimal"/>
      <w:lvlText w:val="%1."/>
      <w:lvlJc w:val="left"/>
      <w:pPr>
        <w:ind w:left="360" w:hanging="360"/>
      </w:pPr>
      <w:rPr>
        <w:rFonts w:hint="default"/>
        <w:b w:val="0"/>
        <w:i w:val="0"/>
        <w:sz w:val="24"/>
        <w:szCs w:val="24"/>
      </w:rPr>
    </w:lvl>
    <w:lvl w:ilvl="1" w:tplc="0409000F">
      <w:start w:val="1"/>
      <w:numFmt w:val="decimal"/>
      <w:lvlText w:val="%2."/>
      <w:lvlJc w:val="left"/>
      <w:pPr>
        <w:ind w:left="-1080" w:hanging="360"/>
      </w:pPr>
      <w:rPr>
        <w:rFonts w:hint="default"/>
        <w:color w:val="000000"/>
      </w:r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4" w15:restartNumberingAfterBreak="0">
    <w:nsid w:val="4C395F7A"/>
    <w:multiLevelType w:val="hybridMultilevel"/>
    <w:tmpl w:val="D200C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C6D2B51"/>
    <w:multiLevelType w:val="hybridMultilevel"/>
    <w:tmpl w:val="DD466AB2"/>
    <w:lvl w:ilvl="0" w:tplc="476A0D98">
      <w:start w:val="1"/>
      <w:numFmt w:val="lowerRoman"/>
      <w:lvlText w:val="(%1)"/>
      <w:lvlJc w:val="left"/>
      <w:pPr>
        <w:ind w:left="1440" w:hanging="720"/>
      </w:pPr>
      <w:rPr>
        <w:rFonts w:hint="default"/>
        <w:u w:val="single"/>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6" w15:restartNumberingAfterBreak="0">
    <w:nsid w:val="4CC974FA"/>
    <w:multiLevelType w:val="hybridMultilevel"/>
    <w:tmpl w:val="CF322834"/>
    <w:lvl w:ilvl="0" w:tplc="5874B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BE3572"/>
    <w:multiLevelType w:val="hybridMultilevel"/>
    <w:tmpl w:val="214A7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E097AA5"/>
    <w:multiLevelType w:val="hybridMultilevel"/>
    <w:tmpl w:val="E3FAB4CE"/>
    <w:lvl w:ilvl="0" w:tplc="B3622EF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9" w15:restartNumberingAfterBreak="0">
    <w:nsid w:val="4E350917"/>
    <w:multiLevelType w:val="hybridMultilevel"/>
    <w:tmpl w:val="D6ECB7B6"/>
    <w:lvl w:ilvl="0" w:tplc="DF00A21C">
      <w:start w:val="6"/>
      <w:numFmt w:val="bullet"/>
      <w:lvlText w:val="-"/>
      <w:lvlJc w:val="left"/>
      <w:pPr>
        <w:ind w:left="720" w:hanging="360"/>
      </w:pPr>
      <w:rPr>
        <w:rFonts w:ascii="Times New Roman" w:eastAsia="SimSu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0" w15:restartNumberingAfterBreak="0">
    <w:nsid w:val="50DC4308"/>
    <w:multiLevelType w:val="hybridMultilevel"/>
    <w:tmpl w:val="A9187544"/>
    <w:lvl w:ilvl="0" w:tplc="ABA45106">
      <w:start w:val="27"/>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831ECC"/>
    <w:multiLevelType w:val="hybridMultilevel"/>
    <w:tmpl w:val="671AC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46A2538"/>
    <w:multiLevelType w:val="hybridMultilevel"/>
    <w:tmpl w:val="1B9A551C"/>
    <w:lvl w:ilvl="0" w:tplc="5A280DD6">
      <w:start w:val="1"/>
      <w:numFmt w:val="decimal"/>
      <w:lvlText w:val="%1."/>
      <w:lvlJc w:val="left"/>
      <w:pPr>
        <w:ind w:left="786" w:hanging="446"/>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646EDC">
      <w:start w:val="1"/>
      <w:numFmt w:val="lowerLetter"/>
      <w:lvlText w:val="%2."/>
      <w:lvlJc w:val="left"/>
      <w:pPr>
        <w:ind w:left="-403" w:hanging="360"/>
      </w:pPr>
      <w:rPr>
        <w:b w:val="0"/>
      </w:rPr>
    </w:lvl>
    <w:lvl w:ilvl="2" w:tplc="FF52777A">
      <w:numFmt w:val="bullet"/>
      <w:lvlText w:val="-"/>
      <w:lvlJc w:val="left"/>
      <w:pPr>
        <w:ind w:left="497" w:hanging="360"/>
      </w:pPr>
      <w:rPr>
        <w:rFonts w:ascii="Times New Roman" w:eastAsiaTheme="minorHAnsi" w:hAnsi="Times New Roman" w:cs="Times New Roman" w:hint="default"/>
      </w:rPr>
    </w:lvl>
    <w:lvl w:ilvl="3" w:tplc="A72E2B36">
      <w:start w:val="1"/>
      <w:numFmt w:val="lowerLetter"/>
      <w:lvlText w:val="(%4)"/>
      <w:lvlJc w:val="left"/>
      <w:pPr>
        <w:ind w:left="1037" w:hanging="360"/>
      </w:pPr>
      <w:rPr>
        <w:rFonts w:hint="default"/>
        <w:b w:val="0"/>
      </w:rPr>
    </w:lvl>
    <w:lvl w:ilvl="4" w:tplc="04090019">
      <w:start w:val="1"/>
      <w:numFmt w:val="lowerLetter"/>
      <w:lvlText w:val="%5."/>
      <w:lvlJc w:val="left"/>
      <w:pPr>
        <w:ind w:left="1757" w:hanging="360"/>
      </w:pPr>
    </w:lvl>
    <w:lvl w:ilvl="5" w:tplc="0409001B">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abstractNum w:abstractNumId="83" w15:restartNumberingAfterBreak="0">
    <w:nsid w:val="5631594E"/>
    <w:multiLevelType w:val="hybridMultilevel"/>
    <w:tmpl w:val="B7D4E332"/>
    <w:lvl w:ilvl="0" w:tplc="ABA45106">
      <w:start w:val="27"/>
      <w:numFmt w:val="decimal"/>
      <w:lvlText w:val="%1."/>
      <w:lvlJc w:val="left"/>
      <w:pPr>
        <w:ind w:left="0" w:firstLine="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8A32C3"/>
    <w:multiLevelType w:val="hybridMultilevel"/>
    <w:tmpl w:val="5C7462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5" w15:restartNumberingAfterBreak="0">
    <w:nsid w:val="57620D17"/>
    <w:multiLevelType w:val="hybridMultilevel"/>
    <w:tmpl w:val="DB02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1701F6"/>
    <w:multiLevelType w:val="hybridMultilevel"/>
    <w:tmpl w:val="CB0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4E4319"/>
    <w:multiLevelType w:val="hybridMultilevel"/>
    <w:tmpl w:val="88A47E2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8" w15:restartNumberingAfterBreak="0">
    <w:nsid w:val="5ACB5406"/>
    <w:multiLevelType w:val="hybridMultilevel"/>
    <w:tmpl w:val="4C8855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9" w15:restartNumberingAfterBreak="0">
    <w:nsid w:val="5E8C63AB"/>
    <w:multiLevelType w:val="hybridMultilevel"/>
    <w:tmpl w:val="3A02E578"/>
    <w:lvl w:ilvl="0" w:tplc="C2420658">
      <w:start w:val="1"/>
      <w:numFmt w:val="lowerLetter"/>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0" w15:restartNumberingAfterBreak="0">
    <w:nsid w:val="5ED600FA"/>
    <w:multiLevelType w:val="hybridMultilevel"/>
    <w:tmpl w:val="555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131CAD"/>
    <w:multiLevelType w:val="hybridMultilevel"/>
    <w:tmpl w:val="BCF23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F655EC7"/>
    <w:multiLevelType w:val="hybridMultilevel"/>
    <w:tmpl w:val="47BEC4E4"/>
    <w:lvl w:ilvl="0" w:tplc="5CC6B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E810A6"/>
    <w:multiLevelType w:val="hybridMultilevel"/>
    <w:tmpl w:val="5D5041F8"/>
    <w:lvl w:ilvl="0" w:tplc="04090001">
      <w:start w:val="1"/>
      <w:numFmt w:val="bullet"/>
      <w:lvlText w:val=""/>
      <w:lvlJc w:val="left"/>
      <w:pPr>
        <w:ind w:left="720" w:hanging="360"/>
      </w:pPr>
      <w:rPr>
        <w:rFonts w:ascii="Symbol" w:hAnsi="Symbol" w:hint="default"/>
      </w:rPr>
    </w:lvl>
    <w:lvl w:ilvl="1" w:tplc="1826EBB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CB6F9A"/>
    <w:multiLevelType w:val="hybridMultilevel"/>
    <w:tmpl w:val="99421284"/>
    <w:lvl w:ilvl="0" w:tplc="0FC68826">
      <w:start w:val="1"/>
      <w:numFmt w:val="decimal"/>
      <w:lvlText w:val="%1)"/>
      <w:lvlJc w:val="left"/>
      <w:pPr>
        <w:ind w:left="349" w:hanging="360"/>
      </w:pPr>
      <w:rPr>
        <w:rFonts w:hint="default"/>
      </w:rPr>
    </w:lvl>
    <w:lvl w:ilvl="1" w:tplc="44090019" w:tentative="1">
      <w:start w:val="1"/>
      <w:numFmt w:val="lowerLetter"/>
      <w:lvlText w:val="%2."/>
      <w:lvlJc w:val="left"/>
      <w:pPr>
        <w:ind w:left="1069" w:hanging="360"/>
      </w:pPr>
    </w:lvl>
    <w:lvl w:ilvl="2" w:tplc="4409001B" w:tentative="1">
      <w:start w:val="1"/>
      <w:numFmt w:val="lowerRoman"/>
      <w:lvlText w:val="%3."/>
      <w:lvlJc w:val="right"/>
      <w:pPr>
        <w:ind w:left="1789" w:hanging="180"/>
      </w:pPr>
    </w:lvl>
    <w:lvl w:ilvl="3" w:tplc="4409000F" w:tentative="1">
      <w:start w:val="1"/>
      <w:numFmt w:val="decimal"/>
      <w:lvlText w:val="%4."/>
      <w:lvlJc w:val="left"/>
      <w:pPr>
        <w:ind w:left="2509" w:hanging="360"/>
      </w:pPr>
    </w:lvl>
    <w:lvl w:ilvl="4" w:tplc="44090019" w:tentative="1">
      <w:start w:val="1"/>
      <w:numFmt w:val="lowerLetter"/>
      <w:lvlText w:val="%5."/>
      <w:lvlJc w:val="left"/>
      <w:pPr>
        <w:ind w:left="3229" w:hanging="360"/>
      </w:pPr>
    </w:lvl>
    <w:lvl w:ilvl="5" w:tplc="4409001B" w:tentative="1">
      <w:start w:val="1"/>
      <w:numFmt w:val="lowerRoman"/>
      <w:lvlText w:val="%6."/>
      <w:lvlJc w:val="right"/>
      <w:pPr>
        <w:ind w:left="3949" w:hanging="180"/>
      </w:pPr>
    </w:lvl>
    <w:lvl w:ilvl="6" w:tplc="4409000F" w:tentative="1">
      <w:start w:val="1"/>
      <w:numFmt w:val="decimal"/>
      <w:lvlText w:val="%7."/>
      <w:lvlJc w:val="left"/>
      <w:pPr>
        <w:ind w:left="4669" w:hanging="360"/>
      </w:pPr>
    </w:lvl>
    <w:lvl w:ilvl="7" w:tplc="44090019" w:tentative="1">
      <w:start w:val="1"/>
      <w:numFmt w:val="lowerLetter"/>
      <w:lvlText w:val="%8."/>
      <w:lvlJc w:val="left"/>
      <w:pPr>
        <w:ind w:left="5389" w:hanging="360"/>
      </w:pPr>
    </w:lvl>
    <w:lvl w:ilvl="8" w:tplc="4409001B" w:tentative="1">
      <w:start w:val="1"/>
      <w:numFmt w:val="lowerRoman"/>
      <w:lvlText w:val="%9."/>
      <w:lvlJc w:val="right"/>
      <w:pPr>
        <w:ind w:left="6109" w:hanging="180"/>
      </w:pPr>
    </w:lvl>
  </w:abstractNum>
  <w:abstractNum w:abstractNumId="95" w15:restartNumberingAfterBreak="0">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4A146B1"/>
    <w:multiLevelType w:val="hybridMultilevel"/>
    <w:tmpl w:val="70E2E848"/>
    <w:lvl w:ilvl="0" w:tplc="D930BF6C">
      <w:start w:val="1"/>
      <w:numFmt w:val="decimal"/>
      <w:lvlText w:val="%1."/>
      <w:lvlJc w:val="left"/>
      <w:pPr>
        <w:ind w:left="720" w:hanging="360"/>
      </w:pPr>
      <w:rPr>
        <w:rFonts w:asciiTheme="majorBidi" w:eastAsia="Cambria" w:hAnsiTheme="majorBidi" w:cstheme="majorBidi" w:hint="default"/>
        <w:b/>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7" w15:restartNumberingAfterBreak="0">
    <w:nsid w:val="66A81361"/>
    <w:multiLevelType w:val="hybridMultilevel"/>
    <w:tmpl w:val="5F0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E36DFE"/>
    <w:multiLevelType w:val="hybridMultilevel"/>
    <w:tmpl w:val="2300FF8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9F0BBE"/>
    <w:multiLevelType w:val="hybridMultilevel"/>
    <w:tmpl w:val="45A665E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0" w15:restartNumberingAfterBreak="0">
    <w:nsid w:val="68456F7D"/>
    <w:multiLevelType w:val="hybridMultilevel"/>
    <w:tmpl w:val="9AE24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94E34D6"/>
    <w:multiLevelType w:val="hybridMultilevel"/>
    <w:tmpl w:val="6240ADB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2" w15:restartNumberingAfterBreak="0">
    <w:nsid w:val="6A243ADC"/>
    <w:multiLevelType w:val="hybridMultilevel"/>
    <w:tmpl w:val="ADFE71DC"/>
    <w:lvl w:ilvl="0" w:tplc="D2ACCA98">
      <w:start w:val="1"/>
      <w:numFmt w:val="decimal"/>
      <w:lvlText w:val="%1)"/>
      <w:lvlJc w:val="left"/>
      <w:pPr>
        <w:ind w:left="349" w:hanging="360"/>
      </w:pPr>
      <w:rPr>
        <w:rFonts w:hint="default"/>
      </w:rPr>
    </w:lvl>
    <w:lvl w:ilvl="1" w:tplc="44090019" w:tentative="1">
      <w:start w:val="1"/>
      <w:numFmt w:val="lowerLetter"/>
      <w:lvlText w:val="%2."/>
      <w:lvlJc w:val="left"/>
      <w:pPr>
        <w:ind w:left="1069" w:hanging="360"/>
      </w:pPr>
    </w:lvl>
    <w:lvl w:ilvl="2" w:tplc="4409001B" w:tentative="1">
      <w:start w:val="1"/>
      <w:numFmt w:val="lowerRoman"/>
      <w:lvlText w:val="%3."/>
      <w:lvlJc w:val="right"/>
      <w:pPr>
        <w:ind w:left="1789" w:hanging="180"/>
      </w:pPr>
    </w:lvl>
    <w:lvl w:ilvl="3" w:tplc="4409000F" w:tentative="1">
      <w:start w:val="1"/>
      <w:numFmt w:val="decimal"/>
      <w:lvlText w:val="%4."/>
      <w:lvlJc w:val="left"/>
      <w:pPr>
        <w:ind w:left="2509" w:hanging="360"/>
      </w:pPr>
    </w:lvl>
    <w:lvl w:ilvl="4" w:tplc="44090019" w:tentative="1">
      <w:start w:val="1"/>
      <w:numFmt w:val="lowerLetter"/>
      <w:lvlText w:val="%5."/>
      <w:lvlJc w:val="left"/>
      <w:pPr>
        <w:ind w:left="3229" w:hanging="360"/>
      </w:pPr>
    </w:lvl>
    <w:lvl w:ilvl="5" w:tplc="4409001B" w:tentative="1">
      <w:start w:val="1"/>
      <w:numFmt w:val="lowerRoman"/>
      <w:lvlText w:val="%6."/>
      <w:lvlJc w:val="right"/>
      <w:pPr>
        <w:ind w:left="3949" w:hanging="180"/>
      </w:pPr>
    </w:lvl>
    <w:lvl w:ilvl="6" w:tplc="4409000F" w:tentative="1">
      <w:start w:val="1"/>
      <w:numFmt w:val="decimal"/>
      <w:lvlText w:val="%7."/>
      <w:lvlJc w:val="left"/>
      <w:pPr>
        <w:ind w:left="4669" w:hanging="360"/>
      </w:pPr>
    </w:lvl>
    <w:lvl w:ilvl="7" w:tplc="44090019" w:tentative="1">
      <w:start w:val="1"/>
      <w:numFmt w:val="lowerLetter"/>
      <w:lvlText w:val="%8."/>
      <w:lvlJc w:val="left"/>
      <w:pPr>
        <w:ind w:left="5389" w:hanging="360"/>
      </w:pPr>
    </w:lvl>
    <w:lvl w:ilvl="8" w:tplc="4409001B" w:tentative="1">
      <w:start w:val="1"/>
      <w:numFmt w:val="lowerRoman"/>
      <w:lvlText w:val="%9."/>
      <w:lvlJc w:val="right"/>
      <w:pPr>
        <w:ind w:left="6109" w:hanging="180"/>
      </w:pPr>
    </w:lvl>
  </w:abstractNum>
  <w:abstractNum w:abstractNumId="103" w15:restartNumberingAfterBreak="0">
    <w:nsid w:val="6CC171AF"/>
    <w:multiLevelType w:val="hybridMultilevel"/>
    <w:tmpl w:val="D9BCA71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4" w15:restartNumberingAfterBreak="0">
    <w:nsid w:val="6DBC1BF6"/>
    <w:multiLevelType w:val="hybridMultilevel"/>
    <w:tmpl w:val="B3B24934"/>
    <w:lvl w:ilvl="0" w:tplc="327E5F70">
      <w:start w:val="1"/>
      <w:numFmt w:val="bullet"/>
      <w:lvlText w:val=""/>
      <w:lvlJc w:val="left"/>
      <w:pPr>
        <w:ind w:left="1080" w:hanging="360"/>
      </w:pPr>
      <w:rPr>
        <w:rFonts w:ascii="Symbol"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E8B0C46"/>
    <w:multiLevelType w:val="hybridMultilevel"/>
    <w:tmpl w:val="5A9A5FA0"/>
    <w:lvl w:ilvl="0" w:tplc="261680EC">
      <w:start w:val="1"/>
      <w:numFmt w:val="upperRoman"/>
      <w:lvlText w:val="%1."/>
      <w:lvlJc w:val="left"/>
      <w:pPr>
        <w:ind w:left="360" w:hanging="360"/>
      </w:pPr>
      <w:rPr>
        <w:rFonts w:ascii="Times New Roman Bold" w:hAnsi="Times New Roman Bold" w:hint="default"/>
        <w:b/>
        <w:i w:val="0"/>
        <w:color w:val="auto"/>
        <w:spacing w:val="0"/>
        <w:position w:val="0"/>
        <w:sz w:val="28"/>
        <w14:cntxtAlts w14:val="0"/>
      </w:rPr>
    </w:lvl>
    <w:lvl w:ilvl="1" w:tplc="D3B43D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FC1738"/>
    <w:multiLevelType w:val="hybridMultilevel"/>
    <w:tmpl w:val="E084E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0B47BE2"/>
    <w:multiLevelType w:val="hybridMultilevel"/>
    <w:tmpl w:val="A48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D56974"/>
    <w:multiLevelType w:val="hybridMultilevel"/>
    <w:tmpl w:val="C63EB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71104D8E"/>
    <w:multiLevelType w:val="hybridMultilevel"/>
    <w:tmpl w:val="26C81B1E"/>
    <w:lvl w:ilvl="0" w:tplc="63D8B706">
      <w:start w:val="1"/>
      <w:numFmt w:val="decimal"/>
      <w:lvlText w:val="%1."/>
      <w:lvlJc w:val="left"/>
      <w:pPr>
        <w:ind w:left="720" w:hanging="360"/>
      </w:pPr>
      <w:rPr>
        <w:rFonts w:hint="default"/>
        <w:b w:val="0"/>
        <w:i w:val="0"/>
        <w:sz w:val="23"/>
        <w:szCs w:val="23"/>
      </w:rPr>
    </w:lvl>
    <w:lvl w:ilvl="1" w:tplc="A51EEC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E81C9B"/>
    <w:multiLevelType w:val="hybridMultilevel"/>
    <w:tmpl w:val="53426D4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1" w15:restartNumberingAfterBreak="0">
    <w:nsid w:val="735E3549"/>
    <w:multiLevelType w:val="hybridMultilevel"/>
    <w:tmpl w:val="6EDA2674"/>
    <w:lvl w:ilvl="0" w:tplc="A50C301A">
      <w:start w:val="1"/>
      <w:numFmt w:val="decimal"/>
      <w:lvlText w:val="%1."/>
      <w:lvlJc w:val="left"/>
      <w:pPr>
        <w:ind w:left="540" w:hanging="360"/>
      </w:pPr>
      <w:rPr>
        <w:rFonts w:ascii="Arial" w:hAnsi="Arial" w:cs="Aria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2" w15:restartNumberingAfterBreak="0">
    <w:nsid w:val="758E13D5"/>
    <w:multiLevelType w:val="hybridMultilevel"/>
    <w:tmpl w:val="227C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6777A08"/>
    <w:multiLevelType w:val="hybridMultilevel"/>
    <w:tmpl w:val="D6425D3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4" w15:restartNumberingAfterBreak="0">
    <w:nsid w:val="77BE0DBB"/>
    <w:multiLevelType w:val="hybridMultilevel"/>
    <w:tmpl w:val="D05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9B7EB5"/>
    <w:multiLevelType w:val="hybridMultilevel"/>
    <w:tmpl w:val="A5C4B8B0"/>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B042CBA"/>
    <w:multiLevelType w:val="hybridMultilevel"/>
    <w:tmpl w:val="87F2B66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7" w15:restartNumberingAfterBreak="0">
    <w:nsid w:val="7D514D2F"/>
    <w:multiLevelType w:val="hybridMultilevel"/>
    <w:tmpl w:val="AD7607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8" w15:restartNumberingAfterBreak="0">
    <w:nsid w:val="7E1657E3"/>
    <w:multiLevelType w:val="hybridMultilevel"/>
    <w:tmpl w:val="63BE08BE"/>
    <w:lvl w:ilvl="0" w:tplc="B6BA7020">
      <w:start w:val="1"/>
      <w:numFmt w:val="lowerRoman"/>
      <w:lvlText w:val="(%1)"/>
      <w:lvlJc w:val="left"/>
      <w:pPr>
        <w:ind w:left="780" w:hanging="360"/>
      </w:pPr>
      <w:rPr>
        <w:rFonts w:ascii="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9" w15:restartNumberingAfterBreak="0">
    <w:nsid w:val="7F7322BC"/>
    <w:multiLevelType w:val="hybridMultilevel"/>
    <w:tmpl w:val="8206C500"/>
    <w:lvl w:ilvl="0" w:tplc="25B2A258">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0" w15:restartNumberingAfterBreak="0">
    <w:nsid w:val="7F761682"/>
    <w:multiLevelType w:val="hybridMultilevel"/>
    <w:tmpl w:val="FB7414D6"/>
    <w:lvl w:ilvl="0" w:tplc="FABCCA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C033D4"/>
    <w:multiLevelType w:val="hybridMultilevel"/>
    <w:tmpl w:val="5A74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6"/>
  </w:num>
  <w:num w:numId="2">
    <w:abstractNumId w:val="32"/>
  </w:num>
  <w:num w:numId="3">
    <w:abstractNumId w:val="73"/>
  </w:num>
  <w:num w:numId="4">
    <w:abstractNumId w:val="16"/>
  </w:num>
  <w:num w:numId="5">
    <w:abstractNumId w:val="93"/>
  </w:num>
  <w:num w:numId="6">
    <w:abstractNumId w:val="112"/>
  </w:num>
  <w:num w:numId="7">
    <w:abstractNumId w:val="83"/>
  </w:num>
  <w:num w:numId="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34"/>
  </w:num>
  <w:num w:numId="12">
    <w:abstractNumId w:val="39"/>
  </w:num>
  <w:num w:numId="13">
    <w:abstractNumId w:val="46"/>
  </w:num>
  <w:num w:numId="14">
    <w:abstractNumId w:val="96"/>
  </w:num>
  <w:num w:numId="15">
    <w:abstractNumId w:val="108"/>
  </w:num>
  <w:num w:numId="16">
    <w:abstractNumId w:val="58"/>
  </w:num>
  <w:num w:numId="17">
    <w:abstractNumId w:val="106"/>
  </w:num>
  <w:num w:numId="18">
    <w:abstractNumId w:val="3"/>
  </w:num>
  <w:num w:numId="19">
    <w:abstractNumId w:val="4"/>
  </w:num>
  <w:num w:numId="20">
    <w:abstractNumId w:val="25"/>
  </w:num>
  <w:num w:numId="21">
    <w:abstractNumId w:val="30"/>
  </w:num>
  <w:num w:numId="22">
    <w:abstractNumId w:val="7"/>
  </w:num>
  <w:num w:numId="23">
    <w:abstractNumId w:val="59"/>
  </w:num>
  <w:num w:numId="24">
    <w:abstractNumId w:val="20"/>
  </w:num>
  <w:num w:numId="25">
    <w:abstractNumId w:val="81"/>
  </w:num>
  <w:num w:numId="26">
    <w:abstractNumId w:val="77"/>
  </w:num>
  <w:num w:numId="27">
    <w:abstractNumId w:val="49"/>
  </w:num>
  <w:num w:numId="28">
    <w:abstractNumId w:val="91"/>
  </w:num>
  <w:num w:numId="29">
    <w:abstractNumId w:val="71"/>
  </w:num>
  <w:num w:numId="30">
    <w:abstractNumId w:val="18"/>
  </w:num>
  <w:num w:numId="31">
    <w:abstractNumId w:val="65"/>
  </w:num>
  <w:num w:numId="32">
    <w:abstractNumId w:val="104"/>
  </w:num>
  <w:num w:numId="33">
    <w:abstractNumId w:val="45"/>
  </w:num>
  <w:num w:numId="34">
    <w:abstractNumId w:val="114"/>
  </w:num>
  <w:num w:numId="35">
    <w:abstractNumId w:val="64"/>
  </w:num>
  <w:num w:numId="36">
    <w:abstractNumId w:val="27"/>
  </w:num>
  <w:num w:numId="37">
    <w:abstractNumId w:val="62"/>
  </w:num>
  <w:num w:numId="38">
    <w:abstractNumId w:val="48"/>
  </w:num>
  <w:num w:numId="39">
    <w:abstractNumId w:val="11"/>
  </w:num>
  <w:num w:numId="40">
    <w:abstractNumId w:val="86"/>
  </w:num>
  <w:num w:numId="41">
    <w:abstractNumId w:val="37"/>
  </w:num>
  <w:num w:numId="42">
    <w:abstractNumId w:val="85"/>
  </w:num>
  <w:num w:numId="43">
    <w:abstractNumId w:val="97"/>
  </w:num>
  <w:num w:numId="44">
    <w:abstractNumId w:val="9"/>
  </w:num>
  <w:num w:numId="45">
    <w:abstractNumId w:val="22"/>
  </w:num>
  <w:num w:numId="46">
    <w:abstractNumId w:val="110"/>
  </w:num>
  <w:num w:numId="47">
    <w:abstractNumId w:val="51"/>
  </w:num>
  <w:num w:numId="48">
    <w:abstractNumId w:val="31"/>
  </w:num>
  <w:num w:numId="49">
    <w:abstractNumId w:val="121"/>
  </w:num>
  <w:num w:numId="50">
    <w:abstractNumId w:val="50"/>
  </w:num>
  <w:num w:numId="51">
    <w:abstractNumId w:val="38"/>
  </w:num>
  <w:num w:numId="52">
    <w:abstractNumId w:val="2"/>
  </w:num>
  <w:num w:numId="53">
    <w:abstractNumId w:val="115"/>
  </w:num>
  <w:num w:numId="54">
    <w:abstractNumId w:val="109"/>
  </w:num>
  <w:num w:numId="55">
    <w:abstractNumId w:val="67"/>
  </w:num>
  <w:num w:numId="56">
    <w:abstractNumId w:val="44"/>
  </w:num>
  <w:num w:numId="57">
    <w:abstractNumId w:val="19"/>
  </w:num>
  <w:num w:numId="58">
    <w:abstractNumId w:val="42"/>
  </w:num>
  <w:num w:numId="59">
    <w:abstractNumId w:val="78"/>
  </w:num>
  <w:num w:numId="60">
    <w:abstractNumId w:val="89"/>
  </w:num>
  <w:num w:numId="61">
    <w:abstractNumId w:val="103"/>
  </w:num>
  <w:num w:numId="62">
    <w:abstractNumId w:val="47"/>
  </w:num>
  <w:num w:numId="63">
    <w:abstractNumId w:val="116"/>
  </w:num>
  <w:num w:numId="64">
    <w:abstractNumId w:val="52"/>
  </w:num>
  <w:num w:numId="65">
    <w:abstractNumId w:val="5"/>
  </w:num>
  <w:num w:numId="66">
    <w:abstractNumId w:val="33"/>
  </w:num>
  <w:num w:numId="67">
    <w:abstractNumId w:val="113"/>
  </w:num>
  <w:num w:numId="68">
    <w:abstractNumId w:val="69"/>
  </w:num>
  <w:num w:numId="69">
    <w:abstractNumId w:val="29"/>
  </w:num>
  <w:num w:numId="70">
    <w:abstractNumId w:val="94"/>
  </w:num>
  <w:num w:numId="71">
    <w:abstractNumId w:val="28"/>
  </w:num>
  <w:num w:numId="72">
    <w:abstractNumId w:val="102"/>
  </w:num>
  <w:num w:numId="73">
    <w:abstractNumId w:val="119"/>
  </w:num>
  <w:num w:numId="74">
    <w:abstractNumId w:val="99"/>
  </w:num>
  <w:num w:numId="75">
    <w:abstractNumId w:val="88"/>
  </w:num>
  <w:num w:numId="76">
    <w:abstractNumId w:val="10"/>
  </w:num>
  <w:num w:numId="77">
    <w:abstractNumId w:val="0"/>
  </w:num>
  <w:num w:numId="78">
    <w:abstractNumId w:val="87"/>
  </w:num>
  <w:num w:numId="79">
    <w:abstractNumId w:val="63"/>
  </w:num>
  <w:num w:numId="80">
    <w:abstractNumId w:val="24"/>
  </w:num>
  <w:num w:numId="81">
    <w:abstractNumId w:val="75"/>
  </w:num>
  <w:num w:numId="82">
    <w:abstractNumId w:val="61"/>
  </w:num>
  <w:num w:numId="83">
    <w:abstractNumId w:val="36"/>
  </w:num>
  <w:num w:numId="84">
    <w:abstractNumId w:val="72"/>
  </w:num>
  <w:num w:numId="85">
    <w:abstractNumId w:val="82"/>
  </w:num>
  <w:num w:numId="86">
    <w:abstractNumId w:val="21"/>
  </w:num>
  <w:num w:numId="87">
    <w:abstractNumId w:val="56"/>
  </w:num>
  <w:num w:numId="88">
    <w:abstractNumId w:val="13"/>
  </w:num>
  <w:num w:numId="89">
    <w:abstractNumId w:val="111"/>
  </w:num>
  <w:num w:numId="90">
    <w:abstractNumId w:val="26"/>
  </w:num>
  <w:num w:numId="91">
    <w:abstractNumId w:val="64"/>
  </w:num>
  <w:num w:numId="92">
    <w:abstractNumId w:val="60"/>
  </w:num>
  <w:num w:numId="93">
    <w:abstractNumId w:val="118"/>
  </w:num>
  <w:num w:numId="94">
    <w:abstractNumId w:val="95"/>
  </w:num>
  <w:num w:numId="95">
    <w:abstractNumId w:val="64"/>
  </w:num>
  <w:num w:numId="96">
    <w:abstractNumId w:val="64"/>
  </w:num>
  <w:num w:numId="97">
    <w:abstractNumId w:val="120"/>
  </w:num>
  <w:num w:numId="98">
    <w:abstractNumId w:val="90"/>
  </w:num>
  <w:num w:numId="99">
    <w:abstractNumId w:val="17"/>
  </w:num>
  <w:num w:numId="100">
    <w:abstractNumId w:val="14"/>
  </w:num>
  <w:num w:numId="101">
    <w:abstractNumId w:val="84"/>
  </w:num>
  <w:num w:numId="102">
    <w:abstractNumId w:val="101"/>
  </w:num>
  <w:num w:numId="103">
    <w:abstractNumId w:val="83"/>
  </w:num>
  <w:num w:numId="104">
    <w:abstractNumId w:val="55"/>
  </w:num>
  <w:num w:numId="105">
    <w:abstractNumId w:val="79"/>
  </w:num>
  <w:num w:numId="106">
    <w:abstractNumId w:val="23"/>
  </w:num>
  <w:num w:numId="107">
    <w:abstractNumId w:val="1"/>
  </w:num>
  <w:num w:numId="108">
    <w:abstractNumId w:val="105"/>
  </w:num>
  <w:num w:numId="109">
    <w:abstractNumId w:val="41"/>
  </w:num>
  <w:num w:numId="110">
    <w:abstractNumId w:val="57"/>
  </w:num>
  <w:num w:numId="111">
    <w:abstractNumId w:val="92"/>
  </w:num>
  <w:num w:numId="112">
    <w:abstractNumId w:val="35"/>
  </w:num>
  <w:num w:numId="113">
    <w:abstractNumId w:val="54"/>
  </w:num>
  <w:num w:numId="114">
    <w:abstractNumId w:val="43"/>
  </w:num>
  <w:num w:numId="115">
    <w:abstractNumId w:val="100"/>
  </w:num>
  <w:num w:numId="116">
    <w:abstractNumId w:val="74"/>
  </w:num>
  <w:num w:numId="117">
    <w:abstractNumId w:val="8"/>
  </w:num>
  <w:num w:numId="118">
    <w:abstractNumId w:val="6"/>
  </w:num>
  <w:num w:numId="119">
    <w:abstractNumId w:val="76"/>
  </w:num>
  <w:num w:numId="120">
    <w:abstractNumId w:val="40"/>
  </w:num>
  <w:num w:numId="121">
    <w:abstractNumId w:val="15"/>
  </w:num>
  <w:num w:numId="122">
    <w:abstractNumId w:val="68"/>
  </w:num>
  <w:num w:numId="123">
    <w:abstractNumId w:val="117"/>
  </w:num>
  <w:num w:numId="124">
    <w:abstractNumId w:val="107"/>
  </w:num>
  <w:num w:numId="125">
    <w:abstractNumId w:val="98"/>
  </w:num>
  <w:num w:numId="126">
    <w:abstractNumId w:val="80"/>
  </w:num>
  <w:num w:numId="127">
    <w:abstractNumId w:val="1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03"/>
    <w:rsid w:val="00000890"/>
    <w:rsid w:val="000008A9"/>
    <w:rsid w:val="00001214"/>
    <w:rsid w:val="00001CF6"/>
    <w:rsid w:val="000029F6"/>
    <w:rsid w:val="00002D14"/>
    <w:rsid w:val="00002D65"/>
    <w:rsid w:val="00003031"/>
    <w:rsid w:val="00005ABF"/>
    <w:rsid w:val="00006737"/>
    <w:rsid w:val="00010360"/>
    <w:rsid w:val="000126F3"/>
    <w:rsid w:val="00012A80"/>
    <w:rsid w:val="0001423C"/>
    <w:rsid w:val="00014DDA"/>
    <w:rsid w:val="00015B08"/>
    <w:rsid w:val="00016542"/>
    <w:rsid w:val="000174B8"/>
    <w:rsid w:val="0002151D"/>
    <w:rsid w:val="0002398C"/>
    <w:rsid w:val="00024217"/>
    <w:rsid w:val="00024B1C"/>
    <w:rsid w:val="0002571E"/>
    <w:rsid w:val="000259BE"/>
    <w:rsid w:val="00026D20"/>
    <w:rsid w:val="00027E9E"/>
    <w:rsid w:val="0003073E"/>
    <w:rsid w:val="000311AE"/>
    <w:rsid w:val="00031BE8"/>
    <w:rsid w:val="00031DE0"/>
    <w:rsid w:val="00034925"/>
    <w:rsid w:val="00035B99"/>
    <w:rsid w:val="000374B4"/>
    <w:rsid w:val="0004026E"/>
    <w:rsid w:val="00040886"/>
    <w:rsid w:val="00040981"/>
    <w:rsid w:val="00040C30"/>
    <w:rsid w:val="00041826"/>
    <w:rsid w:val="000435DA"/>
    <w:rsid w:val="00043B22"/>
    <w:rsid w:val="0004412F"/>
    <w:rsid w:val="00044840"/>
    <w:rsid w:val="00046255"/>
    <w:rsid w:val="000465D3"/>
    <w:rsid w:val="0004727C"/>
    <w:rsid w:val="00047CD9"/>
    <w:rsid w:val="00050FB6"/>
    <w:rsid w:val="00051096"/>
    <w:rsid w:val="00051719"/>
    <w:rsid w:val="00051A73"/>
    <w:rsid w:val="00051BC9"/>
    <w:rsid w:val="0005351D"/>
    <w:rsid w:val="000556EF"/>
    <w:rsid w:val="00055858"/>
    <w:rsid w:val="00056D77"/>
    <w:rsid w:val="0005768B"/>
    <w:rsid w:val="000607D0"/>
    <w:rsid w:val="0006115C"/>
    <w:rsid w:val="0006138F"/>
    <w:rsid w:val="00061979"/>
    <w:rsid w:val="00062989"/>
    <w:rsid w:val="00063390"/>
    <w:rsid w:val="0006540A"/>
    <w:rsid w:val="00066C0D"/>
    <w:rsid w:val="0006769B"/>
    <w:rsid w:val="00070492"/>
    <w:rsid w:val="00071BFF"/>
    <w:rsid w:val="000725AB"/>
    <w:rsid w:val="000728B0"/>
    <w:rsid w:val="00075770"/>
    <w:rsid w:val="000769C4"/>
    <w:rsid w:val="00076A7E"/>
    <w:rsid w:val="00076AA2"/>
    <w:rsid w:val="00076B73"/>
    <w:rsid w:val="00076D77"/>
    <w:rsid w:val="00077086"/>
    <w:rsid w:val="000800A6"/>
    <w:rsid w:val="00080BFD"/>
    <w:rsid w:val="00080DA0"/>
    <w:rsid w:val="00081E9A"/>
    <w:rsid w:val="0008514D"/>
    <w:rsid w:val="00085E06"/>
    <w:rsid w:val="00085F2C"/>
    <w:rsid w:val="0008608B"/>
    <w:rsid w:val="0008653D"/>
    <w:rsid w:val="00087130"/>
    <w:rsid w:val="0009095D"/>
    <w:rsid w:val="00092116"/>
    <w:rsid w:val="000922D3"/>
    <w:rsid w:val="0009435E"/>
    <w:rsid w:val="00096260"/>
    <w:rsid w:val="000964C9"/>
    <w:rsid w:val="00096C1A"/>
    <w:rsid w:val="00096E7A"/>
    <w:rsid w:val="0009745C"/>
    <w:rsid w:val="000A0DBB"/>
    <w:rsid w:val="000A3592"/>
    <w:rsid w:val="000A457F"/>
    <w:rsid w:val="000A4672"/>
    <w:rsid w:val="000A50BE"/>
    <w:rsid w:val="000A53F4"/>
    <w:rsid w:val="000A5AD3"/>
    <w:rsid w:val="000A6E6A"/>
    <w:rsid w:val="000B0780"/>
    <w:rsid w:val="000B0DC9"/>
    <w:rsid w:val="000B33FD"/>
    <w:rsid w:val="000B363F"/>
    <w:rsid w:val="000B37CA"/>
    <w:rsid w:val="000B3B79"/>
    <w:rsid w:val="000B64CB"/>
    <w:rsid w:val="000C0475"/>
    <w:rsid w:val="000C2C32"/>
    <w:rsid w:val="000C4CE3"/>
    <w:rsid w:val="000C619E"/>
    <w:rsid w:val="000D13EB"/>
    <w:rsid w:val="000D1DC6"/>
    <w:rsid w:val="000D20A6"/>
    <w:rsid w:val="000D2B77"/>
    <w:rsid w:val="000D2F93"/>
    <w:rsid w:val="000D300B"/>
    <w:rsid w:val="000D3961"/>
    <w:rsid w:val="000D5C7A"/>
    <w:rsid w:val="000D66E4"/>
    <w:rsid w:val="000D73A4"/>
    <w:rsid w:val="000E03D8"/>
    <w:rsid w:val="000E3763"/>
    <w:rsid w:val="000E3C0D"/>
    <w:rsid w:val="000E69BC"/>
    <w:rsid w:val="000E723E"/>
    <w:rsid w:val="000E7C96"/>
    <w:rsid w:val="000F078E"/>
    <w:rsid w:val="000F08AE"/>
    <w:rsid w:val="000F0C1C"/>
    <w:rsid w:val="000F1595"/>
    <w:rsid w:val="000F1A80"/>
    <w:rsid w:val="000F1D75"/>
    <w:rsid w:val="000F2155"/>
    <w:rsid w:val="000F24BF"/>
    <w:rsid w:val="000F27F7"/>
    <w:rsid w:val="000F3577"/>
    <w:rsid w:val="000F3654"/>
    <w:rsid w:val="000F3ADB"/>
    <w:rsid w:val="000F4977"/>
    <w:rsid w:val="000F5058"/>
    <w:rsid w:val="000F6145"/>
    <w:rsid w:val="000F6A48"/>
    <w:rsid w:val="000F7808"/>
    <w:rsid w:val="000F790D"/>
    <w:rsid w:val="001002C0"/>
    <w:rsid w:val="0010068D"/>
    <w:rsid w:val="00103813"/>
    <w:rsid w:val="00104075"/>
    <w:rsid w:val="00106389"/>
    <w:rsid w:val="0010746A"/>
    <w:rsid w:val="00107740"/>
    <w:rsid w:val="00110941"/>
    <w:rsid w:val="00111A99"/>
    <w:rsid w:val="0011249F"/>
    <w:rsid w:val="0011324E"/>
    <w:rsid w:val="00114617"/>
    <w:rsid w:val="00114937"/>
    <w:rsid w:val="00114AE8"/>
    <w:rsid w:val="0011625D"/>
    <w:rsid w:val="00116514"/>
    <w:rsid w:val="00116B15"/>
    <w:rsid w:val="0011703E"/>
    <w:rsid w:val="00120053"/>
    <w:rsid w:val="00120F1E"/>
    <w:rsid w:val="00121956"/>
    <w:rsid w:val="0012536B"/>
    <w:rsid w:val="00125E8A"/>
    <w:rsid w:val="001263BC"/>
    <w:rsid w:val="001266DF"/>
    <w:rsid w:val="00127128"/>
    <w:rsid w:val="001301EF"/>
    <w:rsid w:val="00130663"/>
    <w:rsid w:val="001316CB"/>
    <w:rsid w:val="00131900"/>
    <w:rsid w:val="00132D61"/>
    <w:rsid w:val="00132FE4"/>
    <w:rsid w:val="00135326"/>
    <w:rsid w:val="0013580C"/>
    <w:rsid w:val="00135C34"/>
    <w:rsid w:val="0014119F"/>
    <w:rsid w:val="00141A45"/>
    <w:rsid w:val="0014286D"/>
    <w:rsid w:val="00142F17"/>
    <w:rsid w:val="00143034"/>
    <w:rsid w:val="00143F50"/>
    <w:rsid w:val="00144F6F"/>
    <w:rsid w:val="0014516C"/>
    <w:rsid w:val="001452F8"/>
    <w:rsid w:val="00150936"/>
    <w:rsid w:val="001540DA"/>
    <w:rsid w:val="001546C3"/>
    <w:rsid w:val="0015606B"/>
    <w:rsid w:val="001577E0"/>
    <w:rsid w:val="001609D7"/>
    <w:rsid w:val="001610C8"/>
    <w:rsid w:val="00162585"/>
    <w:rsid w:val="0016289D"/>
    <w:rsid w:val="00162E35"/>
    <w:rsid w:val="00163CC1"/>
    <w:rsid w:val="001641EB"/>
    <w:rsid w:val="0017022B"/>
    <w:rsid w:val="00172C77"/>
    <w:rsid w:val="00173068"/>
    <w:rsid w:val="00177B43"/>
    <w:rsid w:val="001867D7"/>
    <w:rsid w:val="00192478"/>
    <w:rsid w:val="00192504"/>
    <w:rsid w:val="00192B67"/>
    <w:rsid w:val="00193BC4"/>
    <w:rsid w:val="00194D84"/>
    <w:rsid w:val="00195162"/>
    <w:rsid w:val="00195BE5"/>
    <w:rsid w:val="00195D81"/>
    <w:rsid w:val="001972CE"/>
    <w:rsid w:val="00197B7A"/>
    <w:rsid w:val="001A0E90"/>
    <w:rsid w:val="001A2427"/>
    <w:rsid w:val="001A2B13"/>
    <w:rsid w:val="001A36B9"/>
    <w:rsid w:val="001A4058"/>
    <w:rsid w:val="001A58B9"/>
    <w:rsid w:val="001A6041"/>
    <w:rsid w:val="001A6850"/>
    <w:rsid w:val="001A6A05"/>
    <w:rsid w:val="001B1E30"/>
    <w:rsid w:val="001B245D"/>
    <w:rsid w:val="001B2FBD"/>
    <w:rsid w:val="001B385D"/>
    <w:rsid w:val="001B38D6"/>
    <w:rsid w:val="001B5961"/>
    <w:rsid w:val="001C2806"/>
    <w:rsid w:val="001C2BAE"/>
    <w:rsid w:val="001C2E35"/>
    <w:rsid w:val="001C3882"/>
    <w:rsid w:val="001C764B"/>
    <w:rsid w:val="001D3C8A"/>
    <w:rsid w:val="001D45B2"/>
    <w:rsid w:val="001D4C4F"/>
    <w:rsid w:val="001D51A2"/>
    <w:rsid w:val="001D5F63"/>
    <w:rsid w:val="001D6BBB"/>
    <w:rsid w:val="001D6EAA"/>
    <w:rsid w:val="001E02E1"/>
    <w:rsid w:val="001E14AE"/>
    <w:rsid w:val="001E2BDA"/>
    <w:rsid w:val="001E3536"/>
    <w:rsid w:val="001E4C08"/>
    <w:rsid w:val="001E5979"/>
    <w:rsid w:val="001F177F"/>
    <w:rsid w:val="001F190E"/>
    <w:rsid w:val="001F2EB8"/>
    <w:rsid w:val="001F3066"/>
    <w:rsid w:val="001F3BD7"/>
    <w:rsid w:val="001F47D3"/>
    <w:rsid w:val="001F51E1"/>
    <w:rsid w:val="00200506"/>
    <w:rsid w:val="002005BC"/>
    <w:rsid w:val="00201ADB"/>
    <w:rsid w:val="00203417"/>
    <w:rsid w:val="00203E8B"/>
    <w:rsid w:val="00204801"/>
    <w:rsid w:val="0020500B"/>
    <w:rsid w:val="00205139"/>
    <w:rsid w:val="0020781A"/>
    <w:rsid w:val="00207D60"/>
    <w:rsid w:val="00210366"/>
    <w:rsid w:val="002151C2"/>
    <w:rsid w:val="00216219"/>
    <w:rsid w:val="002168D4"/>
    <w:rsid w:val="002200E6"/>
    <w:rsid w:val="00221F7F"/>
    <w:rsid w:val="002223A5"/>
    <w:rsid w:val="002239E2"/>
    <w:rsid w:val="00225DEA"/>
    <w:rsid w:val="002264F8"/>
    <w:rsid w:val="002266CC"/>
    <w:rsid w:val="00226860"/>
    <w:rsid w:val="0022743F"/>
    <w:rsid w:val="00227CF5"/>
    <w:rsid w:val="00231435"/>
    <w:rsid w:val="00231AC6"/>
    <w:rsid w:val="00232810"/>
    <w:rsid w:val="00233670"/>
    <w:rsid w:val="00234366"/>
    <w:rsid w:val="002345D9"/>
    <w:rsid w:val="0023480A"/>
    <w:rsid w:val="0023488B"/>
    <w:rsid w:val="00234DEE"/>
    <w:rsid w:val="002401A9"/>
    <w:rsid w:val="00241201"/>
    <w:rsid w:val="002420BF"/>
    <w:rsid w:val="0024398C"/>
    <w:rsid w:val="0024401C"/>
    <w:rsid w:val="00245A0E"/>
    <w:rsid w:val="00245F03"/>
    <w:rsid w:val="00246B63"/>
    <w:rsid w:val="00246E48"/>
    <w:rsid w:val="0024731C"/>
    <w:rsid w:val="002513FC"/>
    <w:rsid w:val="00252576"/>
    <w:rsid w:val="00252CA7"/>
    <w:rsid w:val="00253508"/>
    <w:rsid w:val="00255097"/>
    <w:rsid w:val="00255555"/>
    <w:rsid w:val="00255A52"/>
    <w:rsid w:val="00264C17"/>
    <w:rsid w:val="00265A89"/>
    <w:rsid w:val="00265C4C"/>
    <w:rsid w:val="002673D3"/>
    <w:rsid w:val="002704A6"/>
    <w:rsid w:val="00271D30"/>
    <w:rsid w:val="002742A1"/>
    <w:rsid w:val="0027489B"/>
    <w:rsid w:val="0027676A"/>
    <w:rsid w:val="00276B3B"/>
    <w:rsid w:val="00277A9B"/>
    <w:rsid w:val="00280251"/>
    <w:rsid w:val="002813CB"/>
    <w:rsid w:val="00283BA6"/>
    <w:rsid w:val="002860C3"/>
    <w:rsid w:val="00287B6F"/>
    <w:rsid w:val="00291929"/>
    <w:rsid w:val="0029217B"/>
    <w:rsid w:val="00292CCB"/>
    <w:rsid w:val="00293831"/>
    <w:rsid w:val="00293C6C"/>
    <w:rsid w:val="00294315"/>
    <w:rsid w:val="002950EA"/>
    <w:rsid w:val="002950F4"/>
    <w:rsid w:val="002957B5"/>
    <w:rsid w:val="00296663"/>
    <w:rsid w:val="00296969"/>
    <w:rsid w:val="002A0463"/>
    <w:rsid w:val="002A04C4"/>
    <w:rsid w:val="002A0F6A"/>
    <w:rsid w:val="002A1FA6"/>
    <w:rsid w:val="002A2342"/>
    <w:rsid w:val="002A2410"/>
    <w:rsid w:val="002A272D"/>
    <w:rsid w:val="002A5BBB"/>
    <w:rsid w:val="002A70BD"/>
    <w:rsid w:val="002B1A83"/>
    <w:rsid w:val="002B2D3C"/>
    <w:rsid w:val="002B7D1A"/>
    <w:rsid w:val="002C0620"/>
    <w:rsid w:val="002C06A1"/>
    <w:rsid w:val="002C07B4"/>
    <w:rsid w:val="002C1F82"/>
    <w:rsid w:val="002C3F85"/>
    <w:rsid w:val="002C547B"/>
    <w:rsid w:val="002C5928"/>
    <w:rsid w:val="002C65DF"/>
    <w:rsid w:val="002C795F"/>
    <w:rsid w:val="002C7A78"/>
    <w:rsid w:val="002D0001"/>
    <w:rsid w:val="002D0965"/>
    <w:rsid w:val="002D0F1C"/>
    <w:rsid w:val="002D1C72"/>
    <w:rsid w:val="002D1ED7"/>
    <w:rsid w:val="002D2C4C"/>
    <w:rsid w:val="002D2DED"/>
    <w:rsid w:val="002D302F"/>
    <w:rsid w:val="002D3329"/>
    <w:rsid w:val="002D3362"/>
    <w:rsid w:val="002D53D9"/>
    <w:rsid w:val="002D54A7"/>
    <w:rsid w:val="002D6186"/>
    <w:rsid w:val="002D6CA1"/>
    <w:rsid w:val="002E091C"/>
    <w:rsid w:val="002E10E9"/>
    <w:rsid w:val="002E128C"/>
    <w:rsid w:val="002E12DC"/>
    <w:rsid w:val="002E1F25"/>
    <w:rsid w:val="002E203C"/>
    <w:rsid w:val="002E23FD"/>
    <w:rsid w:val="002E3379"/>
    <w:rsid w:val="002E4585"/>
    <w:rsid w:val="002E4A4E"/>
    <w:rsid w:val="002E4A74"/>
    <w:rsid w:val="002E4C2C"/>
    <w:rsid w:val="002E596E"/>
    <w:rsid w:val="002E5A0D"/>
    <w:rsid w:val="002E6C25"/>
    <w:rsid w:val="002F1DBD"/>
    <w:rsid w:val="002F3DF8"/>
    <w:rsid w:val="002F3F95"/>
    <w:rsid w:val="002F400F"/>
    <w:rsid w:val="002F5887"/>
    <w:rsid w:val="002F7BD6"/>
    <w:rsid w:val="003022DC"/>
    <w:rsid w:val="00302513"/>
    <w:rsid w:val="0030433F"/>
    <w:rsid w:val="00304B91"/>
    <w:rsid w:val="00307653"/>
    <w:rsid w:val="00307B98"/>
    <w:rsid w:val="00310D67"/>
    <w:rsid w:val="0031157B"/>
    <w:rsid w:val="00315062"/>
    <w:rsid w:val="00315F28"/>
    <w:rsid w:val="003169AB"/>
    <w:rsid w:val="00317442"/>
    <w:rsid w:val="00317581"/>
    <w:rsid w:val="0032029F"/>
    <w:rsid w:val="0032162C"/>
    <w:rsid w:val="00324340"/>
    <w:rsid w:val="0032436E"/>
    <w:rsid w:val="00324835"/>
    <w:rsid w:val="003254B0"/>
    <w:rsid w:val="00326635"/>
    <w:rsid w:val="003266B9"/>
    <w:rsid w:val="0033171B"/>
    <w:rsid w:val="00332ECC"/>
    <w:rsid w:val="00333BDC"/>
    <w:rsid w:val="0033503B"/>
    <w:rsid w:val="00335E5B"/>
    <w:rsid w:val="003364C5"/>
    <w:rsid w:val="0033696F"/>
    <w:rsid w:val="00340177"/>
    <w:rsid w:val="00340B60"/>
    <w:rsid w:val="0034118B"/>
    <w:rsid w:val="003420E0"/>
    <w:rsid w:val="00342C27"/>
    <w:rsid w:val="00342DFB"/>
    <w:rsid w:val="003445AD"/>
    <w:rsid w:val="00345774"/>
    <w:rsid w:val="00345A79"/>
    <w:rsid w:val="00346E57"/>
    <w:rsid w:val="003504DF"/>
    <w:rsid w:val="00351FA8"/>
    <w:rsid w:val="003528D8"/>
    <w:rsid w:val="00352F0A"/>
    <w:rsid w:val="003542A2"/>
    <w:rsid w:val="003544E5"/>
    <w:rsid w:val="00356FC9"/>
    <w:rsid w:val="003609E9"/>
    <w:rsid w:val="0036170E"/>
    <w:rsid w:val="00362508"/>
    <w:rsid w:val="00364046"/>
    <w:rsid w:val="003647A3"/>
    <w:rsid w:val="00367CEB"/>
    <w:rsid w:val="003711C7"/>
    <w:rsid w:val="00371978"/>
    <w:rsid w:val="00371A2D"/>
    <w:rsid w:val="003725EB"/>
    <w:rsid w:val="00373374"/>
    <w:rsid w:val="003734CD"/>
    <w:rsid w:val="0037359D"/>
    <w:rsid w:val="00374333"/>
    <w:rsid w:val="003769C7"/>
    <w:rsid w:val="00376B1F"/>
    <w:rsid w:val="00376D32"/>
    <w:rsid w:val="00376F9C"/>
    <w:rsid w:val="003770EB"/>
    <w:rsid w:val="0038095C"/>
    <w:rsid w:val="003825EF"/>
    <w:rsid w:val="0038567A"/>
    <w:rsid w:val="00385A88"/>
    <w:rsid w:val="00387249"/>
    <w:rsid w:val="003879C9"/>
    <w:rsid w:val="003908AC"/>
    <w:rsid w:val="00392F88"/>
    <w:rsid w:val="00394010"/>
    <w:rsid w:val="00394AA3"/>
    <w:rsid w:val="003A1AD9"/>
    <w:rsid w:val="003A21E1"/>
    <w:rsid w:val="003A4370"/>
    <w:rsid w:val="003A4B26"/>
    <w:rsid w:val="003A6E2E"/>
    <w:rsid w:val="003A701D"/>
    <w:rsid w:val="003B1C11"/>
    <w:rsid w:val="003B2C51"/>
    <w:rsid w:val="003B33E4"/>
    <w:rsid w:val="003B4320"/>
    <w:rsid w:val="003B4835"/>
    <w:rsid w:val="003B5933"/>
    <w:rsid w:val="003B5F87"/>
    <w:rsid w:val="003B711F"/>
    <w:rsid w:val="003C1105"/>
    <w:rsid w:val="003C1A4F"/>
    <w:rsid w:val="003C1BDC"/>
    <w:rsid w:val="003C2911"/>
    <w:rsid w:val="003C2BEA"/>
    <w:rsid w:val="003C2C50"/>
    <w:rsid w:val="003C2F30"/>
    <w:rsid w:val="003C3DCE"/>
    <w:rsid w:val="003C57A6"/>
    <w:rsid w:val="003C580A"/>
    <w:rsid w:val="003C6062"/>
    <w:rsid w:val="003C619F"/>
    <w:rsid w:val="003C6589"/>
    <w:rsid w:val="003C7167"/>
    <w:rsid w:val="003C7D94"/>
    <w:rsid w:val="003D15F8"/>
    <w:rsid w:val="003D2E29"/>
    <w:rsid w:val="003D3323"/>
    <w:rsid w:val="003D4E04"/>
    <w:rsid w:val="003D5F68"/>
    <w:rsid w:val="003D66DD"/>
    <w:rsid w:val="003D755A"/>
    <w:rsid w:val="003E0769"/>
    <w:rsid w:val="003E20C5"/>
    <w:rsid w:val="003E35DD"/>
    <w:rsid w:val="003E4B01"/>
    <w:rsid w:val="003E5657"/>
    <w:rsid w:val="003F0149"/>
    <w:rsid w:val="003F0A96"/>
    <w:rsid w:val="003F1A53"/>
    <w:rsid w:val="003F203E"/>
    <w:rsid w:val="003F25D9"/>
    <w:rsid w:val="003F3B91"/>
    <w:rsid w:val="003F4444"/>
    <w:rsid w:val="003F659F"/>
    <w:rsid w:val="003F772B"/>
    <w:rsid w:val="00400158"/>
    <w:rsid w:val="00401398"/>
    <w:rsid w:val="00401B45"/>
    <w:rsid w:val="004027F6"/>
    <w:rsid w:val="00405E43"/>
    <w:rsid w:val="00407762"/>
    <w:rsid w:val="004101E7"/>
    <w:rsid w:val="0041068B"/>
    <w:rsid w:val="00411B61"/>
    <w:rsid w:val="00411C69"/>
    <w:rsid w:val="00411FD2"/>
    <w:rsid w:val="00412F80"/>
    <w:rsid w:val="00413A0C"/>
    <w:rsid w:val="004142FA"/>
    <w:rsid w:val="00414907"/>
    <w:rsid w:val="004159EC"/>
    <w:rsid w:val="0041602B"/>
    <w:rsid w:val="00416DC0"/>
    <w:rsid w:val="00416DC7"/>
    <w:rsid w:val="0041759D"/>
    <w:rsid w:val="00417A50"/>
    <w:rsid w:val="00420015"/>
    <w:rsid w:val="00421A0D"/>
    <w:rsid w:val="00422BC1"/>
    <w:rsid w:val="0042323F"/>
    <w:rsid w:val="0042390E"/>
    <w:rsid w:val="00427154"/>
    <w:rsid w:val="00427BC0"/>
    <w:rsid w:val="00431207"/>
    <w:rsid w:val="00431BA0"/>
    <w:rsid w:val="00431C55"/>
    <w:rsid w:val="00433305"/>
    <w:rsid w:val="00436061"/>
    <w:rsid w:val="00436AAB"/>
    <w:rsid w:val="00436E54"/>
    <w:rsid w:val="00436F8B"/>
    <w:rsid w:val="0043747C"/>
    <w:rsid w:val="00440736"/>
    <w:rsid w:val="00440867"/>
    <w:rsid w:val="004429DC"/>
    <w:rsid w:val="004436C4"/>
    <w:rsid w:val="004436D0"/>
    <w:rsid w:val="00443994"/>
    <w:rsid w:val="0044593E"/>
    <w:rsid w:val="0044640C"/>
    <w:rsid w:val="00446CCE"/>
    <w:rsid w:val="00446FDF"/>
    <w:rsid w:val="0044701A"/>
    <w:rsid w:val="004479B5"/>
    <w:rsid w:val="00451023"/>
    <w:rsid w:val="00451B27"/>
    <w:rsid w:val="00452038"/>
    <w:rsid w:val="004525E3"/>
    <w:rsid w:val="004526A2"/>
    <w:rsid w:val="00452ED9"/>
    <w:rsid w:val="00453DAE"/>
    <w:rsid w:val="00454357"/>
    <w:rsid w:val="0045551E"/>
    <w:rsid w:val="00455585"/>
    <w:rsid w:val="00455C2A"/>
    <w:rsid w:val="00457108"/>
    <w:rsid w:val="004600CB"/>
    <w:rsid w:val="00460618"/>
    <w:rsid w:val="00460E24"/>
    <w:rsid w:val="00461578"/>
    <w:rsid w:val="00461E5A"/>
    <w:rsid w:val="0046295A"/>
    <w:rsid w:val="00463169"/>
    <w:rsid w:val="00464B49"/>
    <w:rsid w:val="004656F4"/>
    <w:rsid w:val="004658DA"/>
    <w:rsid w:val="00467D18"/>
    <w:rsid w:val="00470057"/>
    <w:rsid w:val="00470198"/>
    <w:rsid w:val="00471D39"/>
    <w:rsid w:val="00473836"/>
    <w:rsid w:val="00474287"/>
    <w:rsid w:val="00474703"/>
    <w:rsid w:val="00474CD7"/>
    <w:rsid w:val="0047562C"/>
    <w:rsid w:val="00475730"/>
    <w:rsid w:val="00475FA8"/>
    <w:rsid w:val="00475FCB"/>
    <w:rsid w:val="004768B2"/>
    <w:rsid w:val="00476AE0"/>
    <w:rsid w:val="00482906"/>
    <w:rsid w:val="00484573"/>
    <w:rsid w:val="004858DF"/>
    <w:rsid w:val="004930B3"/>
    <w:rsid w:val="00493B6B"/>
    <w:rsid w:val="004950D5"/>
    <w:rsid w:val="0049568E"/>
    <w:rsid w:val="00495BF9"/>
    <w:rsid w:val="00496586"/>
    <w:rsid w:val="004972C2"/>
    <w:rsid w:val="004A0CAE"/>
    <w:rsid w:val="004A1851"/>
    <w:rsid w:val="004A1A9F"/>
    <w:rsid w:val="004A2719"/>
    <w:rsid w:val="004A294C"/>
    <w:rsid w:val="004A5C2F"/>
    <w:rsid w:val="004A6D88"/>
    <w:rsid w:val="004B01C1"/>
    <w:rsid w:val="004B1202"/>
    <w:rsid w:val="004B485D"/>
    <w:rsid w:val="004B4A40"/>
    <w:rsid w:val="004B4C0E"/>
    <w:rsid w:val="004B4DAD"/>
    <w:rsid w:val="004B5E46"/>
    <w:rsid w:val="004B66C0"/>
    <w:rsid w:val="004B6B1E"/>
    <w:rsid w:val="004B7CDD"/>
    <w:rsid w:val="004C0329"/>
    <w:rsid w:val="004C1F77"/>
    <w:rsid w:val="004C24EA"/>
    <w:rsid w:val="004C262B"/>
    <w:rsid w:val="004C2707"/>
    <w:rsid w:val="004C3B9E"/>
    <w:rsid w:val="004C570E"/>
    <w:rsid w:val="004C5CED"/>
    <w:rsid w:val="004D0762"/>
    <w:rsid w:val="004D1238"/>
    <w:rsid w:val="004D2271"/>
    <w:rsid w:val="004D3BCE"/>
    <w:rsid w:val="004D4395"/>
    <w:rsid w:val="004D4494"/>
    <w:rsid w:val="004D4580"/>
    <w:rsid w:val="004D48FB"/>
    <w:rsid w:val="004D7A6E"/>
    <w:rsid w:val="004E0194"/>
    <w:rsid w:val="004E0C0A"/>
    <w:rsid w:val="004E25D8"/>
    <w:rsid w:val="004E28E3"/>
    <w:rsid w:val="004E2BDD"/>
    <w:rsid w:val="004E363F"/>
    <w:rsid w:val="004E457E"/>
    <w:rsid w:val="004E4D9A"/>
    <w:rsid w:val="004E5386"/>
    <w:rsid w:val="004E5511"/>
    <w:rsid w:val="004E554C"/>
    <w:rsid w:val="004E6C45"/>
    <w:rsid w:val="004E6F1D"/>
    <w:rsid w:val="004E7375"/>
    <w:rsid w:val="004F0158"/>
    <w:rsid w:val="004F0FC9"/>
    <w:rsid w:val="004F18E0"/>
    <w:rsid w:val="004F5180"/>
    <w:rsid w:val="004F7F24"/>
    <w:rsid w:val="00500603"/>
    <w:rsid w:val="005010F8"/>
    <w:rsid w:val="005012D9"/>
    <w:rsid w:val="00501679"/>
    <w:rsid w:val="005043A4"/>
    <w:rsid w:val="0050584A"/>
    <w:rsid w:val="00507925"/>
    <w:rsid w:val="005108ED"/>
    <w:rsid w:val="005122B4"/>
    <w:rsid w:val="00512AE6"/>
    <w:rsid w:val="00512B2C"/>
    <w:rsid w:val="00512C15"/>
    <w:rsid w:val="00512E23"/>
    <w:rsid w:val="00512E59"/>
    <w:rsid w:val="00516D00"/>
    <w:rsid w:val="00516FC6"/>
    <w:rsid w:val="005175CC"/>
    <w:rsid w:val="005207EB"/>
    <w:rsid w:val="0052087C"/>
    <w:rsid w:val="005212A5"/>
    <w:rsid w:val="005225E2"/>
    <w:rsid w:val="00523963"/>
    <w:rsid w:val="00525D16"/>
    <w:rsid w:val="00525FF8"/>
    <w:rsid w:val="00531EB8"/>
    <w:rsid w:val="00533D79"/>
    <w:rsid w:val="0053415F"/>
    <w:rsid w:val="00535A74"/>
    <w:rsid w:val="00535BE4"/>
    <w:rsid w:val="00535F62"/>
    <w:rsid w:val="00536BFD"/>
    <w:rsid w:val="0053708F"/>
    <w:rsid w:val="005378FC"/>
    <w:rsid w:val="005403A5"/>
    <w:rsid w:val="005418DD"/>
    <w:rsid w:val="00544389"/>
    <w:rsid w:val="00544486"/>
    <w:rsid w:val="00544961"/>
    <w:rsid w:val="00546626"/>
    <w:rsid w:val="00551D64"/>
    <w:rsid w:val="00552246"/>
    <w:rsid w:val="00552514"/>
    <w:rsid w:val="00552ED6"/>
    <w:rsid w:val="00553F12"/>
    <w:rsid w:val="00554255"/>
    <w:rsid w:val="00554D74"/>
    <w:rsid w:val="00555FDF"/>
    <w:rsid w:val="005621D6"/>
    <w:rsid w:val="00562290"/>
    <w:rsid w:val="00562C16"/>
    <w:rsid w:val="005630F9"/>
    <w:rsid w:val="00563D71"/>
    <w:rsid w:val="00563ECE"/>
    <w:rsid w:val="00563FDC"/>
    <w:rsid w:val="005706EC"/>
    <w:rsid w:val="00572343"/>
    <w:rsid w:val="005731B9"/>
    <w:rsid w:val="00573B75"/>
    <w:rsid w:val="00573D9E"/>
    <w:rsid w:val="00574CE1"/>
    <w:rsid w:val="00576CF8"/>
    <w:rsid w:val="0058095E"/>
    <w:rsid w:val="00581145"/>
    <w:rsid w:val="0058234F"/>
    <w:rsid w:val="00584BC4"/>
    <w:rsid w:val="00585075"/>
    <w:rsid w:val="00585BED"/>
    <w:rsid w:val="00587EF2"/>
    <w:rsid w:val="00590B8A"/>
    <w:rsid w:val="00591B1F"/>
    <w:rsid w:val="00592296"/>
    <w:rsid w:val="00592D7D"/>
    <w:rsid w:val="00593428"/>
    <w:rsid w:val="00593ADA"/>
    <w:rsid w:val="005946B6"/>
    <w:rsid w:val="00594CC6"/>
    <w:rsid w:val="00594EA9"/>
    <w:rsid w:val="0059500B"/>
    <w:rsid w:val="00595258"/>
    <w:rsid w:val="00595800"/>
    <w:rsid w:val="0059641C"/>
    <w:rsid w:val="00596B74"/>
    <w:rsid w:val="00596C60"/>
    <w:rsid w:val="00596DA6"/>
    <w:rsid w:val="0059739B"/>
    <w:rsid w:val="005A1D44"/>
    <w:rsid w:val="005A1E3F"/>
    <w:rsid w:val="005A2401"/>
    <w:rsid w:val="005A3032"/>
    <w:rsid w:val="005A5CE4"/>
    <w:rsid w:val="005A7C2B"/>
    <w:rsid w:val="005A7F66"/>
    <w:rsid w:val="005B2635"/>
    <w:rsid w:val="005B315B"/>
    <w:rsid w:val="005B3780"/>
    <w:rsid w:val="005B3D03"/>
    <w:rsid w:val="005B40F6"/>
    <w:rsid w:val="005B444C"/>
    <w:rsid w:val="005B481E"/>
    <w:rsid w:val="005B757F"/>
    <w:rsid w:val="005B75FA"/>
    <w:rsid w:val="005C07BB"/>
    <w:rsid w:val="005C6798"/>
    <w:rsid w:val="005C6EB7"/>
    <w:rsid w:val="005D1A41"/>
    <w:rsid w:val="005D1C33"/>
    <w:rsid w:val="005D1C6D"/>
    <w:rsid w:val="005D1CB8"/>
    <w:rsid w:val="005D3791"/>
    <w:rsid w:val="005D4590"/>
    <w:rsid w:val="005D685D"/>
    <w:rsid w:val="005E135E"/>
    <w:rsid w:val="005E2149"/>
    <w:rsid w:val="005E2FF9"/>
    <w:rsid w:val="005E37B7"/>
    <w:rsid w:val="005E3AC4"/>
    <w:rsid w:val="005E3F3F"/>
    <w:rsid w:val="005E485B"/>
    <w:rsid w:val="005E493F"/>
    <w:rsid w:val="005E4E13"/>
    <w:rsid w:val="005E5033"/>
    <w:rsid w:val="005E6CFB"/>
    <w:rsid w:val="005F08E9"/>
    <w:rsid w:val="005F115B"/>
    <w:rsid w:val="005F1626"/>
    <w:rsid w:val="005F1DDA"/>
    <w:rsid w:val="005F28FE"/>
    <w:rsid w:val="005F2BA2"/>
    <w:rsid w:val="005F5189"/>
    <w:rsid w:val="005F5658"/>
    <w:rsid w:val="006008D9"/>
    <w:rsid w:val="0060091A"/>
    <w:rsid w:val="006011EF"/>
    <w:rsid w:val="00603301"/>
    <w:rsid w:val="0060352E"/>
    <w:rsid w:val="00604C9B"/>
    <w:rsid w:val="00604CCC"/>
    <w:rsid w:val="00606979"/>
    <w:rsid w:val="006111F1"/>
    <w:rsid w:val="00611F2D"/>
    <w:rsid w:val="00612C14"/>
    <w:rsid w:val="006133DD"/>
    <w:rsid w:val="006149E2"/>
    <w:rsid w:val="00614C66"/>
    <w:rsid w:val="00614EA1"/>
    <w:rsid w:val="0061796C"/>
    <w:rsid w:val="00623E48"/>
    <w:rsid w:val="00624708"/>
    <w:rsid w:val="00625207"/>
    <w:rsid w:val="006252D3"/>
    <w:rsid w:val="00625BDE"/>
    <w:rsid w:val="00627698"/>
    <w:rsid w:val="00627FAF"/>
    <w:rsid w:val="00631684"/>
    <w:rsid w:val="00631DE6"/>
    <w:rsid w:val="0063216D"/>
    <w:rsid w:val="006325A8"/>
    <w:rsid w:val="00633A4D"/>
    <w:rsid w:val="00636B18"/>
    <w:rsid w:val="00637C8E"/>
    <w:rsid w:val="00637CB5"/>
    <w:rsid w:val="006406D1"/>
    <w:rsid w:val="00640ED1"/>
    <w:rsid w:val="00642A81"/>
    <w:rsid w:val="00643619"/>
    <w:rsid w:val="006441C3"/>
    <w:rsid w:val="0064751E"/>
    <w:rsid w:val="006520CE"/>
    <w:rsid w:val="00652787"/>
    <w:rsid w:val="00652D7B"/>
    <w:rsid w:val="00653C6C"/>
    <w:rsid w:val="00654E25"/>
    <w:rsid w:val="00655A65"/>
    <w:rsid w:val="006576FB"/>
    <w:rsid w:val="006630DF"/>
    <w:rsid w:val="006631C6"/>
    <w:rsid w:val="006633D7"/>
    <w:rsid w:val="0066370C"/>
    <w:rsid w:val="00664860"/>
    <w:rsid w:val="00665BF8"/>
    <w:rsid w:val="00665FA7"/>
    <w:rsid w:val="00667E47"/>
    <w:rsid w:val="00672388"/>
    <w:rsid w:val="006754CD"/>
    <w:rsid w:val="00675B91"/>
    <w:rsid w:val="00675E76"/>
    <w:rsid w:val="00677564"/>
    <w:rsid w:val="0067763E"/>
    <w:rsid w:val="00683318"/>
    <w:rsid w:val="00686944"/>
    <w:rsid w:val="00692196"/>
    <w:rsid w:val="0069264C"/>
    <w:rsid w:val="00694204"/>
    <w:rsid w:val="00697174"/>
    <w:rsid w:val="006972D6"/>
    <w:rsid w:val="00697A14"/>
    <w:rsid w:val="006A0128"/>
    <w:rsid w:val="006A09CC"/>
    <w:rsid w:val="006A2E88"/>
    <w:rsid w:val="006A31A4"/>
    <w:rsid w:val="006A3E0C"/>
    <w:rsid w:val="006A3E26"/>
    <w:rsid w:val="006A62B5"/>
    <w:rsid w:val="006B0405"/>
    <w:rsid w:val="006B078E"/>
    <w:rsid w:val="006B0FE4"/>
    <w:rsid w:val="006B1889"/>
    <w:rsid w:val="006B1EC1"/>
    <w:rsid w:val="006B2F3A"/>
    <w:rsid w:val="006B44FB"/>
    <w:rsid w:val="006B68DF"/>
    <w:rsid w:val="006C15B9"/>
    <w:rsid w:val="006C2416"/>
    <w:rsid w:val="006C3B8C"/>
    <w:rsid w:val="006C6179"/>
    <w:rsid w:val="006D27D8"/>
    <w:rsid w:val="006D2C71"/>
    <w:rsid w:val="006D3B33"/>
    <w:rsid w:val="006D547B"/>
    <w:rsid w:val="006D6A19"/>
    <w:rsid w:val="006D7785"/>
    <w:rsid w:val="006E0A6C"/>
    <w:rsid w:val="006E1149"/>
    <w:rsid w:val="006E2435"/>
    <w:rsid w:val="006E301F"/>
    <w:rsid w:val="006E3690"/>
    <w:rsid w:val="006E4251"/>
    <w:rsid w:val="006E510A"/>
    <w:rsid w:val="006E6C10"/>
    <w:rsid w:val="006F32D3"/>
    <w:rsid w:val="006F3452"/>
    <w:rsid w:val="006F566F"/>
    <w:rsid w:val="006F6647"/>
    <w:rsid w:val="006F6E87"/>
    <w:rsid w:val="006F754F"/>
    <w:rsid w:val="006F764A"/>
    <w:rsid w:val="00700585"/>
    <w:rsid w:val="00700C46"/>
    <w:rsid w:val="00701BF5"/>
    <w:rsid w:val="00701F3E"/>
    <w:rsid w:val="00704623"/>
    <w:rsid w:val="007066E2"/>
    <w:rsid w:val="007069F9"/>
    <w:rsid w:val="007074DA"/>
    <w:rsid w:val="00707E4B"/>
    <w:rsid w:val="007111D5"/>
    <w:rsid w:val="00711C99"/>
    <w:rsid w:val="00714899"/>
    <w:rsid w:val="00714989"/>
    <w:rsid w:val="0071552F"/>
    <w:rsid w:val="007163FB"/>
    <w:rsid w:val="007166BA"/>
    <w:rsid w:val="007202B8"/>
    <w:rsid w:val="00721C69"/>
    <w:rsid w:val="007231A7"/>
    <w:rsid w:val="00725263"/>
    <w:rsid w:val="0072722D"/>
    <w:rsid w:val="00730D9B"/>
    <w:rsid w:val="00730E2B"/>
    <w:rsid w:val="0073114C"/>
    <w:rsid w:val="007344B1"/>
    <w:rsid w:val="00734531"/>
    <w:rsid w:val="00736139"/>
    <w:rsid w:val="00736EC1"/>
    <w:rsid w:val="007412D9"/>
    <w:rsid w:val="00741BD7"/>
    <w:rsid w:val="007440A3"/>
    <w:rsid w:val="007440E9"/>
    <w:rsid w:val="0074561D"/>
    <w:rsid w:val="00746B3C"/>
    <w:rsid w:val="0074737C"/>
    <w:rsid w:val="00747F44"/>
    <w:rsid w:val="00750155"/>
    <w:rsid w:val="00750212"/>
    <w:rsid w:val="00750760"/>
    <w:rsid w:val="00750F80"/>
    <w:rsid w:val="00751E00"/>
    <w:rsid w:val="00752073"/>
    <w:rsid w:val="007527EE"/>
    <w:rsid w:val="00753277"/>
    <w:rsid w:val="00753BF9"/>
    <w:rsid w:val="00753C5C"/>
    <w:rsid w:val="00753F34"/>
    <w:rsid w:val="007550C7"/>
    <w:rsid w:val="00757B5A"/>
    <w:rsid w:val="00760765"/>
    <w:rsid w:val="00760891"/>
    <w:rsid w:val="00760D81"/>
    <w:rsid w:val="00761D4C"/>
    <w:rsid w:val="0076344E"/>
    <w:rsid w:val="00763A65"/>
    <w:rsid w:val="007644A4"/>
    <w:rsid w:val="00764FB6"/>
    <w:rsid w:val="007659F6"/>
    <w:rsid w:val="00765A15"/>
    <w:rsid w:val="00765E7A"/>
    <w:rsid w:val="00770602"/>
    <w:rsid w:val="00770F04"/>
    <w:rsid w:val="0077206D"/>
    <w:rsid w:val="00772D69"/>
    <w:rsid w:val="00772F25"/>
    <w:rsid w:val="00773EF4"/>
    <w:rsid w:val="00775C1A"/>
    <w:rsid w:val="0077745F"/>
    <w:rsid w:val="00780058"/>
    <w:rsid w:val="00780535"/>
    <w:rsid w:val="00781FF7"/>
    <w:rsid w:val="0078212F"/>
    <w:rsid w:val="00782D22"/>
    <w:rsid w:val="007838A5"/>
    <w:rsid w:val="00785C1A"/>
    <w:rsid w:val="00787070"/>
    <w:rsid w:val="00787905"/>
    <w:rsid w:val="00787E53"/>
    <w:rsid w:val="00792031"/>
    <w:rsid w:val="00792D33"/>
    <w:rsid w:val="00794941"/>
    <w:rsid w:val="0079526A"/>
    <w:rsid w:val="00796A41"/>
    <w:rsid w:val="007978EF"/>
    <w:rsid w:val="00797FA9"/>
    <w:rsid w:val="007A00F8"/>
    <w:rsid w:val="007A0DE0"/>
    <w:rsid w:val="007A30DD"/>
    <w:rsid w:val="007A3AA6"/>
    <w:rsid w:val="007A3CD1"/>
    <w:rsid w:val="007A3D8C"/>
    <w:rsid w:val="007A42B3"/>
    <w:rsid w:val="007A4C6D"/>
    <w:rsid w:val="007A4CB5"/>
    <w:rsid w:val="007A6CFC"/>
    <w:rsid w:val="007A708F"/>
    <w:rsid w:val="007A7CC8"/>
    <w:rsid w:val="007B00DC"/>
    <w:rsid w:val="007B07B8"/>
    <w:rsid w:val="007B0EF8"/>
    <w:rsid w:val="007B1A26"/>
    <w:rsid w:val="007B1F32"/>
    <w:rsid w:val="007B1FF8"/>
    <w:rsid w:val="007B2B7B"/>
    <w:rsid w:val="007B2D6F"/>
    <w:rsid w:val="007B49BF"/>
    <w:rsid w:val="007B4C67"/>
    <w:rsid w:val="007B5CF9"/>
    <w:rsid w:val="007C21EA"/>
    <w:rsid w:val="007C26A9"/>
    <w:rsid w:val="007C2BC3"/>
    <w:rsid w:val="007C2FA3"/>
    <w:rsid w:val="007C3963"/>
    <w:rsid w:val="007C3EF6"/>
    <w:rsid w:val="007C4025"/>
    <w:rsid w:val="007C51E4"/>
    <w:rsid w:val="007C6141"/>
    <w:rsid w:val="007C6A0A"/>
    <w:rsid w:val="007C7265"/>
    <w:rsid w:val="007D10B4"/>
    <w:rsid w:val="007D1474"/>
    <w:rsid w:val="007D2A8A"/>
    <w:rsid w:val="007D2BCE"/>
    <w:rsid w:val="007D2C75"/>
    <w:rsid w:val="007D449B"/>
    <w:rsid w:val="007D50F5"/>
    <w:rsid w:val="007D5734"/>
    <w:rsid w:val="007E1BC9"/>
    <w:rsid w:val="007E306E"/>
    <w:rsid w:val="007E3F6B"/>
    <w:rsid w:val="007E5244"/>
    <w:rsid w:val="007E6A1B"/>
    <w:rsid w:val="007E7DFC"/>
    <w:rsid w:val="007F1425"/>
    <w:rsid w:val="007F1ADE"/>
    <w:rsid w:val="007F4650"/>
    <w:rsid w:val="007F552E"/>
    <w:rsid w:val="007F6D2D"/>
    <w:rsid w:val="007F7CB2"/>
    <w:rsid w:val="00802ABE"/>
    <w:rsid w:val="00802C6A"/>
    <w:rsid w:val="008035E1"/>
    <w:rsid w:val="00803BD0"/>
    <w:rsid w:val="00804A13"/>
    <w:rsid w:val="00807F30"/>
    <w:rsid w:val="00812E56"/>
    <w:rsid w:val="00813268"/>
    <w:rsid w:val="008134E1"/>
    <w:rsid w:val="008137CA"/>
    <w:rsid w:val="00813A1D"/>
    <w:rsid w:val="00813E51"/>
    <w:rsid w:val="00815067"/>
    <w:rsid w:val="0081524A"/>
    <w:rsid w:val="008154E4"/>
    <w:rsid w:val="008159AD"/>
    <w:rsid w:val="00815C5D"/>
    <w:rsid w:val="008164CF"/>
    <w:rsid w:val="0081684A"/>
    <w:rsid w:val="0082020A"/>
    <w:rsid w:val="008218E1"/>
    <w:rsid w:val="00821C3C"/>
    <w:rsid w:val="00821D9B"/>
    <w:rsid w:val="008226A2"/>
    <w:rsid w:val="00823469"/>
    <w:rsid w:val="00824494"/>
    <w:rsid w:val="008248D7"/>
    <w:rsid w:val="008268A2"/>
    <w:rsid w:val="00826F4F"/>
    <w:rsid w:val="00827A15"/>
    <w:rsid w:val="00830332"/>
    <w:rsid w:val="008322E1"/>
    <w:rsid w:val="00832506"/>
    <w:rsid w:val="008328DE"/>
    <w:rsid w:val="00834517"/>
    <w:rsid w:val="00836158"/>
    <w:rsid w:val="00837A1E"/>
    <w:rsid w:val="00837B5D"/>
    <w:rsid w:val="00841685"/>
    <w:rsid w:val="0084486B"/>
    <w:rsid w:val="00845B60"/>
    <w:rsid w:val="00846AB3"/>
    <w:rsid w:val="008534AE"/>
    <w:rsid w:val="00854FB5"/>
    <w:rsid w:val="0085571D"/>
    <w:rsid w:val="008601AA"/>
    <w:rsid w:val="00863A9B"/>
    <w:rsid w:val="00865314"/>
    <w:rsid w:val="00866277"/>
    <w:rsid w:val="00867BCC"/>
    <w:rsid w:val="008704DD"/>
    <w:rsid w:val="008704F0"/>
    <w:rsid w:val="008705DD"/>
    <w:rsid w:val="0087096F"/>
    <w:rsid w:val="0087123D"/>
    <w:rsid w:val="0087217C"/>
    <w:rsid w:val="008724CB"/>
    <w:rsid w:val="008745FA"/>
    <w:rsid w:val="00874F66"/>
    <w:rsid w:val="0087533D"/>
    <w:rsid w:val="008755D9"/>
    <w:rsid w:val="00875FD4"/>
    <w:rsid w:val="0087625D"/>
    <w:rsid w:val="008771E7"/>
    <w:rsid w:val="00877D17"/>
    <w:rsid w:val="0088046A"/>
    <w:rsid w:val="008804BF"/>
    <w:rsid w:val="0088331D"/>
    <w:rsid w:val="0088442E"/>
    <w:rsid w:val="00885981"/>
    <w:rsid w:val="0089123C"/>
    <w:rsid w:val="008916A6"/>
    <w:rsid w:val="00894761"/>
    <w:rsid w:val="00895624"/>
    <w:rsid w:val="008A0A9C"/>
    <w:rsid w:val="008A231F"/>
    <w:rsid w:val="008A2878"/>
    <w:rsid w:val="008A2BEE"/>
    <w:rsid w:val="008A3C86"/>
    <w:rsid w:val="008A3F63"/>
    <w:rsid w:val="008A45CD"/>
    <w:rsid w:val="008A4D92"/>
    <w:rsid w:val="008A53F0"/>
    <w:rsid w:val="008A5C8A"/>
    <w:rsid w:val="008A7DF6"/>
    <w:rsid w:val="008B22F4"/>
    <w:rsid w:val="008B34B2"/>
    <w:rsid w:val="008B384B"/>
    <w:rsid w:val="008B5B60"/>
    <w:rsid w:val="008B7162"/>
    <w:rsid w:val="008B73A9"/>
    <w:rsid w:val="008C078D"/>
    <w:rsid w:val="008C0B70"/>
    <w:rsid w:val="008C134D"/>
    <w:rsid w:val="008C1E77"/>
    <w:rsid w:val="008C222B"/>
    <w:rsid w:val="008C3919"/>
    <w:rsid w:val="008C4549"/>
    <w:rsid w:val="008C4BC4"/>
    <w:rsid w:val="008C5B16"/>
    <w:rsid w:val="008C6544"/>
    <w:rsid w:val="008C6899"/>
    <w:rsid w:val="008C6BE4"/>
    <w:rsid w:val="008C7DAF"/>
    <w:rsid w:val="008C7F54"/>
    <w:rsid w:val="008D002D"/>
    <w:rsid w:val="008D0FBA"/>
    <w:rsid w:val="008D4C58"/>
    <w:rsid w:val="008D566C"/>
    <w:rsid w:val="008D6011"/>
    <w:rsid w:val="008D62B7"/>
    <w:rsid w:val="008D72BB"/>
    <w:rsid w:val="008D79DA"/>
    <w:rsid w:val="008E0CAA"/>
    <w:rsid w:val="008E1146"/>
    <w:rsid w:val="008E14F3"/>
    <w:rsid w:val="008E3DCE"/>
    <w:rsid w:val="008E4480"/>
    <w:rsid w:val="008E5FD1"/>
    <w:rsid w:val="008E605D"/>
    <w:rsid w:val="008F10E5"/>
    <w:rsid w:val="008F15D4"/>
    <w:rsid w:val="008F1FB6"/>
    <w:rsid w:val="008F2191"/>
    <w:rsid w:val="008F37DD"/>
    <w:rsid w:val="008F5F91"/>
    <w:rsid w:val="008F6CB5"/>
    <w:rsid w:val="00900212"/>
    <w:rsid w:val="00900868"/>
    <w:rsid w:val="009039A6"/>
    <w:rsid w:val="009043A7"/>
    <w:rsid w:val="00904B89"/>
    <w:rsid w:val="0090554B"/>
    <w:rsid w:val="00906F0F"/>
    <w:rsid w:val="00907A2A"/>
    <w:rsid w:val="0091098A"/>
    <w:rsid w:val="00910CE1"/>
    <w:rsid w:val="00911FD5"/>
    <w:rsid w:val="009131F3"/>
    <w:rsid w:val="00913FEC"/>
    <w:rsid w:val="00915C5A"/>
    <w:rsid w:val="00916D83"/>
    <w:rsid w:val="00920B8C"/>
    <w:rsid w:val="00920B9F"/>
    <w:rsid w:val="0092131A"/>
    <w:rsid w:val="009215D8"/>
    <w:rsid w:val="00921C68"/>
    <w:rsid w:val="00921D9F"/>
    <w:rsid w:val="00922316"/>
    <w:rsid w:val="00922483"/>
    <w:rsid w:val="009229F6"/>
    <w:rsid w:val="0092385C"/>
    <w:rsid w:val="00925002"/>
    <w:rsid w:val="00925DAD"/>
    <w:rsid w:val="009261A1"/>
    <w:rsid w:val="00926594"/>
    <w:rsid w:val="00926925"/>
    <w:rsid w:val="00927D45"/>
    <w:rsid w:val="00930485"/>
    <w:rsid w:val="00930D2E"/>
    <w:rsid w:val="0093112A"/>
    <w:rsid w:val="00932A73"/>
    <w:rsid w:val="009341AC"/>
    <w:rsid w:val="00934A30"/>
    <w:rsid w:val="00934A88"/>
    <w:rsid w:val="00934B1C"/>
    <w:rsid w:val="00935A82"/>
    <w:rsid w:val="00936B50"/>
    <w:rsid w:val="00936EB1"/>
    <w:rsid w:val="00937B63"/>
    <w:rsid w:val="00940221"/>
    <w:rsid w:val="009405C4"/>
    <w:rsid w:val="009409BF"/>
    <w:rsid w:val="00941FCD"/>
    <w:rsid w:val="00942F97"/>
    <w:rsid w:val="009451B1"/>
    <w:rsid w:val="00945EE7"/>
    <w:rsid w:val="00947100"/>
    <w:rsid w:val="0094720A"/>
    <w:rsid w:val="009475B8"/>
    <w:rsid w:val="0094795B"/>
    <w:rsid w:val="0095154E"/>
    <w:rsid w:val="00951DAB"/>
    <w:rsid w:val="00952BEA"/>
    <w:rsid w:val="00954F75"/>
    <w:rsid w:val="009556D3"/>
    <w:rsid w:val="009560BB"/>
    <w:rsid w:val="00956479"/>
    <w:rsid w:val="0095657C"/>
    <w:rsid w:val="0095673B"/>
    <w:rsid w:val="00957F5A"/>
    <w:rsid w:val="00960566"/>
    <w:rsid w:val="009620DA"/>
    <w:rsid w:val="00962C6C"/>
    <w:rsid w:val="00963371"/>
    <w:rsid w:val="009640F4"/>
    <w:rsid w:val="00964850"/>
    <w:rsid w:val="00964890"/>
    <w:rsid w:val="00964E66"/>
    <w:rsid w:val="009655E7"/>
    <w:rsid w:val="00965B6A"/>
    <w:rsid w:val="00965E0C"/>
    <w:rsid w:val="00966E1B"/>
    <w:rsid w:val="009673C4"/>
    <w:rsid w:val="0096774D"/>
    <w:rsid w:val="009719F8"/>
    <w:rsid w:val="00971C51"/>
    <w:rsid w:val="00971F6E"/>
    <w:rsid w:val="0097207A"/>
    <w:rsid w:val="0097225E"/>
    <w:rsid w:val="0097289F"/>
    <w:rsid w:val="00972AD2"/>
    <w:rsid w:val="00973176"/>
    <w:rsid w:val="009734BE"/>
    <w:rsid w:val="00973608"/>
    <w:rsid w:val="00973D87"/>
    <w:rsid w:val="00973FD6"/>
    <w:rsid w:val="00976B71"/>
    <w:rsid w:val="00976F78"/>
    <w:rsid w:val="00982D16"/>
    <w:rsid w:val="00982D93"/>
    <w:rsid w:val="009831B3"/>
    <w:rsid w:val="00983400"/>
    <w:rsid w:val="00983575"/>
    <w:rsid w:val="009843F9"/>
    <w:rsid w:val="00984B1F"/>
    <w:rsid w:val="00984B4B"/>
    <w:rsid w:val="00985AA7"/>
    <w:rsid w:val="00986D15"/>
    <w:rsid w:val="00987D28"/>
    <w:rsid w:val="0099292C"/>
    <w:rsid w:val="0099355E"/>
    <w:rsid w:val="009947E7"/>
    <w:rsid w:val="009A0A86"/>
    <w:rsid w:val="009A223F"/>
    <w:rsid w:val="009A2EA4"/>
    <w:rsid w:val="009A4663"/>
    <w:rsid w:val="009A4C94"/>
    <w:rsid w:val="009A5483"/>
    <w:rsid w:val="009A5A65"/>
    <w:rsid w:val="009A61CE"/>
    <w:rsid w:val="009A6FCB"/>
    <w:rsid w:val="009B10F6"/>
    <w:rsid w:val="009B1888"/>
    <w:rsid w:val="009B1B8C"/>
    <w:rsid w:val="009B2609"/>
    <w:rsid w:val="009B51E8"/>
    <w:rsid w:val="009B51EA"/>
    <w:rsid w:val="009B5856"/>
    <w:rsid w:val="009B7D0A"/>
    <w:rsid w:val="009C007E"/>
    <w:rsid w:val="009C2533"/>
    <w:rsid w:val="009C5233"/>
    <w:rsid w:val="009C6FE3"/>
    <w:rsid w:val="009D0351"/>
    <w:rsid w:val="009D2C02"/>
    <w:rsid w:val="009D323E"/>
    <w:rsid w:val="009D3262"/>
    <w:rsid w:val="009D5456"/>
    <w:rsid w:val="009D6A7C"/>
    <w:rsid w:val="009D72BB"/>
    <w:rsid w:val="009D75F3"/>
    <w:rsid w:val="009D7DA7"/>
    <w:rsid w:val="009D7EC2"/>
    <w:rsid w:val="009E0B7B"/>
    <w:rsid w:val="009E1227"/>
    <w:rsid w:val="009E2175"/>
    <w:rsid w:val="009E3DED"/>
    <w:rsid w:val="009E48CE"/>
    <w:rsid w:val="009E5075"/>
    <w:rsid w:val="009E6A29"/>
    <w:rsid w:val="009F0121"/>
    <w:rsid w:val="009F0E3D"/>
    <w:rsid w:val="009F2D50"/>
    <w:rsid w:val="009F31FD"/>
    <w:rsid w:val="009F416A"/>
    <w:rsid w:val="009F569C"/>
    <w:rsid w:val="009F66F9"/>
    <w:rsid w:val="009F7A0A"/>
    <w:rsid w:val="00A00273"/>
    <w:rsid w:val="00A009D6"/>
    <w:rsid w:val="00A013F1"/>
    <w:rsid w:val="00A0239C"/>
    <w:rsid w:val="00A02C2E"/>
    <w:rsid w:val="00A02C8B"/>
    <w:rsid w:val="00A03336"/>
    <w:rsid w:val="00A03422"/>
    <w:rsid w:val="00A035F3"/>
    <w:rsid w:val="00A03CE2"/>
    <w:rsid w:val="00A04A2B"/>
    <w:rsid w:val="00A0522F"/>
    <w:rsid w:val="00A064D5"/>
    <w:rsid w:val="00A07B6F"/>
    <w:rsid w:val="00A12A22"/>
    <w:rsid w:val="00A12AB7"/>
    <w:rsid w:val="00A13870"/>
    <w:rsid w:val="00A14DEE"/>
    <w:rsid w:val="00A14F58"/>
    <w:rsid w:val="00A15E87"/>
    <w:rsid w:val="00A16677"/>
    <w:rsid w:val="00A1756D"/>
    <w:rsid w:val="00A17D9B"/>
    <w:rsid w:val="00A20519"/>
    <w:rsid w:val="00A20730"/>
    <w:rsid w:val="00A20A4B"/>
    <w:rsid w:val="00A20A82"/>
    <w:rsid w:val="00A2253D"/>
    <w:rsid w:val="00A24C70"/>
    <w:rsid w:val="00A30188"/>
    <w:rsid w:val="00A30FAA"/>
    <w:rsid w:val="00A31A3F"/>
    <w:rsid w:val="00A32366"/>
    <w:rsid w:val="00A32868"/>
    <w:rsid w:val="00A333CD"/>
    <w:rsid w:val="00A339F0"/>
    <w:rsid w:val="00A343DB"/>
    <w:rsid w:val="00A36995"/>
    <w:rsid w:val="00A36C44"/>
    <w:rsid w:val="00A40443"/>
    <w:rsid w:val="00A41E14"/>
    <w:rsid w:val="00A4233C"/>
    <w:rsid w:val="00A42835"/>
    <w:rsid w:val="00A44D71"/>
    <w:rsid w:val="00A45031"/>
    <w:rsid w:val="00A4514D"/>
    <w:rsid w:val="00A46E4D"/>
    <w:rsid w:val="00A47D09"/>
    <w:rsid w:val="00A505CB"/>
    <w:rsid w:val="00A5064A"/>
    <w:rsid w:val="00A512D3"/>
    <w:rsid w:val="00A51482"/>
    <w:rsid w:val="00A51A81"/>
    <w:rsid w:val="00A52760"/>
    <w:rsid w:val="00A52F20"/>
    <w:rsid w:val="00A53AC7"/>
    <w:rsid w:val="00A56C93"/>
    <w:rsid w:val="00A60C67"/>
    <w:rsid w:val="00A6516B"/>
    <w:rsid w:val="00A65B69"/>
    <w:rsid w:val="00A668A5"/>
    <w:rsid w:val="00A6799F"/>
    <w:rsid w:val="00A70116"/>
    <w:rsid w:val="00A72691"/>
    <w:rsid w:val="00A72784"/>
    <w:rsid w:val="00A75025"/>
    <w:rsid w:val="00A750B5"/>
    <w:rsid w:val="00A84C7D"/>
    <w:rsid w:val="00A84F73"/>
    <w:rsid w:val="00A85724"/>
    <w:rsid w:val="00A905BF"/>
    <w:rsid w:val="00A90989"/>
    <w:rsid w:val="00A917FB"/>
    <w:rsid w:val="00A91DB2"/>
    <w:rsid w:val="00A92521"/>
    <w:rsid w:val="00A937C8"/>
    <w:rsid w:val="00A93FC3"/>
    <w:rsid w:val="00A96697"/>
    <w:rsid w:val="00A9741D"/>
    <w:rsid w:val="00A9759F"/>
    <w:rsid w:val="00AA0748"/>
    <w:rsid w:val="00AA25F3"/>
    <w:rsid w:val="00AA2B63"/>
    <w:rsid w:val="00AA2BCA"/>
    <w:rsid w:val="00AA2F71"/>
    <w:rsid w:val="00AA348D"/>
    <w:rsid w:val="00AA367B"/>
    <w:rsid w:val="00AA40E2"/>
    <w:rsid w:val="00AA461A"/>
    <w:rsid w:val="00AA56E0"/>
    <w:rsid w:val="00AA6B8F"/>
    <w:rsid w:val="00AA6E52"/>
    <w:rsid w:val="00AA79B2"/>
    <w:rsid w:val="00AB0B8E"/>
    <w:rsid w:val="00AB3FEE"/>
    <w:rsid w:val="00AB6083"/>
    <w:rsid w:val="00AB620D"/>
    <w:rsid w:val="00AB6D47"/>
    <w:rsid w:val="00AC0D9F"/>
    <w:rsid w:val="00AC2851"/>
    <w:rsid w:val="00AC3B7D"/>
    <w:rsid w:val="00AC53DC"/>
    <w:rsid w:val="00AC5A07"/>
    <w:rsid w:val="00AC5DEA"/>
    <w:rsid w:val="00AC6E09"/>
    <w:rsid w:val="00AC76F6"/>
    <w:rsid w:val="00AD0FFE"/>
    <w:rsid w:val="00AD190D"/>
    <w:rsid w:val="00AD3212"/>
    <w:rsid w:val="00AD6400"/>
    <w:rsid w:val="00AD7838"/>
    <w:rsid w:val="00AD7EFA"/>
    <w:rsid w:val="00AE1AF7"/>
    <w:rsid w:val="00AE25AA"/>
    <w:rsid w:val="00AE4056"/>
    <w:rsid w:val="00AE445D"/>
    <w:rsid w:val="00AE6BF4"/>
    <w:rsid w:val="00AE6E15"/>
    <w:rsid w:val="00AE6F2D"/>
    <w:rsid w:val="00AF027B"/>
    <w:rsid w:val="00AF02DC"/>
    <w:rsid w:val="00AF0AF8"/>
    <w:rsid w:val="00AF1FB9"/>
    <w:rsid w:val="00AF2002"/>
    <w:rsid w:val="00AF2E45"/>
    <w:rsid w:val="00AF45B1"/>
    <w:rsid w:val="00AF53D7"/>
    <w:rsid w:val="00AF61D8"/>
    <w:rsid w:val="00AF622E"/>
    <w:rsid w:val="00AF643E"/>
    <w:rsid w:val="00B0010D"/>
    <w:rsid w:val="00B0024D"/>
    <w:rsid w:val="00B006C6"/>
    <w:rsid w:val="00B02381"/>
    <w:rsid w:val="00B03220"/>
    <w:rsid w:val="00B0400B"/>
    <w:rsid w:val="00B04E23"/>
    <w:rsid w:val="00B0502D"/>
    <w:rsid w:val="00B06C26"/>
    <w:rsid w:val="00B07D1C"/>
    <w:rsid w:val="00B10312"/>
    <w:rsid w:val="00B10893"/>
    <w:rsid w:val="00B10FDC"/>
    <w:rsid w:val="00B119FD"/>
    <w:rsid w:val="00B12266"/>
    <w:rsid w:val="00B1233A"/>
    <w:rsid w:val="00B124A2"/>
    <w:rsid w:val="00B12507"/>
    <w:rsid w:val="00B12D6A"/>
    <w:rsid w:val="00B12E8A"/>
    <w:rsid w:val="00B1303B"/>
    <w:rsid w:val="00B153D4"/>
    <w:rsid w:val="00B15A61"/>
    <w:rsid w:val="00B16044"/>
    <w:rsid w:val="00B163C0"/>
    <w:rsid w:val="00B20C6C"/>
    <w:rsid w:val="00B21A85"/>
    <w:rsid w:val="00B22538"/>
    <w:rsid w:val="00B22DE9"/>
    <w:rsid w:val="00B23B48"/>
    <w:rsid w:val="00B241DC"/>
    <w:rsid w:val="00B24484"/>
    <w:rsid w:val="00B25619"/>
    <w:rsid w:val="00B27AAC"/>
    <w:rsid w:val="00B27ED4"/>
    <w:rsid w:val="00B32BC1"/>
    <w:rsid w:val="00B344F2"/>
    <w:rsid w:val="00B347ED"/>
    <w:rsid w:val="00B34CFA"/>
    <w:rsid w:val="00B350F3"/>
    <w:rsid w:val="00B35779"/>
    <w:rsid w:val="00B35DA3"/>
    <w:rsid w:val="00B36431"/>
    <w:rsid w:val="00B36A68"/>
    <w:rsid w:val="00B375A2"/>
    <w:rsid w:val="00B37AD3"/>
    <w:rsid w:val="00B417B7"/>
    <w:rsid w:val="00B41A38"/>
    <w:rsid w:val="00B42517"/>
    <w:rsid w:val="00B42784"/>
    <w:rsid w:val="00B443C5"/>
    <w:rsid w:val="00B45A18"/>
    <w:rsid w:val="00B46DC2"/>
    <w:rsid w:val="00B504AF"/>
    <w:rsid w:val="00B51CF9"/>
    <w:rsid w:val="00B54598"/>
    <w:rsid w:val="00B55344"/>
    <w:rsid w:val="00B55869"/>
    <w:rsid w:val="00B57AEF"/>
    <w:rsid w:val="00B57D02"/>
    <w:rsid w:val="00B57DAC"/>
    <w:rsid w:val="00B60276"/>
    <w:rsid w:val="00B60BBB"/>
    <w:rsid w:val="00B6338E"/>
    <w:rsid w:val="00B63DD7"/>
    <w:rsid w:val="00B64FEF"/>
    <w:rsid w:val="00B65966"/>
    <w:rsid w:val="00B65B41"/>
    <w:rsid w:val="00B65C2F"/>
    <w:rsid w:val="00B6633B"/>
    <w:rsid w:val="00B675CF"/>
    <w:rsid w:val="00B71CC4"/>
    <w:rsid w:val="00B74B06"/>
    <w:rsid w:val="00B7555A"/>
    <w:rsid w:val="00B756BA"/>
    <w:rsid w:val="00B75975"/>
    <w:rsid w:val="00B76D7C"/>
    <w:rsid w:val="00B800F8"/>
    <w:rsid w:val="00B8137E"/>
    <w:rsid w:val="00B81A6B"/>
    <w:rsid w:val="00B8220D"/>
    <w:rsid w:val="00B8359A"/>
    <w:rsid w:val="00B836BC"/>
    <w:rsid w:val="00B84267"/>
    <w:rsid w:val="00B85075"/>
    <w:rsid w:val="00B8560B"/>
    <w:rsid w:val="00B8569A"/>
    <w:rsid w:val="00B857D3"/>
    <w:rsid w:val="00B86D8A"/>
    <w:rsid w:val="00B87EDB"/>
    <w:rsid w:val="00B90245"/>
    <w:rsid w:val="00B915E0"/>
    <w:rsid w:val="00B92DB5"/>
    <w:rsid w:val="00B95085"/>
    <w:rsid w:val="00B959FC"/>
    <w:rsid w:val="00B96BE9"/>
    <w:rsid w:val="00B9762D"/>
    <w:rsid w:val="00BA1BF1"/>
    <w:rsid w:val="00BA29A4"/>
    <w:rsid w:val="00BA3931"/>
    <w:rsid w:val="00BA5CBC"/>
    <w:rsid w:val="00BA5E86"/>
    <w:rsid w:val="00BA6EBF"/>
    <w:rsid w:val="00BA7D8B"/>
    <w:rsid w:val="00BB0277"/>
    <w:rsid w:val="00BB0DE3"/>
    <w:rsid w:val="00BB21FE"/>
    <w:rsid w:val="00BB3FD2"/>
    <w:rsid w:val="00BB4023"/>
    <w:rsid w:val="00BB5833"/>
    <w:rsid w:val="00BB6374"/>
    <w:rsid w:val="00BB6A54"/>
    <w:rsid w:val="00BB7326"/>
    <w:rsid w:val="00BB7405"/>
    <w:rsid w:val="00BB79E5"/>
    <w:rsid w:val="00BC0EFD"/>
    <w:rsid w:val="00BC10CC"/>
    <w:rsid w:val="00BC2145"/>
    <w:rsid w:val="00BC29AA"/>
    <w:rsid w:val="00BC2F7C"/>
    <w:rsid w:val="00BC362C"/>
    <w:rsid w:val="00BC36B2"/>
    <w:rsid w:val="00BC55F2"/>
    <w:rsid w:val="00BC67D2"/>
    <w:rsid w:val="00BD012C"/>
    <w:rsid w:val="00BD286B"/>
    <w:rsid w:val="00BD2A1D"/>
    <w:rsid w:val="00BD2D5D"/>
    <w:rsid w:val="00BD35ED"/>
    <w:rsid w:val="00BD4755"/>
    <w:rsid w:val="00BD5860"/>
    <w:rsid w:val="00BD68B8"/>
    <w:rsid w:val="00BE0F66"/>
    <w:rsid w:val="00BE0FA7"/>
    <w:rsid w:val="00BE11AA"/>
    <w:rsid w:val="00BE15C5"/>
    <w:rsid w:val="00BE415C"/>
    <w:rsid w:val="00BE421E"/>
    <w:rsid w:val="00BE5409"/>
    <w:rsid w:val="00BE55DA"/>
    <w:rsid w:val="00BE5C55"/>
    <w:rsid w:val="00BE6BA4"/>
    <w:rsid w:val="00BF0D6D"/>
    <w:rsid w:val="00BF18E8"/>
    <w:rsid w:val="00BF54CB"/>
    <w:rsid w:val="00BF6A99"/>
    <w:rsid w:val="00BF6DE4"/>
    <w:rsid w:val="00C01871"/>
    <w:rsid w:val="00C02A9E"/>
    <w:rsid w:val="00C02C4D"/>
    <w:rsid w:val="00C035AA"/>
    <w:rsid w:val="00C04555"/>
    <w:rsid w:val="00C04841"/>
    <w:rsid w:val="00C061AD"/>
    <w:rsid w:val="00C06C6B"/>
    <w:rsid w:val="00C105B2"/>
    <w:rsid w:val="00C10C4F"/>
    <w:rsid w:val="00C122F0"/>
    <w:rsid w:val="00C133CC"/>
    <w:rsid w:val="00C1695A"/>
    <w:rsid w:val="00C170FD"/>
    <w:rsid w:val="00C17B6B"/>
    <w:rsid w:val="00C2062A"/>
    <w:rsid w:val="00C20D41"/>
    <w:rsid w:val="00C211B6"/>
    <w:rsid w:val="00C21B0A"/>
    <w:rsid w:val="00C232B6"/>
    <w:rsid w:val="00C23CD2"/>
    <w:rsid w:val="00C24134"/>
    <w:rsid w:val="00C25DF7"/>
    <w:rsid w:val="00C25F55"/>
    <w:rsid w:val="00C27C11"/>
    <w:rsid w:val="00C30095"/>
    <w:rsid w:val="00C3219B"/>
    <w:rsid w:val="00C32B6C"/>
    <w:rsid w:val="00C33166"/>
    <w:rsid w:val="00C34821"/>
    <w:rsid w:val="00C34B4F"/>
    <w:rsid w:val="00C361AB"/>
    <w:rsid w:val="00C3659B"/>
    <w:rsid w:val="00C375EA"/>
    <w:rsid w:val="00C412B1"/>
    <w:rsid w:val="00C412CD"/>
    <w:rsid w:val="00C41587"/>
    <w:rsid w:val="00C41860"/>
    <w:rsid w:val="00C4370B"/>
    <w:rsid w:val="00C4516F"/>
    <w:rsid w:val="00C47EA3"/>
    <w:rsid w:val="00C50109"/>
    <w:rsid w:val="00C50FED"/>
    <w:rsid w:val="00C520FD"/>
    <w:rsid w:val="00C5219B"/>
    <w:rsid w:val="00C5342E"/>
    <w:rsid w:val="00C55197"/>
    <w:rsid w:val="00C55C8A"/>
    <w:rsid w:val="00C5652F"/>
    <w:rsid w:val="00C5686D"/>
    <w:rsid w:val="00C578EA"/>
    <w:rsid w:val="00C579DA"/>
    <w:rsid w:val="00C63879"/>
    <w:rsid w:val="00C63DB9"/>
    <w:rsid w:val="00C646E4"/>
    <w:rsid w:val="00C64CD1"/>
    <w:rsid w:val="00C6528E"/>
    <w:rsid w:val="00C65D2E"/>
    <w:rsid w:val="00C667C8"/>
    <w:rsid w:val="00C67C76"/>
    <w:rsid w:val="00C708BA"/>
    <w:rsid w:val="00C71978"/>
    <w:rsid w:val="00C72486"/>
    <w:rsid w:val="00C7346F"/>
    <w:rsid w:val="00C7419D"/>
    <w:rsid w:val="00C74C27"/>
    <w:rsid w:val="00C752D5"/>
    <w:rsid w:val="00C75AEB"/>
    <w:rsid w:val="00C7693B"/>
    <w:rsid w:val="00C776AD"/>
    <w:rsid w:val="00C77996"/>
    <w:rsid w:val="00C77A0D"/>
    <w:rsid w:val="00C806DC"/>
    <w:rsid w:val="00C80C31"/>
    <w:rsid w:val="00C8190F"/>
    <w:rsid w:val="00C81A4A"/>
    <w:rsid w:val="00C83738"/>
    <w:rsid w:val="00C85635"/>
    <w:rsid w:val="00C85815"/>
    <w:rsid w:val="00C8794B"/>
    <w:rsid w:val="00C87996"/>
    <w:rsid w:val="00C9099B"/>
    <w:rsid w:val="00C9358A"/>
    <w:rsid w:val="00C9417C"/>
    <w:rsid w:val="00C953D0"/>
    <w:rsid w:val="00C97C3B"/>
    <w:rsid w:val="00CA239F"/>
    <w:rsid w:val="00CA2751"/>
    <w:rsid w:val="00CA2AC5"/>
    <w:rsid w:val="00CA320B"/>
    <w:rsid w:val="00CA3C4D"/>
    <w:rsid w:val="00CA4A30"/>
    <w:rsid w:val="00CA59FB"/>
    <w:rsid w:val="00CA5BB5"/>
    <w:rsid w:val="00CA6FCF"/>
    <w:rsid w:val="00CA71A6"/>
    <w:rsid w:val="00CA7231"/>
    <w:rsid w:val="00CB0AF3"/>
    <w:rsid w:val="00CB1863"/>
    <w:rsid w:val="00CB2314"/>
    <w:rsid w:val="00CB251B"/>
    <w:rsid w:val="00CB27F7"/>
    <w:rsid w:val="00CB3330"/>
    <w:rsid w:val="00CB3C96"/>
    <w:rsid w:val="00CB4C9E"/>
    <w:rsid w:val="00CC0A83"/>
    <w:rsid w:val="00CC1655"/>
    <w:rsid w:val="00CC1830"/>
    <w:rsid w:val="00CC1E8F"/>
    <w:rsid w:val="00CC1EB8"/>
    <w:rsid w:val="00CC2651"/>
    <w:rsid w:val="00CC2666"/>
    <w:rsid w:val="00CC5643"/>
    <w:rsid w:val="00CC6073"/>
    <w:rsid w:val="00CC70D3"/>
    <w:rsid w:val="00CD1C22"/>
    <w:rsid w:val="00CD22A1"/>
    <w:rsid w:val="00CD2D43"/>
    <w:rsid w:val="00CD5616"/>
    <w:rsid w:val="00CD6942"/>
    <w:rsid w:val="00CD6A7A"/>
    <w:rsid w:val="00CD6F59"/>
    <w:rsid w:val="00CE0003"/>
    <w:rsid w:val="00CE04AA"/>
    <w:rsid w:val="00CE0605"/>
    <w:rsid w:val="00CE0799"/>
    <w:rsid w:val="00CE0B9A"/>
    <w:rsid w:val="00CE1C1A"/>
    <w:rsid w:val="00CE1D3A"/>
    <w:rsid w:val="00CE2F09"/>
    <w:rsid w:val="00CE3B33"/>
    <w:rsid w:val="00CE435B"/>
    <w:rsid w:val="00CE44EA"/>
    <w:rsid w:val="00CE467E"/>
    <w:rsid w:val="00CE64E0"/>
    <w:rsid w:val="00CE65F8"/>
    <w:rsid w:val="00CE7AD5"/>
    <w:rsid w:val="00CF0687"/>
    <w:rsid w:val="00CF0D73"/>
    <w:rsid w:val="00CF22F2"/>
    <w:rsid w:val="00CF34BB"/>
    <w:rsid w:val="00CF36E8"/>
    <w:rsid w:val="00CF4422"/>
    <w:rsid w:val="00CF6FC0"/>
    <w:rsid w:val="00CF7292"/>
    <w:rsid w:val="00D006F7"/>
    <w:rsid w:val="00D01A9D"/>
    <w:rsid w:val="00D01D1D"/>
    <w:rsid w:val="00D02013"/>
    <w:rsid w:val="00D024AD"/>
    <w:rsid w:val="00D03E1E"/>
    <w:rsid w:val="00D044A2"/>
    <w:rsid w:val="00D04B10"/>
    <w:rsid w:val="00D07D06"/>
    <w:rsid w:val="00D10280"/>
    <w:rsid w:val="00D123D4"/>
    <w:rsid w:val="00D126AB"/>
    <w:rsid w:val="00D13202"/>
    <w:rsid w:val="00D13A9E"/>
    <w:rsid w:val="00D171BF"/>
    <w:rsid w:val="00D17800"/>
    <w:rsid w:val="00D21420"/>
    <w:rsid w:val="00D22923"/>
    <w:rsid w:val="00D22EF5"/>
    <w:rsid w:val="00D2362F"/>
    <w:rsid w:val="00D23856"/>
    <w:rsid w:val="00D240BC"/>
    <w:rsid w:val="00D24702"/>
    <w:rsid w:val="00D273E8"/>
    <w:rsid w:val="00D334F9"/>
    <w:rsid w:val="00D33A17"/>
    <w:rsid w:val="00D33DA3"/>
    <w:rsid w:val="00D340AC"/>
    <w:rsid w:val="00D347A2"/>
    <w:rsid w:val="00D35CE8"/>
    <w:rsid w:val="00D35D73"/>
    <w:rsid w:val="00D37D73"/>
    <w:rsid w:val="00D40BCB"/>
    <w:rsid w:val="00D41F63"/>
    <w:rsid w:val="00D42DA5"/>
    <w:rsid w:val="00D4335D"/>
    <w:rsid w:val="00D4448C"/>
    <w:rsid w:val="00D45178"/>
    <w:rsid w:val="00D4579B"/>
    <w:rsid w:val="00D467EE"/>
    <w:rsid w:val="00D50DE9"/>
    <w:rsid w:val="00D512E6"/>
    <w:rsid w:val="00D51908"/>
    <w:rsid w:val="00D5202F"/>
    <w:rsid w:val="00D527C3"/>
    <w:rsid w:val="00D52B25"/>
    <w:rsid w:val="00D53EAC"/>
    <w:rsid w:val="00D5458A"/>
    <w:rsid w:val="00D553E8"/>
    <w:rsid w:val="00D55E14"/>
    <w:rsid w:val="00D55EF5"/>
    <w:rsid w:val="00D56443"/>
    <w:rsid w:val="00D614C1"/>
    <w:rsid w:val="00D63013"/>
    <w:rsid w:val="00D67D3F"/>
    <w:rsid w:val="00D71112"/>
    <w:rsid w:val="00D71945"/>
    <w:rsid w:val="00D72324"/>
    <w:rsid w:val="00D744D6"/>
    <w:rsid w:val="00D75F0B"/>
    <w:rsid w:val="00D7694C"/>
    <w:rsid w:val="00D821F2"/>
    <w:rsid w:val="00D82719"/>
    <w:rsid w:val="00D82D8E"/>
    <w:rsid w:val="00D83A29"/>
    <w:rsid w:val="00D83F92"/>
    <w:rsid w:val="00D85333"/>
    <w:rsid w:val="00D855DC"/>
    <w:rsid w:val="00D8717B"/>
    <w:rsid w:val="00D9083A"/>
    <w:rsid w:val="00D9092E"/>
    <w:rsid w:val="00D9157C"/>
    <w:rsid w:val="00D921A4"/>
    <w:rsid w:val="00D930FE"/>
    <w:rsid w:val="00D93A7D"/>
    <w:rsid w:val="00D93B6E"/>
    <w:rsid w:val="00D93CC1"/>
    <w:rsid w:val="00D94123"/>
    <w:rsid w:val="00D9527A"/>
    <w:rsid w:val="00D959C2"/>
    <w:rsid w:val="00D96D8E"/>
    <w:rsid w:val="00D9739F"/>
    <w:rsid w:val="00D975C0"/>
    <w:rsid w:val="00DA0A61"/>
    <w:rsid w:val="00DA11E3"/>
    <w:rsid w:val="00DA2FAB"/>
    <w:rsid w:val="00DA3B79"/>
    <w:rsid w:val="00DA3F94"/>
    <w:rsid w:val="00DA4750"/>
    <w:rsid w:val="00DA4ADE"/>
    <w:rsid w:val="00DA4E19"/>
    <w:rsid w:val="00DA4E4D"/>
    <w:rsid w:val="00DA5232"/>
    <w:rsid w:val="00DA5FC7"/>
    <w:rsid w:val="00DA6641"/>
    <w:rsid w:val="00DA6CB5"/>
    <w:rsid w:val="00DA79DD"/>
    <w:rsid w:val="00DA7F4B"/>
    <w:rsid w:val="00DB2444"/>
    <w:rsid w:val="00DB359B"/>
    <w:rsid w:val="00DB4487"/>
    <w:rsid w:val="00DB53CB"/>
    <w:rsid w:val="00DB5A1A"/>
    <w:rsid w:val="00DB669F"/>
    <w:rsid w:val="00DB6A35"/>
    <w:rsid w:val="00DC0C87"/>
    <w:rsid w:val="00DC0DE8"/>
    <w:rsid w:val="00DC1D0F"/>
    <w:rsid w:val="00DC418E"/>
    <w:rsid w:val="00DC4426"/>
    <w:rsid w:val="00DC4B8C"/>
    <w:rsid w:val="00DC4ED0"/>
    <w:rsid w:val="00DC5B7E"/>
    <w:rsid w:val="00DD0776"/>
    <w:rsid w:val="00DD0BEF"/>
    <w:rsid w:val="00DD0E6D"/>
    <w:rsid w:val="00DD150A"/>
    <w:rsid w:val="00DD1621"/>
    <w:rsid w:val="00DD536F"/>
    <w:rsid w:val="00DD544F"/>
    <w:rsid w:val="00DD56E6"/>
    <w:rsid w:val="00DD79BA"/>
    <w:rsid w:val="00DD79F5"/>
    <w:rsid w:val="00DE0E4C"/>
    <w:rsid w:val="00DE1E34"/>
    <w:rsid w:val="00DE4256"/>
    <w:rsid w:val="00DE434F"/>
    <w:rsid w:val="00DE57F0"/>
    <w:rsid w:val="00DE621D"/>
    <w:rsid w:val="00DE6681"/>
    <w:rsid w:val="00DE6EE0"/>
    <w:rsid w:val="00DF01EB"/>
    <w:rsid w:val="00DF0BF7"/>
    <w:rsid w:val="00DF1039"/>
    <w:rsid w:val="00DF16CA"/>
    <w:rsid w:val="00DF2179"/>
    <w:rsid w:val="00DF2AE9"/>
    <w:rsid w:val="00DF3EA4"/>
    <w:rsid w:val="00DF67DC"/>
    <w:rsid w:val="00DF6FD4"/>
    <w:rsid w:val="00DF7A2C"/>
    <w:rsid w:val="00DF7CBC"/>
    <w:rsid w:val="00E01B1D"/>
    <w:rsid w:val="00E022E7"/>
    <w:rsid w:val="00E02B32"/>
    <w:rsid w:val="00E040F8"/>
    <w:rsid w:val="00E11619"/>
    <w:rsid w:val="00E11DCA"/>
    <w:rsid w:val="00E1263E"/>
    <w:rsid w:val="00E12716"/>
    <w:rsid w:val="00E129EE"/>
    <w:rsid w:val="00E12C6A"/>
    <w:rsid w:val="00E12FC4"/>
    <w:rsid w:val="00E133DC"/>
    <w:rsid w:val="00E16376"/>
    <w:rsid w:val="00E2014B"/>
    <w:rsid w:val="00E211D7"/>
    <w:rsid w:val="00E22A2B"/>
    <w:rsid w:val="00E22DA7"/>
    <w:rsid w:val="00E233BA"/>
    <w:rsid w:val="00E23D4D"/>
    <w:rsid w:val="00E24880"/>
    <w:rsid w:val="00E24924"/>
    <w:rsid w:val="00E24DC0"/>
    <w:rsid w:val="00E25AE9"/>
    <w:rsid w:val="00E25B03"/>
    <w:rsid w:val="00E2629B"/>
    <w:rsid w:val="00E270F1"/>
    <w:rsid w:val="00E311BF"/>
    <w:rsid w:val="00E3128E"/>
    <w:rsid w:val="00E316D2"/>
    <w:rsid w:val="00E34322"/>
    <w:rsid w:val="00E34E6F"/>
    <w:rsid w:val="00E35092"/>
    <w:rsid w:val="00E350A2"/>
    <w:rsid w:val="00E36B03"/>
    <w:rsid w:val="00E3702F"/>
    <w:rsid w:val="00E37426"/>
    <w:rsid w:val="00E429C6"/>
    <w:rsid w:val="00E42E54"/>
    <w:rsid w:val="00E44845"/>
    <w:rsid w:val="00E44C9C"/>
    <w:rsid w:val="00E469EA"/>
    <w:rsid w:val="00E475EB"/>
    <w:rsid w:val="00E50CCD"/>
    <w:rsid w:val="00E51260"/>
    <w:rsid w:val="00E51570"/>
    <w:rsid w:val="00E524AC"/>
    <w:rsid w:val="00E52B93"/>
    <w:rsid w:val="00E530AC"/>
    <w:rsid w:val="00E531BA"/>
    <w:rsid w:val="00E53B47"/>
    <w:rsid w:val="00E53E8D"/>
    <w:rsid w:val="00E5509E"/>
    <w:rsid w:val="00E5574A"/>
    <w:rsid w:val="00E55DDF"/>
    <w:rsid w:val="00E55EEA"/>
    <w:rsid w:val="00E567F1"/>
    <w:rsid w:val="00E568B3"/>
    <w:rsid w:val="00E5692A"/>
    <w:rsid w:val="00E56FEF"/>
    <w:rsid w:val="00E5723D"/>
    <w:rsid w:val="00E57C92"/>
    <w:rsid w:val="00E60512"/>
    <w:rsid w:val="00E61AE4"/>
    <w:rsid w:val="00E61B8C"/>
    <w:rsid w:val="00E61BF7"/>
    <w:rsid w:val="00E623B2"/>
    <w:rsid w:val="00E62922"/>
    <w:rsid w:val="00E62B1E"/>
    <w:rsid w:val="00E63638"/>
    <w:rsid w:val="00E64DB4"/>
    <w:rsid w:val="00E65766"/>
    <w:rsid w:val="00E66ED8"/>
    <w:rsid w:val="00E71A61"/>
    <w:rsid w:val="00E72CD0"/>
    <w:rsid w:val="00E72FD9"/>
    <w:rsid w:val="00E73346"/>
    <w:rsid w:val="00E741AC"/>
    <w:rsid w:val="00E74ECA"/>
    <w:rsid w:val="00E75099"/>
    <w:rsid w:val="00E75580"/>
    <w:rsid w:val="00E76087"/>
    <w:rsid w:val="00E80D80"/>
    <w:rsid w:val="00E81CEC"/>
    <w:rsid w:val="00E82106"/>
    <w:rsid w:val="00E8582F"/>
    <w:rsid w:val="00E85B1E"/>
    <w:rsid w:val="00E9111E"/>
    <w:rsid w:val="00E92BBA"/>
    <w:rsid w:val="00E949B9"/>
    <w:rsid w:val="00E96253"/>
    <w:rsid w:val="00E96EC9"/>
    <w:rsid w:val="00E978CE"/>
    <w:rsid w:val="00E9794B"/>
    <w:rsid w:val="00EA048A"/>
    <w:rsid w:val="00EA0A96"/>
    <w:rsid w:val="00EA109E"/>
    <w:rsid w:val="00EA19F3"/>
    <w:rsid w:val="00EA23C7"/>
    <w:rsid w:val="00EA3C35"/>
    <w:rsid w:val="00EA3ECF"/>
    <w:rsid w:val="00EA42BC"/>
    <w:rsid w:val="00EA4A48"/>
    <w:rsid w:val="00EA53A3"/>
    <w:rsid w:val="00EA54A7"/>
    <w:rsid w:val="00EA5AB3"/>
    <w:rsid w:val="00EA5F51"/>
    <w:rsid w:val="00EA6DF5"/>
    <w:rsid w:val="00EA7F5C"/>
    <w:rsid w:val="00EB084B"/>
    <w:rsid w:val="00EB0D40"/>
    <w:rsid w:val="00EB1F21"/>
    <w:rsid w:val="00EB2571"/>
    <w:rsid w:val="00EB3FD5"/>
    <w:rsid w:val="00EB4BB4"/>
    <w:rsid w:val="00EB4CE4"/>
    <w:rsid w:val="00EB7BA6"/>
    <w:rsid w:val="00EC03EB"/>
    <w:rsid w:val="00EC09F5"/>
    <w:rsid w:val="00EC0F5D"/>
    <w:rsid w:val="00EC21D7"/>
    <w:rsid w:val="00EC32EB"/>
    <w:rsid w:val="00EC3328"/>
    <w:rsid w:val="00EC3BE9"/>
    <w:rsid w:val="00EC425F"/>
    <w:rsid w:val="00EC4A1C"/>
    <w:rsid w:val="00EC4CE0"/>
    <w:rsid w:val="00EC7E74"/>
    <w:rsid w:val="00EC7F20"/>
    <w:rsid w:val="00ED04D3"/>
    <w:rsid w:val="00ED17E0"/>
    <w:rsid w:val="00ED193B"/>
    <w:rsid w:val="00ED32A5"/>
    <w:rsid w:val="00ED507E"/>
    <w:rsid w:val="00ED575E"/>
    <w:rsid w:val="00ED6A9C"/>
    <w:rsid w:val="00ED6F06"/>
    <w:rsid w:val="00ED78A9"/>
    <w:rsid w:val="00EE062D"/>
    <w:rsid w:val="00EE06AC"/>
    <w:rsid w:val="00EE09A3"/>
    <w:rsid w:val="00EE0B6B"/>
    <w:rsid w:val="00EE0DF6"/>
    <w:rsid w:val="00EE11C5"/>
    <w:rsid w:val="00EE1221"/>
    <w:rsid w:val="00EE1450"/>
    <w:rsid w:val="00EE37A5"/>
    <w:rsid w:val="00EE3BF3"/>
    <w:rsid w:val="00EE3D94"/>
    <w:rsid w:val="00EE45E3"/>
    <w:rsid w:val="00EE4F75"/>
    <w:rsid w:val="00EE558D"/>
    <w:rsid w:val="00EE67ED"/>
    <w:rsid w:val="00EE6AD5"/>
    <w:rsid w:val="00EE6C56"/>
    <w:rsid w:val="00EE771E"/>
    <w:rsid w:val="00EE7BDD"/>
    <w:rsid w:val="00EF0694"/>
    <w:rsid w:val="00EF0971"/>
    <w:rsid w:val="00EF0C73"/>
    <w:rsid w:val="00EF0E9F"/>
    <w:rsid w:val="00EF1104"/>
    <w:rsid w:val="00EF1207"/>
    <w:rsid w:val="00EF1697"/>
    <w:rsid w:val="00EF3C6E"/>
    <w:rsid w:val="00EF4474"/>
    <w:rsid w:val="00EF465F"/>
    <w:rsid w:val="00EF7151"/>
    <w:rsid w:val="00F00BCF"/>
    <w:rsid w:val="00F0114B"/>
    <w:rsid w:val="00F01711"/>
    <w:rsid w:val="00F019A8"/>
    <w:rsid w:val="00F0469F"/>
    <w:rsid w:val="00F048E8"/>
    <w:rsid w:val="00F05888"/>
    <w:rsid w:val="00F06297"/>
    <w:rsid w:val="00F073DC"/>
    <w:rsid w:val="00F076F5"/>
    <w:rsid w:val="00F11996"/>
    <w:rsid w:val="00F11E4F"/>
    <w:rsid w:val="00F12F6B"/>
    <w:rsid w:val="00F132C9"/>
    <w:rsid w:val="00F13619"/>
    <w:rsid w:val="00F156FE"/>
    <w:rsid w:val="00F16905"/>
    <w:rsid w:val="00F17841"/>
    <w:rsid w:val="00F20C86"/>
    <w:rsid w:val="00F24565"/>
    <w:rsid w:val="00F25176"/>
    <w:rsid w:val="00F252E5"/>
    <w:rsid w:val="00F25369"/>
    <w:rsid w:val="00F259CA"/>
    <w:rsid w:val="00F25F86"/>
    <w:rsid w:val="00F27A5F"/>
    <w:rsid w:val="00F3132A"/>
    <w:rsid w:val="00F3304E"/>
    <w:rsid w:val="00F33278"/>
    <w:rsid w:val="00F33339"/>
    <w:rsid w:val="00F34431"/>
    <w:rsid w:val="00F357B8"/>
    <w:rsid w:val="00F358B5"/>
    <w:rsid w:val="00F36639"/>
    <w:rsid w:val="00F40A7F"/>
    <w:rsid w:val="00F40B9F"/>
    <w:rsid w:val="00F41516"/>
    <w:rsid w:val="00F46924"/>
    <w:rsid w:val="00F47F7D"/>
    <w:rsid w:val="00F52275"/>
    <w:rsid w:val="00F52337"/>
    <w:rsid w:val="00F52C4B"/>
    <w:rsid w:val="00F53455"/>
    <w:rsid w:val="00F56CAB"/>
    <w:rsid w:val="00F56DA8"/>
    <w:rsid w:val="00F621B9"/>
    <w:rsid w:val="00F63890"/>
    <w:rsid w:val="00F653E1"/>
    <w:rsid w:val="00F7223B"/>
    <w:rsid w:val="00F72A03"/>
    <w:rsid w:val="00F7409D"/>
    <w:rsid w:val="00F7421A"/>
    <w:rsid w:val="00F756C3"/>
    <w:rsid w:val="00F758E2"/>
    <w:rsid w:val="00F75996"/>
    <w:rsid w:val="00F77801"/>
    <w:rsid w:val="00F80B97"/>
    <w:rsid w:val="00F81D72"/>
    <w:rsid w:val="00F82CA8"/>
    <w:rsid w:val="00F8349E"/>
    <w:rsid w:val="00F83533"/>
    <w:rsid w:val="00F83B5E"/>
    <w:rsid w:val="00F85256"/>
    <w:rsid w:val="00F852F3"/>
    <w:rsid w:val="00F8628D"/>
    <w:rsid w:val="00F864DC"/>
    <w:rsid w:val="00F86901"/>
    <w:rsid w:val="00F87669"/>
    <w:rsid w:val="00F87FBE"/>
    <w:rsid w:val="00F9166B"/>
    <w:rsid w:val="00F92268"/>
    <w:rsid w:val="00F93D2B"/>
    <w:rsid w:val="00F94566"/>
    <w:rsid w:val="00F96677"/>
    <w:rsid w:val="00F973C1"/>
    <w:rsid w:val="00FA1CB3"/>
    <w:rsid w:val="00FA5519"/>
    <w:rsid w:val="00FA5ABC"/>
    <w:rsid w:val="00FA6434"/>
    <w:rsid w:val="00FB0A49"/>
    <w:rsid w:val="00FB0B15"/>
    <w:rsid w:val="00FB1A84"/>
    <w:rsid w:val="00FB24EF"/>
    <w:rsid w:val="00FB2811"/>
    <w:rsid w:val="00FB3373"/>
    <w:rsid w:val="00FB3E00"/>
    <w:rsid w:val="00FB6139"/>
    <w:rsid w:val="00FB779E"/>
    <w:rsid w:val="00FB7E1E"/>
    <w:rsid w:val="00FC16B0"/>
    <w:rsid w:val="00FC1C54"/>
    <w:rsid w:val="00FC25B9"/>
    <w:rsid w:val="00FC4066"/>
    <w:rsid w:val="00FC5C94"/>
    <w:rsid w:val="00FC66B5"/>
    <w:rsid w:val="00FD1618"/>
    <w:rsid w:val="00FD2A18"/>
    <w:rsid w:val="00FD325B"/>
    <w:rsid w:val="00FD3B46"/>
    <w:rsid w:val="00FD3D27"/>
    <w:rsid w:val="00FD4926"/>
    <w:rsid w:val="00FD57B1"/>
    <w:rsid w:val="00FD5C58"/>
    <w:rsid w:val="00FD6118"/>
    <w:rsid w:val="00FD6B08"/>
    <w:rsid w:val="00FD70CC"/>
    <w:rsid w:val="00FD76E5"/>
    <w:rsid w:val="00FE0BBB"/>
    <w:rsid w:val="00FE18FF"/>
    <w:rsid w:val="00FE2CE8"/>
    <w:rsid w:val="00FE4432"/>
    <w:rsid w:val="00FE7275"/>
    <w:rsid w:val="00FE7800"/>
    <w:rsid w:val="00FE781A"/>
    <w:rsid w:val="00FE7910"/>
    <w:rsid w:val="00FF0813"/>
    <w:rsid w:val="00FF16D7"/>
    <w:rsid w:val="00FF1892"/>
    <w:rsid w:val="00FF2190"/>
    <w:rsid w:val="00FF3028"/>
    <w:rsid w:val="00FF3341"/>
    <w:rsid w:val="00FF37E8"/>
    <w:rsid w:val="00FF3A88"/>
    <w:rsid w:val="00FF3E59"/>
    <w:rsid w:val="00FF4577"/>
    <w:rsid w:val="00FF5B60"/>
    <w:rsid w:val="00FF5BD5"/>
    <w:rsid w:val="00FF66DA"/>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B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left="11" w:hanging="11"/>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5B16"/>
    <w:pPr>
      <w:spacing w:before="120"/>
      <w:ind w:left="14" w:hanging="14"/>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23"/>
      <w:ind w:left="1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49" w:lineRule="auto"/>
      <w:ind w:left="72" w:hanging="7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94010"/>
    <w:rPr>
      <w:sz w:val="16"/>
      <w:szCs w:val="16"/>
    </w:rPr>
  </w:style>
  <w:style w:type="paragraph" w:styleId="CommentText">
    <w:name w:val="annotation text"/>
    <w:basedOn w:val="Normal"/>
    <w:link w:val="CommentTextChar"/>
    <w:unhideWhenUsed/>
    <w:rsid w:val="00394010"/>
    <w:rPr>
      <w:sz w:val="20"/>
      <w:szCs w:val="20"/>
    </w:rPr>
  </w:style>
  <w:style w:type="character" w:customStyle="1" w:styleId="CommentTextChar">
    <w:name w:val="Comment Text Char"/>
    <w:basedOn w:val="DefaultParagraphFont"/>
    <w:link w:val="CommentText"/>
    <w:rsid w:val="0039401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4010"/>
    <w:rPr>
      <w:b/>
      <w:bCs/>
    </w:rPr>
  </w:style>
  <w:style w:type="character" w:customStyle="1" w:styleId="CommentSubjectChar">
    <w:name w:val="Comment Subject Char"/>
    <w:basedOn w:val="CommentTextChar"/>
    <w:link w:val="CommentSubject"/>
    <w:uiPriority w:val="99"/>
    <w:semiHidden/>
    <w:rsid w:val="0039401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9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10"/>
    <w:rPr>
      <w:rFonts w:ascii="Segoe UI" w:eastAsia="Times New Roman" w:hAnsi="Segoe UI" w:cs="Segoe UI"/>
      <w:color w:val="000000"/>
      <w:sz w:val="18"/>
      <w:szCs w:val="18"/>
    </w:rPr>
  </w:style>
  <w:style w:type="paragraph" w:styleId="ListParagraph">
    <w:name w:val="List Paragraph"/>
    <w:aliases w:val="Akapit z listą BS,Numbered List Paragraph,List Bullet Mary,Bullet paras,Heading 1.1,List Paragraph (numbered (a)),Use Case List Paragraph,Bullets,ANNEX,List Paragraph1,List Paragraph2,List Paragraph Char Char Char,Main numbered paragraph"/>
    <w:basedOn w:val="Normal"/>
    <w:link w:val="ListParagraphChar"/>
    <w:uiPriority w:val="34"/>
    <w:qFormat/>
    <w:rsid w:val="00394010"/>
    <w:pPr>
      <w:spacing w:after="160" w:line="252" w:lineRule="auto"/>
      <w:ind w:left="720" w:firstLine="0"/>
      <w:contextualSpacing/>
    </w:pPr>
    <w:rPr>
      <w:rFonts w:asciiTheme="minorHAnsi" w:eastAsiaTheme="minorEastAsia" w:hAnsiTheme="minorHAnsi" w:cstheme="minorBidi"/>
      <w:color w:val="auto"/>
      <w:sz w:val="22"/>
    </w:rPr>
  </w:style>
  <w:style w:type="paragraph" w:styleId="TOCHeading">
    <w:name w:val="TOC Heading"/>
    <w:basedOn w:val="Heading1"/>
    <w:next w:val="Normal"/>
    <w:uiPriority w:val="39"/>
    <w:unhideWhenUsed/>
    <w:qFormat/>
    <w:rsid w:val="00E51570"/>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B1888"/>
    <w:pPr>
      <w:ind w:left="0"/>
      <w:jc w:val="left"/>
    </w:pPr>
    <w:rPr>
      <w:rFonts w:asciiTheme="minorHAnsi" w:hAnsiTheme="minorHAnsi"/>
      <w:b/>
      <w:bCs/>
      <w:szCs w:val="24"/>
    </w:rPr>
  </w:style>
  <w:style w:type="paragraph" w:styleId="TOC2">
    <w:name w:val="toc 2"/>
    <w:basedOn w:val="Normal"/>
    <w:next w:val="Normal"/>
    <w:autoRedefine/>
    <w:uiPriority w:val="39"/>
    <w:unhideWhenUsed/>
    <w:rsid w:val="00B12E8A"/>
    <w:pPr>
      <w:spacing w:before="0"/>
      <w:ind w:left="240"/>
      <w:jc w:val="left"/>
    </w:pPr>
    <w:rPr>
      <w:rFonts w:asciiTheme="minorHAnsi" w:hAnsiTheme="minorHAnsi"/>
      <w:b/>
      <w:bCs/>
      <w:sz w:val="22"/>
    </w:rPr>
  </w:style>
  <w:style w:type="paragraph" w:styleId="TOC3">
    <w:name w:val="toc 3"/>
    <w:basedOn w:val="Normal"/>
    <w:next w:val="Normal"/>
    <w:autoRedefine/>
    <w:uiPriority w:val="39"/>
    <w:unhideWhenUsed/>
    <w:rsid w:val="00E51570"/>
    <w:pPr>
      <w:spacing w:before="0"/>
      <w:ind w:left="480"/>
      <w:jc w:val="left"/>
    </w:pPr>
    <w:rPr>
      <w:rFonts w:asciiTheme="minorHAnsi" w:hAnsiTheme="minorHAnsi"/>
      <w:sz w:val="22"/>
    </w:rPr>
  </w:style>
  <w:style w:type="character" w:styleId="Hyperlink">
    <w:name w:val="Hyperlink"/>
    <w:basedOn w:val="DefaultParagraphFont"/>
    <w:uiPriority w:val="99"/>
    <w:unhideWhenUsed/>
    <w:rsid w:val="00E51570"/>
    <w:rPr>
      <w:color w:val="0563C1" w:themeColor="hyperlink"/>
      <w:u w:val="single"/>
    </w:rPr>
  </w:style>
  <w:style w:type="paragraph" w:styleId="Header">
    <w:name w:val="header"/>
    <w:basedOn w:val="Normal"/>
    <w:link w:val="HeaderChar"/>
    <w:uiPriority w:val="99"/>
    <w:unhideWhenUsed/>
    <w:rsid w:val="00E51570"/>
    <w:pPr>
      <w:tabs>
        <w:tab w:val="center" w:pos="4680"/>
        <w:tab w:val="right" w:pos="9360"/>
      </w:tabs>
    </w:pPr>
  </w:style>
  <w:style w:type="character" w:customStyle="1" w:styleId="HeaderChar">
    <w:name w:val="Header Char"/>
    <w:basedOn w:val="DefaultParagraphFont"/>
    <w:link w:val="Header"/>
    <w:uiPriority w:val="99"/>
    <w:rsid w:val="00E51570"/>
    <w:rPr>
      <w:rFonts w:ascii="Times New Roman" w:eastAsia="Times New Roman" w:hAnsi="Times New Roman" w:cs="Times New Roman"/>
      <w:color w:val="000000"/>
      <w:sz w:val="24"/>
    </w:rPr>
  </w:style>
  <w:style w:type="paragraph" w:styleId="NoSpacing">
    <w:name w:val="No Spacing"/>
    <w:link w:val="NoSpacingChar"/>
    <w:uiPriority w:val="1"/>
    <w:qFormat/>
    <w:rsid w:val="00387249"/>
    <w:pPr>
      <w:ind w:left="836" w:hanging="10"/>
    </w:pPr>
    <w:rPr>
      <w:rFonts w:ascii="Times New Roman" w:eastAsia="Times New Roman" w:hAnsi="Times New Roman" w:cs="Times New Roman"/>
      <w:b/>
      <w:color w:val="000000"/>
      <w:sz w:val="20"/>
    </w:rPr>
  </w:style>
  <w:style w:type="character" w:customStyle="1" w:styleId="MediumGrid1-Accent2Char">
    <w:name w:val="Medium Grid 1 - Accent 2 Char"/>
    <w:aliases w:val="Bullets Char,List Paragraph (numbered (a)) Char,List Paragraph 1 Char,Numbered List Paragraph Char,Main numbered paragraph Char,Akapit z listą BS Char,List_Paragraph Char,Multilevel para_II Char,List Paragraph1 Char,Ha Char"/>
    <w:link w:val="MediumGrid1-Accent2"/>
    <w:uiPriority w:val="34"/>
    <w:qFormat/>
    <w:rsid w:val="00F53455"/>
  </w:style>
  <w:style w:type="numbering" w:customStyle="1" w:styleId="CowiNumberList">
    <w:name w:val="CowiNumberList"/>
    <w:basedOn w:val="NoList"/>
    <w:rsid w:val="00F53455"/>
    <w:pPr>
      <w:numPr>
        <w:numId w:val="2"/>
      </w:numPr>
    </w:pPr>
  </w:style>
  <w:style w:type="paragraph" w:styleId="ListNumber">
    <w:name w:val="List Number"/>
    <w:basedOn w:val="BodyText"/>
    <w:rsid w:val="00F53455"/>
    <w:pPr>
      <w:numPr>
        <w:numId w:val="2"/>
      </w:numPr>
      <w:tabs>
        <w:tab w:val="clear" w:pos="425"/>
      </w:tabs>
      <w:spacing w:after="270" w:line="270" w:lineRule="atLeast"/>
      <w:ind w:left="720" w:hanging="360"/>
    </w:pPr>
    <w:rPr>
      <w:color w:val="auto"/>
      <w:sz w:val="23"/>
      <w:szCs w:val="20"/>
      <w:lang w:val="en-GB" w:eastAsia="da-DK"/>
    </w:rPr>
  </w:style>
  <w:style w:type="paragraph" w:styleId="ListNumber2">
    <w:name w:val="List Number 2"/>
    <w:basedOn w:val="ListNumber"/>
    <w:uiPriority w:val="4"/>
    <w:rsid w:val="00F53455"/>
    <w:pPr>
      <w:numPr>
        <w:ilvl w:val="1"/>
      </w:numPr>
      <w:tabs>
        <w:tab w:val="clear" w:pos="851"/>
        <w:tab w:val="num" w:pos="0"/>
        <w:tab w:val="num" w:pos="360"/>
      </w:tabs>
      <w:ind w:left="0" w:firstLine="0"/>
    </w:pPr>
  </w:style>
  <w:style w:type="paragraph" w:styleId="ListNumber3">
    <w:name w:val="List Number 3"/>
    <w:basedOn w:val="ListNumber2"/>
    <w:uiPriority w:val="4"/>
    <w:rsid w:val="00F53455"/>
    <w:pPr>
      <w:numPr>
        <w:ilvl w:val="2"/>
      </w:numPr>
      <w:tabs>
        <w:tab w:val="num" w:pos="270"/>
        <w:tab w:val="num" w:pos="360"/>
        <w:tab w:val="left" w:pos="1276"/>
      </w:tabs>
      <w:ind w:left="270" w:firstLine="0"/>
    </w:pPr>
  </w:style>
  <w:style w:type="paragraph" w:styleId="ListNumber4">
    <w:name w:val="List Number 4"/>
    <w:basedOn w:val="Normal"/>
    <w:uiPriority w:val="4"/>
    <w:semiHidden/>
    <w:unhideWhenUsed/>
    <w:rsid w:val="00F53455"/>
    <w:pPr>
      <w:numPr>
        <w:ilvl w:val="3"/>
        <w:numId w:val="2"/>
      </w:numPr>
      <w:tabs>
        <w:tab w:val="clear" w:pos="1701"/>
      </w:tabs>
      <w:spacing w:line="270" w:lineRule="atLeast"/>
      <w:ind w:left="3240" w:hanging="360"/>
    </w:pPr>
    <w:rPr>
      <w:color w:val="auto"/>
      <w:sz w:val="23"/>
      <w:szCs w:val="20"/>
      <w:lang w:val="en-GB" w:eastAsia="da-DK"/>
    </w:rPr>
  </w:style>
  <w:style w:type="table" w:styleId="MediumGrid1-Accent2">
    <w:name w:val="Medium Grid 1 Accent 2"/>
    <w:basedOn w:val="TableNormal"/>
    <w:link w:val="MediumGrid1-Accent2Char"/>
    <w:uiPriority w:val="34"/>
    <w:semiHidden/>
    <w:unhideWhenUsed/>
    <w:rsid w:val="00F5345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odyText">
    <w:name w:val="Body Text"/>
    <w:basedOn w:val="Normal"/>
    <w:link w:val="BodyTextChar"/>
    <w:uiPriority w:val="99"/>
    <w:semiHidden/>
    <w:unhideWhenUsed/>
    <w:rsid w:val="00F53455"/>
    <w:pPr>
      <w:spacing w:after="120"/>
    </w:pPr>
  </w:style>
  <w:style w:type="character" w:customStyle="1" w:styleId="BodyTextChar">
    <w:name w:val="Body Text Char"/>
    <w:basedOn w:val="DefaultParagraphFont"/>
    <w:link w:val="BodyText"/>
    <w:uiPriority w:val="99"/>
    <w:semiHidden/>
    <w:rsid w:val="00F53455"/>
    <w:rPr>
      <w:rFonts w:ascii="Times New Roman" w:eastAsia="Times New Roman" w:hAnsi="Times New Roman" w:cs="Times New Roman"/>
      <w:color w:val="000000"/>
      <w:sz w:val="24"/>
    </w:rPr>
  </w:style>
  <w:style w:type="table" w:customStyle="1" w:styleId="TableGrid1">
    <w:name w:val="Table Grid1"/>
    <w:basedOn w:val="TableNormal"/>
    <w:next w:val="TableGrid0"/>
    <w:uiPriority w:val="39"/>
    <w:rsid w:val="00B2448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B2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6ED8"/>
    <w:pPr>
      <w:tabs>
        <w:tab w:val="center" w:pos="4680"/>
        <w:tab w:val="right" w:pos="9360"/>
      </w:tabs>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66ED8"/>
    <w:rPr>
      <w:rFonts w:cs="Times New Roman"/>
    </w:rPr>
  </w:style>
  <w:style w:type="paragraph" w:styleId="FootnoteText">
    <w:name w:val="footnote text"/>
    <w:aliases w:val="single space,ft,ALTS FOOTNOTE,fn,Footnote Text Char Char,FOOTNOTES,ADB,Fußnote,footnote text,(NECG) Footnote Text,Footnote Text Char Char Char Char Char,Footnote Text Char Char Char Char Char Char,ft2,Geneva,Geneva 9,Font: Geneva 9,Char,f"/>
    <w:basedOn w:val="Normal"/>
    <w:link w:val="FootnoteTextChar"/>
    <w:uiPriority w:val="99"/>
    <w:unhideWhenUsed/>
    <w:qFormat/>
    <w:rsid w:val="00B0024D"/>
    <w:rPr>
      <w:sz w:val="20"/>
      <w:szCs w:val="20"/>
    </w:rPr>
  </w:style>
  <w:style w:type="character" w:customStyle="1" w:styleId="FootnoteTextChar">
    <w:name w:val="Footnote Text Char"/>
    <w:aliases w:val="single space Char,ft Char,ALTS FOOTNOTE Char,fn Char,Footnote Text Char Char Char,FOOTNOTES Char,ADB Char,Fußnote Char,footnote text Char,(NECG) Footnote Text Char,Footnote Text Char Char Char Char Char Char1,ft2 Char,Geneva Char"/>
    <w:basedOn w:val="DefaultParagraphFont"/>
    <w:link w:val="FootnoteText"/>
    <w:uiPriority w:val="99"/>
    <w:rsid w:val="00B0024D"/>
    <w:rPr>
      <w:rFonts w:ascii="Times New Roman" w:eastAsia="Times New Roman" w:hAnsi="Times New Roman" w:cs="Times New Roman"/>
      <w:color w:val="000000"/>
      <w:sz w:val="20"/>
      <w:szCs w:val="20"/>
    </w:rPr>
  </w:style>
  <w:style w:type="character" w:styleId="FootnoteReference">
    <w:name w:val="footnote reference"/>
    <w:aliases w:val="ftref,16 Point,Superscript 6 Point,Ref,de nota al pie,(NECG) Footnote Reference,footnote ref,BVI fnr,Char Char Char Char Car Char,Appel note de bas de page,Footnote Reference Number,Footnote,Car1,Знак сноски 1,Footnote Reference1,Ref1"/>
    <w:basedOn w:val="DefaultParagraphFont"/>
    <w:link w:val="BVIfnrCarCarCarCarChar"/>
    <w:uiPriority w:val="99"/>
    <w:unhideWhenUsed/>
    <w:qFormat/>
    <w:rsid w:val="00B0024D"/>
    <w:rPr>
      <w:vertAlign w:val="superscript"/>
    </w:rPr>
  </w:style>
  <w:style w:type="table" w:customStyle="1" w:styleId="TableGrid2">
    <w:name w:val="Table Grid2"/>
    <w:basedOn w:val="TableNormal"/>
    <w:next w:val="TableGrid0"/>
    <w:uiPriority w:val="39"/>
    <w:rsid w:val="00AA2F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DA4E4D"/>
    <w:rPr>
      <w:rFonts w:cs="ITC Stone Sans Std Medium"/>
      <w:color w:val="000000"/>
      <w:sz w:val="19"/>
      <w:szCs w:val="19"/>
    </w:rPr>
  </w:style>
  <w:style w:type="table" w:customStyle="1" w:styleId="TableGrid10">
    <w:name w:val="TableGrid1"/>
    <w:rsid w:val="00595800"/>
    <w:tblPr>
      <w:tblCellMar>
        <w:top w:w="0" w:type="dxa"/>
        <w:left w:w="0" w:type="dxa"/>
        <w:bottom w:w="0" w:type="dxa"/>
        <w:right w:w="0" w:type="dxa"/>
      </w:tblCellMar>
    </w:tblPr>
  </w:style>
  <w:style w:type="paragraph" w:customStyle="1" w:styleId="MainParanoChapter-Ch3">
    <w:name w:val="Main Para no Chapter #-Ch 3"/>
    <w:basedOn w:val="ListParagraph"/>
    <w:qFormat/>
    <w:rsid w:val="00A30FAA"/>
    <w:pPr>
      <w:numPr>
        <w:numId w:val="35"/>
      </w:numPr>
      <w:spacing w:before="0" w:after="0" w:line="240" w:lineRule="auto"/>
      <w:ind w:left="0" w:firstLine="0"/>
    </w:pPr>
    <w:rPr>
      <w:rFonts w:ascii="Times New Roman" w:eastAsia="Times New Roman" w:hAnsi="Times New Roman" w:cs="Times New Roman"/>
      <w:sz w:val="24"/>
      <w:szCs w:val="24"/>
    </w:rPr>
  </w:style>
  <w:style w:type="character" w:customStyle="1" w:styleId="tx2">
    <w:name w:val="tx2"/>
    <w:basedOn w:val="DefaultParagraphFont"/>
    <w:rsid w:val="00CB1863"/>
  </w:style>
  <w:style w:type="character" w:customStyle="1" w:styleId="NoSpacingChar">
    <w:name w:val="No Spacing Char"/>
    <w:basedOn w:val="DefaultParagraphFont"/>
    <w:link w:val="NoSpacing"/>
    <w:uiPriority w:val="1"/>
    <w:rsid w:val="00387249"/>
    <w:rPr>
      <w:rFonts w:ascii="Times New Roman" w:eastAsia="Times New Roman" w:hAnsi="Times New Roman" w:cs="Times New Roman"/>
      <w:b/>
      <w:color w:val="000000"/>
      <w:sz w:val="20"/>
    </w:rPr>
  </w:style>
  <w:style w:type="paragraph" w:customStyle="1" w:styleId="chartandtablecaption9ptBefore0ptAfter0pt">
    <w:name w:val="chart and table caption + 9 pt + Before:  0 pt After:  0 pt"/>
    <w:basedOn w:val="Normal"/>
    <w:qFormat/>
    <w:rsid w:val="00040981"/>
    <w:pPr>
      <w:keepNext/>
      <w:spacing w:line="220" w:lineRule="atLeast"/>
      <w:ind w:left="0" w:firstLine="0"/>
      <w:jc w:val="left"/>
    </w:pPr>
    <w:rPr>
      <w:rFonts w:ascii="Garamond" w:hAnsi="Garamond"/>
      <w:b/>
      <w:color w:val="0C4DA2"/>
      <w:sz w:val="20"/>
      <w:szCs w:val="20"/>
    </w:rPr>
  </w:style>
  <w:style w:type="paragraph" w:customStyle="1" w:styleId="BVIfnrCarCarCarCarChar">
    <w:name w:val="BVI fnr Car Car Car Car Char"/>
    <w:basedOn w:val="Normal"/>
    <w:link w:val="FootnoteReference"/>
    <w:uiPriority w:val="99"/>
    <w:rsid w:val="000728B0"/>
    <w:pPr>
      <w:widowControl w:val="0"/>
      <w:adjustRightInd w:val="0"/>
      <w:spacing w:after="160" w:line="240" w:lineRule="exact"/>
      <w:ind w:left="0" w:firstLine="0"/>
    </w:pPr>
    <w:rPr>
      <w:rFonts w:asciiTheme="minorHAnsi" w:eastAsiaTheme="minorEastAsia" w:hAnsiTheme="minorHAnsi" w:cstheme="minorBidi"/>
      <w:color w:val="auto"/>
      <w:sz w:val="22"/>
      <w:vertAlign w:val="superscript"/>
    </w:rPr>
  </w:style>
  <w:style w:type="character" w:customStyle="1" w:styleId="MediumGrid2Char">
    <w:name w:val="Medium Grid 2 Char"/>
    <w:link w:val="MediumGrid2"/>
    <w:uiPriority w:val="1"/>
    <w:rsid w:val="000728B0"/>
    <w:rPr>
      <w:lang w:val="en-US" w:eastAsia="en-US" w:bidi="ar-SA"/>
    </w:rPr>
  </w:style>
  <w:style w:type="table" w:styleId="MediumGrid2">
    <w:name w:val="Medium Grid 2"/>
    <w:basedOn w:val="TableNormal"/>
    <w:link w:val="MediumGrid2Char"/>
    <w:uiPriority w:val="1"/>
    <w:semiHidden/>
    <w:unhideWhenUsed/>
    <w:rsid w:val="000728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evision">
    <w:name w:val="Revision"/>
    <w:hidden/>
    <w:uiPriority w:val="99"/>
    <w:semiHidden/>
    <w:rsid w:val="002D53D9"/>
    <w:rPr>
      <w:rFonts w:ascii="Times New Roman" w:eastAsia="Times New Roman" w:hAnsi="Times New Roman" w:cs="Times New Roman"/>
      <w:color w:val="000000"/>
      <w:sz w:val="24"/>
    </w:rPr>
  </w:style>
  <w:style w:type="paragraph" w:customStyle="1" w:styleId="BVIfnrCharChar">
    <w:name w:val="BVI fnr Char Char"/>
    <w:aliases w:val="BVI fnr Car Car Char Char,BVI fnr Car Char Char,BVI fnr Car Car Car Car Char Char,BVI fnr Car Car Car Car Char Char Char1,FNRefe Char Char,BVI fnr Car Car Char Char Char,BVI fnr Car Char Char Char,BVI fnr Char Char Char"/>
    <w:basedOn w:val="Normal"/>
    <w:uiPriority w:val="99"/>
    <w:rsid w:val="00BD012C"/>
    <w:pPr>
      <w:spacing w:after="240" w:line="240" w:lineRule="exact"/>
      <w:ind w:left="0" w:firstLine="0"/>
    </w:pPr>
    <w:rPr>
      <w:rFonts w:asciiTheme="minorHAnsi" w:eastAsiaTheme="minorHAnsi" w:hAnsiTheme="minorHAnsi" w:cstheme="minorBidi"/>
      <w:color w:val="auto"/>
      <w:sz w:val="22"/>
      <w:vertAlign w:val="superscript"/>
    </w:rPr>
  </w:style>
  <w:style w:type="table" w:customStyle="1" w:styleId="TableGrid3">
    <w:name w:val="Table Grid3"/>
    <w:basedOn w:val="TableNormal"/>
    <w:next w:val="TableGrid0"/>
    <w:uiPriority w:val="39"/>
    <w:rsid w:val="008A7DF6"/>
    <w:rPr>
      <w:rFonts w:eastAsiaTheme="minorHAnsi"/>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7E74"/>
    <w:rPr>
      <w:sz w:val="20"/>
      <w:szCs w:val="20"/>
    </w:rPr>
  </w:style>
  <w:style w:type="character" w:customStyle="1" w:styleId="EndnoteTextChar">
    <w:name w:val="Endnote Text Char"/>
    <w:basedOn w:val="DefaultParagraphFont"/>
    <w:link w:val="EndnoteText"/>
    <w:uiPriority w:val="99"/>
    <w:semiHidden/>
    <w:rsid w:val="00EC7E74"/>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C7E74"/>
    <w:rPr>
      <w:vertAlign w:val="superscript"/>
    </w:rPr>
  </w:style>
  <w:style w:type="table" w:customStyle="1" w:styleId="TableGrid4">
    <w:name w:val="Table Grid4"/>
    <w:basedOn w:val="TableNormal"/>
    <w:next w:val="TableGrid0"/>
    <w:uiPriority w:val="39"/>
    <w:rsid w:val="0044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44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44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FC6"/>
    <w:pPr>
      <w:autoSpaceDE w:val="0"/>
      <w:autoSpaceDN w:val="0"/>
      <w:adjustRightInd w:val="0"/>
    </w:pPr>
    <w:rPr>
      <w:rFonts w:ascii="Times New Roman" w:eastAsiaTheme="minorHAnsi" w:hAnsi="Times New Roman" w:cs="Times New Roman"/>
      <w:color w:val="000000"/>
      <w:sz w:val="24"/>
      <w:szCs w:val="24"/>
    </w:rPr>
  </w:style>
  <w:style w:type="paragraph" w:customStyle="1" w:styleId="FormOfficeMemo">
    <w:name w:val="Form: Office Memo"/>
    <w:basedOn w:val="Normal"/>
    <w:rsid w:val="00AA79B2"/>
    <w:pPr>
      <w:ind w:left="0" w:firstLine="0"/>
      <w:jc w:val="left"/>
    </w:pPr>
    <w:rPr>
      <w:rFonts w:eastAsiaTheme="minorHAnsi"/>
      <w:color w:val="auto"/>
      <w:sz w:val="46"/>
      <w:szCs w:val="46"/>
    </w:rPr>
  </w:style>
  <w:style w:type="paragraph" w:styleId="PlainText">
    <w:name w:val="Plain Text"/>
    <w:basedOn w:val="Normal"/>
    <w:link w:val="PlainTextChar"/>
    <w:uiPriority w:val="99"/>
    <w:semiHidden/>
    <w:unhideWhenUsed/>
    <w:rsid w:val="00C41587"/>
    <w:pPr>
      <w:ind w:left="0" w:firstLine="0"/>
      <w:jc w:val="left"/>
    </w:pPr>
    <w:rPr>
      <w:rFonts w:ascii="Calibri" w:eastAsiaTheme="minorHAnsi" w:hAnsi="Calibri"/>
      <w:color w:val="auto"/>
      <w:sz w:val="22"/>
    </w:rPr>
  </w:style>
  <w:style w:type="character" w:customStyle="1" w:styleId="PlainTextChar">
    <w:name w:val="Plain Text Char"/>
    <w:basedOn w:val="DefaultParagraphFont"/>
    <w:link w:val="PlainText"/>
    <w:uiPriority w:val="99"/>
    <w:semiHidden/>
    <w:rsid w:val="00C41587"/>
    <w:rPr>
      <w:rFonts w:ascii="Calibri" w:eastAsiaTheme="minorHAnsi" w:hAnsi="Calibri" w:cs="Times New Roman"/>
    </w:rPr>
  </w:style>
  <w:style w:type="paragraph" w:customStyle="1" w:styleId="NumberList1">
    <w:name w:val="Number List 1"/>
    <w:link w:val="NumberList1Char"/>
    <w:qFormat/>
    <w:rsid w:val="00C806DC"/>
    <w:pPr>
      <w:numPr>
        <w:numId w:val="58"/>
      </w:numPr>
      <w:tabs>
        <w:tab w:val="left" w:pos="720"/>
      </w:tabs>
      <w:spacing w:after="180" w:line="300" w:lineRule="exact"/>
    </w:pPr>
    <w:rPr>
      <w:rFonts w:ascii="Arial" w:eastAsia="Arial" w:hAnsi="Arial" w:cs="Arial"/>
      <w:iCs/>
      <w:kern w:val="22"/>
      <w:sz w:val="20"/>
    </w:rPr>
  </w:style>
  <w:style w:type="character" w:customStyle="1" w:styleId="NumberList1Char">
    <w:name w:val="Number List 1 Char"/>
    <w:basedOn w:val="DefaultParagraphFont"/>
    <w:link w:val="NumberList1"/>
    <w:rsid w:val="00C806DC"/>
    <w:rPr>
      <w:rFonts w:ascii="Arial" w:eastAsia="Arial" w:hAnsi="Arial" w:cs="Arial"/>
      <w:iCs/>
      <w:kern w:val="22"/>
      <w:sz w:val="20"/>
    </w:rPr>
  </w:style>
  <w:style w:type="table" w:customStyle="1" w:styleId="TableGrid7">
    <w:name w:val="Table Grid7"/>
    <w:basedOn w:val="TableNormal"/>
    <w:next w:val="TableGrid0"/>
    <w:uiPriority w:val="39"/>
    <w:rsid w:val="00DA3B79"/>
    <w:pPr>
      <w:ind w:left="0" w:firstLine="0"/>
      <w:jc w:val="left"/>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0"/>
    <w:uiPriority w:val="39"/>
    <w:rsid w:val="00585075"/>
    <w:pPr>
      <w:ind w:left="0" w:firstLine="0"/>
      <w:jc w:val="left"/>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ubject">
    <w:name w:val="Info: Subject"/>
    <w:basedOn w:val="Normal"/>
    <w:rsid w:val="00141A45"/>
    <w:pPr>
      <w:tabs>
        <w:tab w:val="right" w:pos="720"/>
        <w:tab w:val="left" w:pos="1080"/>
      </w:tabs>
      <w:ind w:left="0" w:firstLine="0"/>
      <w:jc w:val="left"/>
    </w:pPr>
    <w:rPr>
      <w:b/>
      <w:color w:val="auto"/>
      <w:sz w:val="22"/>
      <w:szCs w:val="20"/>
      <w:u w:val="single"/>
    </w:rPr>
  </w:style>
  <w:style w:type="paragraph" w:customStyle="1" w:styleId="MainParanoChapter">
    <w:name w:val="Main Para no Chapter #"/>
    <w:basedOn w:val="Normal"/>
    <w:rsid w:val="00772F25"/>
    <w:pPr>
      <w:numPr>
        <w:numId w:val="94"/>
      </w:numPr>
      <w:spacing w:after="240"/>
    </w:pPr>
    <w:rPr>
      <w:color w:val="auto"/>
      <w:szCs w:val="24"/>
    </w:rPr>
  </w:style>
  <w:style w:type="paragraph" w:styleId="Caption">
    <w:name w:val="caption"/>
    <w:basedOn w:val="Normal"/>
    <w:next w:val="Normal"/>
    <w:uiPriority w:val="35"/>
    <w:unhideWhenUsed/>
    <w:qFormat/>
    <w:rsid w:val="006A0128"/>
    <w:pPr>
      <w:spacing w:before="0" w:after="200"/>
      <w:ind w:left="0" w:firstLine="0"/>
      <w:jc w:val="left"/>
    </w:pPr>
    <w:rPr>
      <w:rFonts w:eastAsiaTheme="minorHAnsi" w:cstheme="minorBidi"/>
      <w:i/>
      <w:iCs/>
      <w:color w:val="44546A" w:themeColor="text2"/>
      <w:sz w:val="18"/>
      <w:szCs w:val="18"/>
    </w:rPr>
  </w:style>
  <w:style w:type="paragraph" w:customStyle="1" w:styleId="PDSHeading2">
    <w:name w:val="PDS Heading 2"/>
    <w:next w:val="Normal"/>
    <w:rsid w:val="00451023"/>
    <w:pPr>
      <w:keepNext/>
      <w:numPr>
        <w:ilvl w:val="1"/>
        <w:numId w:val="107"/>
      </w:numPr>
      <w:jc w:val="left"/>
    </w:pPr>
    <w:rPr>
      <w:rFonts w:ascii="Times New Roman" w:eastAsia="Times New Roman" w:hAnsi="Times New Roman" w:cs="Times New Roman"/>
      <w:b/>
      <w:sz w:val="24"/>
      <w:szCs w:val="20"/>
    </w:rPr>
  </w:style>
  <w:style w:type="paragraph" w:customStyle="1" w:styleId="PDSHeading1">
    <w:name w:val="PDS Heading 1"/>
    <w:next w:val="PDSHeading2"/>
    <w:rsid w:val="00451023"/>
    <w:pPr>
      <w:keepNext/>
      <w:numPr>
        <w:numId w:val="107"/>
      </w:numPr>
      <w:jc w:val="left"/>
      <w:outlineLvl w:val="0"/>
    </w:pPr>
    <w:rPr>
      <w:rFonts w:ascii="Times New Roman" w:eastAsia="Times New Roman" w:hAnsi="Times New Roman" w:cs="Times New Roman"/>
      <w:b/>
      <w:caps/>
      <w:sz w:val="24"/>
      <w:szCs w:val="20"/>
    </w:rPr>
  </w:style>
  <w:style w:type="character" w:customStyle="1" w:styleId="ListParagraphChar">
    <w:name w:val="List Paragraph Char"/>
    <w:aliases w:val="Akapit z listą BS Char1,Numbered List Paragraph Char1,List Bullet Mary Char,Bullet paras Char,Heading 1.1 Char,List Paragraph (numbered (a)) Char1,Use Case List Paragraph Char,Bullets Char1,ANNEX Char,List Paragraph1 Char1"/>
    <w:basedOn w:val="DefaultParagraphFont"/>
    <w:link w:val="ListParagraph"/>
    <w:uiPriority w:val="34"/>
    <w:locked/>
    <w:rsid w:val="00FF3E59"/>
  </w:style>
  <w:style w:type="paragraph" w:styleId="TableofFigures">
    <w:name w:val="table of figures"/>
    <w:basedOn w:val="Normal"/>
    <w:next w:val="Normal"/>
    <w:uiPriority w:val="99"/>
    <w:unhideWhenUsed/>
    <w:rsid w:val="00016542"/>
    <w:pPr>
      <w:ind w:left="480" w:hanging="480"/>
    </w:pPr>
  </w:style>
  <w:style w:type="paragraph" w:styleId="TOC4">
    <w:name w:val="toc 4"/>
    <w:basedOn w:val="Normal"/>
    <w:next w:val="Normal"/>
    <w:autoRedefine/>
    <w:uiPriority w:val="39"/>
    <w:unhideWhenUsed/>
    <w:rsid w:val="009B1888"/>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9B1888"/>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9B1888"/>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9B1888"/>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9B1888"/>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9B1888"/>
    <w:pPr>
      <w:spacing w:before="0"/>
      <w:ind w:left="1920"/>
      <w:jc w:val="left"/>
    </w:pPr>
    <w:rPr>
      <w:rFonts w:asciiTheme="minorHAnsi" w:hAnsiTheme="minorHAnsi"/>
      <w:sz w:val="20"/>
      <w:szCs w:val="20"/>
    </w:rPr>
  </w:style>
  <w:style w:type="table" w:customStyle="1" w:styleId="TableGrid81">
    <w:name w:val="Table Grid81"/>
    <w:basedOn w:val="TableNormal"/>
    <w:next w:val="TableGrid0"/>
    <w:uiPriority w:val="39"/>
    <w:rsid w:val="004B7CDD"/>
    <w:pPr>
      <w:ind w:left="0" w:firstLine="0"/>
      <w:jc w:val="left"/>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8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247">
      <w:bodyDiv w:val="1"/>
      <w:marLeft w:val="0"/>
      <w:marRight w:val="0"/>
      <w:marTop w:val="0"/>
      <w:marBottom w:val="0"/>
      <w:divBdr>
        <w:top w:val="none" w:sz="0" w:space="0" w:color="auto"/>
        <w:left w:val="none" w:sz="0" w:space="0" w:color="auto"/>
        <w:bottom w:val="none" w:sz="0" w:space="0" w:color="auto"/>
        <w:right w:val="none" w:sz="0" w:space="0" w:color="auto"/>
      </w:divBdr>
    </w:div>
    <w:div w:id="141504546">
      <w:bodyDiv w:val="1"/>
      <w:marLeft w:val="0"/>
      <w:marRight w:val="0"/>
      <w:marTop w:val="0"/>
      <w:marBottom w:val="0"/>
      <w:divBdr>
        <w:top w:val="none" w:sz="0" w:space="0" w:color="auto"/>
        <w:left w:val="none" w:sz="0" w:space="0" w:color="auto"/>
        <w:bottom w:val="none" w:sz="0" w:space="0" w:color="auto"/>
        <w:right w:val="none" w:sz="0" w:space="0" w:color="auto"/>
      </w:divBdr>
    </w:div>
    <w:div w:id="173111422">
      <w:bodyDiv w:val="1"/>
      <w:marLeft w:val="0"/>
      <w:marRight w:val="0"/>
      <w:marTop w:val="0"/>
      <w:marBottom w:val="0"/>
      <w:divBdr>
        <w:top w:val="none" w:sz="0" w:space="0" w:color="auto"/>
        <w:left w:val="none" w:sz="0" w:space="0" w:color="auto"/>
        <w:bottom w:val="none" w:sz="0" w:space="0" w:color="auto"/>
        <w:right w:val="none" w:sz="0" w:space="0" w:color="auto"/>
      </w:divBdr>
    </w:div>
    <w:div w:id="260647038">
      <w:bodyDiv w:val="1"/>
      <w:marLeft w:val="0"/>
      <w:marRight w:val="0"/>
      <w:marTop w:val="0"/>
      <w:marBottom w:val="0"/>
      <w:divBdr>
        <w:top w:val="none" w:sz="0" w:space="0" w:color="auto"/>
        <w:left w:val="none" w:sz="0" w:space="0" w:color="auto"/>
        <w:bottom w:val="none" w:sz="0" w:space="0" w:color="auto"/>
        <w:right w:val="none" w:sz="0" w:space="0" w:color="auto"/>
      </w:divBdr>
    </w:div>
    <w:div w:id="317655073">
      <w:bodyDiv w:val="1"/>
      <w:marLeft w:val="0"/>
      <w:marRight w:val="0"/>
      <w:marTop w:val="0"/>
      <w:marBottom w:val="0"/>
      <w:divBdr>
        <w:top w:val="none" w:sz="0" w:space="0" w:color="auto"/>
        <w:left w:val="none" w:sz="0" w:space="0" w:color="auto"/>
        <w:bottom w:val="none" w:sz="0" w:space="0" w:color="auto"/>
        <w:right w:val="none" w:sz="0" w:space="0" w:color="auto"/>
      </w:divBdr>
    </w:div>
    <w:div w:id="385225523">
      <w:bodyDiv w:val="1"/>
      <w:marLeft w:val="0"/>
      <w:marRight w:val="0"/>
      <w:marTop w:val="0"/>
      <w:marBottom w:val="0"/>
      <w:divBdr>
        <w:top w:val="none" w:sz="0" w:space="0" w:color="auto"/>
        <w:left w:val="none" w:sz="0" w:space="0" w:color="auto"/>
        <w:bottom w:val="none" w:sz="0" w:space="0" w:color="auto"/>
        <w:right w:val="none" w:sz="0" w:space="0" w:color="auto"/>
      </w:divBdr>
    </w:div>
    <w:div w:id="834415062">
      <w:bodyDiv w:val="1"/>
      <w:marLeft w:val="0"/>
      <w:marRight w:val="0"/>
      <w:marTop w:val="0"/>
      <w:marBottom w:val="0"/>
      <w:divBdr>
        <w:top w:val="none" w:sz="0" w:space="0" w:color="auto"/>
        <w:left w:val="none" w:sz="0" w:space="0" w:color="auto"/>
        <w:bottom w:val="none" w:sz="0" w:space="0" w:color="auto"/>
        <w:right w:val="none" w:sz="0" w:space="0" w:color="auto"/>
      </w:divBdr>
    </w:div>
    <w:div w:id="896748952">
      <w:bodyDiv w:val="1"/>
      <w:marLeft w:val="0"/>
      <w:marRight w:val="0"/>
      <w:marTop w:val="0"/>
      <w:marBottom w:val="0"/>
      <w:divBdr>
        <w:top w:val="none" w:sz="0" w:space="0" w:color="auto"/>
        <w:left w:val="none" w:sz="0" w:space="0" w:color="auto"/>
        <w:bottom w:val="none" w:sz="0" w:space="0" w:color="auto"/>
        <w:right w:val="none" w:sz="0" w:space="0" w:color="auto"/>
      </w:divBdr>
    </w:div>
    <w:div w:id="106248528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417751983">
      <w:bodyDiv w:val="1"/>
      <w:marLeft w:val="0"/>
      <w:marRight w:val="0"/>
      <w:marTop w:val="0"/>
      <w:marBottom w:val="0"/>
      <w:divBdr>
        <w:top w:val="none" w:sz="0" w:space="0" w:color="auto"/>
        <w:left w:val="none" w:sz="0" w:space="0" w:color="auto"/>
        <w:bottom w:val="none" w:sz="0" w:space="0" w:color="auto"/>
        <w:right w:val="none" w:sz="0" w:space="0" w:color="auto"/>
      </w:divBdr>
    </w:div>
    <w:div w:id="1750930431">
      <w:bodyDiv w:val="1"/>
      <w:marLeft w:val="0"/>
      <w:marRight w:val="0"/>
      <w:marTop w:val="0"/>
      <w:marBottom w:val="0"/>
      <w:divBdr>
        <w:top w:val="none" w:sz="0" w:space="0" w:color="auto"/>
        <w:left w:val="none" w:sz="0" w:space="0" w:color="auto"/>
        <w:bottom w:val="none" w:sz="0" w:space="0" w:color="auto"/>
        <w:right w:val="none" w:sz="0" w:space="0" w:color="auto"/>
      </w:divBdr>
    </w:div>
    <w:div w:id="1920551936">
      <w:bodyDiv w:val="1"/>
      <w:marLeft w:val="0"/>
      <w:marRight w:val="0"/>
      <w:marTop w:val="0"/>
      <w:marBottom w:val="0"/>
      <w:divBdr>
        <w:top w:val="none" w:sz="0" w:space="0" w:color="auto"/>
        <w:left w:val="none" w:sz="0" w:space="0" w:color="auto"/>
        <w:bottom w:val="none" w:sz="0" w:space="0" w:color="auto"/>
        <w:right w:val="none" w:sz="0" w:space="0" w:color="auto"/>
      </w:divBdr>
    </w:div>
    <w:div w:id="2072849895">
      <w:bodyDiv w:val="1"/>
      <w:marLeft w:val="0"/>
      <w:marRight w:val="0"/>
      <w:marTop w:val="0"/>
      <w:marBottom w:val="0"/>
      <w:divBdr>
        <w:top w:val="none" w:sz="0" w:space="0" w:color="auto"/>
        <w:left w:val="none" w:sz="0" w:space="0" w:color="auto"/>
        <w:bottom w:val="none" w:sz="0" w:space="0" w:color="auto"/>
        <w:right w:val="none" w:sz="0" w:space="0" w:color="auto"/>
      </w:divBdr>
    </w:div>
    <w:div w:id="212784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bpiw.go.i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35B4-B1C9-44F0-8197-FBC1166A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43168</Words>
  <Characters>246062</Characters>
  <Application>Microsoft Office Word</Application>
  <DocSecurity>4</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2017-06-29T17:38:00Z</dcterms:created>
  <dcterms:modified xsi:type="dcterms:W3CDTF">2017-06-29T17:38:00Z</dcterms:modified>
</cp:coreProperties>
</file>