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C25E94" w:rsidRPr="00C25E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e Details about La Banque mondiale lance l'Initiative pour la restitution des avoirs volés displayed below"/>
            </w:tblPr>
            <w:tblGrid>
              <w:gridCol w:w="1870"/>
              <w:gridCol w:w="7484"/>
              <w:gridCol w:w="6"/>
            </w:tblGrid>
            <w:tr w:rsidR="00C25E94" w:rsidRPr="00C25E94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C25E94" w:rsidRPr="00C25E94" w:rsidRDefault="000E29C3" w:rsidP="00C25E94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</w:pPr>
                  <w:bookmarkStart w:id="0" w:name="_GoBack" w:colFirst="0" w:colLast="0"/>
                  <w:r w:rsidRPr="000E29C3">
                    <w:rPr>
                      <w:rFonts w:ascii="Courier New" w:eastAsia="Times New Roman" w:hAnsi="Courier New" w:cs="Courier New"/>
                      <w:b/>
                      <w:bCs/>
                      <w:noProof/>
                      <w:color w:val="000000"/>
                      <w:kern w:val="36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800" behindDoc="1" locked="0" layoutInCell="1" allowOverlap="1" wp14:anchorId="24408BD5" wp14:editId="5B412259">
                            <wp:simplePos x="0" y="0"/>
                            <wp:positionH relativeFrom="column">
                              <wp:posOffset>5276215</wp:posOffset>
                            </wp:positionH>
                            <wp:positionV relativeFrom="paragraph">
                              <wp:posOffset>-539750</wp:posOffset>
                            </wp:positionV>
                            <wp:extent cx="1238250" cy="488950"/>
                            <wp:effectExtent l="0" t="0" r="0" b="0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0" cy="488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E29C3" w:rsidRPr="00431807" w:rsidRDefault="000E29C3">
                                        <w:pPr>
                                          <w:rPr>
                                            <w:rFonts w:ascii="Arial" w:hAnsi="Arial" w:cs="Arial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44"/>
                                            <w:szCs w:val="44"/>
                                          </w:rPr>
                                          <w:t>100359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408BD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6" type="#_x0000_t202" style="position:absolute;margin-left:415.45pt;margin-top:-42.5pt;width:97.5pt;height:38.5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8IfgIAAA8FAAAOAAAAZHJzL2Uyb0RvYy54bWysVFtv2yAUfp+0/4B4T32Z09pWnKpJ52lS&#10;d5Ha/QBicIyGgQGJ3U377zvgJE13kaZpfrDB5/Cdy/cdFtdjL9CeGcuVrHByEWPEZKMol9sKf3qo&#10;ZzlG1hFJiVCSVfiRWXy9fPliMeiSpapTgjKDAETactAV7pzTZRTZpmM9sRdKMwnGVpmeONiabUQN&#10;GQC9F1Eax5fRoAzVRjXMWvh7OxnxMuC3LWvch7a1zCFRYcjNhbcJ741/R8sFKbeG6I43hzTIP2TR&#10;Ey4h6AnqljiCdob/AtXzxiirWnfRqD5SbcsbFmqAapL4p2ruO6JZqAWaY/WpTfb/wTbv9x8N4rTC&#10;QJQkPVD0wEaHVmpEue/OoG0JTvca3NwIv4HlUKnVd6r5bJFU647ILbsxRg0dIxSyS/zJ6OzohGM9&#10;yGZ4pyiEITunAtDYmt63DpqBAB1Yejwx41NpfMj0VZ7OwdSALcvzAtY+BCmPp7Wx7g1TPfKLChtg&#10;PqCT/Z11k+vRxQezSnBacyHCxmw3a2HQnoBK6vAc0J+5CemdpfLHJsTpDyQJMbzNpxtY/1YkaRav&#10;0mJWX+ZXs6zO5rPiKs5ncVKsiss4K7Lb+rtPMMnKjlPK5B2X7KjAJPs7hg+zMGknaBANFS7m6Xyi&#10;6I9FxuH5XZE9dzCQgvegiJMTKT2xryWFsknpCBfTOnqefiAEenD8hq4EGXjmJw24cTMCitfGRtFH&#10;EIRRwBdQC7cILDplvmI0wERW2H7ZEcMwEm8liKpIssyPcNhk86sUNubcsjm3ENkAVIUdRtNy7aax&#10;32nDtx1EOsr4BoRY86CRp6wO8oWpC8Ucbgg/1uf74PV0jy1/AAAA//8DAFBLAwQUAAYACAAAACEA&#10;hakXId0AAAALAQAADwAAAGRycy9kb3ducmV2LnhtbEyPy07DMBBF90j8gzVI7FqboqAQ4lQVFRsW&#10;SLRIsHTjSRzhR2S7afh7JitYzp2j+6i3s7NswpiG4CXcrQUw9G3Qg+8lfBxfViWwlJXXygaPEn4w&#10;wba5vqpVpcPFv+N0yD0jE58qJcHkPFacp9agU2kdRvT060J0KtMZe66jupC5s3wjxAN3avCUYNSI&#10;zwbb78PZSfh0ZtD7+PbVaTvtX7tdMc5xlPL2Zt49Acs45z8YlvpUHRrqdApnrxOzEsp78UiohFVZ&#10;0KiFEJuCpNMiCeBNzf9vaH4BAAD//wMAUEsBAi0AFAAGAAgAAAAhALaDOJL+AAAA4QEAABMAAAAA&#10;AAAAAAAAAAAAAAAAAFtDb250ZW50X1R5cGVzXS54bWxQSwECLQAUAAYACAAAACEAOP0h/9YAAACU&#10;AQAACwAAAAAAAAAAAAAAAAAvAQAAX3JlbHMvLnJlbHNQSwECLQAUAAYACAAAACEAZg+vCH4CAAAP&#10;BQAADgAAAAAAAAAAAAAAAAAuAgAAZHJzL2Uyb0RvYy54bWxQSwECLQAUAAYACAAAACEAhakXId0A&#10;AAALAQAADwAAAAAAAAAAAAAAAADYBAAAZHJzL2Rvd25yZXYueG1sUEsFBgAAAAAEAAQA8wAAAOIF&#10;AAAAAA==&#10;" stroked="f">
                            <v:textbox style="mso-fit-shape-to-text:t">
                              <w:txbxContent>
                                <w:p w:rsidR="000E29C3" w:rsidRPr="00431807" w:rsidRDefault="000E29C3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>100359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La </w:t>
                  </w:r>
                  <w:proofErr w:type="spellStart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Banque</w:t>
                  </w:r>
                  <w:proofErr w:type="spellEnd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mondiale</w:t>
                  </w:r>
                  <w:proofErr w:type="spellEnd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lance </w:t>
                  </w:r>
                  <w:proofErr w:type="spellStart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l'Initiative</w:t>
                  </w:r>
                  <w:proofErr w:type="spellEnd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pour la restitution des </w:t>
                  </w:r>
                  <w:proofErr w:type="spellStart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avoirs</w:t>
                  </w:r>
                  <w:proofErr w:type="spellEnd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C25E94"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7"/>
                      <w:szCs w:val="27"/>
                    </w:rPr>
                    <w:t>volés</w:t>
                  </w:r>
                  <w:proofErr w:type="spellEnd"/>
                </w:p>
              </w:tc>
            </w:tr>
            <w:tr w:rsidR="00C25E94" w:rsidRPr="00C25E9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6699CC"/>
                  <w:hideMark/>
                </w:tcPr>
                <w:p w:rsidR="00C25E94" w:rsidRPr="00C25E94" w:rsidRDefault="00C25E94" w:rsidP="00C25E94">
                  <w:pPr>
                    <w:spacing w:after="0" w:line="15" w:lineRule="atLeast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</w:rPr>
                  </w:pPr>
                  <w:r w:rsidRPr="00C25E94">
                    <w:rPr>
                      <w:rFonts w:ascii="Arial" w:eastAsia="Times New Roman" w:hAnsi="Arial" w:cs="Arial"/>
                      <w:noProof/>
                      <w:color w:val="000000"/>
                      <w:sz w:val="2"/>
                      <w:szCs w:val="2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4" name="Picture 4" descr="http://web.worldbank.org/shared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.worldbank.org/shared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E94" w:rsidRPr="00C25E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25E94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0" cy="66675"/>
                        <wp:effectExtent l="0" t="0" r="0" b="0"/>
                        <wp:docPr id="3" name="Picture 3" descr="http://web.worldbank.org/shared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.worldbank.org/shared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5E94" w:rsidRPr="00C25E94" w:rsidTr="00C25E94">
              <w:trPr>
                <w:tblCellSpacing w:w="0" w:type="dxa"/>
              </w:trPr>
              <w:tc>
                <w:tcPr>
                  <w:tcW w:w="1000" w:type="pct"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00" w:type="pct"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5E94" w:rsidRPr="00C25E94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25E94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95250" cy="47625"/>
                        <wp:effectExtent l="0" t="0" r="0" b="0"/>
                        <wp:docPr id="2" name="Picture 2" descr="http://web.worldbank.org/shared/images/sh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.worldbank.org/shared/images/sh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5E94" w:rsidRPr="00C25E94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2640"/>
                  </w:tblGrid>
                  <w:tr w:rsidR="00C25E94" w:rsidRPr="00C25E94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C25E94" w:rsidRPr="00C25E94" w:rsidRDefault="00C25E94" w:rsidP="00C25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25E9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670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47625" cy="190500"/>
                              <wp:effectExtent l="0" t="0" r="0" b="0"/>
                              <wp:wrapSquare wrapText="bothSides"/>
                              <wp:docPr id="7" name="Picture 7" descr="http://siteresources.worldbank.org/NEWS/Images/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iteresources.worldbank.org/NEWS/Images/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625" w:type="dxa"/>
                        <w:shd w:val="clear" w:color="auto" w:fill="ABC7E3"/>
                        <w:hideMark/>
                      </w:tcPr>
                      <w:p w:rsidR="00C25E94" w:rsidRPr="00C25E94" w:rsidRDefault="00C25E94" w:rsidP="00C25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25E94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anchor distT="0" distB="0" distL="0" distR="0" simplePos="0" relativeHeight="25165772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" cy="190500"/>
                              <wp:effectExtent l="0" t="0" r="0" b="0"/>
                              <wp:wrapSquare wrapText="bothSides"/>
                              <wp:docPr id="6" name="Picture 6" descr="http://siteresources.worldbank.org/NEWS/Images/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iteresources.worldbank.org/NEWS/Images/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25E94">
                          <w:rPr>
                            <w:rFonts w:ascii="Verdana" w:eastAsia="Times New Roman" w:hAnsi="Verdana" w:cs="Arial"/>
                            <w:b/>
                            <w:bCs/>
                            <w:color w:val="486086"/>
                            <w:sz w:val="24"/>
                            <w:szCs w:val="24"/>
                          </w:rPr>
                          <w:t>Photos</w:t>
                        </w:r>
                      </w:p>
                    </w:tc>
                  </w:tr>
                  <w:tr w:rsidR="00C25E94" w:rsidRPr="00C25E9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25E94" w:rsidRPr="00C25E94" w:rsidRDefault="00C25E94" w:rsidP="00C25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25E94" w:rsidRPr="00C25E94" w:rsidRDefault="00C25E94" w:rsidP="00C25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25E94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4E84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666875" cy="952500"/>
                              <wp:effectExtent l="0" t="0" r="9525" b="0"/>
                              <wp:docPr id="1" name="Picture 1" descr="http://siteresources.worldbank.org/NEWS/Images/041407-StarInit0005med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iteresources.worldbank.org/NEWS/Images/041407-StarInit0005med.jp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25E94" w:rsidRPr="00C25E9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25E94" w:rsidRPr="00C25E94" w:rsidRDefault="00C25E94" w:rsidP="00C25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9F4FF"/>
                        <w:hideMark/>
                      </w:tcPr>
                      <w:p w:rsidR="00C25E94" w:rsidRPr="00C25E94" w:rsidRDefault="00C25E94" w:rsidP="00C25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25E94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</w:rPr>
                          <w:t xml:space="preserve">+ </w:t>
                        </w:r>
                        <w:hyperlink r:id="rId9" w:history="1">
                          <w:r w:rsidRPr="00C25E94">
                            <w:rPr>
                              <w:rFonts w:ascii="Arial" w:eastAsia="Times New Roman" w:hAnsi="Arial" w:cs="Arial"/>
                              <w:b/>
                              <w:bCs/>
                              <w:color w:val="606420"/>
                              <w:sz w:val="15"/>
                              <w:szCs w:val="15"/>
                              <w:u w:val="single"/>
                            </w:rPr>
                            <w:t>PHOTOS</w:t>
                          </w:r>
                        </w:hyperlink>
                      </w:p>
                    </w:tc>
                  </w:tr>
                  <w:tr w:rsidR="00C25E94" w:rsidRPr="00C25E9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25E94" w:rsidRPr="00C25E94" w:rsidRDefault="00C25E94" w:rsidP="00C25E9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C25E94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75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" cy="142875"/>
                              <wp:effectExtent l="0" t="0" r="0" b="0"/>
                              <wp:wrapSquare wrapText="bothSides"/>
                              <wp:docPr id="5" name="Picture 5" descr="http://siteresources.worldbank.org/NEWS/Images/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iteresources.worldbank.org/NEWS/Images/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C25E94" w:rsidRPr="00C25E94" w:rsidRDefault="00C25E94" w:rsidP="00C25E94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Contacts 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25E9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Pr="00C25E9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C25E94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0"/>
                      <w:szCs w:val="20"/>
                    </w:rPr>
                    <w:t>À Washington  :</w:t>
                  </w:r>
                  <w:r w:rsidRPr="00C25E9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Alejandra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>Viveros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t xml:space="preserve"> – (202) 473-4306,</w:t>
                  </w:r>
                  <w:r w:rsidRPr="00C25E9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  <w:br/>
                  </w:r>
                  <w:hyperlink r:id="rId10" w:history="1">
                    <w:r w:rsidRPr="00C25E94">
                      <w:rPr>
                        <w:rFonts w:ascii="Arial" w:eastAsia="Times New Roman" w:hAnsi="Arial" w:cs="Arial"/>
                        <w:bCs/>
                        <w:color w:val="204E84"/>
                        <w:sz w:val="20"/>
                        <w:szCs w:val="20"/>
                        <w:u w:val="single"/>
                      </w:rPr>
                      <w:t>aviveros@worldbank.org</w:t>
                    </w:r>
                  </w:hyperlink>
                </w:p>
                <w:p w:rsidR="00C25E94" w:rsidRPr="00C25E94" w:rsidRDefault="00C25E94" w:rsidP="00C25E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Washington, le 14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avril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 xml:space="preserve"> 2007 —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Banque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mondiale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lancé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initiative qui a pour but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d'aider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pays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recouvrer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avoirs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volés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dirigeants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corrompus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Cette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initiative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s'inscrit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 cadre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stratégie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promotion de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gouvernance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lutte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la corruption.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« 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Banque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mondiale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collaboration avec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communauté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internationale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veut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aider les pays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recouvrer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les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avoirs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qui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été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volés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par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d'anciens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dirigeants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corrompus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 »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déclaré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cette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occasion </w:t>
                  </w:r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président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de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Banque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mondiale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, Paul Wolfowitz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« Il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s'agit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là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d'une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obligation morale. 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recouvrement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serait-ce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d'une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partie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avoirs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volés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contribuera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au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financement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programmes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sociaux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et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ou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des infrastructures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besoin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se fait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cruellement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sentir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. »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Formellement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appelé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Initiative pour la restitution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avoirs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volés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(Initiative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StAR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nouveau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programme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fait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l'objet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hier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séance de travail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laquelle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part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délégués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pays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membres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Banque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représentants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organisations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internationales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Cette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réunion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s'est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tenue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marge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Réunions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printemps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Banque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mondiale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du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Fonds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monétaire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international (FMI).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« 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recouvrement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avoirs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volés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est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problème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d'ordre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pratique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 »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déclaré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Hilary Benn, 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secrétaire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d'État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britannique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au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international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« 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Cette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initiative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vient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à point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nommé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. Il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s'agit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pour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chacun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de nous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jouer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rôle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qui nous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revient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. »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Selon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estimations, les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mouvements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internationaux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fonds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tirés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d'activités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criminelles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ou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d'actes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corruption et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fraude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fiscale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représentent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montants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l'ordre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1 000 à 1 600 milliards de dollars par an,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provenant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pour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moitié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d'économies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transition. Quant aux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seuls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montants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associés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des pots-de-vin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versés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fonctionnaires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pays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question,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ils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estimés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quelque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20 à 40 milliards de dollars.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Même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s'il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est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évident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estimations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type ne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peuvent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être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vraiment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précises,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chiffres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n'en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donnent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moins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idée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l'ampleur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problème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justifient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eux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seuls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action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concertée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« 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défi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est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immense,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étant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donné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complexité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problème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dimension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internationale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 »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déclaré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Ngozi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Okonjo-Iweala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, distinguished fellow à la Brookings Institution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ancienne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ministre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des Finances du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Nigéria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qui 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joué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un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rôle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important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recouvrement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par son pays de 500 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millions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dollars qui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avaient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été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détournés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l'ancien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dictateur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Sani Abacha. </w:t>
                  </w:r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« Nous ne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réussirons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qu'au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prix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l'établissement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solides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partenariats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avec les pays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développés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, et les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autres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organisations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multilatérales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bilatérales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i/>
                      <w:color w:val="000000"/>
                      <w:sz w:val="20"/>
                      <w:szCs w:val="20"/>
                    </w:rPr>
                    <w:t>. »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C'est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collaboration avec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l'Office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Nations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la drogue et le crime (UNODC)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Banque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lancé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l'Initiative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StAR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L'un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l'autre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entreprendront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d'établir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d'autres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liens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partenariats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avec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organismes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tels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banques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régionales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le FMI,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l'Organisation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coopération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économiques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(OCDE),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l'Agence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norvégienne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coopération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pour 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(NORAD) et le G8,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ainsi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qu'avec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pays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pour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donner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dimension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véritablement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planétaire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leur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initiative.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Un certain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nombre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d'idées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départ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déjà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été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proposées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feront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l'objet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d'échanges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vues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plus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poussés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: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Convaincre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juridictions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tous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pays, surtout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ceux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territoire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desquels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situés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places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financières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ratifier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et</w:t>
                  </w:r>
                  <w:proofErr w:type="gram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d'appliquer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la Convention des Nations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Unies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la corruption (UNCAC).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5E94" w:rsidRPr="00C25E94" w:rsidRDefault="00C25E94" w:rsidP="00C25E9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 xml:space="preserve">Aider les pays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>en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 xml:space="preserve"> à se doter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>capacités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>voulues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bidi="th-TH"/>
                    </w:rPr>
                    <w:t xml:space="preserve"> pour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être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même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formuler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demandes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d'aide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juridique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mutuelle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pour le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recouvrement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d'avoirs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5E94" w:rsidRPr="00C25E94" w:rsidRDefault="00C25E94" w:rsidP="00C25E9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Établir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partenariats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pour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l'échange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d'informations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données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d'expérience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25E94" w:rsidRPr="00C25E94" w:rsidRDefault="00C25E94" w:rsidP="00C25E9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À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titre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volontaire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, proposer des services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spécialisés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pour assurer le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contrôle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l'utilisation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qui </w:t>
                  </w:r>
                  <w:proofErr w:type="spellStart"/>
                  <w:proofErr w:type="gram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est</w:t>
                  </w:r>
                  <w:proofErr w:type="spellEnd"/>
                  <w:proofErr w:type="gram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faite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avoirs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restitués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dans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un souci de transparence et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afin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d'optimiser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l'impact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cela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peut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avoir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 pour le </w:t>
                  </w:r>
                  <w:proofErr w:type="spellStart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>développement</w:t>
                  </w:r>
                  <w:proofErr w:type="spellEnd"/>
                  <w:r w:rsidRPr="00C25E94">
                    <w:rPr>
                      <w:rFonts w:ascii="Arial" w:eastAsia="SimSun" w:hAnsi="Arial" w:cs="Arial"/>
                      <w:color w:val="000000"/>
                      <w:sz w:val="20"/>
                      <w:szCs w:val="20"/>
                    </w:rPr>
                    <w:t xml:space="preserve">.  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nécessité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d'entreprendre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une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action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concertée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pour la restitution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avoirs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volés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était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un message qui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ressortait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clairement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consultations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Banque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menées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récemment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auprès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toutes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les </w:t>
                  </w:r>
                  <w:proofErr w:type="gram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parties</w:t>
                  </w:r>
                  <w:proofErr w:type="gram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intéressées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sujet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stratégie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pour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gouvernance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 la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lutte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contre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la corruption, qui a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été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approuvée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au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mois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mars par son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Conseil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des </w:t>
                  </w:r>
                  <w:proofErr w:type="spellStart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administrateurs</w:t>
                  </w:r>
                  <w:proofErr w:type="spellEnd"/>
                  <w:r w:rsidRPr="00C25E9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E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25E94" w:rsidRPr="00C25E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E94" w:rsidRPr="00C25E94" w:rsidRDefault="00C25E94" w:rsidP="00C2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C25E94" w:rsidRPr="00C25E94" w:rsidRDefault="00C25E94" w:rsidP="00C25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3393C" w:rsidRDefault="000E29C3"/>
    <w:sectPr w:rsidR="0083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3A33"/>
    <w:multiLevelType w:val="multilevel"/>
    <w:tmpl w:val="F77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94"/>
    <w:rsid w:val="000E29C3"/>
    <w:rsid w:val="00175AE6"/>
    <w:rsid w:val="00C25E94"/>
    <w:rsid w:val="00C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677D7-C630-4F28-A752-2CF4D1A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E9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94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character" w:styleId="Strong">
    <w:name w:val="Strong"/>
    <w:basedOn w:val="DefaultParagraphFont"/>
    <w:uiPriority w:val="22"/>
    <w:qFormat/>
    <w:rsid w:val="00C25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iteresources.worldbank.org/NEWS/Images/041407-StarInit000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aviveros@worl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worldbank.org/WBSITE/EXTERNAL/ACCUEILEXTN/NEWSFRENCH/0,,contentMDK:21300089~pagePK:64257043~piPK:437376~theSitePK:1074931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Campbell</dc:creator>
  <cp:keywords/>
  <dc:description/>
  <cp:lastModifiedBy>Jurgita Campbell</cp:lastModifiedBy>
  <cp:revision>2</cp:revision>
  <dcterms:created xsi:type="dcterms:W3CDTF">2015-10-20T16:43:00Z</dcterms:created>
  <dcterms:modified xsi:type="dcterms:W3CDTF">2015-10-20T17:48:00Z</dcterms:modified>
</cp:coreProperties>
</file>